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82597dsc13da.htm"/>
      <w:bookmarkStart w:id="1" w:name="ksd582597dsc13d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0" w:after="0"/>
        <w:jc w:val="center"/>
        <w:rPr>
          <w:rFonts w:ascii="Times New Roman" w:hAnsi="Times New Roman"/>
          <w:b/>
          <w:sz w:val="24"/>
        </w:rPr>
      </w:pPr>
      <w:r>
        <w:rPr>
          <w:rFonts w:ascii="Times New Roman" w:hAnsi="Times New Roman"/>
          <w:b/>
          <w:sz w:val="24"/>
        </w:rPr>
        <w:t>(Rule 13d-102)</w:t>
      </w:r>
    </w:p>
    <w:p>
      <w:pPr>
        <w:pStyle w:val="TextBody"/>
        <w:bidi w:val="0"/>
        <w:spacing w:before="240" w:after="0"/>
        <w:jc w:val="center"/>
        <w:rPr>
          <w:rFonts w:ascii="Times New Roman" w:hAnsi="Times New Roman"/>
          <w:b/>
          <w:sz w:val="24"/>
        </w:rPr>
      </w:pPr>
      <w:r>
        <w:rPr>
          <w:rFonts w:ascii="Times New Roman" w:hAnsi="Times New Roman"/>
          <w:b/>
          <w:sz w:val="24"/>
        </w:rPr>
        <w:t xml:space="preserve">INFORMATION TO BE INCLUDED IN STATEMENTS FILED PURSUANT </w:t>
      </w:r>
    </w:p>
    <w:p>
      <w:pPr>
        <w:pStyle w:val="TextBody"/>
        <w:bidi w:val="0"/>
        <w:spacing w:before="0" w:after="0"/>
        <w:jc w:val="center"/>
        <w:rPr>
          <w:rFonts w:ascii="Times New Roman" w:hAnsi="Times New Roman"/>
          <w:b/>
          <w:sz w:val="24"/>
        </w:rPr>
      </w:pPr>
      <w:r>
        <w:rPr>
          <w:rFonts w:ascii="Times New Roman" w:hAnsi="Times New Roman"/>
          <w:b/>
          <w:sz w:val="24"/>
        </w:rPr>
        <w:t xml:space="preserve">TO RULE 13d-l(a) AND AMENDMENTS THERETO FILED PURSUANT </w:t>
      </w:r>
    </w:p>
    <w:p>
      <w:pPr>
        <w:pStyle w:val="TextBody"/>
        <w:bidi w:val="0"/>
        <w:spacing w:before="0" w:after="0"/>
        <w:jc w:val="center"/>
        <w:rPr>
          <w:rFonts w:ascii="Times New Roman" w:hAnsi="Times New Roman"/>
          <w:b/>
          <w:sz w:val="24"/>
        </w:rPr>
      </w:pPr>
      <w:r>
        <w:rPr>
          <w:rFonts w:ascii="Times New Roman" w:hAnsi="Times New Roman"/>
          <w:b/>
          <w:sz w:val="24"/>
        </w:rPr>
        <w:t>TO RULE 13d-2(a)</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par value $0.001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87978U108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Versant Venture Capital VI, L.P. </w:t>
      </w:r>
    </w:p>
    <w:p>
      <w:pPr>
        <w:pStyle w:val="TextBody"/>
        <w:bidi w:val="0"/>
        <w:spacing w:before="0" w:after="0"/>
        <w:jc w:val="center"/>
        <w:rPr>
          <w:rFonts w:ascii="Times New Roman" w:hAnsi="Times New Roman"/>
          <w:b/>
          <w:sz w:val="20"/>
        </w:rPr>
      </w:pPr>
      <w:r>
        <w:rPr>
          <w:rFonts w:ascii="Times New Roman" w:hAnsi="Times New Roman"/>
          <w:b/>
          <w:sz w:val="20"/>
        </w:rPr>
        <w:t xml:space="preserve">Max Eisenberg </w:t>
      </w:r>
    </w:p>
    <w:p>
      <w:pPr>
        <w:pStyle w:val="TextBody"/>
        <w:bidi w:val="0"/>
        <w:spacing w:before="0" w:after="0"/>
        <w:jc w:val="center"/>
        <w:rPr>
          <w:rFonts w:ascii="Times New Roman" w:hAnsi="Times New Roman"/>
          <w:b/>
          <w:sz w:val="20"/>
        </w:rPr>
      </w:pPr>
      <w:r>
        <w:rPr>
          <w:rFonts w:ascii="Times New Roman" w:hAnsi="Times New Roman"/>
          <w:b/>
          <w:sz w:val="20"/>
        </w:rPr>
        <w:t xml:space="preserve">One Sansome Street, Suite 3630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94104 </w:t>
      </w:r>
    </w:p>
    <w:p>
      <w:pPr>
        <w:pStyle w:val="TextBody"/>
        <w:bidi w:val="0"/>
        <w:spacing w:before="0" w:after="0"/>
        <w:jc w:val="center"/>
        <w:rPr>
          <w:rFonts w:ascii="Times New Roman" w:hAnsi="Times New Roman"/>
          <w:b/>
          <w:sz w:val="20"/>
        </w:rPr>
      </w:pPr>
      <w:r>
        <w:rPr>
          <w:rFonts w:ascii="Times New Roman" w:hAnsi="Times New Roman"/>
          <w:b/>
          <w:sz w:val="20"/>
        </w:rPr>
        <w:t>415-801-8100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10,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§§240.13d-1(e), 240.13d-1(f) or 240.13d-1(g), check the following box.  ☐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59"/>
        <w:gridCol w:w="121"/>
        <w:gridCol w:w="4825"/>
      </w:tblGrid>
      <w:tr>
        <w:trPr/>
        <w:tc>
          <w:tcPr>
            <w:tcW w:w="52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25" w:type="dxa"/>
            <w:tcBorders/>
            <w:vAlign w:val="center"/>
          </w:tcPr>
          <w:p>
            <w:pPr>
              <w:pStyle w:val="TableContents"/>
              <w:bidi w:val="0"/>
              <w:spacing w:before="0" w:after="283"/>
              <w:jc w:val="left"/>
              <w:rPr>
                <w:sz w:val="4"/>
                <w:szCs w:val="4"/>
              </w:rPr>
            </w:pPr>
            <w:r>
              <w:rPr>
                <w:sz w:val="4"/>
                <w:szCs w:val="4"/>
              </w:rPr>
            </w:r>
          </w:p>
        </w:tc>
      </w:tr>
      <w:tr>
        <w:trPr/>
        <w:tc>
          <w:tcPr>
            <w:tcW w:w="5259" w:type="dxa"/>
            <w:tcBorders/>
          </w:tcPr>
          <w:p>
            <w:pPr>
              <w:pStyle w:val="TableContents"/>
              <w:bidi w:val="0"/>
              <w:spacing w:before="0" w:after="283"/>
              <w:jc w:val="left"/>
              <w:rPr/>
            </w:pPr>
            <w:r>
              <w:rPr/>
              <w:t>CUSIP No. 87978U108</w:t>
            </w:r>
          </w:p>
        </w:tc>
        <w:tc>
          <w:tcPr>
            <w:tcW w:w="121"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right"/>
              <w:rPr/>
            </w:pPr>
            <w:r>
              <w:rPr/>
              <w:t>13D</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60"/>
        <w:gridCol w:w="135"/>
        <w:gridCol w:w="978"/>
        <w:gridCol w:w="560"/>
        <w:gridCol w:w="208"/>
        <w:gridCol w:w="230"/>
        <w:gridCol w:w="7431"/>
      </w:tblGrid>
      <w:tr>
        <w:trPr/>
        <w:tc>
          <w:tcPr>
            <w:tcW w:w="5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7431" w:type="dxa"/>
            <w:tcBorders/>
            <w:vAlign w:val="center"/>
          </w:tcPr>
          <w:p>
            <w:pPr>
              <w:pStyle w:val="TableContents"/>
              <w:bidi w:val="0"/>
              <w:spacing w:before="0" w:after="283"/>
              <w:jc w:val="left"/>
              <w:rPr>
                <w:sz w:val="4"/>
                <w:szCs w:val="4"/>
              </w:rPr>
            </w:pPr>
            <w:r>
              <w:rPr>
                <w:sz w:val="4"/>
                <w:szCs w:val="4"/>
              </w:rPr>
            </w:r>
          </w:p>
        </w:tc>
      </w:tr>
      <w:tr>
        <w:trPr/>
        <w:tc>
          <w:tcPr>
            <w:tcW w:w="56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0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Versant Venture Capital VI, L.P.</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☒(1)</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WC</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464"/>
        <w:gridCol w:w="384"/>
        <w:gridCol w:w="789"/>
        <w:gridCol w:w="177"/>
        <w:gridCol w:w="452"/>
        <w:gridCol w:w="129"/>
        <w:gridCol w:w="7707"/>
      </w:tblGrid>
      <w:tr>
        <w:trPr/>
        <w:tc>
          <w:tcPr>
            <w:tcW w:w="464"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707" w:type="dxa"/>
            <w:tcBorders/>
            <w:vAlign w:val="center"/>
          </w:tcPr>
          <w:p>
            <w:pPr>
              <w:pStyle w:val="TableContents"/>
              <w:bidi w:val="0"/>
              <w:spacing w:before="0" w:after="283"/>
              <w:jc w:val="left"/>
              <w:rPr>
                <w:sz w:val="4"/>
                <w:szCs w:val="4"/>
              </w:rPr>
            </w:pPr>
            <w:r>
              <w:rPr>
                <w:sz w:val="4"/>
                <w:szCs w:val="4"/>
              </w:rPr>
            </w:r>
          </w:p>
        </w:tc>
      </w:tr>
      <w:tr>
        <w:trPr/>
        <w:tc>
          <w:tcPr>
            <w:tcW w:w="1637"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2" w:type="dxa"/>
            <w:tcBorders>
              <w:bottom w:val="single" w:sz="2" w:space="0" w:color="000000"/>
            </w:tcBorders>
            <w:tcMar>
              <w:bottom w:w="28" w:type="dxa"/>
            </w:tcMar>
          </w:tcPr>
          <w:p>
            <w:pPr>
              <w:pStyle w:val="TableContents"/>
              <w:bidi w:val="0"/>
              <w:spacing w:before="0" w:after="283"/>
              <w:jc w:val="left"/>
              <w:rPr/>
            </w:pPr>
            <w:r>
              <w:rPr/>
              <w:t>  </w:t>
            </w:r>
            <w:r>
              <w:rPr/>
              <w:t>7.  </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997,940 shares of Common Stock (2)</w:t>
            </w:r>
          </w:p>
        </w:tc>
      </w:tr>
      <w:tr>
        <w:trPr/>
        <w:tc>
          <w:tcPr>
            <w:tcW w:w="1637"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2" w:type="dxa"/>
            <w:tcBorders>
              <w:bottom w:val="single" w:sz="2" w:space="0" w:color="000000"/>
            </w:tcBorders>
            <w:tcMar>
              <w:bottom w:w="28" w:type="dxa"/>
            </w:tcMar>
          </w:tcPr>
          <w:p>
            <w:pPr>
              <w:pStyle w:val="TableContents"/>
              <w:bidi w:val="0"/>
              <w:spacing w:before="0" w:after="283"/>
              <w:jc w:val="left"/>
              <w:rPr/>
            </w:pPr>
            <w:r>
              <w:rPr/>
              <w:t>  </w:t>
            </w:r>
            <w:r>
              <w:rPr/>
              <w:t>8.</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7"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2" w:type="dxa"/>
            <w:tcBorders>
              <w:bottom w:val="single" w:sz="2" w:space="0" w:color="000000"/>
            </w:tcBorders>
            <w:tcMar>
              <w:bottom w:w="28" w:type="dxa"/>
            </w:tcMar>
          </w:tcPr>
          <w:p>
            <w:pPr>
              <w:pStyle w:val="TableContents"/>
              <w:bidi w:val="0"/>
              <w:spacing w:before="0" w:after="283"/>
              <w:jc w:val="left"/>
              <w:rPr/>
            </w:pPr>
            <w:r>
              <w:rPr/>
              <w:t>  </w:t>
            </w:r>
            <w:r>
              <w:rPr/>
              <w:t>9.</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997,940 shares of Common Stock (2)</w:t>
            </w:r>
          </w:p>
        </w:tc>
      </w:tr>
      <w:tr>
        <w:trPr/>
        <w:tc>
          <w:tcPr>
            <w:tcW w:w="1637"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2" w:type="dxa"/>
            <w:tcBorders/>
          </w:tcPr>
          <w:p>
            <w:pPr>
              <w:pStyle w:val="TableContents"/>
              <w:bidi w:val="0"/>
              <w:spacing w:before="0" w:after="283"/>
              <w:jc w:val="left"/>
              <w:rPr/>
            </w:pPr>
            <w:r>
              <w:rPr/>
              <w:t>10.</w:t>
            </w:r>
          </w:p>
        </w:tc>
        <w:tc>
          <w:tcPr>
            <w:tcW w:w="129" w:type="dxa"/>
            <w:tcBorders>
              <w:left w:val="single" w:sz="2" w:space="0" w:color="000000"/>
            </w:tcBorders>
            <w:tcMar>
              <w:left w:w="28" w:type="dxa"/>
            </w:tcMar>
            <w:vAlign w:val="bottom"/>
          </w:tcPr>
          <w:p>
            <w:pPr>
              <w:pStyle w:val="TableContents"/>
              <w:bidi w:val="0"/>
              <w:spacing w:before="0" w:after="283"/>
              <w:jc w:val="left"/>
              <w:rPr/>
            </w:pPr>
            <w:r>
              <w:rPr/>
              <w:t> </w:t>
            </w:r>
          </w:p>
        </w:tc>
        <w:tc>
          <w:tcPr>
            <w:tcW w:w="7707"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997,940 shares of Common Stock (2)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7.5% (3)</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13D is filed by Versant Venture Capital IV, L.P. (Versant IV), Versant Side Fund IV, L.P. (Side Fund IV), Versant Ventures IV, LLC (LLC IV), Versant Venture Capital VI, L.P. (Versant VI), Versant Ventures VI GP, L.P. (GP VI), Versant Ventures VI GP-GP, LLC (LLC VI), Versant Vantage II, L.P. (Vantage II LP), Versant Vantage II GP, L.P. (Vantage II GP), Versant Vantage II GP-GP, LLC (Vantage II LLC and, with Versant IV, Side Fund IV, LLC IV, Versant VI, GP VI, LLC VI, Vantage II LP and Vantage II GP, collectively, the Reporting Persons). LLC IV is the general partner of Versant IV and Side Fund IV, and LLC IV has voting and dispositive power over the shares held by Versant IV and Side Fund IV. LLC VI is the general partner of GP VI, which is the general partner of Versant VI. Each of LLC VI and GP VI share voting and dispositive power over the shares held by Versant VI. Vantage II LLC is the general partner of Vantage II GP, which is the general partner of Vantage II LP. Each of Vantage II LLC and Vantage II GP share voting and dispositive power over the shares held by Vantage II LP. The Reporting Persons expressly disclaim status as a group for purposes of this Schedule 13D.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held by Versant VI. LLC VI is the general partner of GP VI, which is the general partner of Versant VI. Each of LLC VI and GP VI share voting and dispositive power over the shares held by Versant VI and as a result may be deemed to have beneficial ownership over such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13,324,065 shares of the Issuers Common Stock outstanding as of August 7, 2023, as set forth in the Issuers quarterly report on Form 10-Q for the quarter ended June 30, 2023, filed with the United States Securities and Exchange Commission (the Commission) on August 10, 2023 (the Form 10-Q).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59"/>
        <w:gridCol w:w="121"/>
        <w:gridCol w:w="4825"/>
      </w:tblGrid>
      <w:tr>
        <w:trPr/>
        <w:tc>
          <w:tcPr>
            <w:tcW w:w="52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25" w:type="dxa"/>
            <w:tcBorders/>
            <w:vAlign w:val="center"/>
          </w:tcPr>
          <w:p>
            <w:pPr>
              <w:pStyle w:val="TableContents"/>
              <w:bidi w:val="0"/>
              <w:spacing w:before="0" w:after="283"/>
              <w:jc w:val="left"/>
              <w:rPr>
                <w:sz w:val="4"/>
                <w:szCs w:val="4"/>
              </w:rPr>
            </w:pPr>
            <w:r>
              <w:rPr>
                <w:sz w:val="4"/>
                <w:szCs w:val="4"/>
              </w:rPr>
            </w:r>
          </w:p>
        </w:tc>
      </w:tr>
      <w:tr>
        <w:trPr/>
        <w:tc>
          <w:tcPr>
            <w:tcW w:w="5259" w:type="dxa"/>
            <w:tcBorders/>
          </w:tcPr>
          <w:p>
            <w:pPr>
              <w:pStyle w:val="TableContents"/>
              <w:bidi w:val="0"/>
              <w:spacing w:before="0" w:after="283"/>
              <w:jc w:val="left"/>
              <w:rPr/>
            </w:pPr>
            <w:r>
              <w:rPr/>
              <w:t>CUSIP No. 87978U108</w:t>
            </w:r>
          </w:p>
        </w:tc>
        <w:tc>
          <w:tcPr>
            <w:tcW w:w="121"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right"/>
              <w:rPr/>
            </w:pPr>
            <w:r>
              <w:rPr/>
              <w:t>13D</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51"/>
        <w:gridCol w:w="133"/>
        <w:gridCol w:w="911"/>
        <w:gridCol w:w="490"/>
        <w:gridCol w:w="322"/>
        <w:gridCol w:w="224"/>
        <w:gridCol w:w="7471"/>
      </w:tblGrid>
      <w:tr>
        <w:trPr/>
        <w:tc>
          <w:tcPr>
            <w:tcW w:w="55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r>
      <w:tr>
        <w:trPr/>
        <w:tc>
          <w:tcPr>
            <w:tcW w:w="55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18"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Versant Ventures VI GP, L.P.</w:t>
            </w:r>
          </w:p>
        </w:tc>
      </w:tr>
      <w:tr>
        <w:trPr/>
        <w:tc>
          <w:tcPr>
            <w:tcW w:w="55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☒(1)</w:t>
            </w:r>
          </w:p>
          <w:p>
            <w:pPr>
              <w:pStyle w:val="TableContents"/>
              <w:bidi w:val="0"/>
              <w:spacing w:before="0" w:after="20"/>
              <w:jc w:val="left"/>
              <w:rPr/>
            </w:pPr>
            <w:r>
              <w:rPr/>
              <w:t> </w:t>
            </w:r>
          </w:p>
        </w:tc>
      </w:tr>
      <w:tr>
        <w:trPr/>
        <w:tc>
          <w:tcPr>
            <w:tcW w:w="55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5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55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5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8"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464"/>
        <w:gridCol w:w="384"/>
        <w:gridCol w:w="789"/>
        <w:gridCol w:w="177"/>
        <w:gridCol w:w="452"/>
        <w:gridCol w:w="129"/>
        <w:gridCol w:w="7707"/>
      </w:tblGrid>
      <w:tr>
        <w:trPr/>
        <w:tc>
          <w:tcPr>
            <w:tcW w:w="464"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707" w:type="dxa"/>
            <w:tcBorders/>
            <w:vAlign w:val="center"/>
          </w:tcPr>
          <w:p>
            <w:pPr>
              <w:pStyle w:val="TableContents"/>
              <w:bidi w:val="0"/>
              <w:spacing w:before="0" w:after="283"/>
              <w:jc w:val="left"/>
              <w:rPr>
                <w:sz w:val="4"/>
                <w:szCs w:val="4"/>
              </w:rPr>
            </w:pPr>
            <w:r>
              <w:rPr>
                <w:sz w:val="4"/>
                <w:szCs w:val="4"/>
              </w:rPr>
            </w:r>
          </w:p>
        </w:tc>
      </w:tr>
      <w:tr>
        <w:trPr/>
        <w:tc>
          <w:tcPr>
            <w:tcW w:w="1637"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2" w:type="dxa"/>
            <w:tcBorders>
              <w:bottom w:val="single" w:sz="2" w:space="0" w:color="000000"/>
            </w:tcBorders>
            <w:tcMar>
              <w:bottom w:w="28" w:type="dxa"/>
            </w:tcMar>
          </w:tcPr>
          <w:p>
            <w:pPr>
              <w:pStyle w:val="TableContents"/>
              <w:bidi w:val="0"/>
              <w:spacing w:before="0" w:after="283"/>
              <w:jc w:val="left"/>
              <w:rPr/>
            </w:pPr>
            <w:r>
              <w:rPr/>
              <w:t>  </w:t>
            </w:r>
            <w:r>
              <w:rPr/>
              <w:t>7.  </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7"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2" w:type="dxa"/>
            <w:tcBorders>
              <w:bottom w:val="single" w:sz="2" w:space="0" w:color="000000"/>
            </w:tcBorders>
            <w:tcMar>
              <w:bottom w:w="28" w:type="dxa"/>
            </w:tcMar>
          </w:tcPr>
          <w:p>
            <w:pPr>
              <w:pStyle w:val="TableContents"/>
              <w:bidi w:val="0"/>
              <w:spacing w:before="0" w:after="283"/>
              <w:jc w:val="left"/>
              <w:rPr/>
            </w:pPr>
            <w:r>
              <w:rPr/>
              <w:t>  </w:t>
            </w:r>
            <w:r>
              <w:rPr/>
              <w:t>8.</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997,940 shares of Common Stock (2)</w:t>
            </w:r>
          </w:p>
        </w:tc>
      </w:tr>
      <w:tr>
        <w:trPr/>
        <w:tc>
          <w:tcPr>
            <w:tcW w:w="1637"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2" w:type="dxa"/>
            <w:tcBorders>
              <w:bottom w:val="single" w:sz="2" w:space="0" w:color="000000"/>
            </w:tcBorders>
            <w:tcMar>
              <w:bottom w:w="28" w:type="dxa"/>
            </w:tcMar>
          </w:tcPr>
          <w:p>
            <w:pPr>
              <w:pStyle w:val="TableContents"/>
              <w:bidi w:val="0"/>
              <w:spacing w:before="0" w:after="283"/>
              <w:jc w:val="left"/>
              <w:rPr/>
            </w:pPr>
            <w:r>
              <w:rPr/>
              <w:t>  </w:t>
            </w:r>
            <w:r>
              <w:rPr/>
              <w:t>9.</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7"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2" w:type="dxa"/>
            <w:tcBorders/>
          </w:tcPr>
          <w:p>
            <w:pPr>
              <w:pStyle w:val="TableContents"/>
              <w:bidi w:val="0"/>
              <w:spacing w:before="0" w:after="283"/>
              <w:jc w:val="left"/>
              <w:rPr/>
            </w:pPr>
            <w:r>
              <w:rPr/>
              <w:t>10.</w:t>
            </w:r>
          </w:p>
        </w:tc>
        <w:tc>
          <w:tcPr>
            <w:tcW w:w="129" w:type="dxa"/>
            <w:tcBorders>
              <w:left w:val="single" w:sz="2" w:space="0" w:color="000000"/>
            </w:tcBorders>
            <w:tcMar>
              <w:left w:w="28" w:type="dxa"/>
            </w:tcMar>
            <w:vAlign w:val="bottom"/>
          </w:tcPr>
          <w:p>
            <w:pPr>
              <w:pStyle w:val="TableContents"/>
              <w:bidi w:val="0"/>
              <w:spacing w:before="0" w:after="283"/>
              <w:jc w:val="left"/>
              <w:rPr/>
            </w:pPr>
            <w:r>
              <w:rPr/>
              <w:t> </w:t>
            </w:r>
          </w:p>
        </w:tc>
        <w:tc>
          <w:tcPr>
            <w:tcW w:w="7707"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997,940 shares of Common Stock (2)</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997,940 shares of Common Stock (2)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7.5% (3)</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13D is filed by the Reporting Persons. The Reporting Persons expressly disclaim status as a group for purposes of this Schedule 13D.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held by Versant VI. LLC VI is the general partner of GP VI, which is the general partner of Versant VI. Each of LLC VI and GP VI share voting and dispositive power over the shares held by Versant VI and as a result may be deemed to have beneficial ownership over such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13,324,065 shares of the Issuers Common Stock outstanding as of August 7, 2023, as set forth in the Form 10-Q.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59"/>
        <w:gridCol w:w="121"/>
        <w:gridCol w:w="4825"/>
      </w:tblGrid>
      <w:tr>
        <w:trPr/>
        <w:tc>
          <w:tcPr>
            <w:tcW w:w="52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25" w:type="dxa"/>
            <w:tcBorders/>
            <w:vAlign w:val="center"/>
          </w:tcPr>
          <w:p>
            <w:pPr>
              <w:pStyle w:val="TableContents"/>
              <w:bidi w:val="0"/>
              <w:spacing w:before="0" w:after="283"/>
              <w:jc w:val="left"/>
              <w:rPr>
                <w:sz w:val="4"/>
                <w:szCs w:val="4"/>
              </w:rPr>
            </w:pPr>
            <w:r>
              <w:rPr>
                <w:sz w:val="4"/>
                <w:szCs w:val="4"/>
              </w:rPr>
            </w:r>
          </w:p>
        </w:tc>
      </w:tr>
      <w:tr>
        <w:trPr/>
        <w:tc>
          <w:tcPr>
            <w:tcW w:w="5259" w:type="dxa"/>
            <w:tcBorders/>
          </w:tcPr>
          <w:p>
            <w:pPr>
              <w:pStyle w:val="TableContents"/>
              <w:bidi w:val="0"/>
              <w:spacing w:before="0" w:after="283"/>
              <w:jc w:val="left"/>
              <w:rPr/>
            </w:pPr>
            <w:r>
              <w:rPr/>
              <w:t>CUSIP No. 87978U108</w:t>
            </w:r>
          </w:p>
        </w:tc>
        <w:tc>
          <w:tcPr>
            <w:tcW w:w="121"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right"/>
              <w:rPr/>
            </w:pPr>
            <w:r>
              <w:rPr/>
              <w:t>13D</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60"/>
        <w:gridCol w:w="135"/>
        <w:gridCol w:w="992"/>
        <w:gridCol w:w="573"/>
        <w:gridCol w:w="178"/>
        <w:gridCol w:w="231"/>
        <w:gridCol w:w="7433"/>
      </w:tblGrid>
      <w:tr>
        <w:trPr/>
        <w:tc>
          <w:tcPr>
            <w:tcW w:w="5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7433" w:type="dxa"/>
            <w:tcBorders/>
            <w:vAlign w:val="center"/>
          </w:tcPr>
          <w:p>
            <w:pPr>
              <w:pStyle w:val="TableContents"/>
              <w:bidi w:val="0"/>
              <w:spacing w:before="0" w:after="283"/>
              <w:jc w:val="left"/>
              <w:rPr>
                <w:sz w:val="4"/>
                <w:szCs w:val="4"/>
              </w:rPr>
            </w:pPr>
            <w:r>
              <w:rPr>
                <w:sz w:val="4"/>
                <w:szCs w:val="4"/>
              </w:rPr>
            </w:r>
          </w:p>
        </w:tc>
      </w:tr>
      <w:tr>
        <w:trPr/>
        <w:tc>
          <w:tcPr>
            <w:tcW w:w="56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0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Versant Ventures VI GP-GP, LLC</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☒(1)</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464"/>
        <w:gridCol w:w="384"/>
        <w:gridCol w:w="789"/>
        <w:gridCol w:w="177"/>
        <w:gridCol w:w="452"/>
        <w:gridCol w:w="129"/>
        <w:gridCol w:w="7707"/>
      </w:tblGrid>
      <w:tr>
        <w:trPr/>
        <w:tc>
          <w:tcPr>
            <w:tcW w:w="464"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707" w:type="dxa"/>
            <w:tcBorders/>
            <w:vAlign w:val="center"/>
          </w:tcPr>
          <w:p>
            <w:pPr>
              <w:pStyle w:val="TableContents"/>
              <w:bidi w:val="0"/>
              <w:spacing w:before="0" w:after="283"/>
              <w:jc w:val="left"/>
              <w:rPr>
                <w:sz w:val="4"/>
                <w:szCs w:val="4"/>
              </w:rPr>
            </w:pPr>
            <w:r>
              <w:rPr>
                <w:sz w:val="4"/>
                <w:szCs w:val="4"/>
              </w:rPr>
            </w:r>
          </w:p>
        </w:tc>
      </w:tr>
      <w:tr>
        <w:trPr/>
        <w:tc>
          <w:tcPr>
            <w:tcW w:w="1637"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2" w:type="dxa"/>
            <w:tcBorders>
              <w:bottom w:val="single" w:sz="2" w:space="0" w:color="000000"/>
            </w:tcBorders>
            <w:tcMar>
              <w:bottom w:w="28" w:type="dxa"/>
            </w:tcMar>
          </w:tcPr>
          <w:p>
            <w:pPr>
              <w:pStyle w:val="TableContents"/>
              <w:bidi w:val="0"/>
              <w:spacing w:before="0" w:after="283"/>
              <w:jc w:val="left"/>
              <w:rPr/>
            </w:pPr>
            <w:r>
              <w:rPr/>
              <w:t>  </w:t>
            </w:r>
            <w:r>
              <w:rPr/>
              <w:t>7.  </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7"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2" w:type="dxa"/>
            <w:tcBorders>
              <w:bottom w:val="single" w:sz="2" w:space="0" w:color="000000"/>
            </w:tcBorders>
            <w:tcMar>
              <w:bottom w:w="28" w:type="dxa"/>
            </w:tcMar>
          </w:tcPr>
          <w:p>
            <w:pPr>
              <w:pStyle w:val="TableContents"/>
              <w:bidi w:val="0"/>
              <w:spacing w:before="0" w:after="283"/>
              <w:jc w:val="left"/>
              <w:rPr/>
            </w:pPr>
            <w:r>
              <w:rPr/>
              <w:t>  </w:t>
            </w:r>
            <w:r>
              <w:rPr/>
              <w:t>8.</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997,940 shares of Common Stock (2)</w:t>
            </w:r>
          </w:p>
        </w:tc>
      </w:tr>
      <w:tr>
        <w:trPr/>
        <w:tc>
          <w:tcPr>
            <w:tcW w:w="1637"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2" w:type="dxa"/>
            <w:tcBorders>
              <w:bottom w:val="single" w:sz="2" w:space="0" w:color="000000"/>
            </w:tcBorders>
            <w:tcMar>
              <w:bottom w:w="28" w:type="dxa"/>
            </w:tcMar>
          </w:tcPr>
          <w:p>
            <w:pPr>
              <w:pStyle w:val="TableContents"/>
              <w:bidi w:val="0"/>
              <w:spacing w:before="0" w:after="283"/>
              <w:jc w:val="left"/>
              <w:rPr/>
            </w:pPr>
            <w:r>
              <w:rPr/>
              <w:t>  </w:t>
            </w:r>
            <w:r>
              <w:rPr/>
              <w:t>9.</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7"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2" w:type="dxa"/>
            <w:tcBorders/>
          </w:tcPr>
          <w:p>
            <w:pPr>
              <w:pStyle w:val="TableContents"/>
              <w:bidi w:val="0"/>
              <w:spacing w:before="0" w:after="283"/>
              <w:jc w:val="left"/>
              <w:rPr/>
            </w:pPr>
            <w:r>
              <w:rPr/>
              <w:t>10.</w:t>
            </w:r>
          </w:p>
        </w:tc>
        <w:tc>
          <w:tcPr>
            <w:tcW w:w="129" w:type="dxa"/>
            <w:tcBorders>
              <w:left w:val="single" w:sz="2" w:space="0" w:color="000000"/>
            </w:tcBorders>
            <w:tcMar>
              <w:left w:w="28" w:type="dxa"/>
            </w:tcMar>
            <w:vAlign w:val="bottom"/>
          </w:tcPr>
          <w:p>
            <w:pPr>
              <w:pStyle w:val="TableContents"/>
              <w:bidi w:val="0"/>
              <w:spacing w:before="0" w:after="283"/>
              <w:jc w:val="left"/>
              <w:rPr/>
            </w:pPr>
            <w:r>
              <w:rPr/>
              <w:t> </w:t>
            </w:r>
          </w:p>
        </w:tc>
        <w:tc>
          <w:tcPr>
            <w:tcW w:w="7707"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997,940 shares of Common Stock (2)</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997,940 shares of Common Stock (2)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7.5% (3)</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13D is filed by the Reporting Persons. The Reporting Persons expressly disclaim status as a group for purposes of this Schedule 13D.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held by Versant VI. LLC VI is the general partner of GP VI, which is the general partner of Versant VI. Each of LLC VI and GP VI share voting and dispositive power over the shares held by Versant VI and as a result may be deemed to have beneficial ownership over such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13,324,065 shares of the Issuers Common Stock outstanding as of August 7, 2023, as set forth in the Form 10-Q.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59"/>
        <w:gridCol w:w="121"/>
        <w:gridCol w:w="4825"/>
      </w:tblGrid>
      <w:tr>
        <w:trPr/>
        <w:tc>
          <w:tcPr>
            <w:tcW w:w="52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25" w:type="dxa"/>
            <w:tcBorders/>
            <w:vAlign w:val="center"/>
          </w:tcPr>
          <w:p>
            <w:pPr>
              <w:pStyle w:val="TableContents"/>
              <w:bidi w:val="0"/>
              <w:spacing w:before="0" w:after="283"/>
              <w:jc w:val="left"/>
              <w:rPr>
                <w:sz w:val="4"/>
                <w:szCs w:val="4"/>
              </w:rPr>
            </w:pPr>
            <w:r>
              <w:rPr>
                <w:sz w:val="4"/>
                <w:szCs w:val="4"/>
              </w:rPr>
            </w:r>
          </w:p>
        </w:tc>
      </w:tr>
      <w:tr>
        <w:trPr/>
        <w:tc>
          <w:tcPr>
            <w:tcW w:w="5259" w:type="dxa"/>
            <w:tcBorders/>
          </w:tcPr>
          <w:p>
            <w:pPr>
              <w:pStyle w:val="TableContents"/>
              <w:bidi w:val="0"/>
              <w:spacing w:before="0" w:after="283"/>
              <w:jc w:val="left"/>
              <w:rPr/>
            </w:pPr>
            <w:r>
              <w:rPr/>
              <w:t>CUSIP No. 87978U108</w:t>
            </w:r>
          </w:p>
        </w:tc>
        <w:tc>
          <w:tcPr>
            <w:tcW w:w="121"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right"/>
              <w:rPr/>
            </w:pPr>
            <w:r>
              <w:rPr/>
              <w:t>13D</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50"/>
        <w:gridCol w:w="133"/>
        <w:gridCol w:w="893"/>
        <w:gridCol w:w="472"/>
        <w:gridCol w:w="364"/>
        <w:gridCol w:w="224"/>
        <w:gridCol w:w="7466"/>
      </w:tblGrid>
      <w:tr>
        <w:trPr/>
        <w:tc>
          <w:tcPr>
            <w:tcW w:w="55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7466" w:type="dxa"/>
            <w:tcBorders/>
            <w:vAlign w:val="center"/>
          </w:tcPr>
          <w:p>
            <w:pPr>
              <w:pStyle w:val="TableContents"/>
              <w:bidi w:val="0"/>
              <w:spacing w:before="0" w:after="283"/>
              <w:jc w:val="left"/>
              <w:rPr>
                <w:sz w:val="4"/>
                <w:szCs w:val="4"/>
              </w:rPr>
            </w:pPr>
            <w:r>
              <w:rPr>
                <w:sz w:val="4"/>
                <w:szCs w:val="4"/>
              </w:rPr>
            </w:r>
          </w:p>
        </w:tc>
      </w:tr>
      <w:tr>
        <w:trPr/>
        <w:tc>
          <w:tcPr>
            <w:tcW w:w="55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1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Versant Vantage II, L.P.</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☒(1)</w:t>
            </w:r>
          </w:p>
          <w:p>
            <w:pPr>
              <w:pStyle w:val="TableContents"/>
              <w:bidi w:val="0"/>
              <w:spacing w:before="0" w:after="20"/>
              <w:jc w:val="left"/>
              <w:rPr/>
            </w:pPr>
            <w:r>
              <w:rPr/>
              <w:t> </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WC</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464"/>
        <w:gridCol w:w="384"/>
        <w:gridCol w:w="788"/>
        <w:gridCol w:w="177"/>
        <w:gridCol w:w="451"/>
        <w:gridCol w:w="128"/>
        <w:gridCol w:w="7710"/>
      </w:tblGrid>
      <w:tr>
        <w:trPr/>
        <w:tc>
          <w:tcPr>
            <w:tcW w:w="464"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710" w:type="dxa"/>
            <w:tcBorders/>
            <w:vAlign w:val="center"/>
          </w:tcPr>
          <w:p>
            <w:pPr>
              <w:pStyle w:val="TableContents"/>
              <w:bidi w:val="0"/>
              <w:spacing w:before="0" w:after="283"/>
              <w:jc w:val="left"/>
              <w:rPr>
                <w:sz w:val="4"/>
                <w:szCs w:val="4"/>
              </w:rPr>
            </w:pPr>
            <w:r>
              <w:rPr>
                <w:sz w:val="4"/>
                <w:szCs w:val="4"/>
              </w:rPr>
            </w:r>
          </w:p>
        </w:tc>
      </w:tr>
      <w:tr>
        <w:trPr/>
        <w:tc>
          <w:tcPr>
            <w:tcW w:w="163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7.  </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2,118,644 shares of Common Stock (2)</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8.</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9.</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2,118,644 shares of Common Stock (2)</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1" w:type="dxa"/>
            <w:tcBorders/>
          </w:tcPr>
          <w:p>
            <w:pPr>
              <w:pStyle w:val="TableContents"/>
              <w:bidi w:val="0"/>
              <w:spacing w:before="0" w:after="283"/>
              <w:jc w:val="left"/>
              <w:rPr/>
            </w:pPr>
            <w:r>
              <w:rPr/>
              <w:t>10.</w:t>
            </w:r>
          </w:p>
        </w:tc>
        <w:tc>
          <w:tcPr>
            <w:tcW w:w="128" w:type="dxa"/>
            <w:tcBorders>
              <w:left w:val="single" w:sz="2" w:space="0" w:color="000000"/>
            </w:tcBorders>
            <w:tcMar>
              <w:left w:w="28" w:type="dxa"/>
            </w:tcMar>
            <w:vAlign w:val="bottom"/>
          </w:tcPr>
          <w:p>
            <w:pPr>
              <w:pStyle w:val="TableContents"/>
              <w:bidi w:val="0"/>
              <w:spacing w:before="0" w:after="283"/>
              <w:jc w:val="left"/>
              <w:rPr/>
            </w:pPr>
            <w:r>
              <w:rPr/>
              <w:t> </w:t>
            </w:r>
          </w:p>
        </w:tc>
        <w:tc>
          <w:tcPr>
            <w:tcW w:w="7710"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2,118,644 shares of Common Stock (2)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15.9% (3)</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13D is filed by the Reporting Persons. The Reporting Persons expressly disclaim status as a group for purposes of this Schedule 13D.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held by Vantage II LP. Vantage II LLC is the general partner of Vantage II GP, which is the general partner of Vantage II LP. Each of Vantage II LLC and Vantage II GP share voting and dispositive power over the shares held by Vantage II LP and as a result may be deemed to have beneficial ownership over such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13,324,065 shares of the Issuers Common Stock outstanding as of August 7, 2023, as set forth in the Form 10-Q.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59"/>
        <w:gridCol w:w="121"/>
        <w:gridCol w:w="4825"/>
      </w:tblGrid>
      <w:tr>
        <w:trPr/>
        <w:tc>
          <w:tcPr>
            <w:tcW w:w="52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25" w:type="dxa"/>
            <w:tcBorders/>
            <w:vAlign w:val="center"/>
          </w:tcPr>
          <w:p>
            <w:pPr>
              <w:pStyle w:val="TableContents"/>
              <w:bidi w:val="0"/>
              <w:spacing w:before="0" w:after="283"/>
              <w:jc w:val="left"/>
              <w:rPr>
                <w:sz w:val="4"/>
                <w:szCs w:val="4"/>
              </w:rPr>
            </w:pPr>
            <w:r>
              <w:rPr>
                <w:sz w:val="4"/>
                <w:szCs w:val="4"/>
              </w:rPr>
            </w:r>
          </w:p>
        </w:tc>
      </w:tr>
      <w:tr>
        <w:trPr/>
        <w:tc>
          <w:tcPr>
            <w:tcW w:w="5259" w:type="dxa"/>
            <w:tcBorders/>
          </w:tcPr>
          <w:p>
            <w:pPr>
              <w:pStyle w:val="TableContents"/>
              <w:bidi w:val="0"/>
              <w:spacing w:before="0" w:after="283"/>
              <w:jc w:val="left"/>
              <w:rPr/>
            </w:pPr>
            <w:r>
              <w:rPr/>
              <w:t>CUSIP No. 87978U108</w:t>
            </w:r>
          </w:p>
        </w:tc>
        <w:tc>
          <w:tcPr>
            <w:tcW w:w="121"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right"/>
              <w:rPr/>
            </w:pPr>
            <w:r>
              <w:rPr/>
              <w:t>13D</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50"/>
        <w:gridCol w:w="133"/>
        <w:gridCol w:w="893"/>
        <w:gridCol w:w="472"/>
        <w:gridCol w:w="364"/>
        <w:gridCol w:w="224"/>
        <w:gridCol w:w="7466"/>
      </w:tblGrid>
      <w:tr>
        <w:trPr/>
        <w:tc>
          <w:tcPr>
            <w:tcW w:w="55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7466" w:type="dxa"/>
            <w:tcBorders/>
            <w:vAlign w:val="center"/>
          </w:tcPr>
          <w:p>
            <w:pPr>
              <w:pStyle w:val="TableContents"/>
              <w:bidi w:val="0"/>
              <w:spacing w:before="0" w:after="283"/>
              <w:jc w:val="left"/>
              <w:rPr>
                <w:sz w:val="4"/>
                <w:szCs w:val="4"/>
              </w:rPr>
            </w:pPr>
            <w:r>
              <w:rPr>
                <w:sz w:val="4"/>
                <w:szCs w:val="4"/>
              </w:rPr>
            </w:r>
          </w:p>
        </w:tc>
      </w:tr>
      <w:tr>
        <w:trPr/>
        <w:tc>
          <w:tcPr>
            <w:tcW w:w="55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1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Versant Vantage II GP, L.P.</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☒(1)</w:t>
            </w:r>
          </w:p>
          <w:p>
            <w:pPr>
              <w:pStyle w:val="TableContents"/>
              <w:bidi w:val="0"/>
              <w:spacing w:before="0" w:after="20"/>
              <w:jc w:val="left"/>
              <w:rPr/>
            </w:pPr>
            <w:r>
              <w:rPr/>
              <w:t> </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464"/>
        <w:gridCol w:w="384"/>
        <w:gridCol w:w="788"/>
        <w:gridCol w:w="177"/>
        <w:gridCol w:w="451"/>
        <w:gridCol w:w="128"/>
        <w:gridCol w:w="7710"/>
      </w:tblGrid>
      <w:tr>
        <w:trPr/>
        <w:tc>
          <w:tcPr>
            <w:tcW w:w="464"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710" w:type="dxa"/>
            <w:tcBorders/>
            <w:vAlign w:val="center"/>
          </w:tcPr>
          <w:p>
            <w:pPr>
              <w:pStyle w:val="TableContents"/>
              <w:bidi w:val="0"/>
              <w:spacing w:before="0" w:after="283"/>
              <w:jc w:val="left"/>
              <w:rPr>
                <w:sz w:val="4"/>
                <w:szCs w:val="4"/>
              </w:rPr>
            </w:pPr>
            <w:r>
              <w:rPr>
                <w:sz w:val="4"/>
                <w:szCs w:val="4"/>
              </w:rPr>
            </w:r>
          </w:p>
        </w:tc>
      </w:tr>
      <w:tr>
        <w:trPr/>
        <w:tc>
          <w:tcPr>
            <w:tcW w:w="163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7.  </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8.</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2,118,644 shares of Common Stock (2)</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9.</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1" w:type="dxa"/>
            <w:tcBorders/>
          </w:tcPr>
          <w:p>
            <w:pPr>
              <w:pStyle w:val="TableContents"/>
              <w:bidi w:val="0"/>
              <w:spacing w:before="0" w:after="283"/>
              <w:jc w:val="left"/>
              <w:rPr/>
            </w:pPr>
            <w:r>
              <w:rPr/>
              <w:t>10.</w:t>
            </w:r>
          </w:p>
        </w:tc>
        <w:tc>
          <w:tcPr>
            <w:tcW w:w="128" w:type="dxa"/>
            <w:tcBorders>
              <w:left w:val="single" w:sz="2" w:space="0" w:color="000000"/>
            </w:tcBorders>
            <w:tcMar>
              <w:left w:w="28" w:type="dxa"/>
            </w:tcMar>
            <w:vAlign w:val="bottom"/>
          </w:tcPr>
          <w:p>
            <w:pPr>
              <w:pStyle w:val="TableContents"/>
              <w:bidi w:val="0"/>
              <w:spacing w:before="0" w:after="283"/>
              <w:jc w:val="left"/>
              <w:rPr/>
            </w:pPr>
            <w:r>
              <w:rPr/>
              <w:t> </w:t>
            </w:r>
          </w:p>
        </w:tc>
        <w:tc>
          <w:tcPr>
            <w:tcW w:w="7710"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2,118,644 shares of Common Stock (2)</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2,118,644 shares of Common Stock (2)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15.9% (3)</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13D is filed by the Reporting Persons. The Reporting Persons expressly disclaim status as a group for purposes of this Schedule 13D.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held by Vantage II LP. Vantage II LLC is the general partner of Vantage II GP, which is the general partner of Vantage II LP. Each of Vantage II LLC and Vantage II GP share voting and dispositive power over the shares held by Vantage II LP and as a result may be deemed to have beneficial ownership over such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13,324,065 shares of the Issuers Common Stock outstanding as of August 7, 2023, as set forth in the Form 10-Q.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59"/>
        <w:gridCol w:w="121"/>
        <w:gridCol w:w="4825"/>
      </w:tblGrid>
      <w:tr>
        <w:trPr/>
        <w:tc>
          <w:tcPr>
            <w:tcW w:w="52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25" w:type="dxa"/>
            <w:tcBorders/>
            <w:vAlign w:val="center"/>
          </w:tcPr>
          <w:p>
            <w:pPr>
              <w:pStyle w:val="TableContents"/>
              <w:bidi w:val="0"/>
              <w:spacing w:before="0" w:after="283"/>
              <w:jc w:val="left"/>
              <w:rPr>
                <w:sz w:val="4"/>
                <w:szCs w:val="4"/>
              </w:rPr>
            </w:pPr>
            <w:r>
              <w:rPr>
                <w:sz w:val="4"/>
                <w:szCs w:val="4"/>
              </w:rPr>
            </w:r>
          </w:p>
        </w:tc>
      </w:tr>
      <w:tr>
        <w:trPr/>
        <w:tc>
          <w:tcPr>
            <w:tcW w:w="5259" w:type="dxa"/>
            <w:tcBorders/>
          </w:tcPr>
          <w:p>
            <w:pPr>
              <w:pStyle w:val="TableContents"/>
              <w:bidi w:val="0"/>
              <w:spacing w:before="0" w:after="283"/>
              <w:jc w:val="left"/>
              <w:rPr/>
            </w:pPr>
            <w:r>
              <w:rPr/>
              <w:t>CUSIP No. 87978U108</w:t>
            </w:r>
          </w:p>
        </w:tc>
        <w:tc>
          <w:tcPr>
            <w:tcW w:w="121"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right"/>
              <w:rPr/>
            </w:pPr>
            <w:r>
              <w:rPr/>
              <w:t>13D</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60"/>
        <w:gridCol w:w="135"/>
        <w:gridCol w:w="970"/>
        <w:gridCol w:w="552"/>
        <w:gridCol w:w="226"/>
        <w:gridCol w:w="230"/>
        <w:gridCol w:w="7429"/>
      </w:tblGrid>
      <w:tr>
        <w:trPr/>
        <w:tc>
          <w:tcPr>
            <w:tcW w:w="5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7429" w:type="dxa"/>
            <w:tcBorders/>
            <w:vAlign w:val="center"/>
          </w:tcPr>
          <w:p>
            <w:pPr>
              <w:pStyle w:val="TableContents"/>
              <w:bidi w:val="0"/>
              <w:spacing w:before="0" w:after="283"/>
              <w:jc w:val="left"/>
              <w:rPr>
                <w:sz w:val="4"/>
                <w:szCs w:val="4"/>
              </w:rPr>
            </w:pPr>
            <w:r>
              <w:rPr>
                <w:sz w:val="4"/>
                <w:szCs w:val="4"/>
              </w:rPr>
            </w:r>
          </w:p>
        </w:tc>
      </w:tr>
      <w:tr>
        <w:trPr/>
        <w:tc>
          <w:tcPr>
            <w:tcW w:w="56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0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Versant Vantage II GP-GP, LLC</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☒(1)</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464"/>
        <w:gridCol w:w="384"/>
        <w:gridCol w:w="788"/>
        <w:gridCol w:w="177"/>
        <w:gridCol w:w="451"/>
        <w:gridCol w:w="128"/>
        <w:gridCol w:w="7710"/>
      </w:tblGrid>
      <w:tr>
        <w:trPr/>
        <w:tc>
          <w:tcPr>
            <w:tcW w:w="464"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710" w:type="dxa"/>
            <w:tcBorders/>
            <w:vAlign w:val="center"/>
          </w:tcPr>
          <w:p>
            <w:pPr>
              <w:pStyle w:val="TableContents"/>
              <w:bidi w:val="0"/>
              <w:spacing w:before="0" w:after="283"/>
              <w:jc w:val="left"/>
              <w:rPr>
                <w:sz w:val="4"/>
                <w:szCs w:val="4"/>
              </w:rPr>
            </w:pPr>
            <w:r>
              <w:rPr>
                <w:sz w:val="4"/>
                <w:szCs w:val="4"/>
              </w:rPr>
            </w:r>
          </w:p>
        </w:tc>
      </w:tr>
      <w:tr>
        <w:trPr/>
        <w:tc>
          <w:tcPr>
            <w:tcW w:w="163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7.  </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8.</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2,118,644 shares of Common Stock (2)</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9.</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1" w:type="dxa"/>
            <w:tcBorders/>
          </w:tcPr>
          <w:p>
            <w:pPr>
              <w:pStyle w:val="TableContents"/>
              <w:bidi w:val="0"/>
              <w:spacing w:before="0" w:after="283"/>
              <w:jc w:val="left"/>
              <w:rPr/>
            </w:pPr>
            <w:r>
              <w:rPr/>
              <w:t>10.</w:t>
            </w:r>
          </w:p>
        </w:tc>
        <w:tc>
          <w:tcPr>
            <w:tcW w:w="128" w:type="dxa"/>
            <w:tcBorders>
              <w:left w:val="single" w:sz="2" w:space="0" w:color="000000"/>
            </w:tcBorders>
            <w:tcMar>
              <w:left w:w="28" w:type="dxa"/>
            </w:tcMar>
            <w:vAlign w:val="bottom"/>
          </w:tcPr>
          <w:p>
            <w:pPr>
              <w:pStyle w:val="TableContents"/>
              <w:bidi w:val="0"/>
              <w:spacing w:before="0" w:after="283"/>
              <w:jc w:val="left"/>
              <w:rPr/>
            </w:pPr>
            <w:r>
              <w:rPr/>
              <w:t> </w:t>
            </w:r>
          </w:p>
        </w:tc>
        <w:tc>
          <w:tcPr>
            <w:tcW w:w="7710"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2,118,644 shares of Common Stock (2)</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2,118,644 shares of Common Stock (2)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15.9% (3)</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13D is filed by the Reporting Persons. The Reporting Persons expressly disclaim status as a group for purposes of this Schedule 13D.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held by Vantage II LP. Vantage II LLC is the general partner of Vantage II GP, which is the general partner of Vantage II LP. Each of Vantage II LLC and Vantage II GP share voting and dispositive power over the shares held by Vantage II LP and as a result may be deemed to have beneficial ownership over such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13,324,065 shares of the Issuers Common Stock outstanding as of August 7, 2023, as set forth in the Form 10-Q.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59"/>
        <w:gridCol w:w="121"/>
        <w:gridCol w:w="4825"/>
      </w:tblGrid>
      <w:tr>
        <w:trPr/>
        <w:tc>
          <w:tcPr>
            <w:tcW w:w="52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25" w:type="dxa"/>
            <w:tcBorders/>
            <w:vAlign w:val="center"/>
          </w:tcPr>
          <w:p>
            <w:pPr>
              <w:pStyle w:val="TableContents"/>
              <w:bidi w:val="0"/>
              <w:spacing w:before="0" w:after="283"/>
              <w:jc w:val="left"/>
              <w:rPr>
                <w:sz w:val="4"/>
                <w:szCs w:val="4"/>
              </w:rPr>
            </w:pPr>
            <w:r>
              <w:rPr>
                <w:sz w:val="4"/>
                <w:szCs w:val="4"/>
              </w:rPr>
            </w:r>
          </w:p>
        </w:tc>
      </w:tr>
      <w:tr>
        <w:trPr/>
        <w:tc>
          <w:tcPr>
            <w:tcW w:w="5259" w:type="dxa"/>
            <w:tcBorders/>
          </w:tcPr>
          <w:p>
            <w:pPr>
              <w:pStyle w:val="TableContents"/>
              <w:bidi w:val="0"/>
              <w:spacing w:before="0" w:after="283"/>
              <w:jc w:val="left"/>
              <w:rPr/>
            </w:pPr>
            <w:r>
              <w:rPr/>
              <w:t>CUSIP No. 87978U108</w:t>
            </w:r>
          </w:p>
        </w:tc>
        <w:tc>
          <w:tcPr>
            <w:tcW w:w="121"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right"/>
              <w:rPr/>
            </w:pPr>
            <w:r>
              <w:rPr/>
              <w:t>13D</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60"/>
        <w:gridCol w:w="135"/>
        <w:gridCol w:w="978"/>
        <w:gridCol w:w="560"/>
        <w:gridCol w:w="208"/>
        <w:gridCol w:w="230"/>
        <w:gridCol w:w="7431"/>
      </w:tblGrid>
      <w:tr>
        <w:trPr/>
        <w:tc>
          <w:tcPr>
            <w:tcW w:w="560"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7431" w:type="dxa"/>
            <w:tcBorders/>
            <w:vAlign w:val="center"/>
          </w:tcPr>
          <w:p>
            <w:pPr>
              <w:pStyle w:val="TableContents"/>
              <w:bidi w:val="0"/>
              <w:spacing w:before="0" w:after="283"/>
              <w:jc w:val="left"/>
              <w:rPr>
                <w:sz w:val="4"/>
                <w:szCs w:val="4"/>
              </w:rPr>
            </w:pPr>
            <w:r>
              <w:rPr>
                <w:sz w:val="4"/>
                <w:szCs w:val="4"/>
              </w:rPr>
            </w:r>
          </w:p>
        </w:tc>
      </w:tr>
      <w:tr>
        <w:trPr/>
        <w:tc>
          <w:tcPr>
            <w:tcW w:w="56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3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0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Versant Venture Capital IV, L.P.</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☒(1)</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WC</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6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3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0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464"/>
        <w:gridCol w:w="384"/>
        <w:gridCol w:w="788"/>
        <w:gridCol w:w="177"/>
        <w:gridCol w:w="451"/>
        <w:gridCol w:w="128"/>
        <w:gridCol w:w="7710"/>
      </w:tblGrid>
      <w:tr>
        <w:trPr/>
        <w:tc>
          <w:tcPr>
            <w:tcW w:w="464"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710" w:type="dxa"/>
            <w:tcBorders/>
            <w:vAlign w:val="center"/>
          </w:tcPr>
          <w:p>
            <w:pPr>
              <w:pStyle w:val="TableContents"/>
              <w:bidi w:val="0"/>
              <w:spacing w:before="0" w:after="283"/>
              <w:jc w:val="left"/>
              <w:rPr>
                <w:sz w:val="4"/>
                <w:szCs w:val="4"/>
              </w:rPr>
            </w:pPr>
            <w:r>
              <w:rPr>
                <w:sz w:val="4"/>
                <w:szCs w:val="4"/>
              </w:rPr>
            </w:r>
          </w:p>
        </w:tc>
      </w:tr>
      <w:tr>
        <w:trPr/>
        <w:tc>
          <w:tcPr>
            <w:tcW w:w="163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7.  </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1,171,094 shares of Common Stock (2)</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8.</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9.</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1,171,094 shares of Common Stock (2)</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1" w:type="dxa"/>
            <w:tcBorders/>
          </w:tcPr>
          <w:p>
            <w:pPr>
              <w:pStyle w:val="TableContents"/>
              <w:bidi w:val="0"/>
              <w:spacing w:before="0" w:after="283"/>
              <w:jc w:val="left"/>
              <w:rPr/>
            </w:pPr>
            <w:r>
              <w:rPr/>
              <w:t>10.</w:t>
            </w:r>
          </w:p>
        </w:tc>
        <w:tc>
          <w:tcPr>
            <w:tcW w:w="128" w:type="dxa"/>
            <w:tcBorders>
              <w:left w:val="single" w:sz="2" w:space="0" w:color="000000"/>
            </w:tcBorders>
            <w:tcMar>
              <w:left w:w="28" w:type="dxa"/>
            </w:tcMar>
            <w:vAlign w:val="bottom"/>
          </w:tcPr>
          <w:p>
            <w:pPr>
              <w:pStyle w:val="TableContents"/>
              <w:bidi w:val="0"/>
              <w:spacing w:before="0" w:after="283"/>
              <w:jc w:val="left"/>
              <w:rPr/>
            </w:pPr>
            <w:r>
              <w:rPr/>
              <w:t> </w:t>
            </w:r>
          </w:p>
        </w:tc>
        <w:tc>
          <w:tcPr>
            <w:tcW w:w="7710"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1,171,094 shares of Common Stock (2)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8.8% (3)</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13D is filed by the Reporting Persons. The Reporting Persons expressly disclaim status as a group for purposes of this Schedule 13D.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held by Versant IV. LLC IV is the general partner of Versant IV and has voting and dispositive power over the shares held by Versant IV and as a result may be deemed to have beneficial ownership over such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13,324,065 shares of the Issuers Common Stock outstanding as of August 7, 2023, as set forth in the Form 10-Q.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59"/>
        <w:gridCol w:w="121"/>
        <w:gridCol w:w="4825"/>
      </w:tblGrid>
      <w:tr>
        <w:trPr/>
        <w:tc>
          <w:tcPr>
            <w:tcW w:w="52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25" w:type="dxa"/>
            <w:tcBorders/>
            <w:vAlign w:val="center"/>
          </w:tcPr>
          <w:p>
            <w:pPr>
              <w:pStyle w:val="TableContents"/>
              <w:bidi w:val="0"/>
              <w:spacing w:before="0" w:after="283"/>
              <w:jc w:val="left"/>
              <w:rPr>
                <w:sz w:val="4"/>
                <w:szCs w:val="4"/>
              </w:rPr>
            </w:pPr>
            <w:r>
              <w:rPr>
                <w:sz w:val="4"/>
                <w:szCs w:val="4"/>
              </w:rPr>
            </w:r>
          </w:p>
        </w:tc>
      </w:tr>
      <w:tr>
        <w:trPr/>
        <w:tc>
          <w:tcPr>
            <w:tcW w:w="5259" w:type="dxa"/>
            <w:tcBorders/>
          </w:tcPr>
          <w:p>
            <w:pPr>
              <w:pStyle w:val="TableContents"/>
              <w:bidi w:val="0"/>
              <w:spacing w:before="0" w:after="283"/>
              <w:jc w:val="left"/>
              <w:rPr/>
            </w:pPr>
            <w:r>
              <w:rPr/>
              <w:t>CUSIP No. 87978U108</w:t>
            </w:r>
          </w:p>
        </w:tc>
        <w:tc>
          <w:tcPr>
            <w:tcW w:w="121"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right"/>
              <w:rPr/>
            </w:pPr>
            <w:r>
              <w:rPr/>
              <w:t>13D</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50"/>
        <w:gridCol w:w="133"/>
        <w:gridCol w:w="893"/>
        <w:gridCol w:w="472"/>
        <w:gridCol w:w="364"/>
        <w:gridCol w:w="224"/>
        <w:gridCol w:w="7466"/>
      </w:tblGrid>
      <w:tr>
        <w:trPr/>
        <w:tc>
          <w:tcPr>
            <w:tcW w:w="55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7466" w:type="dxa"/>
            <w:tcBorders/>
            <w:vAlign w:val="center"/>
          </w:tcPr>
          <w:p>
            <w:pPr>
              <w:pStyle w:val="TableContents"/>
              <w:bidi w:val="0"/>
              <w:spacing w:before="0" w:after="283"/>
              <w:jc w:val="left"/>
              <w:rPr>
                <w:sz w:val="4"/>
                <w:szCs w:val="4"/>
              </w:rPr>
            </w:pPr>
            <w:r>
              <w:rPr>
                <w:sz w:val="4"/>
                <w:szCs w:val="4"/>
              </w:rPr>
            </w:r>
          </w:p>
        </w:tc>
      </w:tr>
      <w:tr>
        <w:trPr/>
        <w:tc>
          <w:tcPr>
            <w:tcW w:w="55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1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Versant Side Fund IV, L.P.</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☒(1)</w:t>
            </w:r>
          </w:p>
          <w:p>
            <w:pPr>
              <w:pStyle w:val="TableContents"/>
              <w:bidi w:val="0"/>
              <w:spacing w:before="0" w:after="20"/>
              <w:jc w:val="left"/>
              <w:rPr/>
            </w:pPr>
            <w:r>
              <w:rPr/>
              <w:t> </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WC</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464"/>
        <w:gridCol w:w="384"/>
        <w:gridCol w:w="789"/>
        <w:gridCol w:w="177"/>
        <w:gridCol w:w="452"/>
        <w:gridCol w:w="129"/>
        <w:gridCol w:w="7707"/>
      </w:tblGrid>
      <w:tr>
        <w:trPr/>
        <w:tc>
          <w:tcPr>
            <w:tcW w:w="464"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707" w:type="dxa"/>
            <w:tcBorders/>
            <w:vAlign w:val="center"/>
          </w:tcPr>
          <w:p>
            <w:pPr>
              <w:pStyle w:val="TableContents"/>
              <w:bidi w:val="0"/>
              <w:spacing w:before="0" w:after="283"/>
              <w:jc w:val="left"/>
              <w:rPr>
                <w:sz w:val="4"/>
                <w:szCs w:val="4"/>
              </w:rPr>
            </w:pPr>
            <w:r>
              <w:rPr>
                <w:sz w:val="4"/>
                <w:szCs w:val="4"/>
              </w:rPr>
            </w:r>
          </w:p>
        </w:tc>
      </w:tr>
      <w:tr>
        <w:trPr/>
        <w:tc>
          <w:tcPr>
            <w:tcW w:w="1637"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2" w:type="dxa"/>
            <w:tcBorders>
              <w:bottom w:val="single" w:sz="2" w:space="0" w:color="000000"/>
            </w:tcBorders>
            <w:tcMar>
              <w:bottom w:w="28" w:type="dxa"/>
            </w:tcMar>
          </w:tcPr>
          <w:p>
            <w:pPr>
              <w:pStyle w:val="TableContents"/>
              <w:bidi w:val="0"/>
              <w:spacing w:before="0" w:after="283"/>
              <w:jc w:val="left"/>
              <w:rPr/>
            </w:pPr>
            <w:r>
              <w:rPr/>
              <w:t>  </w:t>
            </w:r>
            <w:r>
              <w:rPr/>
              <w:t>7.  </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7,377 shares of Common Stock (2)</w:t>
            </w:r>
          </w:p>
        </w:tc>
      </w:tr>
      <w:tr>
        <w:trPr/>
        <w:tc>
          <w:tcPr>
            <w:tcW w:w="1637"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2" w:type="dxa"/>
            <w:tcBorders>
              <w:bottom w:val="single" w:sz="2" w:space="0" w:color="000000"/>
            </w:tcBorders>
            <w:tcMar>
              <w:bottom w:w="28" w:type="dxa"/>
            </w:tcMar>
          </w:tcPr>
          <w:p>
            <w:pPr>
              <w:pStyle w:val="TableContents"/>
              <w:bidi w:val="0"/>
              <w:spacing w:before="0" w:after="283"/>
              <w:jc w:val="left"/>
              <w:rPr/>
            </w:pPr>
            <w:r>
              <w:rPr/>
              <w:t>  </w:t>
            </w:r>
            <w:r>
              <w:rPr/>
              <w:t>8.</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7"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2" w:type="dxa"/>
            <w:tcBorders>
              <w:bottom w:val="single" w:sz="2" w:space="0" w:color="000000"/>
            </w:tcBorders>
            <w:tcMar>
              <w:bottom w:w="28" w:type="dxa"/>
            </w:tcMar>
          </w:tcPr>
          <w:p>
            <w:pPr>
              <w:pStyle w:val="TableContents"/>
              <w:bidi w:val="0"/>
              <w:spacing w:before="0" w:after="283"/>
              <w:jc w:val="left"/>
              <w:rPr/>
            </w:pPr>
            <w:r>
              <w:rPr/>
              <w:t>  </w:t>
            </w:r>
            <w:r>
              <w:rPr/>
              <w:t>9.</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0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7,377 shares of Common Stock (2)</w:t>
            </w:r>
          </w:p>
        </w:tc>
      </w:tr>
      <w:tr>
        <w:trPr/>
        <w:tc>
          <w:tcPr>
            <w:tcW w:w="1637"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2" w:type="dxa"/>
            <w:tcBorders/>
          </w:tcPr>
          <w:p>
            <w:pPr>
              <w:pStyle w:val="TableContents"/>
              <w:bidi w:val="0"/>
              <w:spacing w:before="0" w:after="283"/>
              <w:jc w:val="left"/>
              <w:rPr/>
            </w:pPr>
            <w:r>
              <w:rPr/>
              <w:t>10.</w:t>
            </w:r>
          </w:p>
        </w:tc>
        <w:tc>
          <w:tcPr>
            <w:tcW w:w="129" w:type="dxa"/>
            <w:tcBorders>
              <w:left w:val="single" w:sz="2" w:space="0" w:color="000000"/>
            </w:tcBorders>
            <w:tcMar>
              <w:left w:w="28" w:type="dxa"/>
            </w:tcMar>
            <w:vAlign w:val="bottom"/>
          </w:tcPr>
          <w:p>
            <w:pPr>
              <w:pStyle w:val="TableContents"/>
              <w:bidi w:val="0"/>
              <w:spacing w:before="0" w:after="283"/>
              <w:jc w:val="left"/>
              <w:rPr/>
            </w:pPr>
            <w:r>
              <w:rPr/>
              <w:t> </w:t>
            </w:r>
          </w:p>
        </w:tc>
        <w:tc>
          <w:tcPr>
            <w:tcW w:w="7707"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7,377 shares of Common Stock (2)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0.1% (3)</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13D is filed by the Reporting Persons. The Reporting Persons expressly disclaim status as a group for purposes of this Schedule 13D.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shares are held by Side Fund IV. LLC IV is the general partner of Side Fund IV and has voting and dispositive power over the shares held by Side Fund IV and as a result may be deemed to have beneficial ownership over such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13,324,065 shares of the Issuers Common Stock outstanding as of August 7, 2023, as set forth in the Form 10-Q.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59"/>
        <w:gridCol w:w="121"/>
        <w:gridCol w:w="4825"/>
      </w:tblGrid>
      <w:tr>
        <w:trPr/>
        <w:tc>
          <w:tcPr>
            <w:tcW w:w="52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25" w:type="dxa"/>
            <w:tcBorders/>
            <w:vAlign w:val="center"/>
          </w:tcPr>
          <w:p>
            <w:pPr>
              <w:pStyle w:val="TableContents"/>
              <w:bidi w:val="0"/>
              <w:spacing w:before="0" w:after="283"/>
              <w:jc w:val="left"/>
              <w:rPr>
                <w:sz w:val="4"/>
                <w:szCs w:val="4"/>
              </w:rPr>
            </w:pPr>
            <w:r>
              <w:rPr>
                <w:sz w:val="4"/>
                <w:szCs w:val="4"/>
              </w:rPr>
            </w:r>
          </w:p>
        </w:tc>
      </w:tr>
      <w:tr>
        <w:trPr/>
        <w:tc>
          <w:tcPr>
            <w:tcW w:w="5259" w:type="dxa"/>
            <w:tcBorders/>
          </w:tcPr>
          <w:p>
            <w:pPr>
              <w:pStyle w:val="TableContents"/>
              <w:bidi w:val="0"/>
              <w:spacing w:before="0" w:after="283"/>
              <w:jc w:val="left"/>
              <w:rPr/>
            </w:pPr>
            <w:r>
              <w:rPr/>
              <w:t>CUSIP No. 87978U108</w:t>
            </w:r>
          </w:p>
        </w:tc>
        <w:tc>
          <w:tcPr>
            <w:tcW w:w="121" w:type="dxa"/>
            <w:tcBorders/>
            <w:vAlign w:val="bottom"/>
          </w:tcPr>
          <w:p>
            <w:pPr>
              <w:pStyle w:val="TableContents"/>
              <w:bidi w:val="0"/>
              <w:spacing w:before="0" w:after="283"/>
              <w:jc w:val="left"/>
              <w:rPr/>
            </w:pPr>
            <w:r>
              <w:rPr/>
              <w:t>  </w:t>
            </w:r>
          </w:p>
        </w:tc>
        <w:tc>
          <w:tcPr>
            <w:tcW w:w="4825" w:type="dxa"/>
            <w:tcBorders/>
          </w:tcPr>
          <w:p>
            <w:pPr>
              <w:pStyle w:val="TableContents"/>
              <w:bidi w:val="0"/>
              <w:spacing w:before="0" w:after="283"/>
              <w:jc w:val="right"/>
              <w:rPr/>
            </w:pPr>
            <w:r>
              <w:rPr/>
              <w:t>13D</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50"/>
        <w:gridCol w:w="133"/>
        <w:gridCol w:w="893"/>
        <w:gridCol w:w="472"/>
        <w:gridCol w:w="364"/>
        <w:gridCol w:w="224"/>
        <w:gridCol w:w="7466"/>
      </w:tblGrid>
      <w:tr>
        <w:trPr/>
        <w:tc>
          <w:tcPr>
            <w:tcW w:w="55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7466" w:type="dxa"/>
            <w:tcBorders/>
            <w:vAlign w:val="center"/>
          </w:tcPr>
          <w:p>
            <w:pPr>
              <w:pStyle w:val="TableContents"/>
              <w:bidi w:val="0"/>
              <w:spacing w:before="0" w:after="283"/>
              <w:jc w:val="left"/>
              <w:rPr>
                <w:sz w:val="4"/>
                <w:szCs w:val="4"/>
              </w:rPr>
            </w:pPr>
            <w:r>
              <w:rPr>
                <w:sz w:val="4"/>
                <w:szCs w:val="4"/>
              </w:rPr>
            </w:r>
          </w:p>
        </w:tc>
      </w:tr>
      <w:tr>
        <w:trPr/>
        <w:tc>
          <w:tcPr>
            <w:tcW w:w="55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3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1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Versant Ventures IV, LLC</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☒(1)</w:t>
            </w:r>
          </w:p>
          <w:p>
            <w:pPr>
              <w:pStyle w:val="TableContents"/>
              <w:bidi w:val="0"/>
              <w:spacing w:before="0" w:after="20"/>
              <w:jc w:val="left"/>
              <w:rPr/>
            </w:pPr>
            <w:r>
              <w:rPr/>
              <w:t> </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5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3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1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464"/>
        <w:gridCol w:w="384"/>
        <w:gridCol w:w="788"/>
        <w:gridCol w:w="177"/>
        <w:gridCol w:w="451"/>
        <w:gridCol w:w="128"/>
        <w:gridCol w:w="7710"/>
      </w:tblGrid>
      <w:tr>
        <w:trPr/>
        <w:tc>
          <w:tcPr>
            <w:tcW w:w="464"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710" w:type="dxa"/>
            <w:tcBorders/>
            <w:vAlign w:val="center"/>
          </w:tcPr>
          <w:p>
            <w:pPr>
              <w:pStyle w:val="TableContents"/>
              <w:bidi w:val="0"/>
              <w:spacing w:before="0" w:after="283"/>
              <w:jc w:val="left"/>
              <w:rPr>
                <w:sz w:val="4"/>
                <w:szCs w:val="4"/>
              </w:rPr>
            </w:pPr>
            <w:r>
              <w:rPr>
                <w:sz w:val="4"/>
                <w:szCs w:val="4"/>
              </w:rPr>
            </w:r>
          </w:p>
        </w:tc>
      </w:tr>
      <w:tr>
        <w:trPr/>
        <w:tc>
          <w:tcPr>
            <w:tcW w:w="163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7.  </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1,178,471 shares of Common Stock (2)</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8.</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51" w:type="dxa"/>
            <w:tcBorders>
              <w:bottom w:val="single" w:sz="2" w:space="0" w:color="000000"/>
            </w:tcBorders>
            <w:tcMar>
              <w:bottom w:w="28" w:type="dxa"/>
            </w:tcMar>
          </w:tcPr>
          <w:p>
            <w:pPr>
              <w:pStyle w:val="TableContents"/>
              <w:bidi w:val="0"/>
              <w:spacing w:before="0" w:after="283"/>
              <w:jc w:val="left"/>
              <w:rPr/>
            </w:pPr>
            <w:r>
              <w:rPr/>
              <w:t>  </w:t>
            </w:r>
            <w:r>
              <w:rPr/>
              <w:t>9.</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1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1,178,471 shares of Common Stock (2)</w:t>
            </w:r>
          </w:p>
        </w:tc>
      </w:tr>
      <w:tr>
        <w:trPr/>
        <w:tc>
          <w:tcPr>
            <w:tcW w:w="163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51" w:type="dxa"/>
            <w:tcBorders/>
          </w:tcPr>
          <w:p>
            <w:pPr>
              <w:pStyle w:val="TableContents"/>
              <w:bidi w:val="0"/>
              <w:spacing w:before="0" w:after="283"/>
              <w:jc w:val="left"/>
              <w:rPr/>
            </w:pPr>
            <w:r>
              <w:rPr/>
              <w:t>10.</w:t>
            </w:r>
          </w:p>
        </w:tc>
        <w:tc>
          <w:tcPr>
            <w:tcW w:w="128" w:type="dxa"/>
            <w:tcBorders>
              <w:left w:val="single" w:sz="2" w:space="0" w:color="000000"/>
            </w:tcBorders>
            <w:tcMar>
              <w:left w:w="28" w:type="dxa"/>
            </w:tcMar>
            <w:vAlign w:val="bottom"/>
          </w:tcPr>
          <w:p>
            <w:pPr>
              <w:pStyle w:val="TableContents"/>
              <w:bidi w:val="0"/>
              <w:spacing w:before="0" w:after="283"/>
              <w:jc w:val="left"/>
              <w:rPr/>
            </w:pPr>
            <w:r>
              <w:rPr/>
              <w:t> </w:t>
            </w:r>
          </w:p>
        </w:tc>
        <w:tc>
          <w:tcPr>
            <w:tcW w:w="7710"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1,178,471 shares of Common Stock (2)</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8.8% (3)</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13D is filed by the Reporting Persons. The Reporting Persons expressly disclaim status as a group for purposes of this Schedule 13D.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1,171,094 shares held by Versant IV; and (ii) 7,377 shares held by Side Fund IV. LLC IV is the general partner of Versant IV and Side Fund IV, and LLC IV has voting and dispositive power over the shares held by each of Versant IV and Side Fund IV and as a result may be deemed to have beneficial ownership over such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13,324,065 shares of the Issuers Common Stock outstanding as of August 7, 2023, as set forth in the Form 10-Q.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CUSIP No. 87978U108 13D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Explanatory Note: </w:t>
      </w:r>
    </w:p>
    <w:p>
      <w:pPr>
        <w:pStyle w:val="TextBody"/>
        <w:bidi w:val="0"/>
        <w:spacing w:before="120" w:after="0"/>
        <w:jc w:val="left"/>
        <w:rPr>
          <w:rFonts w:ascii="Times New Roman" w:hAnsi="Times New Roman"/>
          <w:sz w:val="20"/>
        </w:rPr>
      </w:pPr>
      <w:r>
        <w:rPr>
          <w:rFonts w:ascii="Times New Roman" w:hAnsi="Times New Roman"/>
          <w:sz w:val="20"/>
        </w:rPr>
        <w:t xml:space="preserve">This Amendment No. 1 (this Amendment) amends and supplements the Schedule 13D originally filed by the Reporting Persons with the Commission on May 9, 2022 (the Original Schedule 13D).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have the meanings ascribed to them in the Original Schedule 13D. </w:t>
      </w:r>
    </w:p>
    <w:p>
      <w:pPr>
        <w:pStyle w:val="TextBody"/>
        <w:bidi w:val="0"/>
        <w:spacing w:before="360" w:after="0"/>
        <w:jc w:val="left"/>
        <w:rPr>
          <w:rFonts w:ascii="Times New Roman" w:hAnsi="Times New Roman"/>
          <w:b/>
          <w:sz w:val="20"/>
        </w:rPr>
      </w:pPr>
      <w:r>
        <w:rPr>
          <w:rFonts w:ascii="Times New Roman" w:hAnsi="Times New Roman"/>
          <w:b/>
          <w:sz w:val="20"/>
        </w:rPr>
        <w:t xml:space="preserve">Item 1. Security and Issuer </w:t>
      </w:r>
    </w:p>
    <w:p>
      <w:pPr>
        <w:pStyle w:val="TextBody"/>
        <w:bidi w:val="0"/>
        <w:spacing w:before="120" w:after="0"/>
        <w:jc w:val="left"/>
        <w:rPr>
          <w:rFonts w:ascii="Times New Roman" w:hAnsi="Times New Roman"/>
          <w:sz w:val="20"/>
        </w:rPr>
      </w:pPr>
      <w:r>
        <w:rPr>
          <w:rFonts w:ascii="Times New Roman" w:hAnsi="Times New Roman"/>
          <w:sz w:val="20"/>
        </w:rPr>
        <w:t xml:space="preserve">The address of the principal executive offices of the Issuer is 2000 Sierra Point Parkway, Suite 400, Brisbane, California, 94005. </w:t>
      </w:r>
    </w:p>
    <w:p>
      <w:pPr>
        <w:pStyle w:val="TextBody"/>
        <w:bidi w:val="0"/>
        <w:spacing w:before="360" w:after="0"/>
        <w:jc w:val="left"/>
        <w:rPr>
          <w:rFonts w:ascii="Times New Roman" w:hAnsi="Times New Roman"/>
          <w:b/>
          <w:sz w:val="20"/>
        </w:rPr>
      </w:pPr>
      <w:r>
        <w:rPr>
          <w:rFonts w:ascii="Times New Roman" w:hAnsi="Times New Roman"/>
          <w:b/>
          <w:sz w:val="20"/>
        </w:rPr>
        <w:t xml:space="preserve">Item 2. Identity and Background </w:t>
      </w:r>
    </w:p>
    <w:p>
      <w:pPr>
        <w:pStyle w:val="TextBody"/>
        <w:bidi w:val="0"/>
        <w:spacing w:before="120" w:after="0"/>
        <w:jc w:val="left"/>
        <w:rPr>
          <w:rFonts w:ascii="Times New Roman" w:hAnsi="Times New Roman"/>
          <w:sz w:val="20"/>
        </w:rPr>
      </w:pPr>
      <w:r>
        <w:rPr>
          <w:rFonts w:ascii="Times New Roman" w:hAnsi="Times New Roman"/>
          <w:sz w:val="20"/>
        </w:rPr>
        <w:t xml:space="preserve">(b) The address of the principal offices of each Reporting Person is One Sansome Street, Suite 1650, San Francisco, CA 94104. </w:t>
      </w:r>
    </w:p>
    <w:p>
      <w:pPr>
        <w:pStyle w:val="TextBody"/>
        <w:bidi w:val="0"/>
        <w:spacing w:before="360" w:after="0"/>
        <w:jc w:val="left"/>
        <w:rPr>
          <w:rFonts w:ascii="Times New Roman" w:hAnsi="Times New Roman"/>
          <w:b/>
          <w:sz w:val="20"/>
        </w:rPr>
      </w:pPr>
      <w:r>
        <w:rPr>
          <w:rFonts w:ascii="Times New Roman" w:hAnsi="Times New Roman"/>
          <w:b/>
          <w:sz w:val="20"/>
        </w:rPr>
        <w:t xml:space="preserve">Item 4. Purpose of Transaction </w:t>
      </w:r>
    </w:p>
    <w:p>
      <w:pPr>
        <w:pStyle w:val="TextBody"/>
        <w:bidi w:val="0"/>
        <w:spacing w:before="120" w:after="0"/>
        <w:jc w:val="left"/>
        <w:rPr>
          <w:rFonts w:ascii="Times New Roman" w:hAnsi="Times New Roman"/>
          <w:sz w:val="20"/>
        </w:rPr>
      </w:pPr>
      <w:r>
        <w:rPr>
          <w:rFonts w:ascii="Times New Roman" w:hAnsi="Times New Roman"/>
          <w:sz w:val="20"/>
        </w:rPr>
        <w:t xml:space="preserve">Solely on behalf of, and only to the extent that it relates to, the Reporting Persons, Item 4 of the Original Schedule 13D is hereby amended and supplemented by the addition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The Reporting Persons have previously reserved the right and continue to reserve the right, based on all relevant factors and subject to applicable law or other restrictions, at any time and from time to time, to acquire additional shares of Common Stock or other securities of the Issuer, dispose of some or all of the shares of Common Stock or other securities of the Issuer that it may own from time to time, in each case in open market or private transactions, block sales or otherwise or pursuant to ordinary stock exchange transactions effected through one or more broker-dealers whether individually or utilizing specific pricing or other instructions (including by means of Rule 10b5-1 programs), and review or reconsider their position, change their purpose, take other actions or formulate and implement plans or proposals with respect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Persons intend to review their investment in the Issuer from time to time on the basis of various factors, including the Issuers business, financial condition, results of operations and prospects, general economic and industry conditions, the securities markets in general and those for the Issuers stock in particular, as well as other developments.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 in Securities of the Issuer </w:t>
      </w:r>
    </w:p>
    <w:p>
      <w:pPr>
        <w:pStyle w:val="TextBody"/>
        <w:bidi w:val="0"/>
        <w:spacing w:before="120" w:after="0"/>
        <w:jc w:val="left"/>
        <w:rPr>
          <w:rFonts w:ascii="Times New Roman" w:hAnsi="Times New Roman"/>
          <w:sz w:val="20"/>
        </w:rPr>
      </w:pPr>
      <w:r>
        <w:rPr>
          <w:rFonts w:ascii="Times New Roman" w:hAnsi="Times New Roman"/>
          <w:sz w:val="20"/>
        </w:rPr>
        <w:t xml:space="preserve">This information reported below is based on a total of 13,324,065 shares of the Issuers Common Stock outstanding as of August 7, 2023, as reported on the Issuers Form 10-Q filed with the Commission on August 10, 2023. This Amendment is being filed to update the aggregate percentage of the Issuers Common Stock owned by the Reporting Persons due to dilution caused by the Issuers sales of additional shares of its Common Stock from time to time since the date of the filing of the Original Schedule 13D. Such transactions resulted in a decrease of over one percent (1%) in the aggregate percentage ownership reported by the Reporting Persons in the Original Schedule 13D. </w:t>
      </w:r>
    </w:p>
    <w:p>
      <w:pPr>
        <w:pStyle w:val="TextBody"/>
        <w:bidi w:val="0"/>
        <w:spacing w:before="240" w:after="0"/>
        <w:jc w:val="left"/>
        <w:rPr>
          <w:rFonts w:ascii="Times New Roman" w:hAnsi="Times New Roman"/>
          <w:sz w:val="20"/>
        </w:rPr>
      </w:pPr>
      <w:r>
        <w:rPr>
          <w:rFonts w:ascii="Times New Roman" w:hAnsi="Times New Roman"/>
          <w:sz w:val="20"/>
        </w:rPr>
        <w:t xml:space="preserve">(a) and (b) See Items 7-11 of the cover pages of this Statement and Item 2 above.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November 9, 2023 </w:t>
      </w:r>
    </w:p>
    <w:tbl>
      <w:tblPr>
        <w:tblW w:w="2000" w:type="pct"/>
        <w:jc w:val="left"/>
        <w:tblInd w:w="0" w:type="dxa"/>
        <w:tblLayout w:type="fixed"/>
        <w:tblCellMar>
          <w:top w:w="0" w:type="dxa"/>
          <w:left w:w="0" w:type="dxa"/>
          <w:bottom w:w="0" w:type="dxa"/>
          <w:right w:w="0" w:type="dxa"/>
        </w:tblCellMar>
      </w:tblPr>
      <w:tblGrid>
        <w:gridCol w:w="361"/>
        <w:gridCol w:w="61"/>
        <w:gridCol w:w="3660"/>
      </w:tblGrid>
      <w:tr>
        <w:trPr/>
        <w:tc>
          <w:tcPr>
            <w:tcW w:w="3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Versant Venture Capital VI, L.P.</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Versant Ventures VI GP, L.P.</w:t>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Partner</w:t>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Versant Ventures VI GP-GP, LLC</w:t>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Partner</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Max Eisenberg, Chief Operating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Versant Ventures VI GP, L.P.</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Versant Ventures VI GP-GP, LLC</w:t>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Partner</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Max Eisenberg, Chief Operating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Versant Ventures VI GP-GP, LLC</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Max Eisenberg, Chief Operating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Versant Vantage II, L.P.</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Versant Vantage II GP, L.P.</w:t>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Partner</w:t>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Versant Vantage II GP-GP, LLC</w:t>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Partner</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Max Eisenberg, Chief Operating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Versant Vantage II GP, L.P.</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Versant Vantage II GP-GP, LLC</w:t>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Partner</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Max Eisenberg, Chief Operating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Versant Vantage II GP-GP, LLC</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Max Eisenberg, Chief Operating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Versant Venture Capital IV, L.P.</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Versant Ventures IV, LLC</w:t>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Partner</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Max Eisenberg, Chief Operating Officer</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361"/>
        <w:gridCol w:w="61"/>
        <w:gridCol w:w="3660"/>
      </w:tblGrid>
      <w:tr>
        <w:trPr/>
        <w:tc>
          <w:tcPr>
            <w:tcW w:w="3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Versant Venture Capital IV, L.P.</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Versant Vantage IV, LLC</w:t>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Partner</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Max Eisenberg, Chief Operating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Versant Side Fund IV, L.P.</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Versant Ventures IV, LLC</w:t>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c>
          <w:tcPr>
            <w:tcW w:w="61"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Partner</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Max Eisenberg, Chief Operating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Versant Ventures IV, LLC</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Max Eisenberg, Chief Operating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3667</Words>
  <Characters>17230</Characters>
  <CharactersWithSpaces>21446</CharactersWithSpaces>
  <Paragraphs>989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13D/A</dc:title>
</cp:coreProperties>
</file>