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599420ds8pos.htm"/>
      <w:bookmarkStart w:id="1" w:name="ksd599420ds8pos"/>
      <w:bookmarkEnd w:id="0"/>
      <w:bookmarkEnd w:id="1"/>
      <w:r>
        <w:rPr>
          <w:rFonts w:ascii="Times New Roman" w:hAnsi="Times New Roman"/>
          <w:b/>
          <w:sz w:val="20"/>
        </w:rPr>
        <w:t xml:space="preserve">As filed with the U.S. Securities and Exchange Commission on November 17, 2023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333-265718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333-264943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333-255261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333-249993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333-235515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Post-Effective Amendment No. 1 to Form S-8 Registration No. 333-265718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No. 333-264943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No. 333-255261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No. 333-249993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No. 333-235515 </w:t>
      </w:r>
    </w:p>
    <w:p>
      <w:pPr>
        <w:pStyle w:val="TextBody"/>
        <w:bidi w:val="0"/>
        <w:spacing w:before="24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45-1472564</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2000 Sierra Point Parkway,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Brisbane, California 94005 </w:t>
      </w:r>
    </w:p>
    <w:p>
      <w:pPr>
        <w:pStyle w:val="TextBody"/>
        <w:bidi w:val="0"/>
        <w:spacing w:before="0" w:after="0"/>
        <w:jc w:val="center"/>
        <w:rPr>
          <w:rFonts w:ascii="Times New Roman" w:hAnsi="Times New Roman"/>
          <w:b/>
          <w:sz w:val="20"/>
        </w:rPr>
      </w:pPr>
      <w:r>
        <w:rPr>
          <w:rFonts w:ascii="Times New Roman" w:hAnsi="Times New Roman"/>
          <w:b/>
          <w:sz w:val="20"/>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Tempest Therapeutics, Inc. Amended and Restated 2023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Tempest Amended and Restated 2019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Millendo 2019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Stephen Brady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2000 Sierra Point Parkway,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Brisbane, California 94005 </w:t>
      </w:r>
    </w:p>
    <w:p>
      <w:pPr>
        <w:pStyle w:val="TextBody"/>
        <w:bidi w:val="0"/>
        <w:spacing w:before="0" w:after="0"/>
        <w:jc w:val="center"/>
        <w:rPr>
          <w:rFonts w:ascii="Times New Roman" w:hAnsi="Times New Roman"/>
          <w:b/>
          <w:sz w:val="20"/>
        </w:rPr>
      </w:pPr>
      <w:r>
        <w:rPr>
          <w:rFonts w:ascii="Times New Roman" w:hAnsi="Times New Roman"/>
          <w:b/>
          <w:sz w:val="20"/>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Laura Berezin </w:t>
      </w:r>
    </w:p>
    <w:p>
      <w:pPr>
        <w:pStyle w:val="TextBody"/>
        <w:bidi w:val="0"/>
        <w:spacing w:before="0" w:after="0"/>
        <w:jc w:val="center"/>
        <w:rPr>
          <w:rFonts w:ascii="Times New Roman" w:hAnsi="Times New Roman"/>
          <w:b/>
          <w:sz w:val="20"/>
        </w:rPr>
      </w:pPr>
      <w:r>
        <w:rPr>
          <w:rFonts w:ascii="Times New Roman" w:hAnsi="Times New Roman"/>
          <w:b/>
          <w:sz w:val="20"/>
        </w:rPr>
        <w:t xml:space="preserve">Jaime Chase </w:t>
      </w:r>
    </w:p>
    <w:p>
      <w:pPr>
        <w:pStyle w:val="TextBody"/>
        <w:bidi w:val="0"/>
        <w:spacing w:before="0" w:after="0"/>
        <w:jc w:val="center"/>
        <w:rPr>
          <w:rFonts w:ascii="Times New Roman" w:hAnsi="Times New Roman"/>
          <w:b/>
          <w:sz w:val="20"/>
        </w:rPr>
      </w:pPr>
      <w:r>
        <w:rPr>
          <w:rFonts w:ascii="Times New Roman" w:hAnsi="Times New Roman"/>
          <w:b/>
          <w:sz w:val="20"/>
        </w:rPr>
        <w:t xml:space="preserve">Julia Stark </w:t>
      </w:r>
    </w:p>
    <w:p>
      <w:pPr>
        <w:pStyle w:val="TextBody"/>
        <w:bidi w:val="0"/>
        <w:spacing w:before="0" w:after="0"/>
        <w:jc w:val="center"/>
        <w:rPr>
          <w:rFonts w:ascii="Times New Roman" w:hAnsi="Times New Roman"/>
          <w:b/>
          <w:sz w:val="20"/>
        </w:rPr>
      </w:pPr>
      <w:r>
        <w:rPr>
          <w:rFonts w:ascii="Times New Roman" w:hAnsi="Times New Roman"/>
          <w:b/>
          <w:sz w:val="20"/>
        </w:rPr>
        <w:t xml:space="preserve">Cooley LLP </w:t>
      </w:r>
    </w:p>
    <w:p>
      <w:pPr>
        <w:pStyle w:val="TextBody"/>
        <w:bidi w:val="0"/>
        <w:spacing w:before="0" w:after="0"/>
        <w:jc w:val="center"/>
        <w:rPr>
          <w:rFonts w:ascii="Times New Roman" w:hAnsi="Times New Roman"/>
          <w:b/>
          <w:sz w:val="20"/>
        </w:rPr>
      </w:pPr>
      <w:r>
        <w:rPr>
          <w:rFonts w:ascii="Times New Roman" w:hAnsi="Times New Roman"/>
          <w:b/>
          <w:sz w:val="20"/>
        </w:rPr>
        <w:t xml:space="preserve">1700 Seventh Avenue, Suite 1900 </w:t>
      </w:r>
    </w:p>
    <w:p>
      <w:pPr>
        <w:pStyle w:val="TextBody"/>
        <w:bidi w:val="0"/>
        <w:spacing w:before="0" w:after="0"/>
        <w:jc w:val="center"/>
        <w:rPr>
          <w:rFonts w:ascii="Times New Roman" w:hAnsi="Times New Roman"/>
          <w:b/>
          <w:sz w:val="20"/>
        </w:rPr>
      </w:pPr>
      <w:r>
        <w:rPr>
          <w:rFonts w:ascii="Times New Roman" w:hAnsi="Times New Roman"/>
          <w:b/>
          <w:sz w:val="20"/>
        </w:rPr>
        <w:t xml:space="preserve">Seattle, Washington 98101 </w:t>
      </w:r>
    </w:p>
    <w:p>
      <w:pPr>
        <w:pStyle w:val="TextBody"/>
        <w:bidi w:val="0"/>
        <w:spacing w:before="0" w:after="0"/>
        <w:jc w:val="center"/>
        <w:rPr>
          <w:rFonts w:ascii="Times New Roman" w:hAnsi="Times New Roman"/>
          <w:b/>
          <w:sz w:val="20"/>
        </w:rPr>
      </w:pPr>
      <w:r>
        <w:rPr>
          <w:rFonts w:ascii="Times New Roman" w:hAnsi="Times New Roman"/>
          <w:b/>
          <w:sz w:val="20"/>
        </w:rPr>
        <w:t xml:space="preserve">(206) 452-8756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pPr>
      <w:r>
        <w:rPr>
          <w:rFonts w:ascii="Times New Roman" w:hAnsi="Times New Roman"/>
          <w:sz w:val="20"/>
        </w:rPr>
        <w:t>Tempest Therapeutics, Inc. (the </w:t>
      </w:r>
      <w:r>
        <w:rPr>
          <w:rFonts w:ascii="Times New Roman" w:hAnsi="Times New Roman"/>
          <w:b/>
          <w:sz w:val="20"/>
        </w:rPr>
        <w:t>Registrant</w:t>
      </w:r>
      <w:r>
        <w:rPr>
          <w:rFonts w:ascii="Times New Roman" w:hAnsi="Times New Roman"/>
          <w:sz w:val="20"/>
        </w:rPr>
        <w:t>) is filing this Post-Effective Amendment No. 1 to each of the Registrants registration statements on Form S-8 (File Nos. 333-265718, 333-264943, 333-255261, 333-249993 and 333-235515), as filed with the Securities and Exchange Commission (the </w:t>
      </w:r>
      <w:r>
        <w:rPr>
          <w:rFonts w:ascii="Times New Roman" w:hAnsi="Times New Roman"/>
          <w:b/>
          <w:sz w:val="20"/>
        </w:rPr>
        <w:t>SEC</w:t>
      </w:r>
      <w:r>
        <w:rPr>
          <w:rFonts w:ascii="Times New Roman" w:hAnsi="Times New Roman"/>
          <w:sz w:val="20"/>
        </w:rPr>
        <w:t xml:space="preserve">) on </w:t>
      </w:r>
      <w:hyperlink r:id="rId2">
        <w:r>
          <w:rPr>
            <w:rStyle w:val="InternetLink"/>
            <w:rFonts w:ascii="Times New Roman" w:hAnsi="Times New Roman"/>
            <w:sz w:val="20"/>
          </w:rPr>
          <w:t>June 21, 2022</w:t>
        </w:r>
      </w:hyperlink>
      <w:r>
        <w:rPr>
          <w:rFonts w:ascii="Times New Roman" w:hAnsi="Times New Roman"/>
          <w:sz w:val="20"/>
        </w:rPr>
        <w:t xml:space="preserve">, </w:t>
      </w:r>
      <w:hyperlink r:id="rId3">
        <w:r>
          <w:rPr>
            <w:rStyle w:val="InternetLink"/>
            <w:rFonts w:ascii="Times New Roman" w:hAnsi="Times New Roman"/>
            <w:sz w:val="20"/>
          </w:rPr>
          <w:t>May 13, 2022</w:t>
        </w:r>
      </w:hyperlink>
      <w:r>
        <w:rPr>
          <w:rFonts w:ascii="Times New Roman" w:hAnsi="Times New Roman"/>
          <w:sz w:val="20"/>
        </w:rPr>
        <w:t xml:space="preserve">, </w:t>
      </w:r>
      <w:hyperlink r:id="rId4">
        <w:r>
          <w:rPr>
            <w:rStyle w:val="InternetLink"/>
            <w:rFonts w:ascii="Times New Roman" w:hAnsi="Times New Roman"/>
            <w:sz w:val="20"/>
          </w:rPr>
          <w:t>April  15, 2021</w:t>
        </w:r>
      </w:hyperlink>
      <w:r>
        <w:rPr>
          <w:rFonts w:ascii="Times New Roman" w:hAnsi="Times New Roman"/>
          <w:sz w:val="20"/>
        </w:rPr>
        <w:t xml:space="preserve">, </w:t>
      </w:r>
      <w:hyperlink r:id="rId5">
        <w:r>
          <w:rPr>
            <w:rStyle w:val="InternetLink"/>
            <w:rFonts w:ascii="Times New Roman" w:hAnsi="Times New Roman"/>
            <w:sz w:val="20"/>
          </w:rPr>
          <w:t>November 10, 2020</w:t>
        </w:r>
      </w:hyperlink>
      <w:r>
        <w:rPr>
          <w:rFonts w:ascii="Times New Roman" w:hAnsi="Times New Roman"/>
          <w:sz w:val="20"/>
        </w:rPr>
        <w:t xml:space="preserve">, and </w:t>
      </w:r>
      <w:hyperlink r:id="rId6">
        <w:r>
          <w:rPr>
            <w:rStyle w:val="InternetLink"/>
            <w:rFonts w:ascii="Times New Roman" w:hAnsi="Times New Roman"/>
            <w:sz w:val="20"/>
          </w:rPr>
          <w:t>December  16, 2019</w:t>
        </w:r>
      </w:hyperlink>
      <w:r>
        <w:rPr>
          <w:rFonts w:ascii="Times New Roman" w:hAnsi="Times New Roman"/>
          <w:sz w:val="20"/>
        </w:rPr>
        <w:t>, respectively (such registration statements, collectively, the </w:t>
      </w:r>
      <w:r>
        <w:rPr>
          <w:rFonts w:ascii="Times New Roman" w:hAnsi="Times New Roman"/>
          <w:b/>
          <w:sz w:val="20"/>
        </w:rPr>
        <w:t>Prior Registration Statements</w:t>
      </w:r>
      <w:r>
        <w:rPr>
          <w:rFonts w:ascii="Times New Roman" w:hAnsi="Times New Roman"/>
          <w:sz w:val="20"/>
        </w:rPr>
        <w:t>, and the post-effective amendment to each of the Prior Registration Statements, collectively, the </w:t>
      </w:r>
      <w:r>
        <w:rPr>
          <w:rFonts w:ascii="Times New Roman" w:hAnsi="Times New Roman"/>
          <w:b/>
          <w:sz w:val="20"/>
        </w:rPr>
        <w:t>Post-Effective Amendments</w:t>
      </w:r>
      <w:r>
        <w:rPr>
          <w:rFonts w:ascii="Times New Roman" w:hAnsi="Times New Roman"/>
          <w:sz w:val="20"/>
        </w:rPr>
        <w:t>). Pursuant to the Prior Registration Statements, shares of common stock, par value $0.001 per share, of the Registrant (</w:t>
      </w:r>
      <w:r>
        <w:rPr>
          <w:rFonts w:ascii="Times New Roman" w:hAnsi="Times New Roman"/>
          <w:b/>
          <w:sz w:val="20"/>
        </w:rPr>
        <w:t>Common Stock</w:t>
      </w:r>
      <w:r>
        <w:rPr>
          <w:rFonts w:ascii="Times New Roman" w:hAnsi="Times New Roman"/>
          <w:sz w:val="20"/>
        </w:rPr>
        <w:t>) were registered for issuance under, the Registrants Amended and Restated 2019 Equity Incentive Plan (the </w:t>
      </w:r>
      <w:r>
        <w:rPr>
          <w:rFonts w:ascii="Times New Roman" w:hAnsi="Times New Roman"/>
          <w:b/>
          <w:sz w:val="20"/>
        </w:rPr>
        <w:t>A&amp;R 2019 Plan</w:t>
      </w:r>
      <w:r>
        <w:rPr>
          <w:rFonts w:ascii="Times New Roman" w:hAnsi="Times New Roman"/>
          <w:sz w:val="20"/>
        </w:rPr>
        <w:t>) and its 2019 Equity Incentive Plan (the </w:t>
      </w:r>
      <w:r>
        <w:rPr>
          <w:rFonts w:ascii="Times New Roman" w:hAnsi="Times New Roman"/>
          <w:b/>
          <w:sz w:val="20"/>
        </w:rPr>
        <w:t>2019 Plan</w:t>
      </w:r>
      <w:r>
        <w:rPr>
          <w:rFonts w:ascii="Times New Roman" w:hAnsi="Times New Roman"/>
          <w:sz w:val="20"/>
        </w:rPr>
        <w:t> and, together with the A&amp;R 2019 Plan, the </w:t>
      </w:r>
      <w:r>
        <w:rPr>
          <w:rFonts w:ascii="Times New Roman" w:hAnsi="Times New Roman"/>
          <w:b/>
          <w:sz w:val="20"/>
        </w:rPr>
        <w:t>Prior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April 29, 2019, the Board of Directors (the </w:t>
      </w:r>
      <w:r>
        <w:rPr>
          <w:rFonts w:ascii="Times New Roman" w:hAnsi="Times New Roman"/>
          <w:b/>
          <w:sz w:val="20"/>
        </w:rPr>
        <w:t>Board</w:t>
      </w:r>
      <w:r>
        <w:rPr>
          <w:rFonts w:ascii="Times New Roman" w:hAnsi="Times New Roman"/>
          <w:sz w:val="20"/>
        </w:rPr>
        <w:t>) of Millendo Therapeutics, Inc. (</w:t>
      </w:r>
      <w:r>
        <w:rPr>
          <w:rFonts w:ascii="Times New Roman" w:hAnsi="Times New Roman"/>
          <w:b/>
          <w:sz w:val="20"/>
        </w:rPr>
        <w:t>Millendo</w:t>
      </w:r>
      <w:r>
        <w:rPr>
          <w:rFonts w:ascii="Times New Roman" w:hAnsi="Times New Roman"/>
          <w:sz w:val="20"/>
        </w:rPr>
        <w:t xml:space="preserve">) adopted 2019 Plan, subject to approval by the Companys stockholders, and became effective with such stockholder approval on June 11, 2019. On June 17, 2022, the Companys stockholders approved the A&amp;R 2019 Plan, which amended and restated the 2019 Plan and became a successor to, and replacement of, the 2019 Plan. </w:t>
      </w:r>
    </w:p>
    <w:p>
      <w:pPr>
        <w:pStyle w:val="TextBody"/>
        <w:bidi w:val="0"/>
        <w:spacing w:before="240" w:after="0"/>
        <w:jc w:val="left"/>
        <w:rPr>
          <w:rFonts w:ascii="Times New Roman" w:hAnsi="Times New Roman"/>
          <w:sz w:val="20"/>
        </w:rPr>
      </w:pPr>
      <w:r>
        <w:rPr>
          <w:rFonts w:ascii="Times New Roman" w:hAnsi="Times New Roman"/>
          <w:sz w:val="20"/>
        </w:rPr>
        <w:t>On April 30, 2023, the Board approved the Registrants Amended and Restated 2023 Equity Incentive Plan (the </w:t>
      </w:r>
      <w:r>
        <w:rPr>
          <w:rFonts w:ascii="Times New Roman" w:hAnsi="Times New Roman"/>
          <w:b/>
          <w:sz w:val="20"/>
        </w:rPr>
        <w:t>2023 Plan</w:t>
      </w:r>
      <w:r>
        <w:rPr>
          <w:rFonts w:ascii="Times New Roman" w:hAnsi="Times New Roman"/>
          <w:sz w:val="20"/>
        </w:rPr>
        <w:t>), subject to stockholder approval of the 2023 Plan. On June 15, 2023, the Registrants stockholders approved the 2023 Plan. The 2023 Plan amended and restated the A&amp;R 2019 Plan became a successor to, and replacement of, the A&amp;R 2019 Plan. Upon effectiveness of the 2023 Plan immediately following the close of business on June 15, 2023 (the </w:t>
      </w:r>
      <w:r>
        <w:rPr>
          <w:rFonts w:ascii="Times New Roman" w:hAnsi="Times New Roman"/>
          <w:b/>
          <w:sz w:val="20"/>
        </w:rPr>
        <w:t>Effective Time</w:t>
      </w:r>
      <w:r>
        <w:rPr>
          <w:rFonts w:ascii="Times New Roman" w:hAnsi="Times New Roman"/>
          <w:sz w:val="20"/>
        </w:rPr>
        <w:t xml:space="preserve">), no new grants could be made under the A&amp;R 2019 Plan, but the terms of such plan continue to govern all outstanding awards granted thereunder.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2023 EIP, from and after the Effective Time, all shares of Common Stock that become Prior Plans Returning Shares (as defined below) will be available for grants of new awards under the 2023 Plan. The term Prior Plans Returning Shares refers to the following shares of the Registrants Common Stock that will become available again for issuance under the 2023 EIP: (i) any shares under the 2023 EIP and the Prior Plans subject to a stock award that are not issued because such stock award expires or otherwise terminates without all of the shares covered by such stock award having been issued; (ii) any shares under the 2023 EIP and the Prior Plans subject to a stock award that are not issued because such stock award is settled in cash; (iii) any shares under the 2023 EIP and the Prior Plans issued pursuant to a stock award that are forfeited back to or repurchased by us because of the failure to meet a contingency or condition required for the vesting of such shares; and (iv) any shares under the 2023 EIP and the Prior Plans reacquired by us in satisfaction of tax withholding obligations on a stock award or as consideration for the exercise or purchase price of a stock award. As of the Effective Time, a total of 1,490,125 shares of Common Stock were subject to awards then-outstanding under the A&amp;R 2019 Plan. The Prior Plans Returning Shares are collectively referred to herein as the Transferred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filing the Post-Effective Amendments pursuant to SEC Compliance and Disclosure Interpretation 126.43 to amend the Prior Registration Statements to register the offer of the Transferred Shares under the 2023 EIP (as such Transferred Shares would no longer be issuable under the A&amp;R 2019 Plan as described above). As of the date of the filing of the Post-Effective Amendments, the maximum number of shares of Common Stock initially registered for offer pursuant to the A&amp;R 2019 Plan that may become Transferred Shares available for offer under the 2023 Plan is 202,914 shares. No additional securities are being registered by the Post-Effective Amendments.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SECTION 10(a) PROSPECTUS </w:t>
      </w:r>
    </w:p>
    <w:p>
      <w:pPr>
        <w:pStyle w:val="TextBody"/>
        <w:bidi w:val="0"/>
        <w:spacing w:before="120" w:after="0"/>
        <w:jc w:val="left"/>
        <w:rPr>
          <w:rFonts w:ascii="Times New Roman" w:hAnsi="Times New Roman"/>
          <w:b/>
          <w:sz w:val="20"/>
        </w:rPr>
      </w:pPr>
      <w:r>
        <w:rPr>
          <w:rFonts w:ascii="Times New Roman" w:hAnsi="Times New Roman"/>
          <w:b/>
          <w:sz w:val="20"/>
        </w:rPr>
        <w:t xml:space="preserve">Item 1.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Not required to be filed with this Post-Effective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2. Registrant Information and Employee Plan Annual Information </w:t>
      </w:r>
    </w:p>
    <w:p>
      <w:pPr>
        <w:pStyle w:val="TextBody"/>
        <w:bidi w:val="0"/>
        <w:spacing w:before="120" w:after="0"/>
        <w:jc w:val="left"/>
        <w:rPr>
          <w:rFonts w:ascii="Times New Roman" w:hAnsi="Times New Roman"/>
          <w:sz w:val="20"/>
        </w:rPr>
      </w:pPr>
      <w:r>
        <w:rPr>
          <w:rFonts w:ascii="Times New Roman" w:hAnsi="Times New Roman"/>
          <w:sz w:val="20"/>
        </w:rPr>
        <w:t xml:space="preserve">Not required to be filed with this Post-Effective Amendment.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which have been filed with the SEC, are incorporated by reference into this Registration Statement:  </w:t>
      </w:r>
    </w:p>
    <w:p>
      <w:pPr>
        <w:pStyle w:val="TextBody"/>
        <w:bidi w:val="0"/>
        <w:spacing w:before="120" w:after="0"/>
        <w:jc w:val="left"/>
        <w:rPr/>
      </w:pPr>
      <w:r>
        <w:rPr>
          <w:rFonts w:ascii="Times New Roman" w:hAnsi="Times New Roman"/>
          <w:sz w:val="20"/>
        </w:rPr>
        <w:t xml:space="preserve">(a) the contents of the Registrants Registration Statements on Form S-8, previously filed with the SEC on </w:t>
      </w:r>
      <w:hyperlink r:id="rId7">
        <w:r>
          <w:rPr>
            <w:rStyle w:val="InternetLink"/>
            <w:rFonts w:ascii="Times New Roman" w:hAnsi="Times New Roman"/>
            <w:sz w:val="20"/>
          </w:rPr>
          <w:t>December 16, 2019</w:t>
        </w:r>
      </w:hyperlink>
      <w:r>
        <w:rPr>
          <w:rFonts w:ascii="Times New Roman" w:hAnsi="Times New Roman"/>
          <w:sz w:val="20"/>
        </w:rPr>
        <w:t xml:space="preserve"> (File No.  333-235515), </w:t>
      </w:r>
      <w:hyperlink r:id="rId8">
        <w:r>
          <w:rPr>
            <w:rStyle w:val="InternetLink"/>
            <w:rFonts w:ascii="Times New Roman" w:hAnsi="Times New Roman"/>
            <w:sz w:val="20"/>
          </w:rPr>
          <w:t>November 10, 2020</w:t>
        </w:r>
      </w:hyperlink>
      <w:r>
        <w:rPr>
          <w:rFonts w:ascii="Times New Roman" w:hAnsi="Times New Roman"/>
          <w:sz w:val="20"/>
        </w:rPr>
        <w:t xml:space="preserve"> (File No.  333-249993), </w:t>
      </w:r>
      <w:hyperlink r:id="rId9">
        <w:r>
          <w:rPr>
            <w:rStyle w:val="InternetLink"/>
            <w:rFonts w:ascii="Times New Roman" w:hAnsi="Times New Roman"/>
            <w:sz w:val="20"/>
          </w:rPr>
          <w:t>April 15, 2021</w:t>
        </w:r>
      </w:hyperlink>
      <w:r>
        <w:rPr>
          <w:rFonts w:ascii="Times New Roman" w:hAnsi="Times New Roman"/>
          <w:sz w:val="20"/>
        </w:rPr>
        <w:t xml:space="preserve"> (File No.  333-255261), </w:t>
      </w:r>
      <w:hyperlink r:id="rId10">
        <w:r>
          <w:rPr>
            <w:rStyle w:val="InternetLink"/>
            <w:rFonts w:ascii="Times New Roman" w:hAnsi="Times New Roman"/>
            <w:sz w:val="20"/>
          </w:rPr>
          <w:t>May 13, 2022</w:t>
        </w:r>
      </w:hyperlink>
      <w:r>
        <w:rPr>
          <w:rFonts w:ascii="Times New Roman" w:hAnsi="Times New Roman"/>
          <w:sz w:val="20"/>
        </w:rPr>
        <w:t xml:space="preserve"> (File No.  333-264943) and </w:t>
      </w:r>
      <w:hyperlink r:id="rId11">
        <w:r>
          <w:rPr>
            <w:rStyle w:val="InternetLink"/>
            <w:rFonts w:ascii="Times New Roman" w:hAnsi="Times New Roman"/>
            <w:sz w:val="20"/>
          </w:rPr>
          <w:t>June 21, 2022</w:t>
        </w:r>
      </w:hyperlink>
      <w:r>
        <w:rPr>
          <w:rFonts w:ascii="Times New Roman" w:hAnsi="Times New Roman"/>
          <w:sz w:val="20"/>
        </w:rPr>
        <w:t xml:space="preserve"> (File No. 333-265718); </w:t>
      </w:r>
    </w:p>
    <w:p>
      <w:pPr>
        <w:pStyle w:val="TextBody"/>
        <w:bidi w:val="0"/>
        <w:spacing w:before="240" w:after="0"/>
        <w:jc w:val="left"/>
        <w:rPr/>
      </w:pPr>
      <w:r>
        <w:rPr>
          <w:rFonts w:ascii="Times New Roman" w:hAnsi="Times New Roman"/>
          <w:sz w:val="20"/>
        </w:rPr>
        <w:t xml:space="preserve">(b) the Registrants Annual Report on Form 10-K for the fiscal year ended December 31, 2022, filed with the SEC on </w:t>
      </w:r>
      <w:hyperlink r:id="rId12">
        <w:r>
          <w:rPr>
            <w:rStyle w:val="InternetLink"/>
            <w:rFonts w:ascii="Times New Roman" w:hAnsi="Times New Roman"/>
            <w:sz w:val="20"/>
          </w:rPr>
          <w:t>March 22, 2023</w:t>
        </w:r>
      </w:hyperlink>
      <w:r>
        <w:rPr>
          <w:rFonts w:ascii="Times New Roman" w:hAnsi="Times New Roman"/>
          <w:sz w:val="20"/>
        </w:rPr>
        <w:t xml:space="preserve"> (File No. 001-35890); </w:t>
      </w:r>
    </w:p>
    <w:p>
      <w:pPr>
        <w:pStyle w:val="TextBody"/>
        <w:bidi w:val="0"/>
        <w:spacing w:before="240" w:after="0"/>
        <w:jc w:val="left"/>
        <w:rPr/>
      </w:pPr>
      <w:r>
        <w:rPr>
          <w:rFonts w:ascii="Times New Roman" w:hAnsi="Times New Roman"/>
          <w:sz w:val="20"/>
        </w:rPr>
        <w:t xml:space="preserve">(c) the Registrants Quarterly Reports on Form 10-Q for the quarters ended March 31, 2023, June  30, 2023 and September 30, 2023, filed with the SEC on </w:t>
      </w:r>
      <w:hyperlink r:id="rId13">
        <w:r>
          <w:rPr>
            <w:rStyle w:val="InternetLink"/>
            <w:rFonts w:ascii="Times New Roman" w:hAnsi="Times New Roman"/>
            <w:sz w:val="20"/>
          </w:rPr>
          <w:t>May  10, 2023</w:t>
        </w:r>
      </w:hyperlink>
      <w:r>
        <w:rPr>
          <w:rFonts w:ascii="Times New Roman" w:hAnsi="Times New Roman"/>
          <w:sz w:val="20"/>
        </w:rPr>
        <w:t xml:space="preserve">, </w:t>
      </w:r>
      <w:hyperlink r:id="rId14">
        <w:r>
          <w:rPr>
            <w:rStyle w:val="InternetLink"/>
            <w:rFonts w:ascii="Times New Roman" w:hAnsi="Times New Roman"/>
            <w:sz w:val="20"/>
          </w:rPr>
          <w:t>August  10, 2023</w:t>
        </w:r>
      </w:hyperlink>
      <w:r>
        <w:rPr>
          <w:rFonts w:ascii="Times New Roman" w:hAnsi="Times New Roman"/>
          <w:sz w:val="20"/>
        </w:rPr>
        <w:t xml:space="preserve"> and </w:t>
      </w:r>
      <w:hyperlink r:id="rId15">
        <w:r>
          <w:rPr>
            <w:rStyle w:val="InternetLink"/>
            <w:rFonts w:ascii="Times New Roman" w:hAnsi="Times New Roman"/>
            <w:sz w:val="20"/>
          </w:rPr>
          <w:t>November 8, 2023</w:t>
        </w:r>
      </w:hyperlink>
      <w:r>
        <w:rPr>
          <w:rFonts w:ascii="Times New Roman" w:hAnsi="Times New Roman"/>
          <w:sz w:val="20"/>
        </w:rPr>
        <w:t xml:space="preserve">, respectively (File No. 001-35890); </w:t>
      </w:r>
    </w:p>
    <w:p>
      <w:pPr>
        <w:pStyle w:val="TextBody"/>
        <w:bidi w:val="0"/>
        <w:spacing w:before="240" w:after="0"/>
        <w:jc w:val="left"/>
        <w:rPr/>
      </w:pPr>
      <w:r>
        <w:rPr>
          <w:rFonts w:ascii="Times New Roman" w:hAnsi="Times New Roman"/>
          <w:sz w:val="20"/>
        </w:rPr>
        <w:t xml:space="preserve">(d) the Registrants Current Reports on Form 8-K filed with the SEC on </w:t>
      </w:r>
      <w:hyperlink r:id="rId16">
        <w:r>
          <w:rPr>
            <w:rStyle w:val="InternetLink"/>
            <w:rFonts w:ascii="Times New Roman" w:hAnsi="Times New Roman"/>
            <w:sz w:val="20"/>
          </w:rPr>
          <w:t>March  31, 2023</w:t>
        </w:r>
      </w:hyperlink>
      <w:r>
        <w:rPr>
          <w:rFonts w:ascii="Times New Roman" w:hAnsi="Times New Roman"/>
          <w:sz w:val="20"/>
        </w:rPr>
        <w:t xml:space="preserve">, </w:t>
      </w:r>
      <w:hyperlink r:id="rId17">
        <w:r>
          <w:rPr>
            <w:rStyle w:val="InternetLink"/>
            <w:rFonts w:ascii="Times New Roman" w:hAnsi="Times New Roman"/>
            <w:sz w:val="20"/>
          </w:rPr>
          <w:t>April  28, 2023</w:t>
        </w:r>
      </w:hyperlink>
      <w:r>
        <w:rPr>
          <w:rFonts w:ascii="Times New Roman" w:hAnsi="Times New Roman"/>
          <w:sz w:val="20"/>
        </w:rPr>
        <w:t xml:space="preserve">, </w:t>
      </w:r>
      <w:hyperlink r:id="rId18">
        <w:r>
          <w:rPr>
            <w:rStyle w:val="InternetLink"/>
            <w:rFonts w:ascii="Times New Roman" w:hAnsi="Times New Roman"/>
            <w:sz w:val="20"/>
          </w:rPr>
          <w:t>June  16, 2023</w:t>
        </w:r>
      </w:hyperlink>
      <w:r>
        <w:rPr>
          <w:rFonts w:ascii="Times New Roman" w:hAnsi="Times New Roman"/>
          <w:sz w:val="20"/>
        </w:rPr>
        <w:t xml:space="preserve">, </w:t>
      </w:r>
      <w:hyperlink r:id="rId19">
        <w:r>
          <w:rPr>
            <w:rStyle w:val="InternetLink"/>
            <w:rFonts w:ascii="Times New Roman" w:hAnsi="Times New Roman"/>
            <w:sz w:val="20"/>
          </w:rPr>
          <w:t>September  7, 2023</w:t>
        </w:r>
      </w:hyperlink>
      <w:r>
        <w:rPr>
          <w:rFonts w:ascii="Times New Roman" w:hAnsi="Times New Roman"/>
          <w:sz w:val="20"/>
        </w:rPr>
        <w:t xml:space="preserve">, </w:t>
      </w:r>
      <w:hyperlink r:id="rId20">
        <w:r>
          <w:rPr>
            <w:rStyle w:val="InternetLink"/>
            <w:rFonts w:ascii="Times New Roman" w:hAnsi="Times New Roman"/>
            <w:sz w:val="20"/>
          </w:rPr>
          <w:t>September  8, 2023</w:t>
        </w:r>
      </w:hyperlink>
      <w:r>
        <w:rPr>
          <w:rFonts w:ascii="Times New Roman" w:hAnsi="Times New Roman"/>
          <w:sz w:val="20"/>
        </w:rPr>
        <w:t xml:space="preserve">, </w:t>
      </w:r>
      <w:hyperlink r:id="rId21">
        <w:r>
          <w:rPr>
            <w:rStyle w:val="InternetLink"/>
            <w:rFonts w:ascii="Times New Roman" w:hAnsi="Times New Roman"/>
            <w:sz w:val="20"/>
          </w:rPr>
          <w:t>October  11, 2023</w:t>
        </w:r>
      </w:hyperlink>
      <w:r>
        <w:rPr>
          <w:rFonts w:ascii="Times New Roman" w:hAnsi="Times New Roman"/>
          <w:sz w:val="20"/>
        </w:rPr>
        <w:t xml:space="preserve"> and </w:t>
      </w:r>
      <w:hyperlink r:id="rId22">
        <w:r>
          <w:rPr>
            <w:rStyle w:val="InternetLink"/>
            <w:rFonts w:ascii="Times New Roman" w:hAnsi="Times New Roman"/>
            <w:sz w:val="20"/>
          </w:rPr>
          <w:t>October 30, 2023</w:t>
        </w:r>
      </w:hyperlink>
      <w:r>
        <w:rPr>
          <w:rFonts w:ascii="Times New Roman" w:hAnsi="Times New Roman"/>
          <w:sz w:val="20"/>
        </w:rPr>
        <w:t xml:space="preserve"> (File No. 001-35890); and </w:t>
      </w:r>
    </w:p>
    <w:p>
      <w:pPr>
        <w:pStyle w:val="TextBody"/>
        <w:bidi w:val="0"/>
        <w:spacing w:before="240" w:after="0"/>
        <w:jc w:val="left"/>
        <w:rPr/>
      </w:pPr>
      <w:r>
        <w:rPr>
          <w:rFonts w:ascii="Times New Roman" w:hAnsi="Times New Roman"/>
          <w:sz w:val="20"/>
        </w:rPr>
        <w:t xml:space="preserve">(e) the description of the Common Stock set forth in the Registrants registration statement on Form 8-A (File No.  001-35890), filed with the Commission on </w:t>
      </w:r>
      <w:hyperlink r:id="rId23">
        <w:r>
          <w:rPr>
            <w:rStyle w:val="InternetLink"/>
            <w:rFonts w:ascii="Times New Roman" w:hAnsi="Times New Roman"/>
            <w:sz w:val="20"/>
          </w:rPr>
          <w:t>April 25, 2013</w:t>
        </w:r>
      </w:hyperlink>
      <w:r>
        <w:rPr>
          <w:rFonts w:ascii="Times New Roman" w:hAnsi="Times New Roman"/>
          <w:sz w:val="20"/>
        </w:rPr>
        <w:t xml:space="preserve">, including any amendments thereto or reports filed for the purposes of updating this description, including Exhibit 4.1 to the Registrants Annual Report on Form 10-K/A for the fiscal year ended December  31, 2021 filed with the SEC on </w:t>
      </w:r>
      <w:hyperlink r:id="rId24">
        <w:r>
          <w:rPr>
            <w:rStyle w:val="InternetLink"/>
            <w:rFonts w:ascii="Times New Roman" w:hAnsi="Times New Roman"/>
            <w:sz w:val="20"/>
          </w:rPr>
          <w:t>April 1, 2022</w:t>
        </w:r>
      </w:hyperlink>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8"/>
        <w:gridCol w:w="328"/>
        <w:gridCol w:w="4746"/>
        <w:gridCol w:w="207"/>
        <w:gridCol w:w="142"/>
        <w:gridCol w:w="816"/>
        <w:gridCol w:w="60"/>
        <w:gridCol w:w="207"/>
        <w:gridCol w:w="60"/>
        <w:gridCol w:w="892"/>
        <w:gridCol w:w="60"/>
        <w:gridCol w:w="207"/>
        <w:gridCol w:w="121"/>
        <w:gridCol w:w="651"/>
        <w:gridCol w:w="60"/>
        <w:gridCol w:w="207"/>
        <w:gridCol w:w="60"/>
        <w:gridCol w:w="697"/>
        <w:gridCol w:w="66"/>
      </w:tblGrid>
      <w:tr>
        <w:trPr/>
        <w:tc>
          <w:tcPr>
            <w:tcW w:w="618"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474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328" w:type="dxa"/>
            <w:tcBorders/>
            <w:vAlign w:val="bottom"/>
          </w:tcPr>
          <w:p>
            <w:pPr>
              <w:pStyle w:val="TableContents"/>
              <w:bidi w:val="0"/>
              <w:spacing w:before="0" w:after="283"/>
              <w:jc w:val="left"/>
              <w:rPr/>
            </w:pPr>
            <w:r>
              <w:rPr/>
              <w:t>  </w:t>
            </w:r>
          </w:p>
        </w:tc>
        <w:tc>
          <w:tcPr>
            <w:tcW w:w="47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207"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pPr>
            <w:r>
              <w:rPr>
                <w:b/>
              </w:rPr>
              <w:t>Schedule</w:t>
            </w:r>
            <w:r>
              <w:rPr/>
              <w:br/>
            </w:r>
            <w:r>
              <w:rPr>
                <w:b/>
              </w:rPr>
              <w:t>Form</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pPr>
            <w:r>
              <w:rPr>
                <w:b/>
              </w:rPr>
              <w:t>File</w:t>
            </w:r>
            <w:r>
              <w:rPr/>
              <w:br/>
            </w:r>
            <w:r>
              <w:rPr>
                <w:b/>
              </w:rPr>
              <w:t>Number</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66" w:type="dxa"/>
            <w:tcBorders/>
            <w:vAlign w:val="bottom"/>
          </w:tcPr>
          <w:p>
            <w:pPr>
              <w:pStyle w:val="TableContents"/>
              <w:bidi w:val="0"/>
              <w:spacing w:before="0" w:after="283"/>
              <w:jc w:val="left"/>
              <w:rPr/>
            </w:pPr>
            <w:r>
              <w:rPr/>
              <w:t> </w:t>
            </w:r>
          </w:p>
        </w:tc>
      </w:tr>
      <w:tr>
        <w:trPr>
          <w:trHeight w:val="120" w:hRule="atLeast"/>
        </w:trPr>
        <w:tc>
          <w:tcPr>
            <w:tcW w:w="618" w:type="dxa"/>
            <w:tcBorders/>
            <w:vAlign w:val="center"/>
          </w:tcPr>
          <w:p>
            <w:pPr>
              <w:pStyle w:val="TableContents"/>
              <w:bidi w:val="0"/>
              <w:spacing w:before="0" w:after="283"/>
              <w:jc w:val="left"/>
              <w:rPr>
                <w:sz w:val="4"/>
                <w:szCs w:val="4"/>
              </w:rPr>
            </w:pPr>
            <w:r>
              <w:rPr>
                <w:sz w:val="4"/>
                <w:szCs w:val="4"/>
              </w:rPr>
            </w:r>
          </w:p>
        </w:tc>
        <w:tc>
          <w:tcPr>
            <w:tcW w:w="5074"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1030" w:type="dxa"/>
            <w:gridSpan w:val="4"/>
            <w:tcBorders/>
            <w:vAlign w:val="center"/>
          </w:tcPr>
          <w:p>
            <w:pPr>
              <w:pStyle w:val="TableContents"/>
              <w:bidi w:val="0"/>
              <w:spacing w:before="0" w:after="283"/>
              <w:jc w:val="left"/>
              <w:rPr>
                <w:sz w:val="4"/>
                <w:szCs w:val="4"/>
              </w:rPr>
            </w:pPr>
            <w:r>
              <w:rPr>
                <w:sz w:val="4"/>
                <w:szCs w:val="4"/>
              </w:rPr>
            </w:r>
          </w:p>
        </w:tc>
      </w:tr>
      <w:tr>
        <w:trPr/>
        <w:tc>
          <w:tcPr>
            <w:tcW w:w="618" w:type="dxa"/>
            <w:tcBorders/>
          </w:tcPr>
          <w:p>
            <w:pPr>
              <w:pStyle w:val="TableContents"/>
              <w:bidi w:val="0"/>
              <w:spacing w:before="0" w:after="283"/>
              <w:jc w:val="left"/>
              <w:rPr/>
            </w:pPr>
            <w:r>
              <w:rPr/>
              <w:t>  </w:t>
            </w:r>
            <w:r>
              <w:rPr/>
              <w:t>4.1</w:t>
            </w:r>
          </w:p>
        </w:tc>
        <w:tc>
          <w:tcPr>
            <w:tcW w:w="328" w:type="dxa"/>
            <w:tcBorders/>
            <w:vAlign w:val="bottom"/>
          </w:tcPr>
          <w:p>
            <w:pPr>
              <w:pStyle w:val="TableContents"/>
              <w:bidi w:val="0"/>
              <w:spacing w:before="0" w:after="283"/>
              <w:jc w:val="left"/>
              <w:rPr/>
            </w:pPr>
            <w:r>
              <w:rPr/>
              <w:t>  </w:t>
            </w:r>
          </w:p>
        </w:tc>
        <w:tc>
          <w:tcPr>
            <w:tcW w:w="4746" w:type="dxa"/>
            <w:tcBorders/>
          </w:tcPr>
          <w:p>
            <w:pPr>
              <w:pStyle w:val="TableContents"/>
              <w:bidi w:val="0"/>
              <w:spacing w:before="0" w:after="283"/>
              <w:jc w:val="left"/>
              <w:rPr/>
            </w:pPr>
            <w:hyperlink r:id="rId25">
              <w:r>
                <w:rPr>
                  <w:rStyle w:val="InternetLink"/>
                </w:rPr>
                <w:t>Restated Certificate of Incorporation of the Registrant, as amended</w:t>
              </w:r>
            </w:hyperlink>
          </w:p>
        </w:tc>
        <w:tc>
          <w:tcPr>
            <w:tcW w:w="20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10-Q</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001-35890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5/15/2019</w:t>
            </w:r>
          </w:p>
        </w:tc>
        <w:tc>
          <w:tcPr>
            <w:tcW w:w="66" w:type="dxa"/>
            <w:tcBorders/>
            <w:vAlign w:val="bottom"/>
          </w:tcPr>
          <w:p>
            <w:pPr>
              <w:pStyle w:val="TableContents"/>
              <w:bidi w:val="0"/>
              <w:spacing w:before="0" w:after="283"/>
              <w:jc w:val="left"/>
              <w:rPr/>
            </w:pPr>
            <w:r>
              <w:rPr/>
              <w:t> </w:t>
            </w:r>
          </w:p>
        </w:tc>
      </w:tr>
      <w:tr>
        <w:trPr>
          <w:trHeight w:val="120" w:hRule="atLeast"/>
        </w:trPr>
        <w:tc>
          <w:tcPr>
            <w:tcW w:w="618" w:type="dxa"/>
            <w:tcBorders/>
            <w:vAlign w:val="center"/>
          </w:tcPr>
          <w:p>
            <w:pPr>
              <w:pStyle w:val="TableContents"/>
              <w:bidi w:val="0"/>
              <w:spacing w:before="0" w:after="283"/>
              <w:jc w:val="left"/>
              <w:rPr>
                <w:sz w:val="4"/>
                <w:szCs w:val="4"/>
              </w:rPr>
            </w:pPr>
            <w:r>
              <w:rPr>
                <w:sz w:val="4"/>
                <w:szCs w:val="4"/>
              </w:rPr>
            </w:r>
          </w:p>
        </w:tc>
        <w:tc>
          <w:tcPr>
            <w:tcW w:w="5074"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219"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1030" w:type="dxa"/>
            <w:gridSpan w:val="4"/>
            <w:tcBorders/>
            <w:vAlign w:val="center"/>
          </w:tcPr>
          <w:p>
            <w:pPr>
              <w:pStyle w:val="TableContents"/>
              <w:bidi w:val="0"/>
              <w:spacing w:before="0" w:after="283"/>
              <w:jc w:val="left"/>
              <w:rPr>
                <w:sz w:val="4"/>
                <w:szCs w:val="4"/>
              </w:rPr>
            </w:pPr>
            <w:r>
              <w:rPr>
                <w:sz w:val="4"/>
                <w:szCs w:val="4"/>
              </w:rPr>
            </w:r>
          </w:p>
        </w:tc>
      </w:tr>
      <w:tr>
        <w:trPr/>
        <w:tc>
          <w:tcPr>
            <w:tcW w:w="618" w:type="dxa"/>
            <w:tcBorders/>
          </w:tcPr>
          <w:p>
            <w:pPr>
              <w:pStyle w:val="TableContents"/>
              <w:bidi w:val="0"/>
              <w:spacing w:before="0" w:after="283"/>
              <w:jc w:val="left"/>
              <w:rPr/>
            </w:pPr>
            <w:r>
              <w:rPr/>
              <w:t>  </w:t>
            </w:r>
            <w:r>
              <w:rPr/>
              <w:t>4.2</w:t>
            </w:r>
          </w:p>
        </w:tc>
        <w:tc>
          <w:tcPr>
            <w:tcW w:w="328" w:type="dxa"/>
            <w:tcBorders/>
            <w:vAlign w:val="bottom"/>
          </w:tcPr>
          <w:p>
            <w:pPr>
              <w:pStyle w:val="TableContents"/>
              <w:bidi w:val="0"/>
              <w:spacing w:before="0" w:after="283"/>
              <w:jc w:val="left"/>
              <w:rPr/>
            </w:pPr>
            <w:r>
              <w:rPr/>
              <w:t>  </w:t>
            </w:r>
          </w:p>
        </w:tc>
        <w:tc>
          <w:tcPr>
            <w:tcW w:w="4746" w:type="dxa"/>
            <w:tcBorders/>
          </w:tcPr>
          <w:p>
            <w:pPr>
              <w:pStyle w:val="TableContents"/>
              <w:bidi w:val="0"/>
              <w:spacing w:before="0" w:after="283"/>
              <w:jc w:val="left"/>
              <w:rPr/>
            </w:pPr>
            <w:hyperlink r:id="rId26">
              <w:r>
                <w:rPr>
                  <w:rStyle w:val="InternetLink"/>
                </w:rPr>
                <w:t>Certificate of Amendment to the Restated Certificate of Incorporation of the Company, as filed with the Secretary of State of the State of Delaware on June 24, 2021</w:t>
              </w:r>
            </w:hyperlink>
          </w:p>
        </w:tc>
        <w:tc>
          <w:tcPr>
            <w:tcW w:w="20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001-35890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6/28/2021</w:t>
            </w:r>
          </w:p>
        </w:tc>
        <w:tc>
          <w:tcPr>
            <w:tcW w:w="66"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96"/>
        <w:gridCol w:w="223"/>
        <w:gridCol w:w="5789"/>
        <w:gridCol w:w="152"/>
        <w:gridCol w:w="60"/>
        <w:gridCol w:w="442"/>
        <w:gridCol w:w="60"/>
        <w:gridCol w:w="152"/>
        <w:gridCol w:w="60"/>
        <w:gridCol w:w="849"/>
        <w:gridCol w:w="60"/>
        <w:gridCol w:w="152"/>
        <w:gridCol w:w="60"/>
        <w:gridCol w:w="444"/>
        <w:gridCol w:w="60"/>
        <w:gridCol w:w="152"/>
        <w:gridCol w:w="60"/>
        <w:gridCol w:w="766"/>
        <w:gridCol w:w="68"/>
      </w:tblGrid>
      <w:tr>
        <w:trPr/>
        <w:tc>
          <w:tcPr>
            <w:tcW w:w="596"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578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  </w:t>
            </w:r>
            <w:r>
              <w:rPr/>
              <w:t>4.3</w:t>
            </w:r>
          </w:p>
        </w:tc>
        <w:tc>
          <w:tcPr>
            <w:tcW w:w="223" w:type="dxa"/>
            <w:tcBorders/>
            <w:vAlign w:val="bottom"/>
          </w:tcPr>
          <w:p>
            <w:pPr>
              <w:pStyle w:val="TableContents"/>
              <w:bidi w:val="0"/>
              <w:spacing w:before="0" w:after="283"/>
              <w:jc w:val="left"/>
              <w:rPr/>
            </w:pPr>
            <w:r>
              <w:rPr/>
              <w:t>  </w:t>
            </w:r>
          </w:p>
        </w:tc>
        <w:tc>
          <w:tcPr>
            <w:tcW w:w="5789" w:type="dxa"/>
            <w:tcBorders/>
          </w:tcPr>
          <w:p>
            <w:pPr>
              <w:pStyle w:val="TableContents"/>
              <w:bidi w:val="0"/>
              <w:spacing w:before="0" w:after="283"/>
              <w:jc w:val="left"/>
              <w:rPr/>
            </w:pPr>
            <w:hyperlink r:id="rId27">
              <w:r>
                <w:rPr>
                  <w:rStyle w:val="InternetLink"/>
                </w:rPr>
                <w:t>Certificate of Amendment to the Restated Certificate of Incorporation of the Company, as filed with the Secretary of State of the State of Delaware on June 25, 2021</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001-35890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6/28/2021</w:t>
            </w:r>
          </w:p>
        </w:tc>
        <w:tc>
          <w:tcPr>
            <w:tcW w:w="68" w:type="dxa"/>
            <w:tcBorders/>
            <w:vAlign w:val="bottom"/>
          </w:tcPr>
          <w:p>
            <w:pPr>
              <w:pStyle w:val="TableContents"/>
              <w:bidi w:val="0"/>
              <w:spacing w:before="0" w:after="283"/>
              <w:jc w:val="left"/>
              <w:rPr/>
            </w:pPr>
            <w:r>
              <w:rPr/>
              <w:t> </w:t>
            </w:r>
          </w:p>
        </w:tc>
      </w:tr>
      <w:tr>
        <w:trPr>
          <w:trHeight w:val="120" w:hRule="atLeast"/>
        </w:trPr>
        <w:tc>
          <w:tcPr>
            <w:tcW w:w="596" w:type="dxa"/>
            <w:tcBorders/>
            <w:vAlign w:val="center"/>
          </w:tcPr>
          <w:p>
            <w:pPr>
              <w:pStyle w:val="TableContents"/>
              <w:bidi w:val="0"/>
              <w:spacing w:before="0" w:after="283"/>
              <w:jc w:val="left"/>
              <w:rPr>
                <w:sz w:val="4"/>
                <w:szCs w:val="4"/>
              </w:rPr>
            </w:pPr>
            <w:r>
              <w:rPr>
                <w:sz w:val="4"/>
                <w:szCs w:val="4"/>
              </w:rPr>
            </w:r>
          </w:p>
        </w:tc>
        <w:tc>
          <w:tcPr>
            <w:tcW w:w="601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c>
          <w:tcPr>
            <w:tcW w:w="1121" w:type="dxa"/>
            <w:gridSpan w:val="4"/>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  </w:t>
            </w:r>
            <w:r>
              <w:rPr/>
              <w:t>4.4</w:t>
            </w:r>
          </w:p>
        </w:tc>
        <w:tc>
          <w:tcPr>
            <w:tcW w:w="223" w:type="dxa"/>
            <w:tcBorders/>
            <w:vAlign w:val="bottom"/>
          </w:tcPr>
          <w:p>
            <w:pPr>
              <w:pStyle w:val="TableContents"/>
              <w:bidi w:val="0"/>
              <w:spacing w:before="0" w:after="283"/>
              <w:jc w:val="left"/>
              <w:rPr/>
            </w:pPr>
            <w:r>
              <w:rPr/>
              <w:t>  </w:t>
            </w:r>
          </w:p>
        </w:tc>
        <w:tc>
          <w:tcPr>
            <w:tcW w:w="5789" w:type="dxa"/>
            <w:tcBorders/>
          </w:tcPr>
          <w:p>
            <w:pPr>
              <w:pStyle w:val="TableContents"/>
              <w:bidi w:val="0"/>
              <w:spacing w:before="0" w:after="283"/>
              <w:jc w:val="left"/>
              <w:rPr/>
            </w:pPr>
            <w:hyperlink r:id="rId28">
              <w:r>
                <w:rPr>
                  <w:rStyle w:val="InternetLink"/>
                </w:rPr>
                <w:t>Certificate of Designation of Series A Junior Participating Preferred Stock, as filed with the Secretary of State of the State of Delaware on October 10, 2023</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001-35890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10/11/2023</w:t>
            </w:r>
          </w:p>
        </w:tc>
        <w:tc>
          <w:tcPr>
            <w:tcW w:w="68" w:type="dxa"/>
            <w:tcBorders/>
            <w:vAlign w:val="bottom"/>
          </w:tcPr>
          <w:p>
            <w:pPr>
              <w:pStyle w:val="TableContents"/>
              <w:bidi w:val="0"/>
              <w:spacing w:before="0" w:after="283"/>
              <w:jc w:val="left"/>
              <w:rPr/>
            </w:pPr>
            <w:r>
              <w:rPr/>
              <w:t> </w:t>
            </w:r>
          </w:p>
        </w:tc>
      </w:tr>
      <w:tr>
        <w:trPr>
          <w:trHeight w:val="120" w:hRule="atLeast"/>
        </w:trPr>
        <w:tc>
          <w:tcPr>
            <w:tcW w:w="596" w:type="dxa"/>
            <w:tcBorders/>
            <w:vAlign w:val="center"/>
          </w:tcPr>
          <w:p>
            <w:pPr>
              <w:pStyle w:val="TableContents"/>
              <w:bidi w:val="0"/>
              <w:spacing w:before="0" w:after="283"/>
              <w:jc w:val="left"/>
              <w:rPr>
                <w:sz w:val="4"/>
                <w:szCs w:val="4"/>
              </w:rPr>
            </w:pPr>
            <w:r>
              <w:rPr>
                <w:sz w:val="4"/>
                <w:szCs w:val="4"/>
              </w:rPr>
            </w:r>
          </w:p>
        </w:tc>
        <w:tc>
          <w:tcPr>
            <w:tcW w:w="601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c>
          <w:tcPr>
            <w:tcW w:w="1121" w:type="dxa"/>
            <w:gridSpan w:val="4"/>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  </w:t>
            </w:r>
            <w:r>
              <w:rPr/>
              <w:t>4.5</w:t>
            </w:r>
          </w:p>
        </w:tc>
        <w:tc>
          <w:tcPr>
            <w:tcW w:w="223" w:type="dxa"/>
            <w:tcBorders/>
            <w:vAlign w:val="bottom"/>
          </w:tcPr>
          <w:p>
            <w:pPr>
              <w:pStyle w:val="TableContents"/>
              <w:bidi w:val="0"/>
              <w:spacing w:before="0" w:after="283"/>
              <w:jc w:val="left"/>
              <w:rPr/>
            </w:pPr>
            <w:r>
              <w:rPr/>
              <w:t>  </w:t>
            </w:r>
          </w:p>
        </w:tc>
        <w:tc>
          <w:tcPr>
            <w:tcW w:w="5789" w:type="dxa"/>
            <w:tcBorders/>
          </w:tcPr>
          <w:p>
            <w:pPr>
              <w:pStyle w:val="TableContents"/>
              <w:bidi w:val="0"/>
              <w:spacing w:before="0" w:after="283"/>
              <w:jc w:val="left"/>
              <w:rPr/>
            </w:pPr>
            <w:hyperlink r:id="rId29">
              <w:r>
                <w:rPr>
                  <w:rStyle w:val="InternetLink"/>
                </w:rPr>
                <w:t>Amended and Restated Bylaws of the Registrant</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001-35890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9/24/2021</w:t>
            </w:r>
          </w:p>
        </w:tc>
        <w:tc>
          <w:tcPr>
            <w:tcW w:w="68" w:type="dxa"/>
            <w:tcBorders/>
            <w:vAlign w:val="bottom"/>
          </w:tcPr>
          <w:p>
            <w:pPr>
              <w:pStyle w:val="TableContents"/>
              <w:bidi w:val="0"/>
              <w:spacing w:before="0" w:after="283"/>
              <w:jc w:val="left"/>
              <w:rPr/>
            </w:pPr>
            <w:r>
              <w:rPr/>
              <w:t> </w:t>
            </w:r>
          </w:p>
        </w:tc>
      </w:tr>
      <w:tr>
        <w:trPr>
          <w:trHeight w:val="120" w:hRule="atLeast"/>
        </w:trPr>
        <w:tc>
          <w:tcPr>
            <w:tcW w:w="596" w:type="dxa"/>
            <w:tcBorders/>
            <w:vAlign w:val="center"/>
          </w:tcPr>
          <w:p>
            <w:pPr>
              <w:pStyle w:val="TableContents"/>
              <w:bidi w:val="0"/>
              <w:spacing w:before="0" w:after="283"/>
              <w:jc w:val="left"/>
              <w:rPr>
                <w:sz w:val="4"/>
                <w:szCs w:val="4"/>
              </w:rPr>
            </w:pPr>
            <w:r>
              <w:rPr>
                <w:sz w:val="4"/>
                <w:szCs w:val="4"/>
              </w:rPr>
            </w:r>
          </w:p>
        </w:tc>
        <w:tc>
          <w:tcPr>
            <w:tcW w:w="601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c>
          <w:tcPr>
            <w:tcW w:w="1121" w:type="dxa"/>
            <w:gridSpan w:val="4"/>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  </w:t>
            </w:r>
            <w:r>
              <w:rPr/>
              <w:t>5.1*</w:t>
            </w:r>
          </w:p>
        </w:tc>
        <w:tc>
          <w:tcPr>
            <w:tcW w:w="223" w:type="dxa"/>
            <w:tcBorders/>
            <w:vAlign w:val="bottom"/>
          </w:tcPr>
          <w:p>
            <w:pPr>
              <w:pStyle w:val="TableContents"/>
              <w:bidi w:val="0"/>
              <w:spacing w:before="0" w:after="283"/>
              <w:jc w:val="left"/>
              <w:rPr/>
            </w:pPr>
            <w:r>
              <w:rPr/>
              <w:t>  </w:t>
            </w:r>
          </w:p>
        </w:tc>
        <w:tc>
          <w:tcPr>
            <w:tcW w:w="5789" w:type="dxa"/>
            <w:tcBorders/>
          </w:tcPr>
          <w:p>
            <w:pPr>
              <w:pStyle w:val="TableContents"/>
              <w:bidi w:val="0"/>
              <w:spacing w:before="0" w:after="283"/>
              <w:jc w:val="left"/>
              <w:rPr/>
            </w:pPr>
            <w:hyperlink w:anchor="d599420dex51.htm">
              <w:r>
                <w:rPr>
                  <w:rStyle w:val="InternetLink"/>
                </w:rPr>
                <w:t xml:space="preserve">Opinion of Cooley LLP </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96" w:type="dxa"/>
            <w:tcBorders/>
            <w:vAlign w:val="center"/>
          </w:tcPr>
          <w:p>
            <w:pPr>
              <w:pStyle w:val="TableContents"/>
              <w:bidi w:val="0"/>
              <w:spacing w:before="0" w:after="283"/>
              <w:jc w:val="left"/>
              <w:rPr>
                <w:sz w:val="4"/>
                <w:szCs w:val="4"/>
              </w:rPr>
            </w:pPr>
            <w:r>
              <w:rPr>
                <w:sz w:val="4"/>
                <w:szCs w:val="4"/>
              </w:rPr>
            </w:r>
          </w:p>
        </w:tc>
        <w:tc>
          <w:tcPr>
            <w:tcW w:w="601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c>
          <w:tcPr>
            <w:tcW w:w="1121" w:type="dxa"/>
            <w:gridSpan w:val="4"/>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23.1*</w:t>
            </w:r>
          </w:p>
        </w:tc>
        <w:tc>
          <w:tcPr>
            <w:tcW w:w="223" w:type="dxa"/>
            <w:tcBorders/>
            <w:vAlign w:val="bottom"/>
          </w:tcPr>
          <w:p>
            <w:pPr>
              <w:pStyle w:val="TableContents"/>
              <w:bidi w:val="0"/>
              <w:spacing w:before="0" w:after="283"/>
              <w:jc w:val="left"/>
              <w:rPr/>
            </w:pPr>
            <w:r>
              <w:rPr/>
              <w:t>  </w:t>
            </w:r>
          </w:p>
        </w:tc>
        <w:tc>
          <w:tcPr>
            <w:tcW w:w="5789" w:type="dxa"/>
            <w:tcBorders/>
          </w:tcPr>
          <w:p>
            <w:pPr>
              <w:pStyle w:val="TableContents"/>
              <w:bidi w:val="0"/>
              <w:spacing w:before="0" w:after="283"/>
              <w:jc w:val="left"/>
              <w:rPr/>
            </w:pPr>
            <w:hyperlink w:anchor="d599420dex51.htm">
              <w:r>
                <w:rPr>
                  <w:rStyle w:val="InternetLink"/>
                </w:rPr>
                <w:t xml:space="preserve">Consent of Cooley LLP (included in Exhibit 5.1). </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96" w:type="dxa"/>
            <w:tcBorders/>
            <w:vAlign w:val="center"/>
          </w:tcPr>
          <w:p>
            <w:pPr>
              <w:pStyle w:val="TableContents"/>
              <w:bidi w:val="0"/>
              <w:spacing w:before="0" w:after="283"/>
              <w:jc w:val="left"/>
              <w:rPr>
                <w:sz w:val="4"/>
                <w:szCs w:val="4"/>
              </w:rPr>
            </w:pPr>
            <w:r>
              <w:rPr>
                <w:sz w:val="4"/>
                <w:szCs w:val="4"/>
              </w:rPr>
            </w:r>
          </w:p>
        </w:tc>
        <w:tc>
          <w:tcPr>
            <w:tcW w:w="601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c>
          <w:tcPr>
            <w:tcW w:w="1121" w:type="dxa"/>
            <w:gridSpan w:val="4"/>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23.2*</w:t>
            </w:r>
          </w:p>
        </w:tc>
        <w:tc>
          <w:tcPr>
            <w:tcW w:w="223" w:type="dxa"/>
            <w:tcBorders/>
            <w:vAlign w:val="bottom"/>
          </w:tcPr>
          <w:p>
            <w:pPr>
              <w:pStyle w:val="TableContents"/>
              <w:bidi w:val="0"/>
              <w:spacing w:before="0" w:after="283"/>
              <w:jc w:val="left"/>
              <w:rPr/>
            </w:pPr>
            <w:r>
              <w:rPr/>
              <w:t>  </w:t>
            </w:r>
          </w:p>
        </w:tc>
        <w:tc>
          <w:tcPr>
            <w:tcW w:w="5789" w:type="dxa"/>
            <w:tcBorders/>
          </w:tcPr>
          <w:p>
            <w:pPr>
              <w:pStyle w:val="TableContents"/>
              <w:bidi w:val="0"/>
              <w:spacing w:before="0" w:after="283"/>
              <w:jc w:val="left"/>
              <w:rPr/>
            </w:pPr>
            <w:hyperlink w:anchor="d599420dex232.htm">
              <w:r>
                <w:rPr>
                  <w:rStyle w:val="InternetLink"/>
                </w:rPr>
                <w:t xml:space="preserve">Consent of Ernst &amp; Young LLP, independent registered public accounting firm. </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96" w:type="dxa"/>
            <w:tcBorders/>
            <w:vAlign w:val="center"/>
          </w:tcPr>
          <w:p>
            <w:pPr>
              <w:pStyle w:val="TableContents"/>
              <w:bidi w:val="0"/>
              <w:spacing w:before="0" w:after="283"/>
              <w:jc w:val="left"/>
              <w:rPr>
                <w:sz w:val="4"/>
                <w:szCs w:val="4"/>
              </w:rPr>
            </w:pPr>
            <w:r>
              <w:rPr>
                <w:sz w:val="4"/>
                <w:szCs w:val="4"/>
              </w:rPr>
            </w:r>
          </w:p>
        </w:tc>
        <w:tc>
          <w:tcPr>
            <w:tcW w:w="601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c>
          <w:tcPr>
            <w:tcW w:w="1121" w:type="dxa"/>
            <w:gridSpan w:val="4"/>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24.1*</w:t>
            </w:r>
          </w:p>
        </w:tc>
        <w:tc>
          <w:tcPr>
            <w:tcW w:w="223" w:type="dxa"/>
            <w:tcBorders/>
            <w:vAlign w:val="bottom"/>
          </w:tcPr>
          <w:p>
            <w:pPr>
              <w:pStyle w:val="TableContents"/>
              <w:bidi w:val="0"/>
              <w:spacing w:before="0" w:after="283"/>
              <w:jc w:val="left"/>
              <w:rPr/>
            </w:pPr>
            <w:r>
              <w:rPr/>
              <w:t>  </w:t>
            </w:r>
          </w:p>
        </w:tc>
        <w:tc>
          <w:tcPr>
            <w:tcW w:w="5789" w:type="dxa"/>
            <w:tcBorders/>
          </w:tcPr>
          <w:p>
            <w:pPr>
              <w:pStyle w:val="TableContents"/>
              <w:bidi w:val="0"/>
              <w:spacing w:before="0" w:after="283"/>
              <w:jc w:val="left"/>
              <w:rPr/>
            </w:pPr>
            <w:hyperlink w:anchor="sig">
              <w:r>
                <w:rPr>
                  <w:rStyle w:val="InternetLink"/>
                </w:rPr>
                <w:t xml:space="preserve">Power of Attorney (included on the signature page of this Form S-8). </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96" w:type="dxa"/>
            <w:tcBorders/>
            <w:vAlign w:val="center"/>
          </w:tcPr>
          <w:p>
            <w:pPr>
              <w:pStyle w:val="TableContents"/>
              <w:bidi w:val="0"/>
              <w:spacing w:before="0" w:after="283"/>
              <w:jc w:val="left"/>
              <w:rPr>
                <w:sz w:val="4"/>
                <w:szCs w:val="4"/>
              </w:rPr>
            </w:pPr>
            <w:r>
              <w:rPr>
                <w:sz w:val="4"/>
                <w:szCs w:val="4"/>
              </w:rPr>
            </w:r>
          </w:p>
        </w:tc>
        <w:tc>
          <w:tcPr>
            <w:tcW w:w="601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c>
          <w:tcPr>
            <w:tcW w:w="1121" w:type="dxa"/>
            <w:gridSpan w:val="4"/>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99.1</w:t>
            </w:r>
          </w:p>
        </w:tc>
        <w:tc>
          <w:tcPr>
            <w:tcW w:w="223" w:type="dxa"/>
            <w:tcBorders/>
            <w:vAlign w:val="bottom"/>
          </w:tcPr>
          <w:p>
            <w:pPr>
              <w:pStyle w:val="TableContents"/>
              <w:bidi w:val="0"/>
              <w:spacing w:before="0" w:after="283"/>
              <w:jc w:val="left"/>
              <w:rPr/>
            </w:pPr>
            <w:r>
              <w:rPr/>
              <w:t>  </w:t>
            </w:r>
          </w:p>
        </w:tc>
        <w:tc>
          <w:tcPr>
            <w:tcW w:w="5789" w:type="dxa"/>
            <w:tcBorders/>
          </w:tcPr>
          <w:p>
            <w:pPr>
              <w:pStyle w:val="TableContents"/>
              <w:bidi w:val="0"/>
              <w:spacing w:before="0" w:after="283"/>
              <w:jc w:val="left"/>
              <w:rPr/>
            </w:pPr>
            <w:hyperlink r:id="rId30">
              <w:r>
                <w:rPr>
                  <w:rStyle w:val="InternetLink"/>
                </w:rPr>
                <w:t>Tempest Therapeutics, Inc. Amended and Restated 2023 Equity Incentive Plan.</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10-Q</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001-35890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8/10/2023</w:t>
            </w:r>
          </w:p>
        </w:tc>
        <w:tc>
          <w:tcPr>
            <w:tcW w:w="68" w:type="dxa"/>
            <w:tcBorders/>
            <w:vAlign w:val="bottom"/>
          </w:tcPr>
          <w:p>
            <w:pPr>
              <w:pStyle w:val="TableContents"/>
              <w:bidi w:val="0"/>
              <w:spacing w:before="0" w:after="283"/>
              <w:jc w:val="left"/>
              <w:rPr/>
            </w:pPr>
            <w:r>
              <w:rPr/>
              <w:t> </w:t>
            </w:r>
          </w:p>
        </w:tc>
      </w:tr>
      <w:tr>
        <w:trPr>
          <w:trHeight w:val="120" w:hRule="atLeast"/>
        </w:trPr>
        <w:tc>
          <w:tcPr>
            <w:tcW w:w="596" w:type="dxa"/>
            <w:tcBorders/>
            <w:vAlign w:val="center"/>
          </w:tcPr>
          <w:p>
            <w:pPr>
              <w:pStyle w:val="TableContents"/>
              <w:bidi w:val="0"/>
              <w:spacing w:before="0" w:after="283"/>
              <w:jc w:val="left"/>
              <w:rPr>
                <w:sz w:val="4"/>
                <w:szCs w:val="4"/>
              </w:rPr>
            </w:pPr>
            <w:r>
              <w:rPr>
                <w:sz w:val="4"/>
                <w:szCs w:val="4"/>
              </w:rPr>
            </w:r>
          </w:p>
        </w:tc>
        <w:tc>
          <w:tcPr>
            <w:tcW w:w="6012"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c>
          <w:tcPr>
            <w:tcW w:w="1121" w:type="dxa"/>
            <w:gridSpan w:val="4"/>
            <w:tcBorders/>
            <w:vAlign w:val="center"/>
          </w:tcPr>
          <w:p>
            <w:pPr>
              <w:pStyle w:val="TableContents"/>
              <w:bidi w:val="0"/>
              <w:spacing w:before="0" w:after="283"/>
              <w:jc w:val="left"/>
              <w:rPr>
                <w:sz w:val="4"/>
                <w:szCs w:val="4"/>
              </w:rPr>
            </w:pPr>
            <w:r>
              <w:rPr>
                <w:sz w:val="4"/>
                <w:szCs w:val="4"/>
              </w:rPr>
            </w:r>
          </w:p>
        </w:tc>
        <w:tc>
          <w:tcPr>
            <w:tcW w:w="716"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99.2</w:t>
            </w:r>
          </w:p>
        </w:tc>
        <w:tc>
          <w:tcPr>
            <w:tcW w:w="223" w:type="dxa"/>
            <w:tcBorders/>
            <w:vAlign w:val="bottom"/>
          </w:tcPr>
          <w:p>
            <w:pPr>
              <w:pStyle w:val="TableContents"/>
              <w:bidi w:val="0"/>
              <w:spacing w:before="0" w:after="283"/>
              <w:jc w:val="left"/>
              <w:rPr/>
            </w:pPr>
            <w:r>
              <w:rPr/>
              <w:t>  </w:t>
            </w:r>
          </w:p>
        </w:tc>
        <w:tc>
          <w:tcPr>
            <w:tcW w:w="5789" w:type="dxa"/>
            <w:tcBorders/>
          </w:tcPr>
          <w:p>
            <w:pPr>
              <w:pStyle w:val="TableContents"/>
              <w:bidi w:val="0"/>
              <w:spacing w:before="0" w:after="283"/>
              <w:jc w:val="left"/>
              <w:rPr/>
            </w:pPr>
            <w:hyperlink r:id="rId31">
              <w:r>
                <w:rPr>
                  <w:rStyle w:val="InternetLink"/>
                </w:rPr>
                <w:t>Form of Stock Option Grant Notice under Amended and Restated 2023 Equity Incentive Plan.</w:t>
              </w:r>
            </w:hyperlink>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10-Q</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001-35890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8/10/2023</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Brisbane, State of California, on November 17,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vAlign w:val="bottom"/>
          </w:tcPr>
          <w:p>
            <w:pPr>
              <w:pStyle w:val="TableContents"/>
              <w:bidi w:val="0"/>
              <w:spacing w:before="0" w:after="283"/>
              <w:jc w:val="left"/>
              <w:rPr/>
            </w:pPr>
            <w:r>
              <w:rPr/>
              <w:t>/s/ Stephen Brady</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Stephen Brady</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Stephen Brady and Nicholas Maestas,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4"/>
        <w:gridCol w:w="120"/>
        <w:gridCol w:w="4291"/>
        <w:gridCol w:w="105"/>
        <w:gridCol w:w="1935"/>
      </w:tblGrid>
      <w:tr>
        <w:trPr/>
        <w:tc>
          <w:tcPr>
            <w:tcW w:w="37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3754"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4291" w:type="dxa"/>
            <w:tcBorders/>
            <w:vAlign w:val="bottom"/>
          </w:tcPr>
          <w:p>
            <w:pPr>
              <w:pStyle w:val="TableContents"/>
              <w:bidi w:val="0"/>
              <w:spacing w:before="0" w:after="283"/>
              <w:jc w:val="center"/>
              <w:rPr>
                <w:b/>
              </w:rPr>
            </w:pPr>
            <w:r>
              <w:rPr>
                <w:b/>
              </w:rPr>
              <w:t>Title</w:t>
            </w:r>
          </w:p>
        </w:tc>
        <w:tc>
          <w:tcPr>
            <w:tcW w:w="105" w:type="dxa"/>
            <w:tcBorders/>
            <w:vAlign w:val="bottom"/>
          </w:tcPr>
          <w:p>
            <w:pPr>
              <w:pStyle w:val="TableContents"/>
              <w:bidi w:val="0"/>
              <w:spacing w:before="0" w:after="283"/>
              <w:jc w:val="left"/>
              <w:rPr/>
            </w:pPr>
            <w:r>
              <w:rPr/>
              <w:t> </w:t>
            </w:r>
          </w:p>
        </w:tc>
        <w:tc>
          <w:tcPr>
            <w:tcW w:w="1935" w:type="dxa"/>
            <w:tcBorders/>
            <w:vAlign w:val="bottom"/>
          </w:tcPr>
          <w:p>
            <w:pPr>
              <w:pStyle w:val="TableContents"/>
              <w:bidi w:val="0"/>
              <w:spacing w:before="0" w:after="283"/>
              <w:jc w:val="center"/>
              <w:rPr>
                <w:b/>
              </w:rPr>
            </w:pPr>
            <w:r>
              <w:rPr>
                <w:b/>
              </w:rPr>
              <w:t>Date</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1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Stephen Brady</w:t>
            </w:r>
          </w:p>
          <w:p>
            <w:pPr>
              <w:pStyle w:val="TableContents"/>
              <w:bidi w:val="0"/>
              <w:spacing w:before="0" w:after="20"/>
              <w:jc w:val="center"/>
              <w:rPr>
                <w:rFonts w:ascii="Times New Roman" w:hAnsi="Times New Roman"/>
                <w:sz w:val="20"/>
              </w:rPr>
            </w:pPr>
            <w:r>
              <w:rPr>
                <w:rFonts w:ascii="Times New Roman" w:hAnsi="Times New Roman"/>
                <w:sz w:val="20"/>
              </w:rPr>
              <w:t>Stephen Brady</w:t>
            </w:r>
          </w:p>
        </w:tc>
        <w:tc>
          <w:tcPr>
            <w:tcW w:w="120" w:type="dxa"/>
            <w:tcBorders/>
            <w:vAlign w:val="bottom"/>
          </w:tcPr>
          <w:p>
            <w:pPr>
              <w:pStyle w:val="TableContents"/>
              <w:bidi w:val="0"/>
              <w:spacing w:before="0" w:after="283"/>
              <w:jc w:val="left"/>
              <w:rPr/>
            </w:pPr>
            <w:r>
              <w:rPr/>
              <w:t>  </w:t>
            </w:r>
          </w:p>
        </w:tc>
        <w:tc>
          <w:tcPr>
            <w:tcW w:w="4291"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05" w:type="dxa"/>
            <w:tcBorders/>
            <w:vAlign w:val="bottom"/>
          </w:tcPr>
          <w:p>
            <w:pPr>
              <w:pStyle w:val="TableContents"/>
              <w:bidi w:val="0"/>
              <w:spacing w:before="0" w:after="283"/>
              <w:jc w:val="left"/>
              <w:rPr/>
            </w:pPr>
            <w:r>
              <w:rPr/>
              <w:t> </w:t>
            </w:r>
          </w:p>
        </w:tc>
        <w:tc>
          <w:tcPr>
            <w:tcW w:w="1935" w:type="dxa"/>
            <w:tcBorders/>
          </w:tcPr>
          <w:p>
            <w:pPr>
              <w:pStyle w:val="TableContents"/>
              <w:bidi w:val="0"/>
              <w:spacing w:before="0" w:after="283"/>
              <w:jc w:val="left"/>
              <w:rPr/>
            </w:pPr>
            <w:r>
              <w:rPr/>
              <w:t>November 17, 2023</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1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Nicholas Maestas</w:t>
            </w:r>
          </w:p>
          <w:p>
            <w:pPr>
              <w:pStyle w:val="TableContents"/>
              <w:bidi w:val="0"/>
              <w:spacing w:before="0" w:after="20"/>
              <w:jc w:val="center"/>
              <w:rPr>
                <w:rFonts w:ascii="Times New Roman" w:hAnsi="Times New Roman"/>
                <w:sz w:val="20"/>
              </w:rPr>
            </w:pPr>
            <w:r>
              <w:rPr>
                <w:rFonts w:ascii="Times New Roman" w:hAnsi="Times New Roman"/>
                <w:sz w:val="20"/>
              </w:rPr>
              <w:t>Nicholas Maestas</w:t>
            </w:r>
          </w:p>
        </w:tc>
        <w:tc>
          <w:tcPr>
            <w:tcW w:w="120" w:type="dxa"/>
            <w:tcBorders/>
            <w:vAlign w:val="bottom"/>
          </w:tcPr>
          <w:p>
            <w:pPr>
              <w:pStyle w:val="TableContents"/>
              <w:bidi w:val="0"/>
              <w:spacing w:before="0" w:after="283"/>
              <w:jc w:val="left"/>
              <w:rPr/>
            </w:pPr>
            <w:r>
              <w:rPr/>
              <w:t>  </w:t>
            </w:r>
          </w:p>
        </w:tc>
        <w:tc>
          <w:tcPr>
            <w:tcW w:w="4291"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Strategy and Finance and Secretary</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w:t>
            </w:r>
          </w:p>
        </w:tc>
        <w:tc>
          <w:tcPr>
            <w:tcW w:w="105" w:type="dxa"/>
            <w:tcBorders/>
            <w:vAlign w:val="bottom"/>
          </w:tcPr>
          <w:p>
            <w:pPr>
              <w:pStyle w:val="TableContents"/>
              <w:bidi w:val="0"/>
              <w:spacing w:before="0" w:after="283"/>
              <w:jc w:val="left"/>
              <w:rPr/>
            </w:pPr>
            <w:r>
              <w:rPr/>
              <w:t> </w:t>
            </w:r>
          </w:p>
        </w:tc>
        <w:tc>
          <w:tcPr>
            <w:tcW w:w="1935" w:type="dxa"/>
            <w:tcBorders/>
          </w:tcPr>
          <w:p>
            <w:pPr>
              <w:pStyle w:val="TableContents"/>
              <w:bidi w:val="0"/>
              <w:spacing w:before="0" w:after="283"/>
              <w:jc w:val="left"/>
              <w:rPr/>
            </w:pPr>
            <w:r>
              <w:rPr/>
              <w:t>November 17, 2023</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1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Justin Trojanowski</w:t>
            </w:r>
          </w:p>
          <w:p>
            <w:pPr>
              <w:pStyle w:val="TableContents"/>
              <w:bidi w:val="0"/>
              <w:spacing w:before="0" w:after="20"/>
              <w:jc w:val="center"/>
              <w:rPr>
                <w:rFonts w:ascii="Times New Roman" w:hAnsi="Times New Roman"/>
                <w:sz w:val="20"/>
              </w:rPr>
            </w:pPr>
            <w:r>
              <w:rPr>
                <w:rFonts w:ascii="Times New Roman" w:hAnsi="Times New Roman"/>
                <w:sz w:val="20"/>
              </w:rPr>
              <w:t>Justin Trojanowski</w:t>
            </w:r>
          </w:p>
        </w:tc>
        <w:tc>
          <w:tcPr>
            <w:tcW w:w="120" w:type="dxa"/>
            <w:tcBorders/>
            <w:vAlign w:val="bottom"/>
          </w:tcPr>
          <w:p>
            <w:pPr>
              <w:pStyle w:val="TableContents"/>
              <w:bidi w:val="0"/>
              <w:spacing w:before="0" w:after="283"/>
              <w:jc w:val="left"/>
              <w:rPr/>
            </w:pPr>
            <w:r>
              <w:rPr/>
              <w:t>  </w:t>
            </w:r>
          </w:p>
        </w:tc>
        <w:tc>
          <w:tcPr>
            <w:tcW w:w="4291" w:type="dxa"/>
            <w:tcBorders/>
          </w:tcPr>
          <w:p>
            <w:pPr>
              <w:pStyle w:val="TableContents"/>
              <w:bidi w:val="0"/>
              <w:spacing w:before="0" w:after="0"/>
              <w:jc w:val="left"/>
              <w:rPr>
                <w:rFonts w:ascii="Times New Roman" w:hAnsi="Times New Roman"/>
                <w:sz w:val="20"/>
              </w:rPr>
            </w:pPr>
            <w:r>
              <w:rPr>
                <w:rFonts w:ascii="Times New Roman" w:hAnsi="Times New Roman"/>
                <w:sz w:val="20"/>
              </w:rPr>
              <w:t>Corporate Controller, Treasurer</w:t>
            </w:r>
          </w:p>
          <w:p>
            <w:pPr>
              <w:pStyle w:val="TableContents"/>
              <w:bidi w:val="0"/>
              <w:spacing w:before="0" w:after="20"/>
              <w:jc w:val="left"/>
              <w:rPr>
                <w:rFonts w:ascii="Times New Roman" w:hAnsi="Times New Roman"/>
                <w:i/>
                <w:sz w:val="20"/>
              </w:rPr>
            </w:pPr>
            <w:r>
              <w:rPr>
                <w:rFonts w:ascii="Times New Roman" w:hAnsi="Times New Roman"/>
                <w:i/>
                <w:sz w:val="20"/>
              </w:rPr>
              <w:t>(Principal Accounting Officer)</w:t>
            </w:r>
          </w:p>
        </w:tc>
        <w:tc>
          <w:tcPr>
            <w:tcW w:w="105" w:type="dxa"/>
            <w:tcBorders/>
            <w:vAlign w:val="bottom"/>
          </w:tcPr>
          <w:p>
            <w:pPr>
              <w:pStyle w:val="TableContents"/>
              <w:bidi w:val="0"/>
              <w:spacing w:before="0" w:after="283"/>
              <w:jc w:val="left"/>
              <w:rPr/>
            </w:pPr>
            <w:r>
              <w:rPr/>
              <w:t> </w:t>
            </w:r>
          </w:p>
        </w:tc>
        <w:tc>
          <w:tcPr>
            <w:tcW w:w="1935" w:type="dxa"/>
            <w:tcBorders/>
          </w:tcPr>
          <w:p>
            <w:pPr>
              <w:pStyle w:val="TableContents"/>
              <w:bidi w:val="0"/>
              <w:spacing w:before="0" w:after="283"/>
              <w:jc w:val="left"/>
              <w:rPr/>
            </w:pPr>
            <w:r>
              <w:rPr/>
              <w:t>November 17, 2023</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1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Raab</w:t>
            </w:r>
          </w:p>
          <w:p>
            <w:pPr>
              <w:pStyle w:val="TableContents"/>
              <w:bidi w:val="0"/>
              <w:spacing w:before="0" w:after="20"/>
              <w:jc w:val="center"/>
              <w:rPr>
                <w:rFonts w:ascii="Times New Roman" w:hAnsi="Times New Roman"/>
                <w:sz w:val="20"/>
              </w:rPr>
            </w:pPr>
            <w:r>
              <w:rPr>
                <w:rFonts w:ascii="Times New Roman" w:hAnsi="Times New Roman"/>
                <w:sz w:val="20"/>
              </w:rPr>
              <w:t>Michael Raab</w:t>
            </w:r>
          </w:p>
        </w:tc>
        <w:tc>
          <w:tcPr>
            <w:tcW w:w="120" w:type="dxa"/>
            <w:tcBorders/>
            <w:vAlign w:val="bottom"/>
          </w:tcPr>
          <w:p>
            <w:pPr>
              <w:pStyle w:val="TableContents"/>
              <w:bidi w:val="0"/>
              <w:spacing w:before="0" w:after="283"/>
              <w:jc w:val="left"/>
              <w:rPr/>
            </w:pPr>
            <w:r>
              <w:rPr/>
              <w:t>  </w:t>
            </w:r>
          </w:p>
        </w:tc>
        <w:tc>
          <w:tcPr>
            <w:tcW w:w="4291" w:type="dxa"/>
            <w:tcBorders/>
          </w:tcPr>
          <w:p>
            <w:pPr>
              <w:pStyle w:val="TableContents"/>
              <w:bidi w:val="0"/>
              <w:spacing w:before="0" w:after="283"/>
              <w:jc w:val="left"/>
              <w:rPr/>
            </w:pPr>
            <w:r>
              <w:rPr/>
              <w:t>Chairman of the Board of Directors</w:t>
            </w:r>
          </w:p>
        </w:tc>
        <w:tc>
          <w:tcPr>
            <w:tcW w:w="105" w:type="dxa"/>
            <w:tcBorders/>
            <w:vAlign w:val="bottom"/>
          </w:tcPr>
          <w:p>
            <w:pPr>
              <w:pStyle w:val="TableContents"/>
              <w:bidi w:val="0"/>
              <w:spacing w:before="0" w:after="283"/>
              <w:jc w:val="left"/>
              <w:rPr/>
            </w:pPr>
            <w:r>
              <w:rPr/>
              <w:t> </w:t>
            </w:r>
          </w:p>
        </w:tc>
        <w:tc>
          <w:tcPr>
            <w:tcW w:w="1935" w:type="dxa"/>
            <w:tcBorders/>
          </w:tcPr>
          <w:p>
            <w:pPr>
              <w:pStyle w:val="TableContents"/>
              <w:bidi w:val="0"/>
              <w:spacing w:before="0" w:after="283"/>
              <w:jc w:val="left"/>
              <w:rPr/>
            </w:pPr>
            <w:r>
              <w:rPr/>
              <w:t>November 17, 2023</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1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Geoff Nichol, M.B., Ch.B., M.B.A.</w:t>
            </w:r>
          </w:p>
          <w:p>
            <w:pPr>
              <w:pStyle w:val="TableContents"/>
              <w:bidi w:val="0"/>
              <w:spacing w:before="0" w:after="20"/>
              <w:jc w:val="center"/>
              <w:rPr>
                <w:rFonts w:ascii="Times New Roman" w:hAnsi="Times New Roman"/>
                <w:sz w:val="20"/>
              </w:rPr>
            </w:pPr>
            <w:r>
              <w:rPr>
                <w:rFonts w:ascii="Times New Roman" w:hAnsi="Times New Roman"/>
                <w:sz w:val="20"/>
              </w:rPr>
              <w:t>Geoff Nichol, M.B., Ch.B., M.B.A.</w:t>
            </w:r>
          </w:p>
        </w:tc>
        <w:tc>
          <w:tcPr>
            <w:tcW w:w="120" w:type="dxa"/>
            <w:tcBorders/>
            <w:vAlign w:val="bottom"/>
          </w:tcPr>
          <w:p>
            <w:pPr>
              <w:pStyle w:val="TableContents"/>
              <w:bidi w:val="0"/>
              <w:spacing w:before="0" w:after="283"/>
              <w:jc w:val="left"/>
              <w:rPr/>
            </w:pPr>
            <w:r>
              <w:rPr/>
              <w:t>  </w:t>
            </w:r>
          </w:p>
        </w:tc>
        <w:tc>
          <w:tcPr>
            <w:tcW w:w="4291" w:type="dxa"/>
            <w:tcBorders/>
          </w:tcPr>
          <w:p>
            <w:pPr>
              <w:pStyle w:val="TableContents"/>
              <w:bidi w:val="0"/>
              <w:spacing w:before="0" w:after="283"/>
              <w:jc w:val="left"/>
              <w:rPr/>
            </w:pPr>
            <w:r>
              <w:rPr/>
              <w:t>Director</w:t>
            </w:r>
          </w:p>
        </w:tc>
        <w:tc>
          <w:tcPr>
            <w:tcW w:w="105" w:type="dxa"/>
            <w:tcBorders/>
            <w:vAlign w:val="bottom"/>
          </w:tcPr>
          <w:p>
            <w:pPr>
              <w:pStyle w:val="TableContents"/>
              <w:bidi w:val="0"/>
              <w:spacing w:before="0" w:after="283"/>
              <w:jc w:val="left"/>
              <w:rPr/>
            </w:pPr>
            <w:r>
              <w:rPr/>
              <w:t> </w:t>
            </w:r>
          </w:p>
        </w:tc>
        <w:tc>
          <w:tcPr>
            <w:tcW w:w="1935" w:type="dxa"/>
            <w:tcBorders/>
          </w:tcPr>
          <w:p>
            <w:pPr>
              <w:pStyle w:val="TableContents"/>
              <w:bidi w:val="0"/>
              <w:spacing w:before="0" w:after="283"/>
              <w:jc w:val="left"/>
              <w:rPr/>
            </w:pPr>
            <w:r>
              <w:rPr/>
              <w:t>November 17, 2023</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1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Christine Pellizzari</w:t>
            </w:r>
          </w:p>
          <w:p>
            <w:pPr>
              <w:pStyle w:val="TableContents"/>
              <w:bidi w:val="0"/>
              <w:spacing w:before="0" w:after="20"/>
              <w:jc w:val="center"/>
              <w:rPr>
                <w:rFonts w:ascii="Times New Roman" w:hAnsi="Times New Roman"/>
                <w:sz w:val="20"/>
              </w:rPr>
            </w:pPr>
            <w:r>
              <w:rPr>
                <w:rFonts w:ascii="Times New Roman" w:hAnsi="Times New Roman"/>
                <w:sz w:val="20"/>
              </w:rPr>
              <w:t>Christine Pellizzari</w:t>
            </w:r>
          </w:p>
        </w:tc>
        <w:tc>
          <w:tcPr>
            <w:tcW w:w="120" w:type="dxa"/>
            <w:tcBorders/>
            <w:vAlign w:val="bottom"/>
          </w:tcPr>
          <w:p>
            <w:pPr>
              <w:pStyle w:val="TableContents"/>
              <w:bidi w:val="0"/>
              <w:spacing w:before="0" w:after="283"/>
              <w:jc w:val="left"/>
              <w:rPr/>
            </w:pPr>
            <w:r>
              <w:rPr/>
              <w:t>  </w:t>
            </w:r>
          </w:p>
        </w:tc>
        <w:tc>
          <w:tcPr>
            <w:tcW w:w="4291" w:type="dxa"/>
            <w:tcBorders/>
          </w:tcPr>
          <w:p>
            <w:pPr>
              <w:pStyle w:val="TableContents"/>
              <w:bidi w:val="0"/>
              <w:spacing w:before="0" w:after="283"/>
              <w:jc w:val="left"/>
              <w:rPr/>
            </w:pPr>
            <w:r>
              <w:rPr/>
              <w:t>Director</w:t>
            </w:r>
          </w:p>
        </w:tc>
        <w:tc>
          <w:tcPr>
            <w:tcW w:w="105" w:type="dxa"/>
            <w:tcBorders/>
            <w:vAlign w:val="bottom"/>
          </w:tcPr>
          <w:p>
            <w:pPr>
              <w:pStyle w:val="TableContents"/>
              <w:bidi w:val="0"/>
              <w:spacing w:before="0" w:after="283"/>
              <w:jc w:val="left"/>
              <w:rPr/>
            </w:pPr>
            <w:r>
              <w:rPr/>
              <w:t> </w:t>
            </w:r>
          </w:p>
        </w:tc>
        <w:tc>
          <w:tcPr>
            <w:tcW w:w="1935" w:type="dxa"/>
            <w:tcBorders/>
          </w:tcPr>
          <w:p>
            <w:pPr>
              <w:pStyle w:val="TableContents"/>
              <w:bidi w:val="0"/>
              <w:spacing w:before="0" w:after="283"/>
              <w:jc w:val="left"/>
              <w:rPr/>
            </w:pPr>
            <w:r>
              <w:rPr/>
              <w:t>November 17, 2023</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1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Ronit Simantov</w:t>
            </w:r>
          </w:p>
          <w:p>
            <w:pPr>
              <w:pStyle w:val="TableContents"/>
              <w:bidi w:val="0"/>
              <w:spacing w:before="0" w:after="20"/>
              <w:jc w:val="center"/>
              <w:rPr>
                <w:rFonts w:ascii="Times New Roman" w:hAnsi="Times New Roman"/>
                <w:sz w:val="20"/>
              </w:rPr>
            </w:pPr>
            <w:r>
              <w:rPr>
                <w:rFonts w:ascii="Times New Roman" w:hAnsi="Times New Roman"/>
                <w:sz w:val="20"/>
              </w:rPr>
              <w:t>Ronit Simantov</w:t>
            </w:r>
          </w:p>
        </w:tc>
        <w:tc>
          <w:tcPr>
            <w:tcW w:w="120" w:type="dxa"/>
            <w:tcBorders/>
            <w:vAlign w:val="bottom"/>
          </w:tcPr>
          <w:p>
            <w:pPr>
              <w:pStyle w:val="TableContents"/>
              <w:bidi w:val="0"/>
              <w:spacing w:before="0" w:after="283"/>
              <w:jc w:val="left"/>
              <w:rPr/>
            </w:pPr>
            <w:r>
              <w:rPr/>
              <w:t>  </w:t>
            </w:r>
          </w:p>
        </w:tc>
        <w:tc>
          <w:tcPr>
            <w:tcW w:w="4291" w:type="dxa"/>
            <w:tcBorders/>
          </w:tcPr>
          <w:p>
            <w:pPr>
              <w:pStyle w:val="TableContents"/>
              <w:bidi w:val="0"/>
              <w:spacing w:before="0" w:after="283"/>
              <w:jc w:val="left"/>
              <w:rPr/>
            </w:pPr>
            <w:r>
              <w:rPr/>
              <w:t>Director</w:t>
            </w:r>
          </w:p>
        </w:tc>
        <w:tc>
          <w:tcPr>
            <w:tcW w:w="105" w:type="dxa"/>
            <w:tcBorders/>
            <w:vAlign w:val="bottom"/>
          </w:tcPr>
          <w:p>
            <w:pPr>
              <w:pStyle w:val="TableContents"/>
              <w:bidi w:val="0"/>
              <w:spacing w:before="0" w:after="283"/>
              <w:jc w:val="left"/>
              <w:rPr/>
            </w:pPr>
            <w:r>
              <w:rPr/>
              <w:t> </w:t>
            </w:r>
          </w:p>
        </w:tc>
        <w:tc>
          <w:tcPr>
            <w:tcW w:w="1935" w:type="dxa"/>
            <w:tcBorders/>
          </w:tcPr>
          <w:p>
            <w:pPr>
              <w:pStyle w:val="TableContents"/>
              <w:bidi w:val="0"/>
              <w:spacing w:before="0" w:after="283"/>
              <w:jc w:val="left"/>
              <w:rPr/>
            </w:pPr>
            <w:r>
              <w:rPr/>
              <w:t>November 17, 2023</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3" w:name="d599420dex51.htm"/>
      <w:bookmarkStart w:id="4" w:name="ksd599420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2"/>
                    <a:stretch>
                      <a:fillRect/>
                    </a:stretch>
                  </pic:blipFill>
                  <pic:spPr bwMode="auto">
                    <a:xfrm>
                      <a:off x="0" y="0"/>
                      <a:ext cx="1295400"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November 17, 2023 </w:t>
      </w:r>
    </w:p>
    <w:p>
      <w:pPr>
        <w:pStyle w:val="TextBody"/>
        <w:bidi w:val="0"/>
        <w:spacing w:before="240" w:after="0"/>
        <w:jc w:val="left"/>
        <w:rPr>
          <w:rFonts w:ascii="Times New Roman" w:hAnsi="Times New Roman"/>
          <w:sz w:val="20"/>
        </w:rPr>
      </w:pPr>
      <w:r>
        <w:rPr>
          <w:rFonts w:ascii="Times New Roman" w:hAnsi="Times New Roman"/>
          <w:sz w:val="20"/>
        </w:rPr>
        <w:t xml:space="preserve">Laura Berezin </w:t>
      </w:r>
    </w:p>
    <w:p>
      <w:pPr>
        <w:pStyle w:val="TextBody"/>
        <w:bidi w:val="0"/>
        <w:spacing w:before="0" w:after="0"/>
        <w:jc w:val="left"/>
        <w:rPr>
          <w:rFonts w:ascii="Times New Roman" w:hAnsi="Times New Roman"/>
          <w:sz w:val="20"/>
        </w:rPr>
      </w:pPr>
      <w:r>
        <w:rPr>
          <w:rFonts w:ascii="Times New Roman" w:hAnsi="Times New Roman"/>
          <w:sz w:val="20"/>
        </w:rPr>
        <w:t xml:space="preserve">T: +1 650 843 5128 </w:t>
      </w:r>
    </w:p>
    <w:p>
      <w:pPr>
        <w:pStyle w:val="TextBody"/>
        <w:bidi w:val="0"/>
        <w:spacing w:before="0" w:after="0"/>
        <w:jc w:val="left"/>
        <w:rPr>
          <w:rFonts w:ascii="Times New Roman" w:hAnsi="Times New Roman"/>
          <w:sz w:val="20"/>
        </w:rPr>
      </w:pPr>
      <w:r>
        <w:rPr>
          <w:rFonts w:ascii="Times New Roman" w:hAnsi="Times New Roman"/>
          <w:sz w:val="20"/>
        </w:rPr>
        <w:t xml:space="preserve">lberezin@cooley.com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2000 Sierra Point Parkway, Suite 400 </w:t>
      </w:r>
    </w:p>
    <w:p>
      <w:pPr>
        <w:pStyle w:val="TextBody"/>
        <w:bidi w:val="0"/>
        <w:spacing w:before="0" w:after="0"/>
        <w:jc w:val="left"/>
        <w:rPr>
          <w:rFonts w:ascii="Times New Roman" w:hAnsi="Times New Roman"/>
          <w:sz w:val="20"/>
        </w:rPr>
      </w:pPr>
      <w:r>
        <w:rPr>
          <w:rFonts w:ascii="Times New Roman" w:hAnsi="Times New Roman"/>
          <w:sz w:val="20"/>
        </w:rPr>
        <w:t xml:space="preserve">Brisbane, California 94005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Tempest Therapeutics, Inc., a Delaware corporation (the </w:t>
      </w:r>
      <w:r>
        <w:rPr>
          <w:rFonts w:ascii="Times New Roman" w:hAnsi="Times New Roman"/>
          <w:b/>
          <w:i/>
          <w:sz w:val="20"/>
        </w:rPr>
        <w:t>Company</w:t>
      </w:r>
      <w:r>
        <w:rPr>
          <w:rFonts w:ascii="Times New Roman" w:hAnsi="Times New Roman"/>
          <w:sz w:val="20"/>
        </w:rPr>
        <w:t>), in connection with the filing by the Company with the Securities and Exchange Commission (the </w:t>
      </w:r>
      <w:r>
        <w:rPr>
          <w:rFonts w:ascii="Times New Roman" w:hAnsi="Times New Roman"/>
          <w:b/>
          <w:i/>
          <w:sz w:val="20"/>
        </w:rPr>
        <w:t>Commission</w:t>
      </w:r>
      <w:r>
        <w:rPr>
          <w:rFonts w:ascii="Times New Roman" w:hAnsi="Times New Roman"/>
          <w:sz w:val="20"/>
        </w:rPr>
        <w:t>) of a Post-Effective Amendment No. 1 to each of the Companys registration statements on Form S-8 (File Nos. 333-265718, 333-264943, 333-255261, 333-249993 and 333-235515), as filed with the Commission on June 21, 2022, May 13, 2022, July 7, 2021, April 15, 2021, November 10, 2020, and December 16, 2019, respectively (such registration statements, collectively, the </w:t>
      </w:r>
      <w:r>
        <w:rPr>
          <w:rFonts w:ascii="Times New Roman" w:hAnsi="Times New Roman"/>
          <w:b/>
          <w:i/>
          <w:sz w:val="20"/>
        </w:rPr>
        <w:t>Prior Registration Statements</w:t>
      </w:r>
      <w:r>
        <w:rPr>
          <w:rFonts w:ascii="Times New Roman" w:hAnsi="Times New Roman"/>
          <w:sz w:val="20"/>
        </w:rPr>
        <w:t>, and the post-effective amendment to each of the Prior Registration Statements, collectively, the </w:t>
      </w:r>
      <w:r>
        <w:rPr>
          <w:rFonts w:ascii="Times New Roman" w:hAnsi="Times New Roman"/>
          <w:b/>
          <w:i/>
          <w:sz w:val="20"/>
        </w:rPr>
        <w:t>Post-Effective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Prior Registration Statements covered the offering of shares of the Companys common stock, par value $0.001 per share (</w:t>
      </w:r>
      <w:r>
        <w:rPr>
          <w:rFonts w:ascii="Times New Roman" w:hAnsi="Times New Roman"/>
          <w:b/>
          <w:i/>
          <w:sz w:val="20"/>
        </w:rPr>
        <w:t>Common Stock</w:t>
      </w:r>
      <w:r>
        <w:rPr>
          <w:rFonts w:ascii="Times New Roman" w:hAnsi="Times New Roman"/>
          <w:sz w:val="20"/>
        </w:rPr>
        <w:t>), previously available for issuance under the Companys 2019 Equity Incentive Plan (including such plan as amended and restated, the </w:t>
      </w:r>
      <w:r>
        <w:rPr>
          <w:rFonts w:ascii="Times New Roman" w:hAnsi="Times New Roman"/>
          <w:b/>
          <w:i/>
          <w:sz w:val="20"/>
        </w:rPr>
        <w:t>Prior Plan</w:t>
      </w:r>
      <w:r>
        <w:rPr>
          <w:rFonts w:ascii="Times New Roman" w:hAnsi="Times New Roman"/>
          <w:sz w:val="20"/>
        </w:rPr>
        <w:t>). For purposes of this opinion, the </w:t>
      </w:r>
      <w:r>
        <w:rPr>
          <w:rFonts w:ascii="Times New Roman" w:hAnsi="Times New Roman"/>
          <w:b/>
          <w:i/>
          <w:sz w:val="20"/>
        </w:rPr>
        <w:t>Shares</w:t>
      </w:r>
      <w:r>
        <w:rPr>
          <w:rFonts w:ascii="Times New Roman" w:hAnsi="Times New Roman"/>
          <w:sz w:val="20"/>
        </w:rPr>
        <w:t> means up to 202,914 shares of Common Stock, which is the number of shares of Common Stock subject to outstanding stock awards granted under the Prior Plans, that from and after June 15, 2023, may become available for grant under the Companys Amended and Restated 2023 Equity Incentive Plan (the </w:t>
      </w:r>
      <w:r>
        <w:rPr>
          <w:rFonts w:ascii="Times New Roman" w:hAnsi="Times New Roman"/>
          <w:b/>
          <w:i/>
          <w:sz w:val="20"/>
        </w:rPr>
        <w:t>2023 Plan</w:t>
      </w:r>
      <w:r>
        <w:rPr>
          <w:rFonts w:ascii="Times New Roman" w:hAnsi="Times New Roman"/>
          <w:sz w:val="20"/>
        </w:rPr>
        <w:t>) as described in the Post-Effective Amendments. Each share of Common Stock includes a preferred share purchase right (each, a </w:t>
      </w:r>
      <w:r>
        <w:rPr>
          <w:rFonts w:ascii="Times New Roman" w:hAnsi="Times New Roman"/>
          <w:b/>
          <w:i/>
          <w:sz w:val="20"/>
        </w:rPr>
        <w:t>Right</w:t>
      </w:r>
      <w:r>
        <w:rPr>
          <w:rFonts w:ascii="Times New Roman" w:hAnsi="Times New Roman"/>
          <w:i/>
          <w:sz w:val="20"/>
        </w:rPr>
        <w:t>,</w:t>
      </w:r>
      <w:r>
        <w:rPr>
          <w:rFonts w:ascii="Times New Roman" w:hAnsi="Times New Roman"/>
          <w:sz w:val="20"/>
        </w:rPr>
        <w:t> collectively, the </w:t>
      </w:r>
      <w:r>
        <w:rPr>
          <w:rFonts w:ascii="Times New Roman" w:hAnsi="Times New Roman"/>
          <w:b/>
          <w:i/>
          <w:sz w:val="20"/>
        </w:rPr>
        <w:t>Rights</w:t>
      </w:r>
      <w:r>
        <w:rPr>
          <w:rFonts w:ascii="Times New Roman" w:hAnsi="Times New Roman"/>
          <w:sz w:val="20"/>
        </w:rPr>
        <w:t>) as set forth in Rights Agreement (the </w:t>
      </w:r>
      <w:r>
        <w:rPr>
          <w:rFonts w:ascii="Times New Roman" w:hAnsi="Times New Roman"/>
          <w:b/>
          <w:i/>
          <w:sz w:val="20"/>
        </w:rPr>
        <w:t>Rights Plan</w:t>
      </w:r>
      <w:r>
        <w:rPr>
          <w:rFonts w:ascii="Times New Roman" w:hAnsi="Times New Roman"/>
          <w:sz w:val="20"/>
        </w:rPr>
        <w:t>), dated as October 10, 2023, between the Company and Computershare Trust Company, N.A., as rights agent (the </w:t>
      </w:r>
      <w:r>
        <w:rPr>
          <w:rFonts w:ascii="Times New Roman" w:hAnsi="Times New Roman"/>
          <w:b/>
          <w:i/>
          <w:sz w:val="20"/>
        </w:rPr>
        <w:t>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Prior Registration Statements, the Post-Effective Amendments and related prospectus, (b) the Companys certificate of incorporation and bylaws, each as currently in effect, (c) the Prior Plan, (d) the 2023 Plan, (e) the Rights Plan, and (f)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opinion concerning the Rights: </w:t>
      </w:r>
    </w:p>
    <w:p>
      <w:pPr>
        <w:pStyle w:val="TextBody"/>
        <w:bidi w:val="0"/>
        <w:spacing w:before="120" w:after="0"/>
        <w:jc w:val="left"/>
        <w:rPr>
          <w:rFonts w:ascii="Times New Roman" w:hAnsi="Times New Roman"/>
          <w:sz w:val="20"/>
        </w:rPr>
      </w:pPr>
      <w:r>
        <w:rPr>
          <w:rFonts w:ascii="Times New Roman" w:hAnsi="Times New Roman"/>
          <w:sz w:val="20"/>
        </w:rPr>
        <w:t>(i) Our opinion does not address the determination a court of competent jurisdiction may make regarding whether the Companys board of directors (the </w:t>
      </w:r>
      <w:r>
        <w:rPr>
          <w:rFonts w:ascii="Times New Roman" w:hAnsi="Times New Roman"/>
          <w:b/>
          <w:i/>
          <w:sz w:val="20"/>
        </w:rPr>
        <w:t>Board</w:t>
      </w:r>
      <w:r>
        <w:rPr>
          <w:rFonts w:ascii="Times New Roman" w:hAnsi="Times New Roman"/>
          <w:sz w:val="20"/>
        </w:rPr>
        <w:t xml:space="preserve">) may be required to redeem or terminate, or take other action with respect to, the Rights or Rights Plan in the future based on the facts and circumstances then existing. </w:t>
      </w:r>
    </w:p>
    <w:p>
      <w:pPr>
        <w:pStyle w:val="TextBody"/>
        <w:bidi w:val="0"/>
        <w:spacing w:before="240" w:after="0"/>
        <w:jc w:val="left"/>
        <w:rPr>
          <w:rFonts w:ascii="Times New Roman" w:hAnsi="Times New Roman"/>
          <w:sz w:val="20"/>
        </w:rPr>
      </w:pPr>
      <w:r>
        <w:rPr>
          <w:rFonts w:ascii="Times New Roman" w:hAnsi="Times New Roman"/>
          <w:sz w:val="20"/>
        </w:rPr>
        <w:t xml:space="preserve">(ii) 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offered in the future under the Registration Statement, our opinion assumes the Rights Plan has not been terminated by the Company or expired by its terms and the Rights have not expired or been redeemed or exchanged by the Company, in each case, prior to the issuance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(iii) Our opinion addresses corporate procedures in connection with the issuance of the Rights associated with shares of Common Stock of the Company, and not any particular provision of the Rights or the Rights Plan. It should be understood that it is not settled whether the invalidity of any particular provision of a rights agreement or purchase rights issued thereunder would invalidate such rights in their entirety.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foregoing, and in reliance thereon, and subject to the qualifications herein stated, we are of the opinion that the Shares and associated Rights, when sold and issued in accordance with the 2023 Plan, the Post-Effective Amendments and related prospectus, will be validly issued, fully paid, and nonassessable (except as to shares issued pursuant to deferred payment arrangements which will be fully paid and nonassessable when such deferred payments are made in full).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should be implied, or may be inferred, beyond the matters expressly stated. This opinion speaks only as to law and facts in effect or existing as of the date hereof and we undertake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Post-Effective Amendments. In giving such consent, we do not thereby admit that we are in the category of persons whose consent is required under Section 7 of the Securities Act of 1933, as amended, or the rules and regulations of the Commission. </w:t>
      </w:r>
    </w:p>
    <w:p>
      <w:pPr>
        <w:pStyle w:val="TextBody"/>
        <w:bidi w:val="0"/>
        <w:spacing w:before="36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w:t>
            </w:r>
            <w:r>
              <w:rPr>
                <w:sz w:val="20"/>
              </w:rPr>
              <w:t>OOLEY</w:t>
            </w:r>
            <w:r>
              <w:rPr/>
              <w:t xml:space="preserve"> LLP</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Laura Berezin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Laura Berezin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1700 Seventh Avenue, Suite 1900 Seattle, WA 98101-1355 </w:t>
      </w:r>
    </w:p>
    <w:p>
      <w:pPr>
        <w:pStyle w:val="TextBody"/>
        <w:bidi w:val="0"/>
        <w:spacing w:before="0" w:after="0"/>
        <w:jc w:val="center"/>
        <w:rPr>
          <w:rFonts w:ascii="Times New Roman" w:hAnsi="Times New Roman"/>
          <w:sz w:val="20"/>
        </w:rPr>
      </w:pPr>
      <w:r>
        <w:rPr>
          <w:rFonts w:ascii="Times New Roman" w:hAnsi="Times New Roman"/>
          <w:sz w:val="20"/>
        </w:rPr>
        <w:t xml:space="preserve">t: (206) 452-8700 f: (206) 452-8800 cooley.com </w:t>
      </w:r>
    </w:p>
    <w:p>
      <w:pPr>
        <w:pStyle w:val="TextBody"/>
        <w:bidi w:val="0"/>
        <w:spacing w:before="0" w:after="0"/>
        <w:jc w:val="right"/>
        <w:rPr>
          <w:rFonts w:ascii="Times New Roman" w:hAnsi="Times New Roman"/>
          <w:b/>
          <w:sz w:val="20"/>
        </w:rPr>
      </w:pPr>
      <w:bookmarkStart w:id="5" w:name="d599420dex232.htm"/>
      <w:bookmarkStart w:id="6" w:name="ksd599420dex232"/>
      <w:bookmarkEnd w:id="5"/>
      <w:bookmarkEnd w:id="6"/>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Statements (Post-Effective Amendment No. 1 on Form S-8 Nos. 333-265718, 333-264943, 333-255261, 333-249993, and 333-235515) pertaining to the Tempest Therapeutics, Inc. Amended and Restated 2023 Equity Incentive Plan, Tempest Amended and Restated 2019 Equity Incentive Plan, and Millendo 2019 Equity Incentive Plan of our report dated March 22, 2023, with respect to the consolidated financial statements of Tempest Therapeutics, Inc. included in its Annual Report (Form 10-K) for the year ended December 31, 2022, filed with the Securities and Exchange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Ernst &amp; Young LLP</w:t>
            </w:r>
          </w:p>
        </w:tc>
      </w:tr>
      <w:tr>
        <w:trPr/>
        <w:tc>
          <w:tcPr>
            <w:tcW w:w="4082" w:type="dxa"/>
            <w:tcBorders/>
          </w:tcPr>
          <w:p>
            <w:pPr>
              <w:pStyle w:val="TableContents"/>
              <w:bidi w:val="0"/>
              <w:spacing w:before="0" w:after="283"/>
              <w:jc w:val="left"/>
              <w:rPr/>
            </w:pPr>
            <w:r>
              <w:rPr/>
              <w:t>Chicago, Illinois</w:t>
            </w:r>
          </w:p>
        </w:tc>
      </w:tr>
      <w:tr>
        <w:trPr/>
        <w:tc>
          <w:tcPr>
            <w:tcW w:w="4082" w:type="dxa"/>
            <w:tcBorders/>
          </w:tcPr>
          <w:p>
            <w:pPr>
              <w:pStyle w:val="TableContents"/>
              <w:bidi w:val="0"/>
              <w:spacing w:before="0" w:after="283"/>
              <w:jc w:val="left"/>
              <w:rPr/>
            </w:pPr>
            <w:r>
              <w:rPr/>
              <w:t>November 17, 2023</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44227/000119312522177081/d307046ds8.htm" TargetMode="External"/><Relationship Id="rId3" Type="http://schemas.openxmlformats.org/officeDocument/2006/relationships/hyperlink" Target="http://www.sec.gov/Archives/edgar/data/1544227/000119312522150094/d312473ds8.htm" TargetMode="External"/><Relationship Id="rId4" Type="http://schemas.openxmlformats.org/officeDocument/2006/relationships/hyperlink" Target="http://www.sec.gov/Archives/edgar/data/1544227/000154422721000021/mlnd-202104xsx8.htm" TargetMode="External"/><Relationship Id="rId5" Type="http://schemas.openxmlformats.org/officeDocument/2006/relationships/hyperlink" Target="http://www.sec.gov/Archives/edgar/data/1544227/000154422720000048/mlnd-202011xsx8.htm" TargetMode="External"/><Relationship Id="rId6" Type="http://schemas.openxmlformats.org/officeDocument/2006/relationships/hyperlink" Target="http://www.sec.gov/Archives/edgar/data/1544227/000110465919072796/a19-25226_1s8.htm" TargetMode="External"/><Relationship Id="rId7" Type="http://schemas.openxmlformats.org/officeDocument/2006/relationships/hyperlink" Target="http://www.sec.gov/Archives/edgar/data/1544227/000110465919072796/a19-25226_1s8.htm" TargetMode="External"/><Relationship Id="rId8" Type="http://schemas.openxmlformats.org/officeDocument/2006/relationships/hyperlink" Target="http://www.sec.gov/Archives/edgar/data/1544227/000154422720000048/mlnd-202011xsx8.htm" TargetMode="External"/><Relationship Id="rId9" Type="http://schemas.openxmlformats.org/officeDocument/2006/relationships/hyperlink" Target="http://www.sec.gov/Archives/edgar/data/1544227/000154422721000021/mlnd-202104xsx8.htm" TargetMode="External"/><Relationship Id="rId10" Type="http://schemas.openxmlformats.org/officeDocument/2006/relationships/hyperlink" Target="http://www.sec.gov/Archives/edgar/data/1544227/000119312522150094/d312473ds8.htm" TargetMode="External"/><Relationship Id="rId11" Type="http://schemas.openxmlformats.org/officeDocument/2006/relationships/hyperlink" Target="http://www.sec.gov/Archives/edgar/data/1544227/000119312522177081/d307046ds8.htm" TargetMode="External"/><Relationship Id="rId12" Type="http://schemas.openxmlformats.org/officeDocument/2006/relationships/hyperlink" Target="http://www.sec.gov/Archives/edgar/data/../../../ix?doc=/Archives/edgar/data/1544227/000095017023009237/tpst-20221231.htm" TargetMode="External"/><Relationship Id="rId13" Type="http://schemas.openxmlformats.org/officeDocument/2006/relationships/hyperlink" Target="http://www.sec.gov/Archives/edgar/data/../../../ix?doc=/Archives/edgar/data/1544227/000095017023020579/tpst-20230331.htm" TargetMode="External"/><Relationship Id="rId14" Type="http://schemas.openxmlformats.org/officeDocument/2006/relationships/hyperlink" Target="http://www.sec.gov/Archives/edgar/data/../../../ix?doc=/Archives/edgar/data/1544227/000095017023041429/tpst-20230630.htm" TargetMode="External"/><Relationship Id="rId15" Type="http://schemas.openxmlformats.org/officeDocument/2006/relationships/hyperlink" Target="http://www.sec.gov/Archives/edgar/data/../../../ix?doc=/Archives/edgar/data/1544227/000095017023061278/tpst-20230930.htm" TargetMode="External"/><Relationship Id="rId16" Type="http://schemas.openxmlformats.org/officeDocument/2006/relationships/hyperlink" Target="http://www.sec.gov/Archives/edgar/data/../../../ix?doc=/Archives/edgar/data/0001544227/000119312523088320/d495297d8k.htm" TargetMode="External"/><Relationship Id="rId17" Type="http://schemas.openxmlformats.org/officeDocument/2006/relationships/hyperlink" Target="http://www.sec.gov/Archives/edgar/data/../../../ix?doc=/Archives/edgar/data/0001544227/000119312523124510/d479206d8k.htm" TargetMode="External"/><Relationship Id="rId18" Type="http://schemas.openxmlformats.org/officeDocument/2006/relationships/hyperlink" Target="http://www.sec.gov/Archives/edgar/data/../../../ix?doc=/Archives/edgar/data/1544227/000119312523169021/d512429d8k.htm" TargetMode="External"/><Relationship Id="rId19" Type="http://schemas.openxmlformats.org/officeDocument/2006/relationships/hyperlink" Target="http://www.sec.gov/Archives/edgar/data/../../../ix?doc=/Archives/edgar/data/1544227/000119312523230659/d532461d8k.htm" TargetMode="External"/><Relationship Id="rId20" Type="http://schemas.openxmlformats.org/officeDocument/2006/relationships/hyperlink" Target="http://www.sec.gov/Archives/edgar/data/../../../ix?doc=/Archives/edgar/data/1544227/000119312523231557/d532614d8k.htm" TargetMode="External"/><Relationship Id="rId21" Type="http://schemas.openxmlformats.org/officeDocument/2006/relationships/hyperlink" Target="http://www.sec.gov/Archives/edgar/data/../../../ix?doc=/Archives/edgar/data/1544227/000119312523253882/d547808d8k.htm" TargetMode="External"/><Relationship Id="rId22" Type="http://schemas.openxmlformats.org/officeDocument/2006/relationships/hyperlink" Target="http://www.sec.gov/Archives/edgar/data/../../../ix?doc=/Archives/edgar/data/1544227/000119312523265621/d559172d8k.htm" TargetMode="External"/><Relationship Id="rId23" Type="http://schemas.openxmlformats.org/officeDocument/2006/relationships/hyperlink" Target="http://www.sec.gov/Archives/edgar/data/1544227/000110465913033085/a13-9660_28a12b.htm" TargetMode="External"/><Relationship Id="rId24" Type="http://schemas.openxmlformats.org/officeDocument/2006/relationships/hyperlink" Target="http://www.sec.gov/Archives/edgar/data/1544227/000119312522092417/d328059dex41.htm" TargetMode="External"/><Relationship Id="rId25" Type="http://schemas.openxmlformats.org/officeDocument/2006/relationships/hyperlink" Target="http://www.sec.gov/Archives/edgar/data/1544227/000155837019005038/mlnd-20190331ex31b53fa83.htm" TargetMode="External"/><Relationship Id="rId26" Type="http://schemas.openxmlformats.org/officeDocument/2006/relationships/hyperlink" Target="http://www.sec.gov/Archives/edgar/data/1544227/000119312521201157/d196630dex31.htm" TargetMode="External"/><Relationship Id="rId27" Type="http://schemas.openxmlformats.org/officeDocument/2006/relationships/hyperlink" Target="http://www.sec.gov/Archives/edgar/data/1544227/000119312521201157/d196630dex32.htm" TargetMode="External"/><Relationship Id="rId28" Type="http://schemas.openxmlformats.org/officeDocument/2006/relationships/hyperlink" Target="http://www.sec.gov/Archives/edgar/data/1544227/000119312523253882/d547808dex31.htm" TargetMode="External"/><Relationship Id="rId29" Type="http://schemas.openxmlformats.org/officeDocument/2006/relationships/hyperlink" Target="http://www.sec.gov/Archives/edgar/data/1544227/000119312521281694/d222030dex31.htm" TargetMode="External"/><Relationship Id="rId30" Type="http://schemas.openxmlformats.org/officeDocument/2006/relationships/hyperlink" Target="http://www.sec.gov/Archives/edgar/data/1544227/000095017023041429/tpst-ex10_1.htm" TargetMode="External"/><Relationship Id="rId31" Type="http://schemas.openxmlformats.org/officeDocument/2006/relationships/hyperlink" Target="http://www.sec.gov/Archives/edgar/data/1544227/000095017023041429/tpst-ex10_2.htm" TargetMode="External"/><Relationship Id="rId32"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3298</Words>
  <Characters>17106</Characters>
  <CharactersWithSpaces>20440</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