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190500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9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December 3,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184785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6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TEMPEST THERAPEUTICS,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175895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244"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001-35890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45-1472564</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34"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ind w:left="4084"/>
        <w:spacing w:after="0"/>
        <w:rPr>
          <w:sz w:val="20"/>
          <w:szCs w:val="20"/>
          <w:color w:val="auto"/>
        </w:rPr>
      </w:pPr>
      <w:r>
        <w:rPr>
          <w:rFonts w:ascii="Times New Roman" w:cs="Times New Roman" w:eastAsia="Times New Roman" w:hAnsi="Times New Roman"/>
          <w:sz w:val="18"/>
          <w:szCs w:val="18"/>
          <w:b w:val="1"/>
          <w:bCs w:val="1"/>
          <w:color w:val="auto"/>
        </w:rPr>
        <w:t>2000 Sierra Point Parkway, Suite 400</w:t>
      </w:r>
    </w:p>
    <w:p>
      <w:pPr>
        <w:spacing w:after="0" w:line="31" w:lineRule="exact"/>
        <w:rPr>
          <w:sz w:val="24"/>
          <w:szCs w:val="24"/>
          <w:color w:val="auto"/>
        </w:rPr>
      </w:pPr>
    </w:p>
    <w:p>
      <w:pPr>
        <w:ind w:left="4484"/>
        <w:spacing w:after="0"/>
        <w:rPr>
          <w:sz w:val="20"/>
          <w:szCs w:val="20"/>
          <w:color w:val="auto"/>
        </w:rPr>
      </w:pPr>
      <w:r>
        <w:rPr>
          <w:rFonts w:ascii="Times New Roman" w:cs="Times New Roman" w:eastAsia="Times New Roman" w:hAnsi="Times New Roman"/>
          <w:sz w:val="18"/>
          <w:szCs w:val="18"/>
          <w:b w:val="1"/>
          <w:bCs w:val="1"/>
          <w:color w:val="auto"/>
        </w:rPr>
        <w:t>Brisbane, California 94005</w:t>
      </w:r>
    </w:p>
    <w:p>
      <w:pPr>
        <w:spacing w:after="0" w:line="2"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pacing w:after="0" w:line="120"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 (415) 798-8589</w:t>
      </w:r>
    </w:p>
    <w:p>
      <w:pPr>
        <w:spacing w:after="0" w:line="156"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167640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p>
      <w:pPr>
        <w:spacing w:after="0" w:line="394"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u w:val="single" w:color="auto"/>
          <w:color w:val="auto"/>
        </w:rPr>
        <w:t>see</w:t>
      </w:r>
      <w:r>
        <w:rPr>
          <w:rFonts w:ascii="Times New Roman" w:cs="Times New Roman" w:eastAsia="Times New Roman" w:hAnsi="Times New Roman"/>
          <w:sz w:val="18"/>
          <w:szCs w:val="18"/>
          <w:color w:val="auto"/>
        </w:rPr>
        <w:t xml:space="preserve"> General Instruction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2560" w:hanging="4"/>
        <w:spacing w:after="0" w:line="418" w:lineRule="auto"/>
        <w:tabs>
          <w:tab w:leader="none" w:pos="43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50"/>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line="150"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line="150"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TPST</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Series A Junior Participating Preferred Purchase</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N/A</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Rights</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30"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40"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98"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information set forth under “Item 3.03 Material Modification to Rights of Security Holders” of this Current Report on Form 8-K is incorporated into this Item 1.01 by reference.</w:t>
      </w:r>
    </w:p>
    <w:p>
      <w:pPr>
        <w:spacing w:after="0" w:line="306"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3.03</w:t>
      </w:r>
      <w:r>
        <w:rPr>
          <w:sz w:val="20"/>
          <w:szCs w:val="20"/>
          <w:color w:val="auto"/>
        </w:rPr>
        <w:tab/>
      </w:r>
      <w:r>
        <w:rPr>
          <w:rFonts w:ascii="Times New Roman" w:cs="Times New Roman" w:eastAsia="Times New Roman" w:hAnsi="Times New Roman"/>
          <w:sz w:val="18"/>
          <w:szCs w:val="18"/>
          <w:b w:val="1"/>
          <w:bCs w:val="1"/>
          <w:color w:val="auto"/>
        </w:rPr>
        <w:t>Material Modification to Rights of Security Holders.</w:t>
      </w:r>
    </w:p>
    <w:p>
      <w:pPr>
        <w:spacing w:after="0" w:line="12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On December 5, 2024, Tempest Therapeutics, Inc., a Delaware corporation (the “Company”), entered into Amendment No. 2 (the “Amendment”) to the Rights Agreement, dated as of October 10, 2023, as amended, by and between the Company and Computershare Trust Company, N.A., as rights agent (as amended or otherwise modified prior to the date of such amendment, the “Rights Agreement”).</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Amendment makes certain technical amendments to the rights and obligations of the Company’s board of directors (the “Board”) to administer and make determinations with respect to the Rights Agreement and the rights issued thereunder. The Rights Agreement otherwise remains unmodified and in full force and effect in accordance with its terms.</w:t>
      </w:r>
    </w:p>
    <w:p>
      <w:pPr>
        <w:spacing w:after="0" w:line="176"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Amendment does not purport to be complete and is qualified in its entirety by reference to the complete text of the Amendment, a copy of which is filed as Exhibit 4.1 to this Current Report on Form 8-K and incorporated by reference into this Item 3.03.</w:t>
      </w:r>
    </w:p>
    <w:p>
      <w:pPr>
        <w:spacing w:after="0" w:line="306"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8"/>
          <w:szCs w:val="18"/>
          <w:b w:val="1"/>
          <w:bCs w:val="1"/>
          <w:color w:val="auto"/>
        </w:rPr>
        <w:t>Submission of Matters to a Vote of Security Holders.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December 3, 2024, the Company held a special meeting of stockholders (the “Special Meeting”) for the purpose of voting on the following proposal:</w:t>
      </w:r>
    </w:p>
    <w:p>
      <w:pPr>
        <w:spacing w:after="0" w:line="117" w:lineRule="exact"/>
        <w:rPr>
          <w:sz w:val="20"/>
          <w:szCs w:val="20"/>
          <w:color w:val="auto"/>
        </w:rPr>
      </w:pPr>
    </w:p>
    <w:p>
      <w:pPr>
        <w:ind w:left="440"/>
        <w:spacing w:after="0" w:line="266" w:lineRule="auto"/>
        <w:rPr>
          <w:sz w:val="20"/>
          <w:szCs w:val="20"/>
          <w:color w:val="auto"/>
        </w:rPr>
      </w:pPr>
      <w:r>
        <w:rPr>
          <w:rFonts w:ascii="Times New Roman" w:cs="Times New Roman" w:eastAsia="Times New Roman" w:hAnsi="Times New Roman"/>
          <w:sz w:val="18"/>
          <w:szCs w:val="18"/>
          <w:color w:val="auto"/>
        </w:rPr>
        <w:t>Approval of a series of alternate amendments to the Company’s Restated Certificate of Incorporation to effect, at the option of the Board, a reverse stock split of its common stock at a ratio in the range of 1-for-2 to 1-for-15, inclusive, with such ratio to be determined by the Board in its sole discretion.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stockholders approved the foregoing proposal. The final voting results were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1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Votes For</w:t>
            </w:r>
          </w:p>
        </w:tc>
        <w:tc>
          <w:tcPr>
            <w:tcW w:w="980" w:type="dxa"/>
            <w:vAlign w:val="bottom"/>
          </w:tcPr>
          <w:p>
            <w:pPr>
              <w:spacing w:after="0"/>
              <w:rPr>
                <w:sz w:val="13"/>
                <w:szCs w:val="13"/>
                <w:color w:val="auto"/>
              </w:rPr>
            </w:pPr>
          </w:p>
        </w:tc>
        <w:tc>
          <w:tcPr>
            <w:tcW w:w="2020" w:type="dxa"/>
            <w:vAlign w:val="bottom"/>
            <w:gridSpan w:val="4"/>
          </w:tcPr>
          <w:p>
            <w:pPr>
              <w:jc w:val="center"/>
              <w:ind w:right="1160"/>
              <w:spacing w:after="0"/>
              <w:rPr>
                <w:sz w:val="20"/>
                <w:szCs w:val="20"/>
                <w:color w:val="auto"/>
              </w:rPr>
            </w:pPr>
            <w:r>
              <w:rPr>
                <w:rFonts w:ascii="Times New Roman" w:cs="Times New Roman" w:eastAsia="Times New Roman" w:hAnsi="Times New Roman"/>
                <w:sz w:val="14"/>
                <w:szCs w:val="14"/>
                <w:b w:val="1"/>
                <w:bCs w:val="1"/>
                <w:color w:val="auto"/>
              </w:rPr>
              <w:t>Votes</w:t>
            </w:r>
          </w:p>
        </w:tc>
        <w:tc>
          <w:tcPr>
            <w:tcW w:w="3320" w:type="dxa"/>
            <w:vAlign w:val="bottom"/>
            <w:gridSpan w:val="2"/>
            <w:vMerge w:val="restart"/>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Abstentions</w:t>
            </w:r>
          </w:p>
        </w:tc>
        <w:tc>
          <w:tcPr>
            <w:tcW w:w="0" w:type="dxa"/>
            <w:vAlign w:val="bottom"/>
          </w:tcPr>
          <w:p>
            <w:pPr>
              <w:spacing w:after="0"/>
              <w:rPr>
                <w:sz w:val="1"/>
                <w:szCs w:val="1"/>
                <w:color w:val="auto"/>
              </w:rPr>
            </w:pPr>
          </w:p>
        </w:tc>
      </w:tr>
      <w:tr>
        <w:trPr>
          <w:trHeight w:val="187"/>
        </w:trPr>
        <w:tc>
          <w:tcPr>
            <w:tcW w:w="5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100" w:type="dxa"/>
            <w:vAlign w:val="bottom"/>
            <w:gridSpan w:val="2"/>
            <w:vMerge w:val="continue"/>
          </w:tcPr>
          <w:p>
            <w:pPr>
              <w:spacing w:after="0"/>
              <w:rPr>
                <w:sz w:val="16"/>
                <w:szCs w:val="16"/>
                <w:color w:val="auto"/>
              </w:rPr>
            </w:pPr>
          </w:p>
        </w:tc>
        <w:tc>
          <w:tcPr>
            <w:tcW w:w="980" w:type="dxa"/>
            <w:vAlign w:val="bottom"/>
          </w:tcPr>
          <w:p>
            <w:pPr>
              <w:spacing w:after="0"/>
              <w:rPr>
                <w:sz w:val="16"/>
                <w:szCs w:val="16"/>
                <w:color w:val="auto"/>
              </w:rPr>
            </w:pPr>
          </w:p>
        </w:tc>
        <w:tc>
          <w:tcPr>
            <w:tcW w:w="2020" w:type="dxa"/>
            <w:vAlign w:val="bottom"/>
            <w:gridSpan w:val="4"/>
          </w:tcPr>
          <w:p>
            <w:pPr>
              <w:jc w:val="center"/>
              <w:ind w:right="116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33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980" w:type="dxa"/>
            <w:vAlign w:val="bottom"/>
            <w:tcBorders>
              <w:top w:val="single" w:sz="8" w:color="auto"/>
            </w:tcBorders>
            <w:shd w:val="clear" w:color="auto" w:fill="CCEEFF"/>
          </w:tcPr>
          <w:p>
            <w:pPr>
              <w:jc w:val="right"/>
              <w:ind w:right="996"/>
              <w:spacing w:after="0"/>
              <w:rPr>
                <w:sz w:val="20"/>
                <w:szCs w:val="20"/>
                <w:color w:val="auto"/>
              </w:rPr>
            </w:pPr>
            <w:r>
              <w:rPr>
                <w:rFonts w:ascii="Times New Roman" w:cs="Times New Roman" w:eastAsia="Times New Roman" w:hAnsi="Times New Roman"/>
                <w:sz w:val="18"/>
                <w:szCs w:val="18"/>
                <w:color w:val="auto"/>
              </w:rPr>
              <w:t>12,723,707</w:t>
            </w:r>
          </w:p>
        </w:tc>
        <w:tc>
          <w:tcPr>
            <w:tcW w:w="120" w:type="dxa"/>
            <w:vAlign w:val="bottom"/>
            <w:tcBorders>
              <w:top w:val="single" w:sz="8" w:color="CCEEFF"/>
            </w:tcBorders>
            <w:shd w:val="clear" w:color="auto" w:fill="CCEEFF"/>
          </w:tcPr>
          <w:p>
            <w:pPr>
              <w:spacing w:after="0"/>
              <w:rPr>
                <w:sz w:val="18"/>
                <w:szCs w:val="18"/>
                <w:color w:val="auto"/>
              </w:rPr>
            </w:pPr>
          </w:p>
        </w:tc>
        <w:tc>
          <w:tcPr>
            <w:tcW w:w="2660" w:type="dxa"/>
            <w:vAlign w:val="bottom"/>
            <w:tcBorders>
              <w:top w:val="single" w:sz="8" w:color="auto"/>
            </w:tcBorders>
            <w:gridSpan w:val="2"/>
            <w:shd w:val="clear" w:color="auto" w:fill="CCEEFF"/>
          </w:tcPr>
          <w:p>
            <w:pPr>
              <w:jc w:val="center"/>
              <w:ind w:left="99"/>
              <w:spacing w:after="0"/>
              <w:rPr>
                <w:sz w:val="20"/>
                <w:szCs w:val="20"/>
                <w:color w:val="auto"/>
              </w:rPr>
            </w:pPr>
            <w:r>
              <w:rPr>
                <w:rFonts w:ascii="Times New Roman" w:cs="Times New Roman" w:eastAsia="Times New Roman" w:hAnsi="Times New Roman"/>
                <w:sz w:val="18"/>
                <w:szCs w:val="18"/>
                <w:color w:val="auto"/>
                <w:w w:val="99"/>
              </w:rPr>
              <w:t>9,810,591</w:t>
            </w:r>
          </w:p>
        </w:tc>
        <w:tc>
          <w:tcPr>
            <w:tcW w:w="1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700" w:type="dxa"/>
            <w:vAlign w:val="bottom"/>
            <w:tcBorders>
              <w:top w:val="single" w:sz="8" w:color="auto"/>
            </w:tcBorders>
            <w:shd w:val="clear" w:color="auto" w:fill="CCEEFF"/>
          </w:tcPr>
          <w:p>
            <w:pPr>
              <w:jc w:val="right"/>
              <w:ind w:right="1019"/>
              <w:spacing w:after="0"/>
              <w:rPr>
                <w:sz w:val="20"/>
                <w:szCs w:val="20"/>
                <w:color w:val="auto"/>
              </w:rPr>
            </w:pPr>
            <w:r>
              <w:rPr>
                <w:rFonts w:ascii="Times New Roman" w:cs="Times New Roman" w:eastAsia="Times New Roman" w:hAnsi="Times New Roman"/>
                <w:sz w:val="18"/>
                <w:szCs w:val="18"/>
                <w:color w:val="auto"/>
              </w:rPr>
              <w:t>415,687</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80"/>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60" w:type="dxa"/>
            <w:vAlign w:val="bottom"/>
          </w:tcPr>
          <w:p>
            <w:pPr>
              <w:spacing w:after="0"/>
              <w:rPr>
                <w:sz w:val="24"/>
                <w:szCs w:val="24"/>
                <w:color w:val="auto"/>
              </w:rPr>
            </w:pPr>
          </w:p>
        </w:tc>
        <w:tc>
          <w:tcPr>
            <w:tcW w:w="31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c>
          <w:tcPr>
            <w:tcW w:w="9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6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6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1040" w:type="dxa"/>
            <w:vAlign w:val="bottom"/>
            <w:gridSpan w:val="2"/>
          </w:tcPr>
          <w:p>
            <w:pPr>
              <w:spacing w:after="0" w:line="153" w:lineRule="exact"/>
              <w:rPr>
                <w:sz w:val="20"/>
                <w:szCs w:val="20"/>
                <w:color w:val="auto"/>
              </w:rPr>
            </w:pPr>
            <w:r>
              <w:rPr>
                <w:rFonts w:ascii="Times New Roman" w:cs="Times New Roman" w:eastAsia="Times New Roman" w:hAnsi="Times New Roman"/>
                <w:sz w:val="14"/>
                <w:szCs w:val="14"/>
                <w:b w:val="1"/>
                <w:bCs w:val="1"/>
                <w:color w:val="auto"/>
              </w:rPr>
              <w:t>   No. </w:t>
            </w:r>
          </w:p>
        </w:tc>
        <w:tc>
          <w:tcPr>
            <w:tcW w:w="6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0" w:type="dxa"/>
            <w:vAlign w:val="bottom"/>
            <w:gridSpan w:val="5"/>
          </w:tcPr>
          <w:p>
            <w:pPr>
              <w:ind w:left="980"/>
              <w:spacing w:after="0" w:line="153" w:lineRule="exact"/>
              <w:rPr>
                <w:sz w:val="20"/>
                <w:szCs w:val="20"/>
                <w:color w:val="auto"/>
              </w:rPr>
            </w:pPr>
            <w:r>
              <w:rPr>
                <w:rFonts w:ascii="Times New Roman" w:cs="Times New Roman" w:eastAsia="Times New Roman" w:hAnsi="Times New Roman"/>
                <w:sz w:val="14"/>
                <w:szCs w:val="14"/>
                <w:b w:val="1"/>
                <w:bCs w:val="1"/>
                <w:color w:val="auto"/>
              </w:rPr>
              <w:t>Exhibit Title or Description</w:t>
            </w:r>
          </w:p>
        </w:tc>
        <w:tc>
          <w:tcPr>
            <w:tcW w:w="2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0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140" w:type="dxa"/>
            <w:vAlign w:val="bottom"/>
            <w:gridSpan w:val="4"/>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66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540" w:type="dxa"/>
            <w:vAlign w:val="bottom"/>
          </w:tcPr>
          <w:p>
            <w:pPr>
              <w:spacing w:after="0"/>
              <w:rPr>
                <w:sz w:val="22"/>
                <w:szCs w:val="22"/>
                <w:color w:val="auto"/>
              </w:rPr>
            </w:pPr>
          </w:p>
        </w:tc>
        <w:tc>
          <w:tcPr>
            <w:tcW w:w="948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9"/>
              </w:rPr>
              <w:t>Amendment No. 2, dated as of December 5, 2024, to Rights Agreement, dated as of October 10, 2023, as amended, by and between</w:t>
            </w: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16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Tempest Therapeutics, Inc. and Computershare Trust Company, N.A., as rights agent.</w:t>
            </w:r>
          </w:p>
        </w:tc>
        <w:tc>
          <w:tcPr>
            <w:tcW w:w="27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40" w:type="dxa"/>
            <w:vAlign w:val="bottom"/>
          </w:tcPr>
          <w:p>
            <w:pPr>
              <w:spacing w:after="0"/>
              <w:rPr>
                <w:sz w:val="24"/>
                <w:szCs w:val="24"/>
                <w:color w:val="auto"/>
              </w:rPr>
            </w:pPr>
          </w:p>
        </w:tc>
        <w:tc>
          <w:tcPr>
            <w:tcW w:w="94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Cover Page Interactive Data File (the cover page XBRL tags are embedded within the inline XBRL document).</w:t>
            </w:r>
          </w:p>
        </w:tc>
        <w:tc>
          <w:tcPr>
            <w:tcW w:w="0" w:type="dxa"/>
            <w:vAlign w:val="bottom"/>
          </w:tcPr>
          <w:p>
            <w:pPr>
              <w:spacing w:after="0"/>
              <w:rPr>
                <w:sz w:val="1"/>
                <w:szCs w:val="1"/>
                <w:color w:val="auto"/>
              </w:rPr>
            </w:pPr>
          </w:p>
        </w:tc>
      </w:tr>
    </w:tbl>
    <w:p>
      <w:pPr>
        <w:sectPr>
          <w:pgSz w:w="11900" w:h="16838" w:orient="portrait"/>
          <w:cols w:equalWidth="0" w:num="1">
            <w:col w:w="11020"/>
          </w:cols>
          <w:pgMar w:left="440" w:top="293" w:right="439" w:bottom="1440" w:gutter="0" w:footer="0" w:header="0"/>
        </w:sectPr>
      </w:pPr>
    </w:p>
    <w:bookmarkStart w:id="2" w:name="page3"/>
    <w:bookmarkEnd w:id="2"/>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Tempest Therapeutics, Inc.</w:t>
      </w:r>
    </w:p>
    <w:p>
      <w:pPr>
        <w:spacing w:after="0" w:line="225"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December 6,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Stephen Brady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Stephen Brady</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0260"/>
          </w:cols>
          <w:pgMar w:left="440" w:top="293" w:right="11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4.1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2 TO RIGHTS AGREEMENT</w:t>
      </w:r>
    </w:p>
    <w:p>
      <w:pPr>
        <w:spacing w:after="0" w:line="225" w:lineRule="exact"/>
        <w:rPr>
          <w:sz w:val="20"/>
          <w:szCs w:val="20"/>
          <w:color w:val="auto"/>
        </w:rPr>
      </w:pPr>
    </w:p>
    <w:p>
      <w:pPr>
        <w:ind w:right="80" w:firstLine="440"/>
        <w:spacing w:after="0" w:line="262"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AMENDMENT NO. 2 TO RIGHTS AGREEMENT</w:t>
      </w:r>
      <w:r>
        <w:rPr>
          <w:rFonts w:ascii="Times New Roman" w:cs="Times New Roman" w:eastAsia="Times New Roman" w:hAnsi="Times New Roman"/>
          <w:sz w:val="18"/>
          <w:szCs w:val="18"/>
          <w:color w:val="auto"/>
        </w:rPr>
        <w:t>, dated as of December 5, 2024 (this “</w:t>
      </w:r>
      <w:r>
        <w:rPr>
          <w:rFonts w:ascii="Times New Roman" w:cs="Times New Roman" w:eastAsia="Times New Roman" w:hAnsi="Times New Roman"/>
          <w:sz w:val="18"/>
          <w:szCs w:val="18"/>
          <w:b w:val="1"/>
          <w:bCs w:val="1"/>
          <w:i w:val="1"/>
          <w:iCs w:val="1"/>
          <w:color w:val="auto"/>
        </w:rPr>
        <w:t>Amendment</w:t>
      </w:r>
      <w:r>
        <w:rPr>
          <w:rFonts w:ascii="Times New Roman" w:cs="Times New Roman" w:eastAsia="Times New Roman" w:hAnsi="Times New Roman"/>
          <w:sz w:val="18"/>
          <w:szCs w:val="18"/>
          <w:color w:val="auto"/>
        </w:rPr>
        <w:t>”), is made and entered into by and between Tempest Therapeutics,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and Computershare Trust Company, N.A., a federally chartered trust company, as Rights Agent (the “</w:t>
      </w:r>
      <w:r>
        <w:rPr>
          <w:rFonts w:ascii="Times New Roman" w:cs="Times New Roman" w:eastAsia="Times New Roman" w:hAnsi="Times New Roman"/>
          <w:sz w:val="18"/>
          <w:szCs w:val="18"/>
          <w:b w:val="1"/>
          <w:bCs w:val="1"/>
          <w:i w:val="1"/>
          <w:iCs w:val="1"/>
          <w:color w:val="auto"/>
        </w:rPr>
        <w:t>Rights Agent</w:t>
      </w:r>
      <w:r>
        <w:rPr>
          <w:rFonts w:ascii="Times New Roman" w:cs="Times New Roman" w:eastAsia="Times New Roman" w:hAnsi="Times New Roman"/>
          <w:sz w:val="18"/>
          <w:szCs w:val="18"/>
          <w:color w:val="auto"/>
        </w:rPr>
        <w:t>”). Except as otherwise provided herein, capitalized terms used but not otherwise defined in this Amendment shall have the meanings ascribed to such terms in the Agreement (as defined below).</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RECITALS</w:t>
      </w:r>
    </w:p>
    <w:p>
      <w:pPr>
        <w:spacing w:after="0" w:line="225" w:lineRule="exact"/>
        <w:rPr>
          <w:sz w:val="20"/>
          <w:szCs w:val="20"/>
          <w:color w:val="auto"/>
        </w:rPr>
      </w:pPr>
    </w:p>
    <w:p>
      <w:pPr>
        <w:ind w:right="6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and the Rights Agent previously entered into that certain Rights Agreement, dated as of October 10, 2023,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amended or otherwise modified prior to the date hereof, the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right="5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Board of Directors of the Company has determined it to be desirable to amend the Agreement on the terms set forth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Amendment;</w:t>
      </w:r>
    </w:p>
    <w:p>
      <w:pPr>
        <w:spacing w:after="0" w:line="155" w:lineRule="exact"/>
        <w:rPr>
          <w:sz w:val="20"/>
          <w:szCs w:val="20"/>
          <w:color w:val="auto"/>
        </w:rPr>
      </w:pPr>
    </w:p>
    <w:p>
      <w:pPr>
        <w:ind w:right="20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pursuant to Section 27 of the Agreement, prior to such time as any Person becomes an Acquiring Person, the Company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Rights Agent may, if the Board of Directors of the Company so directs, from time to time supplement or amend any provision of the Agreement as the Company may deem necessary or desirable without the approval of any holder of the Company or any other Person other than the Rights Agent;</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as of the date hereof, no Person has become an Acquiring Person under the Agreement; and</w:t>
      </w:r>
    </w:p>
    <w:p>
      <w:pPr>
        <w:spacing w:after="0" w:line="225" w:lineRule="exact"/>
        <w:rPr>
          <w:sz w:val="20"/>
          <w:szCs w:val="20"/>
          <w:color w:val="auto"/>
        </w:rPr>
      </w:pPr>
    </w:p>
    <w:p>
      <w:pPr>
        <w:ind w:right="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pursuant to the terms of the Agreement and in accordance with Section 27 thereof, the Board of Directors of the Company has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directed that the Agreement be amended as set forth in this Amendment, and by its execution and delivery hereof, the Company directs the Rights Agent to execute this Amendment.</w:t>
      </w:r>
    </w:p>
    <w:p>
      <w:pPr>
        <w:spacing w:after="0" w:line="171" w:lineRule="exact"/>
        <w:rPr>
          <w:sz w:val="20"/>
          <w:szCs w:val="20"/>
          <w:color w:val="auto"/>
        </w:rPr>
      </w:pPr>
    </w:p>
    <w:p>
      <w:pPr>
        <w:ind w:right="2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foregoing and the mutual agreements set forth in the Agreement and this Amendment, the parties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hereto, intending to be legally bound, hereby agree as follows:</w:t>
      </w:r>
    </w:p>
    <w:p>
      <w:pPr>
        <w:spacing w:after="0" w:line="5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 </w:t>
      </w:r>
      <w:r>
        <w:rPr>
          <w:rFonts w:ascii="Times New Roman" w:cs="Times New Roman" w:eastAsia="Times New Roman" w:hAnsi="Times New Roman"/>
          <w:sz w:val="18"/>
          <w:szCs w:val="18"/>
          <w:u w:val="single" w:color="auto"/>
          <w:color w:val="auto"/>
        </w:rPr>
        <w:t>Amendments to the Agreement</w:t>
      </w:r>
      <w:r>
        <w:rPr>
          <w:rFonts w:ascii="Times New Roman" w:cs="Times New Roman" w:eastAsia="Times New Roman" w:hAnsi="Times New Roman"/>
          <w:sz w:val="18"/>
          <w:szCs w:val="18"/>
          <w:color w:val="auto"/>
        </w:rPr>
        <w:t>. Section 28 of the Agreement is hereby amended and restated in its entirety as follows:</w:t>
      </w:r>
    </w:p>
    <w:p>
      <w:pPr>
        <w:spacing w:after="0" w:line="117" w:lineRule="exact"/>
        <w:rPr>
          <w:sz w:val="20"/>
          <w:szCs w:val="20"/>
          <w:color w:val="auto"/>
        </w:rPr>
      </w:pPr>
    </w:p>
    <w:p>
      <w:pPr>
        <w:ind w:left="980" w:right="60"/>
        <w:spacing w:after="0" w:line="254" w:lineRule="auto"/>
        <w:rPr>
          <w:sz w:val="20"/>
          <w:szCs w:val="20"/>
          <w:color w:val="auto"/>
        </w:rPr>
      </w:pPr>
      <w:r>
        <w:rPr>
          <w:rFonts w:ascii="Times New Roman" w:cs="Times New Roman" w:eastAsia="Times New Roman" w:hAnsi="Times New Roman"/>
          <w:sz w:val="18"/>
          <w:szCs w:val="18"/>
          <w:color w:val="auto"/>
        </w:rPr>
        <w:t>“The Board shall have the exclusive power and authority to administer this Agreement and to exercise all rights and powers specifically granted to the Board, or the Company, or as may be necessary or advisable in the administration of this Agreement, including without limitation, the right and power to (i) interpret the provisions of this Agreement, and (ii) make all determinations deemed necessary or advisable for the administration of this Agreement (including a determination to redeem or not redeem the Rights or to amend the Agreement). The Rights Agent is entitled always to assume the Board acted in good faith and shall be fully protected and incur no liability in reliance thereon. Notwithstanding anything herein to the contrary, in no event shall a determination of the Board that may adversely affect the rights of the Rights Agent under this Agreement be binding upon the Rights Agent without the express written consent of the Rights Agent, in its sole discretion.”</w:t>
      </w:r>
    </w:p>
    <w:p>
      <w:pPr>
        <w:sectPr>
          <w:pgSz w:w="11900" w:h="16838" w:orient="portrait"/>
          <w:cols w:equalWidth="0" w:num="1">
            <w:col w:w="11020"/>
          </w:cols>
          <w:pgMar w:left="440" w:top="117" w:right="439" w:bottom="1440" w:gutter="0" w:footer="0" w:header="0"/>
        </w:sectPr>
      </w:pPr>
    </w:p>
    <w:bookmarkStart w:id="4" w:name="page5"/>
    <w:bookmarkEnd w:id="4"/>
    <w:p>
      <w:pPr>
        <w:ind w:left="-436" w:firstLine="436"/>
        <w:spacing w:after="0" w:line="258" w:lineRule="auto"/>
        <w:tabs>
          <w:tab w:leader="none" w:pos="18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Officer’s Certificate.</w:t>
      </w:r>
      <w:r>
        <w:rPr>
          <w:rFonts w:ascii="Times New Roman" w:cs="Times New Roman" w:eastAsia="Times New Roman" w:hAnsi="Times New Roman"/>
          <w:sz w:val="18"/>
          <w:szCs w:val="18"/>
          <w:color w:val="auto"/>
        </w:rPr>
        <w:t xml:space="preserve"> By executing this Amendment below, the undersigned duly appointed officer of the Company (i) certifies (in her capacity as an officer of the Company and not in her personal capacity) that (A) this Amendment complies with the applicable terms and conditions of the Agreement, including Section 27 of the Agreement, (B) the Rights remain redeemable at the date of this Amendment, and (C) this Amendment does not adversely affect the rights, duties, obligations or immunities of the Rights Agent under the Agreement, and (ii) directs the Rights Agent to execute this Amendment.</w:t>
      </w:r>
    </w:p>
    <w:p>
      <w:pPr>
        <w:spacing w:after="0" w:line="183" w:lineRule="exact"/>
        <w:rPr>
          <w:rFonts w:ascii="Times New Roman" w:cs="Times New Roman" w:eastAsia="Times New Roman" w:hAnsi="Times New Roman"/>
          <w:sz w:val="18"/>
          <w:szCs w:val="18"/>
          <w:color w:val="auto"/>
        </w:rPr>
      </w:pPr>
    </w:p>
    <w:p>
      <w:pPr>
        <w:ind w:left="-436" w:right="60" w:firstLine="436"/>
        <w:spacing w:after="0" w:line="282" w:lineRule="auto"/>
        <w:tabs>
          <w:tab w:leader="none" w:pos="18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Interpretation.</w:t>
      </w:r>
      <w:r>
        <w:rPr>
          <w:rFonts w:ascii="Times New Roman" w:cs="Times New Roman" w:eastAsia="Times New Roman" w:hAnsi="Times New Roman"/>
          <w:sz w:val="18"/>
          <w:szCs w:val="18"/>
          <w:color w:val="auto"/>
        </w:rPr>
        <w:t xml:space="preserve"> From and after the execution and delivery of this Amendment, the term “Agreement” as used in the Agreement shall be deemed to refer to the Agreement as amended hereby.</w:t>
      </w:r>
    </w:p>
    <w:p>
      <w:pPr>
        <w:spacing w:after="0" w:line="161" w:lineRule="exact"/>
        <w:rPr>
          <w:rFonts w:ascii="Times New Roman" w:cs="Times New Roman" w:eastAsia="Times New Roman" w:hAnsi="Times New Roman"/>
          <w:sz w:val="18"/>
          <w:szCs w:val="18"/>
          <w:color w:val="auto"/>
        </w:rPr>
      </w:pPr>
    </w:p>
    <w:p>
      <w:pPr>
        <w:ind w:left="-436" w:right="40" w:firstLine="436"/>
        <w:spacing w:after="0" w:line="266" w:lineRule="auto"/>
        <w:tabs>
          <w:tab w:leader="none" w:pos="18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xml:space="preserve"> If any term, provision, covenant or restriction of this Amendment is held by a court of competent jurisdiction or other authority to be invalid, void or unenforceable, then the remainder of the terms, provisions, covenants and restrictions of this Amendment, and of the Agreement, shall remain in full force and effect and shall in no way be affected, impaired or invalidated.</w:t>
      </w:r>
    </w:p>
    <w:p>
      <w:pPr>
        <w:spacing w:after="0" w:line="175" w:lineRule="exact"/>
        <w:rPr>
          <w:rFonts w:ascii="Times New Roman" w:cs="Times New Roman" w:eastAsia="Times New Roman" w:hAnsi="Times New Roman"/>
          <w:sz w:val="18"/>
          <w:szCs w:val="18"/>
          <w:color w:val="auto"/>
        </w:rPr>
      </w:pPr>
    </w:p>
    <w:p>
      <w:pPr>
        <w:ind w:left="-436" w:right="340" w:firstLine="436"/>
        <w:spacing w:after="0" w:line="282" w:lineRule="auto"/>
        <w:tabs>
          <w:tab w:leader="none" w:pos="18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 of Notice.</w:t>
      </w:r>
      <w:r>
        <w:rPr>
          <w:rFonts w:ascii="Times New Roman" w:cs="Times New Roman" w:eastAsia="Times New Roman" w:hAnsi="Times New Roman"/>
          <w:sz w:val="18"/>
          <w:szCs w:val="18"/>
          <w:color w:val="auto"/>
        </w:rPr>
        <w:t xml:space="preserve"> The Rights Agent and the Company hereby waive any notice requirement under the Agreement pertaining to the matters covered by this Amendment.</w:t>
      </w:r>
    </w:p>
    <w:p>
      <w:pPr>
        <w:spacing w:after="0" w:line="159"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xml:space="preserve"> Section 32 of the Agreement shall apply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xml:space="preserve"> to this Amendment.</w:t>
      </w:r>
    </w:p>
    <w:p>
      <w:pPr>
        <w:spacing w:after="0" w:line="227"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Binding Effect.</w:t>
      </w:r>
      <w:r>
        <w:rPr>
          <w:rFonts w:ascii="Times New Roman" w:cs="Times New Roman" w:eastAsia="Times New Roman" w:hAnsi="Times New Roman"/>
          <w:sz w:val="18"/>
          <w:szCs w:val="18"/>
          <w:color w:val="auto"/>
        </w:rPr>
        <w:t xml:space="preserve"> This Amendment shall be binding upon and inure to the benefit of each party hereto, and its respective successors and assigns.</w:t>
      </w:r>
    </w:p>
    <w:p>
      <w:pPr>
        <w:spacing w:after="0" w:line="225" w:lineRule="exact"/>
        <w:rPr>
          <w:rFonts w:ascii="Times New Roman" w:cs="Times New Roman" w:eastAsia="Times New Roman" w:hAnsi="Times New Roman"/>
          <w:sz w:val="18"/>
          <w:szCs w:val="18"/>
          <w:color w:val="auto"/>
        </w:rPr>
      </w:pPr>
    </w:p>
    <w:p>
      <w:pPr>
        <w:ind w:left="-436" w:right="100" w:firstLine="436"/>
        <w:spacing w:after="0" w:line="282" w:lineRule="auto"/>
        <w:tabs>
          <w:tab w:leader="none" w:pos="18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xml:space="preserve"> Descriptive headings of the several sections of this Amendment are inserted for convenience of reference only and shall not control or affect the meaning or construction of any of the provisions hereof.</w:t>
      </w:r>
    </w:p>
    <w:p>
      <w:pPr>
        <w:spacing w:after="0" w:line="161" w:lineRule="exact"/>
        <w:rPr>
          <w:rFonts w:ascii="Times New Roman" w:cs="Times New Roman" w:eastAsia="Times New Roman" w:hAnsi="Times New Roman"/>
          <w:sz w:val="18"/>
          <w:szCs w:val="18"/>
          <w:color w:val="auto"/>
        </w:rPr>
      </w:pPr>
    </w:p>
    <w:p>
      <w:pPr>
        <w:ind w:left="-436" w:right="40" w:firstLine="436"/>
        <w:spacing w:after="0" w:line="266" w:lineRule="auto"/>
        <w:tabs>
          <w:tab w:leader="none" w:pos="18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xml:space="preserve"> This Amendment may be executed in any number of counterparts and each of such counterparts shall for all purposes be deemed to be an original, and all such counterparts shall together constitute but one and the same instrument. A signature to this Amendment executed and/or transmitted electronically shall have the same authority, effect, and enforceability as an original signature.</w:t>
      </w:r>
    </w:p>
    <w:p>
      <w:pPr>
        <w:spacing w:after="0" w:line="175" w:lineRule="exact"/>
        <w:rPr>
          <w:rFonts w:ascii="Times New Roman" w:cs="Times New Roman" w:eastAsia="Times New Roman" w:hAnsi="Times New Roman"/>
          <w:sz w:val="18"/>
          <w:szCs w:val="18"/>
          <w:color w:val="auto"/>
        </w:rPr>
      </w:pPr>
    </w:p>
    <w:p>
      <w:pPr>
        <w:ind w:left="-436" w:right="360" w:firstLine="436"/>
        <w:spacing w:after="0" w:line="282" w:lineRule="auto"/>
        <w:tabs>
          <w:tab w:leader="none" w:pos="27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Effectiveness.</w:t>
      </w:r>
      <w:r>
        <w:rPr>
          <w:rFonts w:ascii="Times New Roman" w:cs="Times New Roman" w:eastAsia="Times New Roman" w:hAnsi="Times New Roman"/>
          <w:sz w:val="18"/>
          <w:szCs w:val="18"/>
          <w:color w:val="auto"/>
        </w:rPr>
        <w:t xml:space="preserve"> This Amendment shall be deemed effective as of the date first written above. Except as expressly set forth herein, all other terms and conditions of the Agreement are unchanged and shall remain in full force and effect in accordance with their terms.</w:t>
      </w:r>
    </w:p>
    <w:p>
      <w:pPr>
        <w:sectPr>
          <w:pgSz w:w="11900" w:h="16838" w:orient="portrait"/>
          <w:cols w:equalWidth="0" w:num="1">
            <w:col w:w="10504"/>
          </w:cols>
          <w:pgMar w:left="876" w:top="270" w:right="519" w:bottom="1440" w:gutter="0" w:footer="0" w:header="0"/>
        </w:sectPr>
      </w:pPr>
    </w:p>
    <w:bookmarkStart w:id="5" w:name="page6"/>
    <w:bookmarkEnd w:id="5"/>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hereto have caused this Amendment No. 2 to Rights Agreement to be duly executed as of the day and year first above written.</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5860" w:type="dxa"/>
            <w:vAlign w:val="bottom"/>
            <w:gridSpan w:val="2"/>
          </w:tcPr>
          <w:p>
            <w:pPr>
              <w:ind w:left="700"/>
              <w:spacing w:after="0"/>
              <w:rPr>
                <w:sz w:val="20"/>
                <w:szCs w:val="20"/>
                <w:color w:val="auto"/>
              </w:rPr>
            </w:pPr>
            <w:r>
              <w:rPr>
                <w:rFonts w:ascii="Times New Roman" w:cs="Times New Roman" w:eastAsia="Times New Roman" w:hAnsi="Times New Roman"/>
                <w:sz w:val="18"/>
                <w:szCs w:val="18"/>
                <w:b w:val="1"/>
                <w:bCs w:val="1"/>
                <w:color w:val="auto"/>
              </w:rPr>
              <w:t>COMPUTERSHARE TRUST COMPANY, N.A., AS RIGHTS</w:t>
            </w:r>
          </w:p>
        </w:tc>
      </w:tr>
      <w:tr>
        <w:trPr>
          <w:trHeight w:val="238"/>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TEMPEST THERAPEUTICS, INC.</w:t>
            </w:r>
          </w:p>
        </w:tc>
        <w:tc>
          <w:tcPr>
            <w:tcW w:w="1340" w:type="dxa"/>
            <w:vAlign w:val="bottom"/>
          </w:tcPr>
          <w:p>
            <w:pPr>
              <w:ind w:left="700"/>
              <w:spacing w:after="0"/>
              <w:rPr>
                <w:sz w:val="20"/>
                <w:szCs w:val="20"/>
                <w:color w:val="auto"/>
              </w:rPr>
            </w:pPr>
            <w:r>
              <w:rPr>
                <w:rFonts w:ascii="Times New Roman" w:cs="Times New Roman" w:eastAsia="Times New Roman" w:hAnsi="Times New Roman"/>
                <w:sz w:val="18"/>
                <w:szCs w:val="18"/>
                <w:b w:val="1"/>
                <w:bCs w:val="1"/>
                <w:color w:val="auto"/>
                <w:w w:val="96"/>
              </w:rPr>
              <w:t>AGENT</w:t>
            </w:r>
          </w:p>
        </w:tc>
        <w:tc>
          <w:tcPr>
            <w:tcW w:w="4520" w:type="dxa"/>
            <w:vAlign w:val="bottom"/>
          </w:tcPr>
          <w:p>
            <w:pPr>
              <w:spacing w:after="0"/>
              <w:rPr>
                <w:sz w:val="20"/>
                <w:szCs w:val="20"/>
                <w:color w:val="auto"/>
              </w:rPr>
            </w:pPr>
          </w:p>
        </w:tc>
      </w:tr>
      <w:tr>
        <w:trPr>
          <w:trHeight w:val="432"/>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Stephen Brady</w:t>
            </w:r>
          </w:p>
        </w:tc>
        <w:tc>
          <w:tcPr>
            <w:tcW w:w="13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By:</w:t>
            </w:r>
          </w:p>
        </w:tc>
        <w:tc>
          <w:tcPr>
            <w:tcW w:w="4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Patrick Hayes</w:t>
            </w:r>
          </w:p>
        </w:tc>
      </w:tr>
      <w:tr>
        <w:trPr>
          <w:trHeight w:val="205"/>
        </w:trPr>
        <w:tc>
          <w:tcPr>
            <w:tcW w:w="64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5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Stephen Brady</w:t>
            </w:r>
          </w:p>
        </w:tc>
        <w:tc>
          <w:tcPr>
            <w:tcW w:w="1340" w:type="dxa"/>
            <w:vAlign w:val="bottom"/>
          </w:tcPr>
          <w:p>
            <w:pPr>
              <w:ind w:left="70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5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Patrick Hayes</w:t>
            </w:r>
          </w:p>
        </w:tc>
      </w:tr>
      <w:tr>
        <w:trPr>
          <w:trHeight w:val="23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13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Title:</w:t>
            </w: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Manager, Client Management</w:t>
            </w:r>
          </w:p>
        </w:tc>
      </w:tr>
    </w:tbl>
    <w:p>
      <w:pPr>
        <w:spacing w:after="0" w:line="1" w:lineRule="exact"/>
        <w:rPr>
          <w:sz w:val="20"/>
          <w:szCs w:val="20"/>
          <w:color w:val="auto"/>
        </w:rPr>
      </w:pPr>
    </w:p>
    <w:sectPr>
      <w:pgSz w:w="11900" w:h="16838" w:orient="portrait"/>
      <w:cols w:equalWidth="0" w:num="1">
        <w:col w:w="11020"/>
      </w:cols>
      <w:pgMar w:left="4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2024-12-06T15:30:54Z</dcterms:created>
  <dcterms:modified xsi:type="dcterms:W3CDTF">2024-12-06T15:30:54Z</dcterms:modified>
</cp:coreProperties>
</file>