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pst-20231231.htm"/>
      <w:bookmarkStart w:id="1" w:name="kstpst20231231"/>
      <w:bookmarkEnd w:id="0"/>
      <w:bookmarkEnd w:id="1"/>
      <w:r>
        <w:rPr/>
        <w:t> </w:t>
      </w:r>
    </w:p>
    <w:p>
      <w:pPr>
        <w:pStyle w:val="TextBody"/>
        <w:bidi w:val="0"/>
        <w:jc w:val="center"/>
        <w:rPr/>
      </w:pPr>
      <w:bookmarkStart w:id="2" w:name="section1"/>
      <w:bookmarkEnd w:id="2"/>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60" w:after="283"/>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_______________________________________________________________________________________________________________________________</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FORM 10-K</w:t>
      </w:r>
    </w:p>
    <w:p>
      <w:pPr>
        <w:pStyle w:val="TextBody"/>
        <w:bidi w:val="0"/>
        <w:spacing w:before="60" w:after="240"/>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_______________________________________________________________________________________________________________________________</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8672" w:type="dxa"/>
        <w:jc w:val="left"/>
        <w:tblInd w:w="0" w:type="dxa"/>
        <w:tblLayout w:type="fixed"/>
        <w:tblCellMar>
          <w:top w:w="28" w:type="dxa"/>
          <w:left w:w="28" w:type="dxa"/>
          <w:bottom w:w="28" w:type="dxa"/>
          <w:right w:w="28" w:type="dxa"/>
        </w:tblCellMar>
      </w:tblPr>
      <w:tblGrid>
        <w:gridCol w:w="331"/>
        <w:gridCol w:w="8341"/>
      </w:tblGrid>
      <w:tr>
        <w:trPr/>
        <w:tc>
          <w:tcPr>
            <w:tcW w:w="331" w:type="dxa"/>
            <w:tcBorders/>
            <w:vAlign w:val="center"/>
          </w:tcPr>
          <w:p>
            <w:pPr>
              <w:pStyle w:val="TableContents"/>
              <w:bidi w:val="0"/>
              <w:spacing w:before="0" w:after="283"/>
              <w:jc w:val="left"/>
              <w:rPr>
                <w:sz w:val="4"/>
                <w:szCs w:val="4"/>
              </w:rPr>
            </w:pPr>
            <w:r>
              <w:rPr>
                <w:sz w:val="4"/>
                <w:szCs w:val="4"/>
              </w:rPr>
            </w:r>
          </w:p>
        </w:tc>
        <w:tc>
          <w:tcPr>
            <w:tcW w:w="83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834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16"/>
              </w:rPr>
            </w:pPr>
            <w:r>
              <w:rPr>
                <w:rFonts w:ascii="Times New Roman" w:hAnsi="Times New Roman"/>
                <w:b/>
                <w:color w:val="000000"/>
                <w:sz w:val="16"/>
              </w:rPr>
              <w:t>ANNUAL REPORT PURSUANT TO SECTION 13 OR 15(d) OF THE SECURITIES EXCHANGE ACT OF 1934</w:t>
            </w:r>
          </w:p>
        </w:tc>
      </w:tr>
    </w:tbl>
    <w:p>
      <w:pPr>
        <w:pStyle w:val="TextBody"/>
        <w:bidi w:val="0"/>
        <w:spacing w:before="0" w:after="240"/>
        <w:jc w:val="center"/>
        <w:rPr>
          <w:rFonts w:ascii="Times New Roman" w:hAnsi="Times New Roman"/>
          <w:sz w:val="20"/>
        </w:rPr>
      </w:pPr>
      <w:r>
        <w:rPr>
          <w:rFonts w:ascii="Times New Roman" w:hAnsi="Times New Roman"/>
          <w:b/>
          <w:color w:val="000000"/>
          <w:sz w:val="18"/>
        </w:rPr>
        <w:t>For the fiscal year</w:t>
      </w:r>
      <w:r>
        <w:rPr>
          <w:rFonts w:ascii="Times New Roman" w:hAnsi="Times New Roman"/>
          <w:color w:val="000000"/>
          <w:sz w:val="20"/>
        </w:rPr>
        <w:t xml:space="preserve"> </w:t>
      </w:r>
      <w:r>
        <w:rPr>
          <w:rFonts w:ascii="Times New Roman" w:hAnsi="Times New Roman"/>
          <w:b/>
          <w:color w:val="000000"/>
          <w:sz w:val="18"/>
        </w:rPr>
        <w:t>ended December 31, 2023</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001-35890</w:t>
      </w:r>
    </w:p>
    <w:p>
      <w:pPr>
        <w:pStyle w:val="TextBody"/>
        <w:bidi w:val="0"/>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________________________________________________________________________________________________________________</w:t>
      </w:r>
    </w:p>
    <w:p>
      <w:pPr>
        <w:pStyle w:val="TextBody"/>
        <w:bidi w:val="0"/>
        <w:jc w:val="center"/>
        <w:rPr>
          <w:rFonts w:ascii="Times New Roman" w:hAnsi="Times New Roman"/>
          <w:b/>
          <w:color w:val="000000"/>
          <w:sz w:val="32"/>
        </w:rPr>
      </w:pPr>
      <w:r>
        <w:rPr>
          <w:rFonts w:ascii="Times New Roman" w:hAnsi="Times New Roman"/>
          <w:b/>
          <w:color w:val="000000"/>
          <w:sz w:val="32"/>
        </w:rPr>
        <w:t>Tempest Therapeutics, Inc.</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bidi w:val="0"/>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___________________________________________________________________________________________________________________</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Delaware</w:t>
            </w:r>
          </w:p>
        </w:tc>
        <w:tc>
          <w:tcPr>
            <w:tcW w:w="148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45-1472564</w:t>
            </w:r>
          </w:p>
        </w:tc>
      </w:tr>
      <w:tr>
        <w:trPr/>
        <w:tc>
          <w:tcPr>
            <w:tcW w:w="2926"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6"/>
              </w:rPr>
            </w:pPr>
            <w:r>
              <w:rPr>
                <w:rFonts w:ascii="Times New Roman" w:hAnsi="Times New Roman"/>
                <w:b/>
                <w:color w:val="000000"/>
                <w:sz w:val="16"/>
              </w:rPr>
              <w:t>2000 Sierra Point Parkway, Suite 400</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Brisbane, California</w:t>
            </w:r>
          </w:p>
        </w:tc>
        <w:tc>
          <w:tcPr>
            <w:tcW w:w="148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94005</w:t>
            </w:r>
          </w:p>
        </w:tc>
      </w:tr>
      <w:tr>
        <w:trPr/>
        <w:tc>
          <w:tcPr>
            <w:tcW w:w="292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40"/>
        <w:jc w:val="center"/>
        <w:rPr>
          <w:rFonts w:ascii="Times New Roman" w:hAnsi="Times New Roman"/>
          <w:sz w:val="20"/>
        </w:rPr>
      </w:pPr>
      <w:r>
        <w:rPr>
          <w:rFonts w:ascii="Times New Roman" w:hAnsi="Times New Roman"/>
          <w:b/>
          <w:color w:val="000000"/>
          <w:sz w:val="16"/>
        </w:rPr>
        <w:t>Registrant’s telephone number, including area code: (415)</w:t>
      </w:r>
      <w:r>
        <w:rPr>
          <w:rFonts w:ascii="Times New Roman" w:hAnsi="Times New Roman"/>
          <w:color w:val="000000"/>
          <w:sz w:val="20"/>
        </w:rPr>
        <w:t xml:space="preserve"> </w:t>
      </w:r>
      <w:r>
        <w:rPr>
          <w:rFonts w:ascii="Times New Roman" w:hAnsi="Times New Roman"/>
          <w:b/>
          <w:color w:val="000000"/>
          <w:sz w:val="16"/>
        </w:rPr>
        <w:t>798-8589</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tbl>
      <w:tblPr>
        <w:tblW w:w="8939" w:type="dxa"/>
        <w:jc w:val="left"/>
        <w:tblInd w:w="0" w:type="dxa"/>
        <w:tblLayout w:type="fixed"/>
        <w:tblCellMar>
          <w:top w:w="28" w:type="dxa"/>
          <w:left w:w="28" w:type="dxa"/>
          <w:bottom w:w="28" w:type="dxa"/>
          <w:right w:w="28" w:type="dxa"/>
        </w:tblCellMar>
      </w:tblPr>
      <w:tblGrid>
        <w:gridCol w:w="3916"/>
        <w:gridCol w:w="1456"/>
        <w:gridCol w:w="3376"/>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Trading Symbol(s)</w:t>
            </w:r>
          </w:p>
        </w:tc>
        <w:tc>
          <w:tcPr>
            <w:tcW w:w="33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Name of Each Exchange on which Registered</w:t>
            </w:r>
          </w:p>
        </w:tc>
        <w:tc>
          <w:tcPr>
            <w:tcW w:w="191" w:type="dxa"/>
            <w:tcBorders/>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Common Stock, $0.001 par value</w:t>
            </w:r>
          </w:p>
        </w:tc>
        <w:tc>
          <w:tcPr>
            <w:tcW w:w="145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TPST</w:t>
            </w:r>
          </w:p>
        </w:tc>
        <w:tc>
          <w:tcPr>
            <w:tcW w:w="33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The Nasdaq Stock Market LLC</w:t>
            </w:r>
          </w:p>
        </w:tc>
        <w:tc>
          <w:tcPr>
            <w:tcW w:w="191" w:type="dxa"/>
            <w:tcBorders/>
          </w:tcPr>
          <w:p>
            <w:pPr>
              <w:pStyle w:val="TableContents"/>
              <w:bidi w:val="0"/>
              <w:spacing w:before="0" w:after="283"/>
              <w:jc w:val="left"/>
              <w:rPr>
                <w:sz w:val="4"/>
                <w:szCs w:val="4"/>
              </w:rPr>
            </w:pPr>
            <w:r>
              <w:rPr>
                <w:sz w:val="4"/>
                <w:szCs w:val="4"/>
              </w:rPr>
            </w:r>
          </w:p>
        </w:tc>
      </w:tr>
      <w:tr>
        <w:trPr/>
        <w:tc>
          <w:tcPr>
            <w:tcW w:w="3916" w:type="dxa"/>
            <w:vMerge w:val="restart"/>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Series A Junior Participating Preferred Purchase Rights</w:t>
            </w:r>
          </w:p>
        </w:tc>
        <w:tc>
          <w:tcPr>
            <w:tcW w:w="145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N/A</w:t>
            </w:r>
          </w:p>
        </w:tc>
        <w:tc>
          <w:tcPr>
            <w:tcW w:w="337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The Nasdaq Stock Market LLC</w:t>
            </w:r>
          </w:p>
        </w:tc>
        <w:tc>
          <w:tcPr>
            <w:tcW w:w="191" w:type="dxa"/>
            <w:tcBorders/>
          </w:tcPr>
          <w:p>
            <w:pPr>
              <w:pStyle w:val="TableContents"/>
              <w:bidi w:val="0"/>
              <w:spacing w:before="0" w:after="283"/>
              <w:jc w:val="left"/>
              <w:rPr>
                <w:sz w:val="4"/>
                <w:szCs w:val="4"/>
              </w:rPr>
            </w:pPr>
            <w:r>
              <w:rPr>
                <w:sz w:val="4"/>
                <w:szCs w:val="4"/>
              </w:rPr>
            </w:r>
          </w:p>
        </w:tc>
      </w:tr>
      <w:tr>
        <w:trPr/>
        <w:tc>
          <w:tcPr>
            <w:tcW w:w="3916" w:type="dxa"/>
            <w:vMerge w:val="continue"/>
            <w:tcBorders/>
            <w:tcMar>
              <w:top w:w="0" w:type="dxa"/>
              <w:left w:w="0" w:type="dxa"/>
              <w:bottom w:w="0" w:type="dxa"/>
              <w:right w:w="0" w:type="dxa"/>
            </w:tcMar>
            <w:vAlign w:val="center"/>
          </w:tcPr>
          <w:p>
            <w:pPr>
              <w:pStyle w:val="Normal"/>
              <w:bidi w:val="0"/>
              <w:jc w:val="left"/>
              <w:rPr/>
            </w:pPr>
            <w:r>
              <w:rPr/>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33" w:after="30"/>
              <w:jc w:val="center"/>
              <w:rPr/>
            </w:pPr>
            <w:r>
              <w:rPr/>
              <w:t> </w:t>
            </w:r>
          </w:p>
        </w:tc>
        <w:tc>
          <w:tcPr>
            <w:tcW w:w="191" w:type="dxa"/>
            <w:tcBorders/>
            <w:tcMar>
              <w:top w:w="0" w:type="dxa"/>
              <w:left w:w="0" w:type="dxa"/>
              <w:bottom w:w="0" w:type="dxa"/>
              <w:right w:w="0" w:type="dxa"/>
            </w:tcMar>
            <w:vAlign w:val="center"/>
          </w:tcPr>
          <w:p>
            <w:pPr>
              <w:pStyle w:val="TableContents"/>
              <w:bidi w:val="0"/>
              <w:spacing w:before="33" w:after="30"/>
              <w:jc w:val="center"/>
              <w:rPr/>
            </w:pPr>
            <w:r>
              <w:rPr/>
              <w:t> </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Securities registered pursuant to Section 12(g) of the Act: None</w:t>
      </w:r>
    </w:p>
    <w:p>
      <w:pPr>
        <w:pStyle w:val="TextBody"/>
        <w:bidi w:val="0"/>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_________________________________________________________________________________________________________________</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15(d) of the Act. Yes ☐ No</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Yes</w:t>
      </w:r>
      <w:r>
        <w:rPr>
          <w:rFonts w:ascii="Times New Roman" w:hAnsi="Times New Roman"/>
          <w:color w:val="000000"/>
          <w:sz w:val="20"/>
        </w:rPr>
        <w:t xml:space="preserve"> ☒</w:t>
      </w:r>
      <w:r>
        <w:rPr>
          <w:rFonts w:ascii="Times New Roman" w:hAnsi="Times New Roman"/>
          <w:color w:val="000000"/>
          <w:sz w:val="16"/>
        </w:rPr>
        <w:b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75" w:after="30"/>
              <w:jc w:val="both"/>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75" w:after="30"/>
              <w:jc w:val="both"/>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80" w:after="283"/>
        <w:jc w:val="both"/>
        <w:rPr>
          <w:rFonts w:ascii="Times New Roman" w:hAnsi="Times New Roman"/>
          <w:sz w:val="20"/>
        </w:rPr>
      </w:pPr>
      <w:r>
        <w:rPr>
          <w:rFonts w:ascii="Times New Roman" w:hAnsi="Times New Roman"/>
          <w:color w:val="000000"/>
          <w:sz w:val="16"/>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6"/>
        </w:rPr>
        <w:t>The aggregate market value of the voting and non-voting common equity of the registrant held by non-affiliates as of June 30, 2023 (the last business day of the registrant’s most recently completed second fiscal quarter), based on a closing price of $1.27 per share of the registrant’s common stock as reported on The Nasdaq Stock Market LLC on June 30, 2023, was approximately $16.0</w:t>
      </w:r>
      <w:r>
        <w:rPr>
          <w:rFonts w:ascii="Times New Roman" w:hAnsi="Times New Roman"/>
          <w:color w:val="000000"/>
          <w:sz w:val="20"/>
        </w:rPr>
        <w:t xml:space="preserve"> </w:t>
      </w:r>
      <w:r>
        <w:rPr>
          <w:rFonts w:ascii="Times New Roman" w:hAnsi="Times New Roman"/>
          <w:color w:val="000000"/>
          <w:sz w:val="16"/>
        </w:rPr>
        <w:t>million. For purposes of this computation, all officers, directors, and stockholders that the registrant has concluded are affiliates of the registrant are deemed to be affiliates. This calculation does not reflect a determination that certain holders are affiliates of the Registrant for any other purpose.</w:t>
      </w:r>
    </w:p>
    <w:p>
      <w:pPr>
        <w:pStyle w:val="TextBody"/>
        <w:bidi w:val="0"/>
        <w:spacing w:before="80" w:after="283"/>
        <w:jc w:val="both"/>
        <w:rPr>
          <w:rFonts w:ascii="Times New Roman" w:hAnsi="Times New Roman"/>
          <w:sz w:val="20"/>
        </w:rPr>
      </w:pPr>
      <w:r>
        <w:rPr>
          <w:rFonts w:ascii="Times New Roman" w:hAnsi="Times New Roman"/>
          <w:color w:val="000000"/>
          <w:sz w:val="16"/>
        </w:rPr>
        <w:t>As of March 13, 2024, the registrant had 22,192,026</w:t>
      </w:r>
      <w:r>
        <w:rPr>
          <w:rFonts w:ascii="Times New Roman" w:hAnsi="Times New Roman"/>
          <w:color w:val="000000"/>
          <w:sz w:val="20"/>
        </w:rPr>
        <w:t xml:space="preserve"> </w:t>
      </w:r>
      <w:r>
        <w:rPr>
          <w:rFonts w:ascii="Times New Roman" w:hAnsi="Times New Roman"/>
          <w:color w:val="000000"/>
          <w:sz w:val="16"/>
        </w:rPr>
        <w:t>shares of common stock, $0.001 par value per share, outstanding.</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jc w:val="center"/>
        <w:rPr/>
      </w:pPr>
      <w:r>
        <w:rPr/>
        <w:t> </w:t>
      </w:r>
    </w:p>
    <w:p>
      <w:pPr>
        <w:pStyle w:val="TextBody"/>
        <w:bidi w:val="0"/>
        <w:spacing w:before="0" w:after="80"/>
        <w:jc w:val="left"/>
        <w:rPr>
          <w:rFonts w:ascii="Times New Roman" w:hAnsi="Times New Roman"/>
          <w:color w:val="000000"/>
          <w:sz w:val="16"/>
        </w:rPr>
      </w:pPr>
      <w:r>
        <w:rPr>
          <w:rFonts w:ascii="Times New Roman" w:hAnsi="Times New Roman"/>
          <w:color w:val="000000"/>
          <w:sz w:val="16"/>
        </w:rPr>
        <w:t>Portions of the registrant’s definitive Proxy Statement for its 2024 Annual Meeting of Stockholders to be filed with the Securities and Exchange Commission pursuant to Regulation 14A not later than 120 days after the end of the fiscal year covered by this Annual Report on Form 10-K are incorporated by reference into Part III of this Annual Report on Form 10-K.</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76"/>
        <w:gridCol w:w="8718"/>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871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TABLE OF CONTENTS</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4" w:type="dxa"/>
            <w:gridSpan w:val="2"/>
            <w:tcBorders/>
            <w:tcMar>
              <w:top w:w="0" w:type="dxa"/>
              <w:left w:w="0" w:type="dxa"/>
              <w:bottom w:w="0" w:type="dxa"/>
              <w:right w:w="0" w:type="dxa"/>
            </w:tcMar>
            <w:vAlign w:val="center"/>
          </w:tcPr>
          <w:p>
            <w:pPr>
              <w:pStyle w:val="TableContents"/>
              <w:bidi w:val="0"/>
              <w:spacing w:before="0" w:after="283"/>
              <w:jc w:val="left"/>
              <w:rPr/>
            </w:pPr>
            <w:hyperlink w:anchor="special_note_regarding_forward">
              <w:r>
                <w:rPr>
                  <w:rStyle w:val="InternetLink"/>
                  <w:rFonts w:ascii="Times New Roman" w:hAnsi="Times New Roman"/>
                  <w:b/>
                  <w:color w:val="0000FF"/>
                  <w:sz w:val="20"/>
                  <w:u w:val="single"/>
                </w:rPr>
                <w:t>SPECIAL NOTE REGARDING FORWARD-LOOKING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4">
              <w:r>
                <w:rPr>
                  <w:rStyle w:val="InternetLink"/>
                  <w:rFonts w:ascii="Times New Roman" w:hAnsi="Times New Roman"/>
                  <w:b/>
                  <w:color w:val="0000FF"/>
                  <w:sz w:val="20"/>
                  <w:u w:val="single"/>
                </w:rPr>
                <w:t>PART I</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5">
              <w:r>
                <w:rPr>
                  <w:rStyle w:val="InternetLink"/>
                  <w:rFonts w:ascii="Times New Roman" w:hAnsi="Times New Roman"/>
                  <w:color w:val="0000FF"/>
                  <w:sz w:val="20"/>
                  <w:u w:val="single"/>
                </w:rPr>
                <w:t>Item 1.</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5">
              <w:r>
                <w:rPr>
                  <w:rStyle w:val="InternetLink"/>
                  <w:rFonts w:ascii="Times New Roman" w:hAnsi="Times New Roman"/>
                  <w:color w:val="0000FF"/>
                  <w:sz w:val="20"/>
                  <w:u w:val="single"/>
                </w:rPr>
                <w:t>Business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6">
              <w:r>
                <w:rPr>
                  <w:rStyle w:val="InternetLink"/>
                  <w:rFonts w:ascii="Times New Roman" w:hAnsi="Times New Roman"/>
                  <w:color w:val="0000FF"/>
                  <w:sz w:val="20"/>
                  <w:u w:val="single"/>
                </w:rPr>
                <w:t>Item 1A.</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6">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7">
              <w:r>
                <w:rPr>
                  <w:rStyle w:val="InternetLink"/>
                  <w:rFonts w:ascii="Times New Roman" w:hAnsi="Times New Roman"/>
                  <w:color w:val="0000FF"/>
                  <w:sz w:val="20"/>
                  <w:u w:val="single"/>
                </w:rPr>
                <w:t>Item 1B.</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7">
              <w:r>
                <w:rPr>
                  <w:rStyle w:val="InternetLink"/>
                  <w:rFonts w:ascii="Times New Roman" w:hAnsi="Times New Roman"/>
                  <w:color w:val="0000FF"/>
                  <w:sz w:val="20"/>
                  <w:u w:val="single"/>
                </w:rPr>
                <w:t>Unresolved Staff Comments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Times New Roman" w:hAnsi="Times New Roman"/>
                  <w:color w:val="0000FF"/>
                  <w:sz w:val="20"/>
                  <w:u w:val="single"/>
                </w:rPr>
                <w:t>Item 1C.</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Times New Roman" w:hAnsi="Times New Roman"/>
                  <w:color w:val="0000FF"/>
                  <w:sz w:val="20"/>
                  <w:u w:val="single"/>
                </w:rPr>
                <w:t>Cybersecurity</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8">
              <w:r>
                <w:rPr>
                  <w:rStyle w:val="InternetLink"/>
                  <w:rFonts w:ascii="Times New Roman" w:hAnsi="Times New Roman"/>
                  <w:color w:val="0000FF"/>
                  <w:sz w:val="20"/>
                  <w:u w:val="single"/>
                </w:rPr>
                <w:t>Item 2.</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8">
              <w:r>
                <w:rPr>
                  <w:rStyle w:val="InternetLink"/>
                  <w:rFonts w:ascii="Times New Roman" w:hAnsi="Times New Roman"/>
                  <w:color w:val="0000FF"/>
                  <w:sz w:val="20"/>
                  <w:u w:val="single"/>
                </w:rPr>
                <w:t>Properties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9">
              <w:r>
                <w:rPr>
                  <w:rStyle w:val="InternetLink"/>
                  <w:rFonts w:ascii="Times New Roman" w:hAnsi="Times New Roman"/>
                  <w:color w:val="0000FF"/>
                  <w:sz w:val="20"/>
                  <w:u w:val="single"/>
                </w:rPr>
                <w:t>Item 3.</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9">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10">
              <w:r>
                <w:rPr>
                  <w:rStyle w:val="InternetLink"/>
                  <w:rFonts w:ascii="Times New Roman" w:hAnsi="Times New Roman"/>
                  <w:color w:val="0000FF"/>
                  <w:sz w:val="20"/>
                  <w:u w:val="single"/>
                </w:rPr>
                <w:t>Item 4.</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10">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11">
              <w:r>
                <w:rPr>
                  <w:rStyle w:val="InternetLink"/>
                  <w:rFonts w:ascii="Times New Roman" w:hAnsi="Times New Roman"/>
                  <w:b/>
                  <w:color w:val="0E32E1"/>
                  <w:sz w:val="20"/>
                  <w:u w:val="single"/>
                </w:rPr>
                <w:t>PART II</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12">
              <w:r>
                <w:rPr>
                  <w:rStyle w:val="InternetLink"/>
                  <w:rFonts w:ascii="Times New Roman" w:hAnsi="Times New Roman"/>
                  <w:color w:val="0000FF"/>
                  <w:sz w:val="20"/>
                  <w:u w:val="single"/>
                </w:rPr>
                <w:t>Item 5.</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12">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13">
              <w:r>
                <w:rPr>
                  <w:rStyle w:val="InternetLink"/>
                  <w:rFonts w:ascii="Times New Roman" w:hAnsi="Times New Roman"/>
                  <w:color w:val="0000FF"/>
                  <w:sz w:val="20"/>
                  <w:u w:val="single"/>
                </w:rPr>
                <w:t>Item 6.</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13">
              <w:r>
                <w:rPr>
                  <w:rStyle w:val="InternetLink"/>
                  <w:rFonts w:ascii="Times New Roman" w:hAnsi="Times New Roman"/>
                  <w:color w:val="0000FF"/>
                  <w:sz w:val="20"/>
                  <w:u w:val="single"/>
                </w:rPr>
                <w:t>[Reserved]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14">
              <w:r>
                <w:rPr>
                  <w:rStyle w:val="InternetLink"/>
                  <w:rFonts w:ascii="Times New Roman" w:hAnsi="Times New Roman"/>
                  <w:color w:val="0000FF"/>
                  <w:sz w:val="20"/>
                  <w:u w:val="single"/>
                </w:rPr>
                <w:t>Item 7.</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14">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20">
              <w:r>
                <w:rPr>
                  <w:rStyle w:val="InternetLink"/>
                  <w:rFonts w:ascii="Times New Roman" w:hAnsi="Times New Roman"/>
                  <w:color w:val="0000FF"/>
                  <w:sz w:val="20"/>
                  <w:u w:val="single"/>
                </w:rPr>
                <w:t>Item 7A.</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20">
              <w:r>
                <w:rPr>
                  <w:rStyle w:val="InternetLink"/>
                  <w:rFonts w:ascii="Times New Roman" w:hAnsi="Times New Roman"/>
                  <w:color w:val="0000FF"/>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21">
              <w:r>
                <w:rPr>
                  <w:rStyle w:val="InternetLink"/>
                  <w:rFonts w:ascii="Times New Roman" w:hAnsi="Times New Roman"/>
                  <w:color w:val="0000FF"/>
                  <w:sz w:val="20"/>
                  <w:u w:val="single"/>
                </w:rPr>
                <w:t>Item 8.</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21">
              <w:r>
                <w:rPr>
                  <w:rStyle w:val="InternetLink"/>
                  <w:rFonts w:ascii="Times New Roman" w:hAnsi="Times New Roman"/>
                  <w:color w:val="0000FF"/>
                  <w:sz w:val="20"/>
                  <w:u w:val="single"/>
                </w:rPr>
                <w:t>Financial Statements and Supplementary Data</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40">
              <w:r>
                <w:rPr>
                  <w:rStyle w:val="InternetLink"/>
                  <w:rFonts w:ascii="Times New Roman" w:hAnsi="Times New Roman"/>
                  <w:color w:val="0000FF"/>
                  <w:sz w:val="20"/>
                  <w:u w:val="single"/>
                </w:rPr>
                <w:t>Item 9.</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40">
              <w:r>
                <w:rPr>
                  <w:rStyle w:val="InternetLink"/>
                  <w:rFonts w:ascii="Times New Roman" w:hAnsi="Times New Roman"/>
                  <w:color w:val="0000FF"/>
                  <w:sz w:val="20"/>
                  <w:u w:val="single"/>
                </w:rPr>
                <w:t>Changes in and Disagreements with Accountants on Accounting and Financial Disclosure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41">
              <w:r>
                <w:rPr>
                  <w:rStyle w:val="InternetLink"/>
                  <w:rFonts w:ascii="Times New Roman" w:hAnsi="Times New Roman"/>
                  <w:color w:val="0000FF"/>
                  <w:sz w:val="20"/>
                  <w:u w:val="single"/>
                </w:rPr>
                <w:t>Item 9A.</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41">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42">
              <w:r>
                <w:rPr>
                  <w:rStyle w:val="InternetLink"/>
                  <w:rFonts w:ascii="Times New Roman" w:hAnsi="Times New Roman"/>
                  <w:color w:val="0000FF"/>
                  <w:sz w:val="20"/>
                  <w:u w:val="single"/>
                </w:rPr>
                <w:t>Item 9B.</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42">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disclosure_regarding_foreign">
              <w:r>
                <w:rPr>
                  <w:rStyle w:val="InternetLink"/>
                  <w:rFonts w:ascii="Times New Roman" w:hAnsi="Times New Roman"/>
                  <w:color w:val="0000FF"/>
                  <w:sz w:val="20"/>
                  <w:u w:val="single"/>
                </w:rPr>
                <w:t>Item 9C.</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disclosure_regarding_foreign">
              <w:r>
                <w:rPr>
                  <w:rStyle w:val="InternetLink"/>
                  <w:rFonts w:ascii="Times New Roman" w:hAnsi="Times New Roman"/>
                  <w:color w:val="0000FF"/>
                  <w:sz w:val="20"/>
                  <w:u w:val="single"/>
                </w:rPr>
                <w:t>Disclosure Regarding Foreign Jurisdictions that Prevent Inspections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44">
              <w:r>
                <w:rPr>
                  <w:rStyle w:val="InternetLink"/>
                  <w:rFonts w:ascii="Times New Roman" w:hAnsi="Times New Roman"/>
                  <w:b/>
                  <w:color w:val="0000FF"/>
                  <w:sz w:val="20"/>
                  <w:u w:val="single"/>
                </w:rPr>
                <w:t>PART III</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45">
              <w:r>
                <w:rPr>
                  <w:rStyle w:val="InternetLink"/>
                  <w:rFonts w:ascii="Times New Roman" w:hAnsi="Times New Roman"/>
                  <w:color w:val="0000FF"/>
                  <w:sz w:val="20"/>
                  <w:u w:val="single"/>
                </w:rPr>
                <w:t>Item 10.</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45">
              <w:r>
                <w:rPr>
                  <w:rStyle w:val="InternetLink"/>
                  <w:rFonts w:ascii="Times New Roman" w:hAnsi="Times New Roman"/>
                  <w:color w:val="0000FF"/>
                  <w:sz w:val="20"/>
                  <w:u w:val="single"/>
                </w:rPr>
                <w:t>Directors, Executive Officers and Corporate Governance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46">
              <w:r>
                <w:rPr>
                  <w:rStyle w:val="InternetLink"/>
                  <w:rFonts w:ascii="Times New Roman" w:hAnsi="Times New Roman"/>
                  <w:color w:val="0000FF"/>
                  <w:sz w:val="20"/>
                  <w:u w:val="single"/>
                </w:rPr>
                <w:t>Item 11.</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46">
              <w:r>
                <w:rPr>
                  <w:rStyle w:val="InternetLink"/>
                  <w:rFonts w:ascii="Times New Roman" w:hAnsi="Times New Roman"/>
                  <w:color w:val="0000FF"/>
                  <w:sz w:val="20"/>
                  <w:u w:val="single"/>
                </w:rPr>
                <w:t>Executive Compensation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47">
              <w:r>
                <w:rPr>
                  <w:rStyle w:val="InternetLink"/>
                  <w:rFonts w:ascii="Times New Roman" w:hAnsi="Times New Roman"/>
                  <w:color w:val="0000FF"/>
                  <w:sz w:val="20"/>
                  <w:u w:val="single"/>
                </w:rPr>
                <w:t>Item 12.</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47">
              <w:r>
                <w:rPr>
                  <w:rStyle w:val="InternetLink"/>
                  <w:rFonts w:ascii="Times New Roman" w:hAnsi="Times New Roman"/>
                  <w:color w:val="0000FF"/>
                  <w:sz w:val="20"/>
                  <w:u w:val="single"/>
                </w:rPr>
                <w:t>Security Ownership of Certain Beneficial Owners and Management and Related Stockholder Matters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48">
              <w:r>
                <w:rPr>
                  <w:rStyle w:val="InternetLink"/>
                  <w:rFonts w:ascii="Times New Roman" w:hAnsi="Times New Roman"/>
                  <w:color w:val="0000FF"/>
                  <w:sz w:val="20"/>
                  <w:u w:val="single"/>
                </w:rPr>
                <w:t>Item 13.</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48">
              <w:r>
                <w:rPr>
                  <w:rStyle w:val="InternetLink"/>
                  <w:rFonts w:ascii="Times New Roman" w:hAnsi="Times New Roman"/>
                  <w:color w:val="0000FF"/>
                  <w:sz w:val="20"/>
                  <w:u w:val="single"/>
                </w:rPr>
                <w:t>Certain Relationships and Related Transactions, and Director Independence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49">
              <w:r>
                <w:rPr>
                  <w:rStyle w:val="InternetLink"/>
                  <w:rFonts w:ascii="Times New Roman" w:hAnsi="Times New Roman"/>
                  <w:color w:val="0000FF"/>
                  <w:sz w:val="20"/>
                  <w:u w:val="single"/>
                </w:rPr>
                <w:t>Item 14.</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49">
              <w:r>
                <w:rPr>
                  <w:rStyle w:val="InternetLink"/>
                  <w:rFonts w:ascii="Times New Roman" w:hAnsi="Times New Roman"/>
                  <w:color w:val="0000FF"/>
                  <w:sz w:val="20"/>
                  <w:u w:val="single"/>
                </w:rPr>
                <w:t>Principal Accountant Fees and Services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50">
              <w:r>
                <w:rPr>
                  <w:rStyle w:val="InternetLink"/>
                  <w:rFonts w:ascii="Times New Roman" w:hAnsi="Times New Roman"/>
                  <w:b/>
                  <w:color w:val="0E32E1"/>
                  <w:sz w:val="20"/>
                  <w:u w:val="single"/>
                </w:rPr>
                <w:t>PART IV</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51">
              <w:r>
                <w:rPr>
                  <w:rStyle w:val="InternetLink"/>
                  <w:rFonts w:ascii="Times New Roman" w:hAnsi="Times New Roman"/>
                  <w:color w:val="0000FF"/>
                  <w:sz w:val="20"/>
                  <w:u w:val="single"/>
                </w:rPr>
                <w:t>Item 15.</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51">
              <w:r>
                <w:rPr>
                  <w:rStyle w:val="InternetLink"/>
                  <w:rFonts w:ascii="Times New Roman" w:hAnsi="Times New Roman"/>
                  <w:color w:val="0000FF"/>
                  <w:sz w:val="20"/>
                  <w:u w:val="single"/>
                </w:rPr>
                <w:t>Exhibit and Financial Statement Schedules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52">
              <w:r>
                <w:rPr>
                  <w:rStyle w:val="InternetLink"/>
                  <w:rFonts w:ascii="Times New Roman" w:hAnsi="Times New Roman"/>
                  <w:color w:val="0000FF"/>
                  <w:sz w:val="20"/>
                  <w:u w:val="single"/>
                </w:rPr>
                <w:t>Item 16</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hyperlink w:anchor="section52">
              <w:r>
                <w:rPr>
                  <w:rStyle w:val="InternetLink"/>
                  <w:rFonts w:ascii="Times New Roman" w:hAnsi="Times New Roman"/>
                  <w:color w:val="0000FF"/>
                  <w:sz w:val="20"/>
                  <w:u w:val="single"/>
                </w:rPr>
                <w:t>Form 10-K Summary</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ection53">
              <w:r>
                <w:rPr>
                  <w:rStyle w:val="InternetLink"/>
                  <w:rFonts w:ascii="Times New Roman" w:hAnsi="Times New Roman"/>
                  <w:color w:val="0000FF"/>
                  <w:sz w:val="20"/>
                  <w:u w:val="single"/>
                </w:rPr>
                <w:t>Signatures</w:t>
              </w:r>
            </w:hyperlink>
          </w:p>
        </w:tc>
        <w:tc>
          <w:tcPr>
            <w:tcW w:w="871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special_note_regarding_forward"/>
      <w:bookmarkEnd w:id="3"/>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on Form 10-K (this "Annual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expected future growth and our ability to manage such growth;</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develop, obtain regulatory approval for and commercialize TPST-1495 and TPST-1120 and any future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development, regulatory approval, efficacy and commercialization of competing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establish sales and marketing capabilities or enter into agreements with third parties to market and sell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retain regulatory approval for our product candidates or future product candidates in the United States and in any foreign countries in which we make seek to do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retain and hire our board of directors, senior management, or operational personnel;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develop and maintain our corporate infrastructure, including our ability to design and maintain an effective system of internal controls;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remain in compliance with our obligations under our term loan with Oxford Finance LLC, or to obtain a waiver from Oxford for any failure to comply with the covenants contained in such term loan agreement;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bank failures, public health crises or geopolitical tensions;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expectation regarding the period during which we will qualify as a smaller reporting company under the federal securities laws;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used herein, the words “Tempest,” “we,” “us,” “our,” and "company" refer to Tempest Therapeutics, Inc. and its direct and indirect subsidiaries, as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ection4"/>
      <w:bookmarkEnd w:id="4"/>
      <w:r>
        <w:rPr>
          <w:rFonts w:ascii="Times New Roman" w:hAnsi="Times New Roman"/>
          <w:b/>
          <w:color w:val="000000"/>
          <w:sz w:val="20"/>
        </w:rPr>
        <w:t>PART I</w:t>
      </w:r>
    </w:p>
    <w:p>
      <w:pPr>
        <w:pStyle w:val="TextBody"/>
        <w:bidi w:val="0"/>
        <w:spacing w:before="240" w:after="283"/>
        <w:jc w:val="both"/>
        <w:rPr>
          <w:rFonts w:ascii="Times New Roman" w:hAnsi="Times New Roman"/>
          <w:b/>
          <w:color w:val="000000"/>
          <w:sz w:val="20"/>
        </w:rPr>
      </w:pPr>
      <w:bookmarkStart w:id="5" w:name="section5"/>
      <w:bookmarkEnd w:id="5"/>
      <w:r>
        <w:rPr>
          <w:rFonts w:ascii="Times New Roman" w:hAnsi="Times New Roman"/>
          <w:b/>
          <w:color w:val="000000"/>
          <w:sz w:val="20"/>
        </w:rPr>
        <w:t>ITEM 1.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clinical-stage biotechnology company moving into late-stage development with a diverse portfolio of novel targeted and immune-mediated product candidates with the potential to be first-in-class treatments for a wide range of cancers. The company’s programs range from early research to the lead program, TPST-1120, that is poised to begin a pivotal study in first-line liver cancer. 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two clinical-stage therapeutic product candidates are TPST-1120 and TPST-1495, which we believe are the first clinical-stage molecules designed to inhibit their respective targets.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TPST-1120 is a selective antagonist of peroxisome proliferator-activated receptor alpha (“PPARα”). On October 11, 2023, we announced new and updated positive results from the planned data analysis of the ongoing global randomized Phase 1b/2 trial of TPST-1120 combined with the standard-of-care first-line regimen of atezolizumab and bevacizumab in patients with advanced or metastatic hepatocellular carcinoma (“HCC”). The study is comparing the TPST-1120 arm to standard of care alone and enrolled 40 patients randomized to the TPST-1120 arm and 30 patients randomized to the control arm. With a median follow-up of 9.2 and 9.9 months for the TPST-1120 arm and standard-of-care arm, respectively, the data showed a 30% confirmed objective response rate (“ORR”) achieved in the TPST-1120 arm compared to 13.3% in the control arm, a substantial increase as compared to the previous data cut of 17.5% in the TPST-1120 arm and 10.3% in the control arm. In the TPST-1120 arm, 40% of patients remained on treatment versus 16.7% in the control arm, while 72.5% of the TPST-1120 arm patients remained on study versus 46.7% in the control arm. The results also demonstrated a favorable progression free survival and overall survival (“OS”) hazard ratio for the TPST-1120 arm as compared to the standard-of-care control arm. We expect updated OS data to be available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overall data, the new biomarker subpopulation findings are consistent with the mechanism of action of TPST-1120: patients with b-catenin activating mutations (21% in this study or n=7) showed a confirmed ORR of 43% and a disease control rate (“DCR”) of 100% in the TPST-1120 arm; and distinct from the control arm, the TPST-1120 arm was consistently active across PD-L1 negative tumors with a confirmed ORR of 27% in the TPST-1120 arm, compared to a reduced ORR of 7% for the control arm.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randomized data build upon clinical data from Phase 1 trials that were reported at a podium presentation at the American Society of Clinical Oncology (“ASCO”) annual meeting in June 2022. RECIST responses were also observed in this study at the two highest TPST-1120 doses, administered in combination with nivolumab, for an ORR of those cohorts of 30% (3 of 10 patients), including in patients who previously progressed on anti-PD-1 (-L1) therapy. We believe the next step in TPST-1120 development is a pivotal Phase 3 trial in first-line HCC and are planning to meet with the FDA in 2024 in order to advance that goal. In addition, given the totality of the data, we are considering pursuing development of TPST-1120 for use in kidney cancer (“RCC”) and potentially other indications.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second clinical program, TPST-1495, a dual antagonist of the EP2 and EP4 receptors of prostaglandin E2, is in an ongoing Phase 1 combination trial in patients with endometrial cancer. Data from the TPST-1495 Phase 1 trial was presented at the ASCO annual meeting in June 2023. Additionally, we are planning to advance TPST-1495 in a new indication, Familial Adenomatous Polyposis (“FAP”), for which there are no approved therapies. Given that prostaglandin signaling is implicated in FAP and based on positive preclinical data in a relevant mouse model, we believe there is strong mechanistic support for this approach. We are working with the Cancer Prevention Clinical Trials Network on a National Cancer Institute (“NCI”)-funded Phase 2 study and subject to final approval from the consortium, plan to start the study in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Beyond these clinical programs, we plan to continue to leverage our drug development and company-building experience along with academic relationships to identify promising new targets that have the potential to feed new programs into our pipeline. Our Discovery Research team employs a multidisciplinary approach to identify and validate therapeutic targets in oncology, and preclinical validation studies are then conducted to further understand the mechanism of action and potential therapeutic benefit to patients.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Our Pipeline</w:t>
      </w:r>
    </w:p>
    <w:p>
      <w:pPr>
        <w:pStyle w:val="TextBody"/>
        <w:bidi w:val="0"/>
        <w:jc w:val="both"/>
        <w:rPr>
          <w:rFonts w:ascii="Times New Roman" w:hAnsi="Times New Roman"/>
          <w:color w:val="000000"/>
          <w:sz w:val="20"/>
        </w:rPr>
      </w:pPr>
      <w:r>
        <w:rPr>
          <w:rFonts w:ascii="Times New Roman" w:hAnsi="Times New Roman"/>
          <w:color w:val="000000"/>
          <w:sz w:val="20"/>
        </w:rPr>
        <w:t>Our product development pipeline consists of the following orally-available therapies, which if approved by the U.S. Food and Drug Administration (the "FDA"), we believe will be first in class:</w:t>
      </w:r>
    </w:p>
    <w:p>
      <w:pPr>
        <w:pStyle w:val="TextBody"/>
        <w:bidi w:val="0"/>
        <w:jc w:val="both"/>
        <w:rPr/>
      </w:pPr>
      <w:r>
        <w:rPr/>
        <w:t> </w:t>
      </w:r>
    </w:p>
    <w:p>
      <w:pPr>
        <w:pStyle w:val="TextBody"/>
        <w:bidi w:val="0"/>
        <w:jc w:val="center"/>
        <w:rPr/>
      </w:pPr>
      <w:r>
        <w:rPr/>
        <w:drawing>
          <wp:inline distT="0" distB="0" distL="0" distR="0">
            <wp:extent cx="6505575" cy="2609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05575" cy="2609850"/>
                    </a:xfrm>
                    <a:prstGeom prst="rect">
                      <a:avLst/>
                    </a:prstGeom>
                  </pic:spPr>
                </pic:pic>
              </a:graphicData>
            </a:graphic>
          </wp:inline>
        </w:drawing>
      </w:r>
      <w:r>
        <w:rPr/>
        <w:t>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1. Timing is an estimate based on current projections and status of programs</w:t>
      </w:r>
    </w:p>
    <w:p>
      <w:pPr>
        <w:pStyle w:val="TextBody"/>
        <w:bidi w:val="0"/>
        <w:spacing w:before="240" w:after="283"/>
        <w:jc w:val="both"/>
        <w:rPr>
          <w:rFonts w:ascii="Times New Roman" w:hAnsi="Times New Roman"/>
          <w:sz w:val="20"/>
        </w:rPr>
      </w:pPr>
      <w:r>
        <w:rPr>
          <w:rFonts w:ascii="Times New Roman" w:hAnsi="Times New Roman"/>
          <w:color w:val="000000"/>
          <w:sz w:val="18"/>
        </w:rPr>
        <w:t>2. Estimated for either year-end 2024 or the first quarter of 2025, subject to discussions with FDA.</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3. Received initial approval from NCI; study start subject to final approval.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Strategy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team has come together to build an integrated company to deliver meaningful therapies to cancer patients by leveraging our collective capabilities and experience. We expect to build value for our stockholders with the following over-arching strategy: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Advance TPST-1120 into a pivotal study in first-line HCC patients where TPST-1120 will be studied in a combination treatment and compared to a standard-of-care therapy. We believe positive results from the ongoing randomized Phase 1b/2 study provides strategic opportunities for us, and we expect to receive updated results from this randomized study in 2024. We are also evaluating further development in RCC and cholangiocarcinoma (“CCA”) based on the Phase 1 data presented at ASCO 2022.</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Explore TPST-1495 beyond original tumor types of interest to near-term meaningful clinical data. We plan to complete the ongoing combination arm in patients with advanced endometrial cancer, where prostaglandin signaling is implicated, and report the data in 2024. Additionally, subject to final approval with the FAP Consortium on NCI, we are planning to advance TPST-1495 into a Phase 2 study in patients with the Cancer Prevention Clinical Trials Network in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Enhance our pipeline by identifying novel oncology targets and in-licensing opportunities. Although we believe we have a robust pipeline, we continue to evaluate and pursue novel targets and product candidates for acquisition and in-licensing to supplement our internal research efforts and further build our pipeline of targeted molecules for oncology.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Through our team’s focus and expertise in oncology and immunology, as well as established relationships with oncology and immunology thought leaders, we believe we are positioning the company as a partner of choice for innovative oncology drug candidate development. Continued advances in the biological understanding of diseases should provide opportunities to further expand our portfolio with preclinical and/or clinical product candidates.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Explore business development opportunities to maximize the potential of our pipeline and extend financial resources. We believe that our pipeline has broad potential reach and partnerships that bring in additional expertise and/or geographic presence could be important to increase the likelihood of success. We currently own all rights to our programs. We intend to become a fully integrated biopharmaceutical company and build a targeted sales force in the United States to support the commercialization of our drug candidates, if approved.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Clinical Programs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TPST-1120: PPARα</w:t>
      </w:r>
      <w:r>
        <w:rPr>
          <w:rFonts w:ascii="Times New Roman" w:hAnsi="Times New Roman"/>
          <w:color w:val="000000"/>
          <w:sz w:val="20"/>
        </w:rPr>
        <w:t xml:space="preserve"> </w:t>
      </w:r>
      <w:r>
        <w:rPr>
          <w:rFonts w:ascii="Times New Roman" w:hAnsi="Times New Roman"/>
          <w:b/>
          <w:i/>
          <w:color w:val="000000"/>
          <w:sz w:val="20"/>
        </w:rPr>
        <w:t>Transcription Factor Antagonist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TPST-1120, a potentially first-in-class oral small molecule antagonist of PPARα, has completed a Phase 1a/b trial, and is currently being studied in an ongoing randomized Phase 1b/2 trial. The Phase 1a/b trial was a multicenter, open-label, dose-escalation, that evaluated TPST-1120 as both a monotherapy and combination therapy with nivolumab in patients with advanced solid tumors. Results from both the monotherapy and combination arms were presented in an oral presentation at the ASCO conference in 2022. The ongoing Phase 1b/2 trial is a randomized, multicenter, global study in collaboration with Roche that is evaluating TPST-1120 in combination with atezolizumab (Tecentriq®) and bevacizumab (Avastin®) in previously untreated patients with advanced HCC, compared to atezolizumab and bevacizumab, which is a standard of care for that indication and patient population. We announced positive data from the trial in October 2023, and expect to receive updated data in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Tumors evolve to promote their own survival by alternating energy sources, promoting angiogenesis and evading immune recognition. PPARα is a transcription factor that is activated through binding of long-chain fatty acid ligands, which in turn regulates the expression of genes that control glucose and lipid homeostasis, inflammation, proliferation, differentiation and cell death. Included among these regulated genes are those that enable fatty acid oxidation, or FAO, and β-oxidation metabolic pathways in cellular peroxisomes and in mitochondria. An FAO metabolic profile is associated with tumor proliferation, induction of angiogenesis and immune suppression. Published studies and internal Tempest analyses of over 9,000 primary or metastatic tumor samples in the Human Cancer Genome public database reveal a metabolic gene expression profile characterized by increased PPARα, FAO genes and lipogenesis associated with increased metastatic potential and reduced survival enrichment among multiple cancers, including HCC, CCA, breast carcinoma, colorectal adenocarcinoma, RCC, lung adenocarcinoma and prostate adenocarcinoma. TPST-1120 is designed to block the pathways that support tumor cell proliferation, angiogenesis and immune suppression, resulting in reduced disease and patient benefit.</w:t>
      </w:r>
    </w:p>
    <w:p>
      <w:pPr>
        <w:pStyle w:val="TextBody"/>
        <w:bidi w:val="0"/>
        <w:jc w:val="both"/>
        <w:rPr/>
      </w:pPr>
      <w:r>
        <w:rPr/>
        <w:t> </w:t>
      </w:r>
    </w:p>
    <w:p>
      <w:pPr>
        <w:pStyle w:val="TextBody"/>
        <w:bidi w:val="0"/>
        <w:jc w:val="center"/>
        <w:rPr/>
      </w:pPr>
      <w:r>
        <w:rPr/>
        <w:drawing>
          <wp:inline distT="0" distB="0" distL="0" distR="0">
            <wp:extent cx="6505575" cy="2838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05575" cy="2838450"/>
                    </a:xfrm>
                    <a:prstGeom prst="rect">
                      <a:avLst/>
                    </a:prstGeom>
                  </pic:spPr>
                </pic:pic>
              </a:graphicData>
            </a:graphic>
          </wp:inline>
        </w:drawing>
      </w: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Summary of TPST-1120 Preclinical Results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conducted pre-clinical pharmacology studies along with pharmacokinetics, or PK, and toxicology studies with TPST-1120 to support its ongoing evaluation for the treatment of patients with advanced solid tumors. The combined results of the preclinical studies that we have performed indicate that TPST-1120 has a dual anti-tumor mechanism of action that involves both directly inhibiting tumor proliferation and targeting suppressive immune response pathways to promote effective tumor-specific immunity. Our preclinical results support the large body of published literature that the PPARα target genes play an integral role in tumor growth, angiogenesis and evasion of immune recognition, and provide the scientific rationale for targeting this pathway with TPST-1120.</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Immune checkpoint blockade enhances anti-tumor immunity by restoring the activity of cytotoxic T (Teff) cells. Emerging experimental results suggest that inhibiting FAO with a PPARα antagonist may target resistance mechanisms to both anti-PD-L1/PD-1 and anti-VEGF therapies, supporting the combination of TPST-1120 with either or both therapies. We have conducted preclinical studies showing that while both TPST-1120 or anti-PD-1 monotherapy inhibited outgrowth of established flank MC38 tumors, the combination of these two agents resulted in synergistic anti-tumor activity. In addition, MC38 tumor-bearing mice cured by the combination therapy, unlike age-matched naïve control mice, were completely resistant to tumor growth when rechallenged with autologous MC38 tumor cells, demonstrating that TPST-1120 in combination with anti-PD-1 induced lasting tumor-specific immune memory. In addition, activating mutations in the Wnt/B-catenin pathway represent the most frequently dysregulated pathway in HCC. Such mutations render a tumor cell dependent upon FAO for its energy source, and in preclinical studies, Tempest has shown reduction and long-term durable cures in mice bearing Wnt/B-catenin activated HCC tumors treated with TPST-1120 and an immune checkpoint inhibitor. The promise of these pre-clinical results have been observed in the clinic, where we observed increased clinical benefit in our Phase 1b/2 study in HCC patients who had a mutation in this pathway.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Efficacy in Syngeneic β-Catenin-driven Hepatocellular Carcinoma Model</w:t>
      </w:r>
    </w:p>
    <w:p>
      <w:pPr>
        <w:pStyle w:val="TextBody"/>
        <w:bidi w:val="0"/>
        <w:jc w:val="center"/>
        <w:rPr/>
      </w:pPr>
      <w:r>
        <w:rPr/>
        <w:drawing>
          <wp:inline distT="0" distB="0" distL="0" distR="0">
            <wp:extent cx="5076825" cy="2971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076825" cy="2971800"/>
                    </a:xfrm>
                    <a:prstGeom prst="rect">
                      <a:avLst/>
                    </a:prstGeom>
                  </pic:spPr>
                </pic:pic>
              </a:graphicData>
            </a:graphic>
          </wp:inline>
        </w:drawing>
      </w:r>
      <w:r>
        <w:rPr/>
        <w:t>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Tumor resistance to anti-angiogenic drugs is also associated with elevated lipogenesis and FAO, primarily through the vascular regression and hypoxic environment that this class of therapies engenders. In response, tumor cells can switch to FAO as a mechanism of resistance against anti-angiogenic therapy. In a preclinical study, we confirmed that combination of TPST-1120 with tyrosine kinase inhibitor-, or TKI-, based anti-angiogenesis therapy confers potent anti-tumor activity.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preclinical data for TPST-120 are consistent with the data observed from our Phase 1 trial presented at ASCO in 2022. Taken together, we believe the hypothesis behind the TPST-1120 program, the preclinical data, and the Phase 1 data support the design of, and data observed from, the ongoing study of TPST-1120 in first-line HCC in combination with standard of care as well 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potential evaluation of TPST-1120 in combination with other therapeutic agents, such as a tyrosine kinase inhibitor, or TKI, in FAO-reliant malignancies such as HCC and RCC.</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Overview of TPST-1120 Clinical Trials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completed a Phase 1a/b study of TPST-1120 and a randomized Phase 1b/2 clinical study is ongoing. We have released positive data from both studies and expect updated data from the Phase 1b/2 clinical study in 2024. The Phase 1a/b trial evaluated both monotherapy and combination therapy with the anti-PD-1 agent nivolumab in patients with advanced solid tumors that our PPARα-dependent transcriptome analysis of diverse human cancers revealed favor the usage of FAO. Results from both the monotherapy and the combination arms were presented in an oral presentation at the ASCO conference in 2022.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TPST-1120 demonstrated monotherapy clinical benefit in patients with late-line, treatment-refractory cancers where objective responses (RECIST v1.1) would not be expected, including pancreatic, CCA, and colorectal cancers ("CRC"). Results showed that 53% (10/19) of patients experienced clinical benefit in the form of disease control, including tumor shrinkage in 21% of the patients. One subject with late line CCA had a 15% tumor shrinkage and was on study for over nine months of treatment, while also demonstrating on-target inhibition of expression of PPARα target genes on pharmacodynamic ("PD") assessment.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combination therapy portion of the trial, 15 evaluable patients with heavily pretreated RCC, HCC and CCA were treated with oral twice-daily TPST-1120 and the anti-PD-1 therapy, nivolumab. All the HCC and RCC patients had received an approved anti-PD-1 therapy in at least one prior line of therapy and discontinued that treatment due to disease progression. We observed objective responses (RECIST v1.1) in two patients with late-line RCC who had previously progressed on anti-PD-1 therapy without having achieved an objective response (ORR 50%, n=2/4, in evaluable RCC patients), and we observed mixed response in a third RCC IO-refractory patient with significant reduction (&gt;30%) in the target lesion, but the appearance of new disease precluded designation as a RECIST PR. A third RECIST response was observed in a patient with late-line, heavily pre-treated CCA, a tumor type generally not responsive to anti-PD-1 therapy alone. All the RECIST responses were observed at the two highest doses.</w:t>
      </w:r>
    </w:p>
    <w:p>
      <w:pPr>
        <w:pStyle w:val="TextBody"/>
        <w:bidi w:val="0"/>
        <w:jc w:val="both"/>
        <w:rPr/>
      </w:pPr>
      <w:r>
        <w:rPr/>
        <w:t> </w:t>
      </w:r>
    </w:p>
    <w:p>
      <w:pPr>
        <w:pStyle w:val="TextBody"/>
        <w:bidi w:val="0"/>
        <w:jc w:val="center"/>
        <w:rPr/>
      </w:pPr>
      <w:r>
        <w:rPr/>
        <w:drawing>
          <wp:inline distT="0" distB="0" distL="0" distR="0">
            <wp:extent cx="5553075" cy="2219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53075" cy="2219325"/>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Notably, one RCC patient who achieved a response after treatment with TPST-1120 and nivolumab had previously been treated with nivolumab in combination with ipilimumab without experiencing an objective response and progressed on treatment, followed by further progression of cancer on both cabozantinib and everolimus. The initial RECIST PR was seen at the first on-study assessment at eight weeks and included a response in all target lesions as well as complete radiographic resolution of multiple sites of metastatic disease (see CT scan below) and has been confirmed at subsequent assessments beyond 12 months.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Partial Response in Late-Line RCC Patient Treated with TPST-1120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and Nivolumab Combination Therapy</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6505575" cy="2581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505575" cy="2581275"/>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Randomized Data in HCC</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11, 2023, we announced updated positive results from the planned data analysis from the ongoing global randomized Phase 1b/2 trial of TPST-1120, combined with the standard-of-care first-line regimen of atezolizumab and bevacizumab, in patients with advanced or metastatic HCC. The study is comparing the TPST-1120 arm to standard of care alone, and enrolled 40 patients randomized to the TPST-1120 arm and 30 patients randomized to the control arm. With a median follow-up of 9.2 and 9.9 months for the TPST-1120 arm and standard-of-care arm, respectively, the data showed a 30% confirmed ORR achieved in the TPST-1120 arm compared to 13.3% for atezolizumab and bevacizumab in the control arm, a substantial increase specific to the TPST-1120 arm as compared to the previously released interim data cut of 17.5% in the TPST-1120 arm versus 10.3% in the control arm. The results also showed a favorable progression free survival and OS hazard ratio for the TPST-1120 arm as compared to the standard-of-care control arm. In the TPST-1120 arm 40% of patients remained on treatment versus 16.7% in the control arm, while 72.5% of the TPST-1120 arm patients remained on study versus 46.7% in the control arm.</w:t>
      </w:r>
    </w:p>
    <w:p>
      <w:pPr>
        <w:pStyle w:val="TextBody"/>
        <w:bidi w:val="0"/>
        <w:spacing w:before="240" w:after="283"/>
        <w:jc w:val="center"/>
        <w:rPr/>
      </w:pPr>
      <w:r>
        <w:rPr/>
        <w:drawing>
          <wp:inline distT="0" distB="0" distL="0" distR="0">
            <wp:extent cx="6134100" cy="2076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134100" cy="2076450"/>
                    </a:xfrm>
                    <a:prstGeom prst="rect">
                      <a:avLst/>
                    </a:prstGeom>
                  </pic:spPr>
                </pic:pic>
              </a:graphicData>
            </a:graphic>
          </wp:inline>
        </w:drawing>
      </w:r>
      <w:r>
        <w:rPr/>
        <w:t> </w:t>
      </w:r>
    </w:p>
    <w:p>
      <w:pPr>
        <w:pStyle w:val="TextBody"/>
        <w:bidi w:val="0"/>
        <w:jc w:val="both"/>
        <w:rPr>
          <w:rFonts w:ascii="Times New Roman" w:hAnsi="Times New Roman"/>
          <w:color w:val="000000"/>
          <w:sz w:val="18"/>
        </w:rPr>
      </w:pPr>
      <w:r>
        <w:rPr>
          <w:rFonts w:ascii="Times New Roman" w:hAnsi="Times New Roman"/>
          <w:color w:val="000000"/>
          <w:sz w:val="18"/>
        </w:rPr>
        <w:t>1. Data not provided by Roche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New biomarker subpopulation findings are consistent with the mechanism of action of TPST-1120. Patients with b-catenin activating mutations (21% in this study (n=7)) showed an increased confirmed ORR of 43% and a disease control rate (“DCR”) of 100% in the TPST-1120 arm. In addition, and distinct from the control arm, the TPST-1120 arm was consistently active across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PD-L1 negative tumors with a confirmed ORR of 27% in the TPST-1120 arm, compared to a reduced ORR of 7% for the control arm. We expect updated data to be available in 2024.</w:t>
      </w:r>
    </w:p>
    <w:p>
      <w:pPr>
        <w:pStyle w:val="TextBody"/>
        <w:bidi w:val="0"/>
        <w:spacing w:before="240" w:after="283"/>
        <w:jc w:val="center"/>
        <w:rPr/>
      </w:pPr>
      <w:r>
        <w:rPr/>
        <w:drawing>
          <wp:inline distT="0" distB="0" distL="0" distR="0">
            <wp:extent cx="5076825" cy="3714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076825" cy="3714750"/>
                    </a:xfrm>
                    <a:prstGeom prst="rect">
                      <a:avLst/>
                    </a:prstGeom>
                  </pic:spPr>
                </pic:pic>
              </a:graphicData>
            </a:graphic>
          </wp:inline>
        </w:drawing>
      </w:r>
      <w:r>
        <w:rPr/>
        <w:t> </w:t>
      </w:r>
    </w:p>
    <w:p>
      <w:pPr>
        <w:pStyle w:val="TextBody"/>
        <w:bidi w:val="0"/>
        <w:spacing w:before="240" w:after="283"/>
        <w:jc w:val="center"/>
        <w:rPr/>
      </w:pPr>
      <w:r>
        <w:rPr/>
        <w:drawing>
          <wp:inline distT="0" distB="0" distL="0" distR="0">
            <wp:extent cx="5162550" cy="3714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162550" cy="3714750"/>
                    </a:xfrm>
                    <a:prstGeom prst="rect">
                      <a:avLst/>
                    </a:prstGeom>
                  </pic:spPr>
                </pic:pic>
              </a:graphicData>
            </a:graphic>
          </wp:inline>
        </w:drawing>
      </w: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Early in the development of TPST-1120, given the expression profile and attributes of PPARα, we selected HCC, RCC and CAA as cancers of interest and checkpoint inhibitors and anti-angiogenic therapeutics as potential companion therapies with the goal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maximize the opportunity to bring meaningful benefit to patients with these cancers. Based on the pre-clinical and clinical data released to date, we believe that the emerging clinical benefit profile of TPST-1120 for patients shows alignment with these predictions, and we look forward to the potential benefit TPST-1120 could bring to patients with these cancers.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worldwide rights to TPST-1120, and have filed and been issued patents, including composition of matter, pharmaceutical compositions, and related methods of use, which are expected to expire between December 2033 and November 2043, without giving effect to any patent term extensions.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TPST-1495: Dual EP2/EP4 Prostaglandin Receptor Antagonist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second clinical molecule is TPST-1495, a potentially first-in-class, oral, small molecule dual antagonist of the prostaglandin E2, or PGE2, receptors, EP2 and EP4. TPST-1495 is engineered to inhibit only these receptors while sparing the homologous - but differentially active - EP1 and EP3 receptors.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is extensive literature demonstrating that PGE2 both enhances tumor proliferation and inhibits anti-cancer immune function; it is known from the scientific literature that many tumors express elevated levels of the cyclooxygenase enzymes that produce PGE2. Elevated expression of COX-2 and overproduction of PGE2 is correlated with progression of diverse malignancies by stimulating tumor cell proliferation, survival, evasion and metastasis as well as host angiogenesis. In addition, PGE2 suppresses anti-tumor immunity by inhibiting the function of critical anti-tumor immune effector cell populations such as dendritic cells, natural killer ("NK cells"), T cells, and M1 macrophages, while promoting the activity of suppressive immune cell populations including myeloid-derived suppressor cells ("MDSCs"), M2 macrophages, and regulatory T cells. Recent studies have also shown that increased expression of COX-2 and production of PGE2 can play a role in the effectiveness of immune checkpoint inhibitor therapy and in the development of adaptive resistance to therapy. This body of literature provides the scientific rationale for developing therapeutics that maximally inhibit the prostaglandin pathway, as well as for combining TPST-1495 with immune checkpoint inhibitor monoclonal antibodies.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conducted preclinical studies to evaluate TPST-1495, including its ability to reverse PGE2-mediated suppression of primary human monocyte to dendritic cell differentiation and activation in vitro, as well as comparisons to other agents designed to operate in the same pathway such as a single EP4 antagonist and, as described, COX2.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also conducted preclinical studies to evaluate TPST-1495 in a spontaneous APCMin/+ mouse model of FAP that demonstrated a significant survival advantage in comparison to other inhibitors in the prostaglandin pathway. </w:t>
      </w:r>
    </w:p>
    <w:p>
      <w:pPr>
        <w:pStyle w:val="TextBody"/>
        <w:bidi w:val="0"/>
        <w:jc w:val="both"/>
        <w:rPr/>
      </w:pPr>
      <w:r>
        <w:rPr/>
        <w:t> </w:t>
      </w:r>
    </w:p>
    <w:p>
      <w:pPr>
        <w:pStyle w:val="TextBody"/>
        <w:bidi w:val="0"/>
        <w:jc w:val="both"/>
        <w:rPr/>
      </w:pPr>
      <w:r>
        <w:rPr/>
        <w:drawing>
          <wp:inline distT="0" distB="0" distL="0" distR="0">
            <wp:extent cx="6505575" cy="3076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505575" cy="3076575"/>
                    </a:xfrm>
                    <a:prstGeom prst="rect">
                      <a:avLst/>
                    </a:prstGeom>
                  </pic:spPr>
                </pic:pic>
              </a:graphicData>
            </a:graphic>
          </wp:inline>
        </w:drawing>
      </w:r>
      <w:r>
        <w:rPr/>
        <w:t> </w:t>
      </w:r>
    </w:p>
    <w:p>
      <w:pPr>
        <w:pStyle w:val="TextBody"/>
        <w:bidi w:val="0"/>
        <w:jc w:val="both"/>
        <w:rPr>
          <w:rFonts w:ascii="Times New Roman" w:hAnsi="Times New Roman"/>
          <w:i/>
          <w:color w:val="000000"/>
          <w:sz w:val="18"/>
        </w:rPr>
      </w:pPr>
      <w:r>
        <w:rPr>
          <w:rFonts w:ascii="Times New Roman" w:hAnsi="Times New Roman"/>
          <w:i/>
          <w:color w:val="000000"/>
          <w:sz w:val="18"/>
        </w:rPr>
        <w:t>Source: Francica et al., Cancer Res Commun; 3(8) August 2023 https://doi.org/10.1158/2767-9764.CRC-23-0249</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Overview of Ongoing TPST-1495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TPST-1495 was evaluated in a first-in-human, Phase 1, multicenter, open-label, schedule and dose optimization trial in subjects with late-stage solid tumor cancers that are deemed incurable. Study objectives include evaluation of safety, tolerability, PK, PD, and preliminary anti-tumor activity of TPST-1495 as monotherapy and in combination with the checkpoint inhibitor, pembrolizumab. TPST-1495 has been evaluated on a once daily (“QD”) or twice daily (“BID”) schedule and with continuous or intermittent administration as monotherapy and in combination with pembrolizumab. Results from the Phase 1 study were presented at ASCO 2023. The data showed that in a diverse and treatment-refractory patient population, treatment with TPST-1495 as a monotherapy and in combination with pembrolizumab resulted in tumor shrinkage and prolonged stable disease in certain patients, as well as a durable confirmed partial response (“PR”) in a combination therapy patient with microsatellite stable colorectal cancer (“MSS CRC”), an indication not normally responsive to immunotherapy. The safety profile for TPST-1495 monotherapy on the recommended once-daily schedule was tolerable, with predominantly Grade 1-2 treatment related adverse events (“TRAEs”), including abdominal pain (17.9% All Grade and 0% Grade 3+), nausea (20.5% All Grade and 0% Grade 3+), and diarrhea (15.4% All Grade and 2.6% Grade 3+). For the combination with pembrolizumab, the most common TRAEs were nausea (29.2% All Grade and 0% Grade 3+), fatigue (20.8% All Grade and 4.2% Grade 3+) and diarrhea (20.8% All Grade, 0% Grade 3+). No TRAEs of Grade ≥4 were reported. On the recommended once-daily schedule, the DCR by RECIST v1.1 was 44% for patients on monotherapy TPST-1495 and 40.9% for patients on TPST-1495 with pembrolizumab (including a confirmed PR in a patient with MSS CRC and a stable disease rate of 36.4%). An ongoing combination arm in patients with endometrial cancer is expected to complete and data will be reported in 2024.</w:t>
      </w:r>
    </w:p>
    <w:p>
      <w:pPr>
        <w:pStyle w:val="TextBody"/>
        <w:bidi w:val="0"/>
        <w:spacing w:before="240" w:after="283"/>
        <w:jc w:val="left"/>
        <w:rPr>
          <w:rFonts w:ascii="Times New Roman" w:hAnsi="Times New Roman"/>
          <w:sz w:val="20"/>
        </w:rPr>
      </w:pPr>
      <w:r>
        <w:rPr>
          <w:rFonts w:ascii="Times New Roman" w:hAnsi="Times New Roman"/>
          <w:color w:val="000000"/>
          <w:sz w:val="20"/>
        </w:rPr>
        <w:t>Our preclinical results in the APC</w:t>
      </w:r>
      <w:r>
        <w:rPr>
          <w:rFonts w:ascii="Times New Roman" w:hAnsi="Times New Roman"/>
          <w:color w:val="000000"/>
          <w:sz w:val="13"/>
        </w:rPr>
        <w:t>Min/+</w:t>
      </w:r>
      <w:r>
        <w:rPr>
          <w:rFonts w:ascii="Times New Roman" w:hAnsi="Times New Roman"/>
          <w:color w:val="000000"/>
          <w:sz w:val="20"/>
        </w:rPr>
        <w:t xml:space="preserve"> lead us to consider the application of TPST-1495 in familial adenomatous polyposis syndrome (“FAP”). FAP is a hereditary condition characterized by the development of numerous polyps in the colon and rectum. These polyps have the potential to become cancerous if left untreated. FAP is caused by mutations in the APC gene, which normally helps regulate cell growth and division in the intestinal lining. Individuals with FAP have a significantly increased risk of developing colorectal cancer at a young age, often before the age of 40. Additionally, FAP can lead to the development of polyps in other parts of the gastrointestinal tract, as well as other non-gastrointestinal tumors. Management of FAP typically involves regular surveillance with colonoscopies and surgical intervention to remove the polyps and reduce the risk of cancer. Currently, there are no systemic therapies approved to treat FAP. We are working with the Cancer Prevention Clinical Trials Network on a National Cancer Institute (“NCI”)-funded Phase 2 study, and subject to final approval of NCI, plan to start the study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worldwide rights to TPST-1495, and have filed and been issued patents, including composition of matter and pharmaceutical compositions, which are expected to expire between April 2038 and October 2042, without giving effect to any patent term extensions.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Discovery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Discovery Research team is dedicated to identifying and validating novel therapeutic targets in oncology. We are not bound to a single technology platform, which allows us the scientific freedom to pursue targets and modalities that we believe have the highest probability to benefit patients. Rigorous medicinal chemistry and a broad set of preclinical validation studies are conducted to further evaluate lead compounds and inform decision-making for advancement into clinical development. Collaboration with academic institutions, contract research organizations (“CROs”), and strategic partners provides opportunity to enrich our pipeline, as well, enhancing our ability to deliver innovative medicines to address unmet medical needs.</w:t>
      </w:r>
    </w:p>
    <w:p>
      <w:pPr>
        <w:pStyle w:val="TextBody"/>
        <w:bidi w:val="0"/>
        <w:spacing w:before="162" w:after="283"/>
        <w:jc w:val="both"/>
        <w:rPr>
          <w:rFonts w:ascii="Times New Roman" w:hAnsi="Times New Roman"/>
          <w:b/>
          <w:color w:val="000000"/>
          <w:sz w:val="20"/>
        </w:rPr>
      </w:pPr>
      <w:r>
        <w:rPr>
          <w:rFonts w:ascii="Times New Roman" w:hAnsi="Times New Roman"/>
          <w:b/>
          <w:color w:val="000000"/>
          <w:sz w:val="20"/>
        </w:rPr>
        <w:t>License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2021, we entered into a collaboration agreement with Roche to accelerate the development of TPST-1120 into a global, first-line, randomized study. The companies are evaluating TPST-1120 in a Phase 1b/2 clinical study in combination with the standard-of-care first-line regimen of atezolizumab and bevacizumab in patients with advanced or metastatic HCC, not previously treated with systemic therapy. Pursuant to the terms of the agreement, Roche is managing the study operations for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trial, and we retain global development and commercialization rights to TPST-1120. Pursuant to the agreement, Roche provides us with notice of the amount of TPST-1120 required and the delivery timeline, and we supply the TPST-1120. All rights to invention and discoveries relating solely to TPST-1120 or biomarkers solely related to TPST-1120 made during any study will be our exclusive property. All data generated in the performance of any study under the collaboration agreement will be the property of Roche, but we are entitled to use the data for any lawful purpose.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agreement applies on a study-by-study basis until the last treatment of the last patient in a study receiving TPST-1120 in accordance with the protocol for such study or until the termination of this collaboration agreement by either party. Each party has the right to terminate the collaboration agreement upon 60 days prior written notice to the other party. Upon any termination of the agreement, neither we nor Roche will be entitled to any compensation, damages or other payment. If any individual study supplement is terminated, Roche must return all unused TPST-1120 to us free of charge or destroy such product at our request.</w:t>
      </w:r>
    </w:p>
    <w:p>
      <w:pPr>
        <w:pStyle w:val="TextBody"/>
        <w:bidi w:val="0"/>
        <w:spacing w:before="9"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 If we build a commercial infrastructure to support marketing in North America, such commercial infrastructure could be expected to include a targeted sales force supported by sales management, internal sales support, an internal marketing group and distribution support. To develop the appropriate commercial infrastructure internally, we would have to invest financial and management resources, some of which would have to be deployed prior to any confirmation that one of our product candidates will be approved.</w:t>
      </w:r>
    </w:p>
    <w:p>
      <w:pPr>
        <w:pStyle w:val="TextBody"/>
        <w:bidi w:val="0"/>
        <w:spacing w:before="2"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have internal personnel and utilize consultants with extensive technical, manufacturing, analytical and quality experience to oversee contract manufacturing and testing activities. We will continue to expand and strengthen our network of third-party providers but may also consider investing in internal manufacturing capabilities in the future if there is a technical need, or a strategic or financial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Manufacturing is subject to extensive regulations that impose procedural and documentation requirements. At a minimum these regulations govern record keeping, manufacturing processes and controls, personnel, quality control and quality assurance. Our systems, procedures and contractors are required to comply with these regulations and are assessed through regular monitoring and formal audits.</w:t>
      </w:r>
    </w:p>
    <w:p>
      <w:pPr>
        <w:pStyle w:val="TextBody"/>
        <w:bidi w:val="0"/>
        <w:spacing w:before="7"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biopharmaceutical and immuno-oncology industries are characterized by intense competition and rapid innovation. Any product candidates that we successfully develop and commercialize will have to compete with existing and future new therapies. While we believe that our technology, development experience and scientific knowledge provide us with competitive advantages, we face potential competition from many different sources, including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TPST-1120, TPST-1495, or any future product candidates are approved for the treatment of tumors, they may compete with other products used to treat such diseases. There are a variety of treatments used for cancerous tumors that include chemotherapy drugs, small molecules, monoclonal antibodies, antibody-drug conjugates, bi-specific antibodies, cell therapies, oncolytic viruses and vaccines, as well as other approaches. In addition, there are several competitors in clinical development for the treatment of HCC, RCC, cholangiocarcinoma, and other indications that we may be targeting with TPST-1120 and TPST-1495, including companies such as Ono, Adlai Nortye, Merck, Roche, Exelixis, and AstraZeneca.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TPST-1120, our small molecule designed to be a selective antagonist of PPARα, is the first PPARα antagonist in the clinic. We are not aware of other companies developing such an antagonist. For TPST-1495, our small molecule designed to be a dual antagonist of the EP2 and EP4 receptor, we are aware of other clinical-stage EP-4-only antagonists being developed by Adlai Nortye, Ikena, and Ono.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Many of our competitors, either alone or with strategic partners, have substantially greater financial, technical and human resources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commercial opportunity could be substantially limited if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The key competitive factors affecting the success of all our programs are likely to be their efficacy, safety, convenience and availability of reimbursement. In addition, our ability to compete may be affected in many cases by insurers or other third-party payors seeking to encourage the use of generic drugs.</w:t>
      </w:r>
    </w:p>
    <w:p>
      <w:pPr>
        <w:pStyle w:val="TextBody"/>
        <w:bidi w:val="0"/>
        <w:spacing w:before="1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our patent portfolio consisted of issued patents and pending patent applications that we own or in-licensed related to TPST-1120, TPST-1495 and various other compounds and programs, such as our earlier-stage research programs. In total, as of the same date, we owned or in-licensed nine issued United States patents, eight pending United States patent applications, four pending Patent Cooperation Treaty (PCT) applications, and in various markets outside of the United States, including Europe, China and Japan: 50 issued patents and 18 pending patent applications.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TPST-1120, as of December 31, 2023, we own issued patents and pending patent applications in the United States, Europe, China, Japan, and other markets outside of the United States as well as one pending PCT application. The issued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United States patents covering TPST-1120 as composition of matter, pharmaceutical compositions, and related methods of use are expected to expire in December 2033, absent any patent term extensions for regulatory delay. Any additional patents that may issue from these pending patent applications are expected to expire between December 2033 and November 2043, absent any patent term adjustments or patent term extensions for regulatory delay.</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With respect to TPST-1495, as of December 31, 2023, we own issued patents and pending patent applications in the United States, Europe, China, Japan, and other markets outside of the United States as well as one pending PCT application. The issued United State patents covering TPST-1495 as composition of matter, pharmaceutical composition, and related methods of use are expected to expire between April 2038 and April 2039, absent any patent term extensions for regulatory delay. Any additional patents that may issue from these pending patent applications are expected to expire between April 2038 and November 2043, absent any patent term adjustments or patent term extensions for regulatory delay.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our patent portfolio also included pending patent applications in the United States and Europe that are exclusively licensed to us by the University of California at Berkeley. The licensed patent applications do not cover any of our current product candidates.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also possess substantial know-how and trade secrets relating to the development and commercialization of our product candidates, including related manufacturing processes and technology.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respect to our product candidates and processes that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Issued patents can provide protection for varying periods of time, depending upon the date of filing of the patent application, the date of patent issuance and the legal term of patents in the countries in which they are obtained. In general, patents issued for patent applications filed in the United States can provide exclusionary rights for 20 years from the earliest effective filing date. The term of United States patents may be extended by delays encountered during prosecution that are caused by the USPTO, also known as patent term adjustment. In addition, in certain instances, the term of an issued United States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its pending patent applications or with respect to any patent applications we may file in the future, nor can we be sure that any patents that may be granted to us in the future will be commercially useful in protecting its products, the methods of use or manufacture of those products.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Moreover, even its issued patents may not guarantee us the right to practice our technology in relation to the commercialization of its products. Patent and other intellectual property rights in the pharmaceutical and biotechnology space are evolving and involve many risks and uncertainties. For example, third parties may have blocking patents that could be used to prevent us from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its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pStyle w:val="TextBody"/>
        <w:bidi w:val="0"/>
        <w:spacing w:before="1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 authorities in the United States at the federal, state and local level and in other countries and jurisdictions extensively regulate, among other things, the research, development, testing, manufacture, quality control, approval, labeling, packaging, storage, record-keeping, promotion, advertising, distribution, post-approval monitoring and reporting, marketing and export and import of pharmaceutical products, such as our investigational medicines and any future investigational medicines. Generally, before a new pharmaceutical product can be marketed, considerable data demonstrating its quality, safety and efficacy must be obtained, organized into a format specific for each regulatory authority, submitted for review and approved by the regulatory authority.</w:t>
      </w:r>
    </w:p>
    <w:p>
      <w:pPr>
        <w:pStyle w:val="TextBody"/>
        <w:bidi w:val="0"/>
        <w:spacing w:before="4"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FDA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pharmaceutical products are subject to extensive regulation by the FDA, the Federal Food, Drug, and Cosmetic Act (“FFDCA”),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a New Drug Applications ("NDA") warning or untitled letters, product recalls, product seizures, total or partial suspension of production or distribution, injunctions, fines, civil penalties and criminal prosecution.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investigational medicines and any future investigational medicines must be approved by the FDA pursuant to an NDA before they may be legally marketed in the United States. The process generally involves the following:</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Completion of extensive preclinical laboratory and animal studies in accordance with applicable regulations, including studies conducted in accordance with Good Laboratory Practice ("GLP") requirements;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Submission to the FDA of an IND, which must become effective before human clinical trials may begin;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Approval by an Institutional Review Board ("IRB") or independent ethics committee at each clinical trial site before each clinical trial may be commenced;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Performance of adequate and well-controlled human clinical trials in accordance with applicable IND regulations, Good Clinical Practice (“GCP”) requirements and other clinical trial-related regulations to establish the safety and efficacy of the investigational product for each proposed indication;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Submission to the FDA of an NDA;</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Payment of any user fees for FDA review of an NDA;</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determination by the FDA within 60 days of its receipt of an NDA to accept the filing for review;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Satisfactory completion of one or more FDA pre-approval inspections of the manufacturing facility or facilities where the drug, or components thereof, will be produced to assess compliance with Good Manufacturing Practices (“cGMP”) requirements to assure that the facilities, methods and controls are adequate to preserve the drug’s identity, strength, quality and purity;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Satisfactory completion of any potential FDA audits of the clinical trial sites that generated the data in support of the NDA to assure compliance with GCPs and integrity of the clinical data;</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FDA review and approval of an NDA, including consideration of the views of any FDA advisory committee;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any post-approval requirements, including risk evaluation and mitigation strategy (“REMS”), where applicable, and post-approval studies required by the FDA as a condition of approval.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preclinical and clinical testing and approval process requires substantial time, effort and financial resources, and we cannot be certain that any approvals for our product candidates will be granted on a timely basis, or at all.</w:t>
      </w:r>
    </w:p>
    <w:p>
      <w:pPr>
        <w:pStyle w:val="TextBody"/>
        <w:bidi w:val="0"/>
        <w:spacing w:before="11"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Preclinical Studies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Before testing any drug product candidates in humans, the product candidate must undergo rigorous preclinical testing. Preclinical tests include laboratory evaluation of product chemistry, formulation and toxicity, as well as in vitro and animal studies to assess the potential for adverse events and in some cases to establish a rationale for therapeutic use. The conduct of the preclinical tests must comply with federal regulations and requirements, including GLP. An IND sponsor must submit the 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an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pStyle w:val="TextBody"/>
        <w:bidi w:val="0"/>
        <w:spacing w:before="7" w:after="283"/>
        <w:jc w:val="both"/>
        <w:rPr/>
      </w:pPr>
      <w:r>
        <w:rPr/>
        <w:t> </w:t>
      </w:r>
    </w:p>
    <w:p>
      <w:pPr>
        <w:pStyle w:val="TextBody"/>
        <w:bidi w:val="0"/>
        <w:spacing w:before="1" w:after="283"/>
        <w:jc w:val="both"/>
        <w:rPr>
          <w:rFonts w:ascii="Times New Roman" w:hAnsi="Times New Roman"/>
          <w:b/>
          <w:i/>
          <w:color w:val="000000"/>
          <w:sz w:val="20"/>
        </w:rPr>
      </w:pPr>
      <w:r>
        <w:rPr>
          <w:rFonts w:ascii="Times New Roman" w:hAnsi="Times New Roman"/>
          <w:b/>
          <w:i/>
          <w:color w:val="000000"/>
          <w:sz w:val="20"/>
        </w:rPr>
        <w:t>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trials involve the administration of the investigational new drug to healthy volunteers or patients under the supervision of a qualified investigator, generally a physician not employed by or under the trial sponsor’s control.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an IND.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accept a well-designed and well-conducted foreign clinical trial not conducted under an IND if the clinical trial was conducted in accordance with GCP requirements, and the FDA is able to validate the data through an onsite inspection if deemed necessary.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trials are generally conducted in three sequential phases, known as Phase 1, Phase 2 and Phase 3:</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drug.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Phases may overlap or be combined. For example, a Phase 1/2 clinical trial may contain both a dose-escalation stage and a dose 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with other confirmatory evidence may be sufficient in rare instances to provide substantial evidence of effectiveness (generally subject to the requirement of additional post-approval studies). The manufacturer of an investigational drug in a phase 2 or 3 clinical trial for a serious or life-threatening disease is required to make available, such as by posting on its website, its policy on evaluating and responding to requests for expanded access.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Concurrent with clinical trials, companies usually complete additional animal studies and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stability studies must be conducted to demonstrate that the investigational medicines do not undergo unacceptable deterioration over their shelf life.</w:t>
      </w:r>
    </w:p>
    <w:p>
      <w:pPr>
        <w:pStyle w:val="TextBody"/>
        <w:bidi w:val="0"/>
        <w:spacing w:before="7"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FDA Review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completion of the required clinical testing, an NDA is prepared and submitted to the FDA. FDA approval of an NDA is required before marketing of the product may begin in the U.S. An NDA must include the results of all preclinical, clinical and other testing and a compilation of data relating to the product’s pharmacology, chemistry, manufacture and controls. To support marketing approval, the data submitted must be sufficient in quality and quantity to establish the safety and efficacy of the investigational product to the satisfaction of the FDA. FDA approval of an NDA must be obtained before a drug may be marketed in the United States. The cost of preparing and submitting an NDA is substantial. Under the Prescription Drug User Fee Act (“PDUFA”),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is also subject to an annual program fee.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reviews each submitted NDA before it determines whether to file it and may request additional information. The FDA must make a decision on whether to file an NDA within 60 days of receipt, and such decision could include a refusal to file by the FDA. Once the submission is filed, the FDA begins an in-depth review of an NDA. The FDA has agreed to certain performance goals in the review of an NDA. Most applications for standard review drug products are reviewed within ten to twelve months; most applications for priority review drugs are reviewed in six to eight months. Priority review can be applied to drugs that the FDA determines may offer significant improvement in safety or effectiveness compared to marketed products or where no adequate therapy exists. The review process for both standard and priority review may be extended by the FDA for three additional months to consider certain late-submitted information, or information intended to clarify information already provided in the submission. The FDA does not always meet its goal dates for standard and priority timeframes for an NDA, and the review process can be extended by FDA requests for additional information or clarification.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typically inspects clinical trial sites to ensure compliance with GCP requirements and the integrity of the data supporting safety and efficacy.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the FDA evaluates an NDA and the manufacturing facilities, it issues either an approval letter or a complete response letter. A complete response letter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an NDA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an NDA does not satisfy the criteria for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potential condition of an NDA approval, the FDA may require a REMS to help ensure that the benefits of the drug outweigh the potential risks to patients. A REMS can include medication guides, communication plans for healthcare professionals and elements to assure a product’s safe use ("ETASU"). An ETASU can include, but is not limited to, special training or certification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the FDA uses the same procedures and actions in reviewing NDA supplements as it does in reviewing NDAs.</w:t>
      </w:r>
    </w:p>
    <w:p>
      <w:pPr>
        <w:pStyle w:val="TextBody"/>
        <w:bidi w:val="0"/>
        <w:spacing w:before="8"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product that has orphan designation subsequently receives the first FDA approval for the disease or condition for which it has such designation, the product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Expedited Development and Review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is authorized to designate certain products for expedited review if they are intended to address an unmet medical need in the treatment of a serious or life-threatening disease or condition.</w:t>
      </w:r>
    </w:p>
    <w:p>
      <w:pPr>
        <w:pStyle w:val="TextBody"/>
        <w:bidi w:val="0"/>
        <w:spacing w:before="130" w:after="283"/>
        <w:jc w:val="both"/>
        <w:rPr>
          <w:rFonts w:ascii="Times New Roman" w:hAnsi="Times New Roman"/>
          <w:b/>
          <w:i/>
          <w:color w:val="000000"/>
          <w:sz w:val="20"/>
        </w:rPr>
      </w:pPr>
      <w:r>
        <w:rPr>
          <w:rFonts w:ascii="Times New Roman" w:hAnsi="Times New Roman"/>
          <w:b/>
          <w:i/>
          <w:color w:val="000000"/>
          <w:sz w:val="20"/>
        </w:rPr>
        <w:t>Fast Track Designation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an investigational drug product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an NDA filing, the FDA will determine whether to grant priority review designation. Additionally, fast track designation may be withdrawn if the FDA believes that the designation is no longer supported by data emerging in the clinical trial process.</w:t>
      </w:r>
    </w:p>
    <w:p>
      <w:pPr>
        <w:pStyle w:val="TextBody"/>
        <w:bidi w:val="0"/>
        <w:spacing w:before="137" w:after="283"/>
        <w:jc w:val="both"/>
        <w:rPr>
          <w:rFonts w:ascii="Times New Roman" w:hAnsi="Times New Roman"/>
          <w:b/>
          <w:i/>
          <w:color w:val="000000"/>
          <w:sz w:val="20"/>
        </w:rPr>
      </w:pPr>
      <w:r>
        <w:rPr>
          <w:rFonts w:ascii="Times New Roman" w:hAnsi="Times New Roman"/>
          <w:b/>
          <w:i/>
          <w:color w:val="000000"/>
          <w:sz w:val="20"/>
        </w:rPr>
        <w:t>Breakthrough Therapy Designation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drug candidate may request that the FDA designate the candidate for a specific indication as a breakthrough therapy concurrent with, or after, the submission of an IND for the drug candidate. The FDA must determine if the drug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Priority Review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pStyle w:val="TextBody"/>
        <w:bidi w:val="0"/>
        <w:jc w:val="both"/>
        <w:rPr/>
      </w:pPr>
      <w:r>
        <w:rPr/>
        <w:t> </w:t>
      </w:r>
    </w:p>
    <w:p>
      <w:pPr>
        <w:pStyle w:val="TextBody"/>
        <w:bidi w:val="0"/>
        <w:spacing w:before="131" w:after="283"/>
        <w:jc w:val="both"/>
        <w:rPr>
          <w:rFonts w:ascii="Times New Roman" w:hAnsi="Times New Roman"/>
          <w:b/>
          <w:i/>
          <w:color w:val="000000"/>
          <w:sz w:val="20"/>
        </w:rPr>
      </w:pPr>
      <w:r>
        <w:rPr>
          <w:rFonts w:ascii="Times New Roman" w:hAnsi="Times New Roman"/>
          <w:b/>
          <w:i/>
          <w:color w:val="000000"/>
          <w:sz w:val="20"/>
        </w:rPr>
        <w:t>Accelerated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Pediatric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Pediatric Research Equity Act ("PREA"), an NDA or supplements to an NDA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for an indication for which orphan designation has been granted, with certain exceptions.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Best Pharmaceuticals for Children Act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pStyle w:val="TextBody"/>
        <w:bidi w:val="0"/>
        <w:spacing w:before="9"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event reporting and submission of periodic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on the marketing or manufacturing of the product, suspension of the approval, complete withdrawal of the product from the market or a product recall;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Fines, warning or other enforcement-related letters or holds on post-approval clinical studies;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Refusal of the FDA to approve pending NDAs or supplements to approved NDAs, or suspension or revocation of product license approvals;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products;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Hatch-Waxman Act Orange Book Listing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Drug Price Competition and Patent Term Restoration Act of 1984, commonly referred to as the Hatch Waxman Amendments, NDA applicants are required to identify to the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Drugs listed in the Orange Book can, in turn, be cited by potential generic competitors in support of approval of an abbreviated new drug application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the FDA permits, the omission of such exclusivity-protected information from the ANDA prescribing information.</w:t>
      </w:r>
    </w:p>
    <w:p>
      <w:pPr>
        <w:pStyle w:val="TextBody"/>
        <w:bidi w:val="0"/>
        <w:spacing w:before="7"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Exclusivity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an NDA approval of a new chemical entity ("NCE"), which is a drug that contains no active moiety that has been approved by the FDA in any other NDA, that drug receives five years of marketing exclusivity during which the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changes to an approved drug, such as the approval of a new indication, the approval of a new strength, and the approval of a new condition of use, are associated with a three-year period of exclusivity from the date of approval during which the FDA cannot approve an ANDA for a generic drug that includes the change. In some instances, an ANDA applicant may receive approval prior to expiration of the three-year exclusivity if the applicant seeks, and the FDA permits, the omission of such exclusivity-protected information from the ANDA package insert.</w:t>
      </w:r>
    </w:p>
    <w:p>
      <w:pPr>
        <w:pStyle w:val="TextBody"/>
        <w:bidi w:val="0"/>
        <w:spacing w:before="9"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Patent Term Extension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Hatch Waxman Amendments permit a patent term extension as compensation for patent term lost during the FDA regulatory review process. Patent term extension, however, cannot extend the remaining term of a patent beyond a total of 14 years from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product’s approval date. After an NDA approval, owners of relevant drug patents may apply for the extension. The allowable patent term extension is calculated as half of the drug’s testing phase (the time between an IND application and an NDA submission) and all of the review phase (the time between an NDA submission and approval) up to a maximum of five years. The time can be reduced for any time the FDA determines that the applicant did not pursue approval with due diligence.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United States Patent and Trademark Office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pStyle w:val="TextBody"/>
        <w:bidi w:val="0"/>
        <w:spacing w:before="240" w:after="283"/>
        <w:jc w:val="both"/>
        <w:rPr>
          <w:rFonts w:ascii="Times New Roman" w:hAnsi="Times New Roman"/>
          <w:sz w:val="20"/>
        </w:rPr>
      </w:pPr>
      <w:r>
        <w:rPr>
          <w:rFonts w:ascii="Times New Roman" w:hAnsi="Times New Roman"/>
          <w:b/>
          <w:i/>
          <w:color w:val="000000"/>
          <w:sz w:val="20"/>
        </w:rPr>
        <w:t>Coverage, Pricing, and Reimbursement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and in foreign markets, sales of pharmaceutical products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In the United States, no uniform policy of coverage and reimbursement for products exists among third-party payors. Therefore, coverage and reimbursement for products can differ significantly from payor to payor. Decisions regarding the extent of coverage and amount of reimbursement to be provided for each of our product candidates will be made on a plan-by-plan basis. One payor’s determination to provide coverage for a product does not assure that other payors will also provide coverage, and adequate reimbursement, for the product. Additionally,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w:t>
      </w:r>
    </w:p>
    <w:p>
      <w:pPr>
        <w:pStyle w:val="TextBody"/>
        <w:bidi w:val="0"/>
        <w:spacing w:before="8"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Healthcare Laws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FDA restrictions on marketing of pharmaceutical products, several other types of state and federal laws have been applied to restrict certain general business and marketing practices in the pharmaceutical industry in recent years. These laws include anti-kickback statutes, false claims statutes and other healthcare laws and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In addition, a person or entity does not need to have actual knowledge of the statute or specific intent to violate it in order to commit a violation.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government may assert that a claim including items or services resulting from a violation of the federal Anti-Kickback Statute constitutes a false or fraudulent claim for purposes of the federal civil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federal statutes pertaining to healthcare fraud and abuse include the civil monetary penalties statute, which prohibits, among other things, the offer or payment of remuneration to a Medicaid or Medicare beneficiary that the offerer or payor knows or should know is likely to influence the beneficiary to order a receive a reimbursable item or service from a particular supplier, and the additional federal criminal statutes created by the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Similar to the federal Anti-Kickback Statute, a person or entity does not need to have actual knowledge of the statute or specific intent to violate it in order to commit a violation.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pursuant to the Patient Protection and Affordable Care Act, as amended by the Health Care and Education Reconciliation (the “Affordable Care Act” or the “ACA”), CMS has issued a final rule that requires manufacturers of prescription drugs to collect and report information on certain payments or transfers of value to physicians (defined to include doctors, dentists, optometrists, podiatrists and chiropractors), other healthcare professionals (such as physicians assistants and nurse practitioners), and teaching hospitals, as well as investment interests held by physicians and their immediate family members. The reports must be submitted on an annual basis. The reported data is made available in searchable form on a public website on an annual basis. Failure to submit required information may result in civil monetary penalties.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its implementing regulations, imposes obligations, including mandatory contractual terms, on covered entities, business associates and their covered subcontractors with respect to safeguarding the privacy, security and transmission of individually identifiable health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drug pricing information, including information pertaining to and justifying price increases.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and medical representatives. Compliance with these laws is difficult and time consuming, and companies that do not comply with these state laws face civil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pStyle w:val="TextBody"/>
        <w:bidi w:val="0"/>
        <w:spacing w:before="1"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U.S. Healthcare Reform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Innovation at CMS to test innovative payment and service delivery models to lower Medicare and Medicaid spending, potentially including prescription drug spending.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have been judicial, executive brand, and Congressional challenges to certain aspects of the ACA, to repeal or replace certain aspects, of the ACA. By way of example, the Tax Cuts and Jobs Act of 2017 (the "Tax Act"), was enacted and included,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among other things, a provision that repealed, effective January 1, 2019, the tax-based shared responsibility payment imposed by the ACA on certain individuals who fail to maintain qualifying health coverage for all or part of a year that is commonly referred to as the “individual mandate.” There have been subsequent challenges to the constitutionality of the ACA following the repeal of the individual mandate. On June 17, 2021, the U.S. Supreme Court dismissed a challenge on procedural grounds that argued the ACA is unconstitutional in its entirety because the individual mandate was repealed by Congress. In addition,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However, it is possible that the ACA will be subject to judicial or Congressional challenges in the future. It is unclear how such challenges will impact the ACA. Tempest cannot predict the ultimate content, timing or effect of any healthcare reform legislation or the impact of potential legislation on its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to reduce healthcare expenditures. On August 2, 2011, the Budget Control Act of 2011, was enacted which, among other things, included aggregate reductions of Medicare payments to providers of 2% per fiscal year. These reductions went into effect on April 1, 2013 and, due to subsequent legislative amendments to the statute will remain in effect through 2031, unless additional Congressional action is taken. Under current legislation, the actual reduction in Medicare payments will vary from 1% in 2022 to up to 4% in the final fiscal year of this sequester.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Tempest’s ability to develop, market and sell any products Tempest may develop.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payment methodologies may be subject to changes in healthcare legislation and regulatory initiatives. For example, the Medicare Prescription Drug, Improvement, and Modernization Act of 2003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guidance, as opposed to regulation, for the initial years.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pStyle w:val="TextBody"/>
        <w:bidi w:val="0"/>
        <w:spacing w:before="3" w:after="283"/>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we had 17 employees, including 14 holding Ph.D., M.D., JD, LL.M., and/or MBA degrees, our employees have established internal expertise in chemistry, biochemistry, molecular biology, immunology, pharmacology, toxicology, pre-clinical development, regulatory and quality, translational medicine, and early-to-late-stage clinical development, as well as finance, business development and strategic transactions. None of our employees are represented by a labor union or covered by collective bargaining agreements. We will continue to add experienced and talented scientists in areas, such as medicinal chemistry, that we believe are critical for the discovery of highly differentiated small-molecule compounds.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Compensation and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bonuses intended to be competitive for our industry, opportunities for equity ownership, development programs that enable continued learning and growth and a benefits package to promote well-being across all aspects of their lives, including health care, retirement planning and paid time off. The principal purposes of our equity incentive plans are to attract, retain and motivate selected employees, consultants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Diversity, Equity and Inclusion (DEI)</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a diverse workforce is important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 to achieve our corporate objectives. All employees must adhere to a code of business conduct and ethics and our employee handbook, which combined, define standards for appropriate behavior. Our recruitment, hiring, development, training, compensation, and advancement is based on qualifications, performance, skills, and experience without regard to gender, gender identity, sexual orientation, race, or ethnicity. People of color and those who are part of underrepresented groups in the biotech industry are encouraged to apply for open positions.</w:t>
      </w:r>
    </w:p>
    <w:p>
      <w:pPr>
        <w:pStyle w:val="TextBody"/>
        <w:bidi w:val="0"/>
        <w:spacing w:before="3"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internet website address is www.Tempesttx.com. In addition to the information about us and our subsidiaries contained in this Annual Report, information about us can be found on our website. Our website and information included in or linked to our website are not part of this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("SEC"). Additionally, the SEC maintains an internet site that contains reports, proxy and information statements and other information. The address of the SEC’s website is www.sec.gov.</w:t>
      </w:r>
    </w:p>
    <w:p>
      <w:pPr>
        <w:pStyle w:val="TextBody"/>
        <w:bidi w:val="0"/>
        <w:jc w:val="both"/>
        <w:rPr/>
      </w:pPr>
      <w:r>
        <w:rPr/>
        <w:t> </w:t>
      </w:r>
    </w:p>
    <w:p>
      <w:pPr>
        <w:pStyle w:val="TextBody"/>
        <w:bidi w:val="0"/>
        <w:jc w:val="both"/>
        <w:rPr>
          <w:rFonts w:ascii="Times New Roman" w:hAnsi="Times New Roman"/>
          <w:b/>
          <w:color w:val="000000"/>
          <w:sz w:val="20"/>
        </w:rPr>
      </w:pPr>
      <w:bookmarkStart w:id="6" w:name="section6"/>
      <w:bookmarkEnd w:id="6"/>
      <w:r>
        <w:rPr>
          <w:rFonts w:ascii="Times New Roman" w:hAnsi="Times New Roman"/>
          <w:b/>
          <w:color w:val="000000"/>
          <w:sz w:val="20"/>
        </w:rPr>
        <w:t>ITEM 1A.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Our business involves significant risks, some of which are described below. You should carefully consider the risks described below, together with all of the other information contained in this Annual Report on Form 10-K,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Summary of Selected Risks Associated with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need to raise additional funding to finance our operations, which may not be available on acceptable terms or at all. Failure to obtain this necessary capital when needed may force us to delay, limit or terminate our product development efforts or other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past, we have faced substantial doubt regarding our ability to continue as a going concern and may face such challenges in the future. If we are unable to maintain the cash reserves required to fund our business, we will require substantial additional funding to finance our operations, and if we are unable to raise capital, we could be forced to delay, reduce or explore other strategic options for certain of our development programs, or even terminate our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proprietary rights.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expand our development and regulatory capabilities, and as a result, we may encounter difficulties in managing our growth, which could disrupt our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develop, obtain regulatory approval for and commercialize TPST-1120, TPST-1495, or any of our future product candidates, or if we experience significant delays in doing so, our business will be materially harmed.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 in preclinical studies and earlier clinical trials for our product candidates may not be indicative of the results that may be obtained in later clinical trials, which may delay or prevent obtaining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our efforts to expand our pipeline of product candidates and develop marketable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commercial success of our product candidates, including TPST-1495 and TPST-1120, will depend upon their degree of market acceptance by providers, patients, patient advocacy groups, third-party payors and the general medical community.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rely on third parties to manufacture our clinical product supplies, and we may have to rely on third parties to produce and process our product candidates, if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TPST-1120, and any future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establish sales and marketing capabilities or enter into agreements with third parties to market and sell our product candidates, we may be unable to generate any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finding strategic collaborators for continuing development of certain of our future product candidates or successfully commercializing or competing in the market for certain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Food and Drug Administration (“FDA”) regulatory approval process is lengthy and time-consuming, and we may experience significant delays in the clinical development and regulatory approval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part on our ability to obtain, maintain and protect our intellectual property. It is difficult and costly to protect our proprietary rights and technology, and we may not be able to ensure their protection.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owned and in-licensed patents and patent applications may not provide sufficient protection of our product candidates or result in any competitive advantage.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price of the shares of our common stock has been and is likely to continue to be volatile, and purchasers of our common stock could incur substantial losses.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Unstable market and economic conditions may have serious adverse consequences on our business, financial condition and share price.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thinly traded and our stockholders may be unable to sell their shares quickly or at market price.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maintain proper and effective internal controls, our ability to produce accurate financial statements on a timely basis could be impaired.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a history of operating losses, and we may not achieve or sustain profitability. We anticipate that we will continue to incur losses for the foreseeable future. If we fail to obtain additional funding to conduct our planned research and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 efforts, we could be forced to delay, reduce or eliminate our product development programs or commercial development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$29.5 million and $35.7 million for the years ended December 31, 2023 and 2022, respectively. As of December 31, 2023, we had an accumulated deficit of $165.3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need to raise additional funding to finance our operations, which may not be available on acceptable terms or at all. Failure to obtain this necessary capital when needed may force us to delay, limit or terminate our product development efforts or other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operations have consumed significant amounts of cash since inception. We expect our expenses to continue to increase in connection with our ongoing activities, particularly as we conduct clinical trials of, and seek marketing approval for, our product candidates, including later stage clinical trials such as our potential pivotal Phase 3 trial in first-line HCC, subject to our discussions with the FDA,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timing, progress, costs and results of our ongoing preclinical studies and clinical trials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scope, progress, results and costs of preclinical development, laboratory testing and clinical trials of other product candidates that we may pursue;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our ability to establish collaborations on favorable terms,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costs, timing and outcome of regulatory review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costs and timing of future commercialization activities, including product manufacturing, marketing, sales, reimbursement and distribution, for any of our product candidates for which we may receive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revenue, if any, received from commercial sales of our product candidates for which we may receive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cost of any milestone and royalty payments with respect to any approved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the costs and timing of preparing, filing and prosecuting patent applications, maintaining and enforcing our intellectual property rights and defending any intellectual property-related claims;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costs of operating as a public company;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extent to which we acquire or in-license other product candidates and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our cash and cash equivalents and additional financing to achieve our business objectives.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2023, we had cash and cash equivalents of $39.2 million. We believe that our cash and cash equivalents as of December 31, 2023, will fund our current operating plans through at least the next 12 months from the date the financial statements were issued. We have based this assessment on assumptions that may prove to be wrong, and it is possible that we will not achieve the progress that we expect with these funds because the actual costs and timing of clinical development and regulatory and commercial activities are difficult to predict and are subject to substantial risks and delays, and that we will use our capital resources sooner than we currently expect. This estimate does not reflect any additional expenditures that may result from any further strategic transactions to expand and diversify our product pipeline, including acquisitions of assets, businesses, rights to products, product candidates or technologies or strategic alliances or collaborations that we may pursue.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we will require substantial additional capital to develop our product candidates. Adequate additional financing may not be available to us on acceptable terms, or at all. If we require additional capital at a time when investment in our industry or in the marketplace in general is limited, we might not be able to raise funding on favorable terms, if at all. Our ability to raise additional capital may be adversely impacted by potential worsening global economic conditions, inflation expectations, and the recent disruptions to and volatility in the credit and financial markets in the United States and worldwide resulting from public health crises and geopolitical tensions, such as the Russia-Ukraine war and the war in Israel. If we are unable to raise capital when needed or on acceptable terms, we could be forced to delay, reduce, or explore other strategic options for our research and development programs or other opportunities, or even our operations. If we do not obtain additional financing and are required to terminate our operations, our stockholders will lose their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proprietary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In July 2021, we entered into Sales Agreement, or the ATM Agreement, with Jefferies LLC, for an at-the-market offering program that allows us to sell up to an aggregate of $100 million of our common stock. To the extent that we raise additional capital through the sale of equity or convertible debt securities,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and security agreement, or Loan Agreement, with Oxford Finance LLC, or Oxford Finance, are secured by a security interest in all of our assets, including our intellectual property. In addition, the Loan Agreement contains customary covenants that, subject to specific exceptions, restrict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are not related to its existing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2021, we entered into a Loan Agreement with Oxford Finance that provided us with up to $35.0 million of borrowing capacity across three potential tranches, which was subsequently amended in December 2022. The initial tranche of $15.0 million was funded at the closing of the Loan Agreement. As of December 31, 2023, a total of $10.0 million in borrowing capacity remained available at the option of Oxford Finance.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default under the Loan Agreement, Oxford Finance may accelerate all of our repayment obligations and exercise all of their rights and remedies under the Loan Agreement and applicable law, potentially requiring us to renegotiate our agreement on terms less favorable to us. In addition, since the borrowings under the Loan Agreement are secured by a lien on our assets, including our intellectual property, Oxford Finance would be able to foreclose on our assets if we do not cure any default or pay any amounts due and payable under the Loan Agreement. Further, if we are liquidated, the lenders’ right to repayment would be senior to the rights of the holders of our common stock to receive any proceeds from the liquidation. Oxford Finance could declare a default upon the occurrence of an event of default, including events that they interpret as a material adverse change as defined in the Loan Agreement, payment defaults or breaches of certain affirmative and negative covenants, thereby requiring us to repay the loan immediately. Any declaration by Oxford Finance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limited operating history may make it difficult for you to evaluate the success of our business to date and to assess our future viability.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pStyle w:val="TextBody"/>
        <w:bidi w:val="0"/>
        <w:jc w:val="both"/>
        <w:rPr>
          <w:rFonts w:ascii="Times New Roman" w:hAnsi="Times New Roman"/>
          <w:color w:val="000000"/>
          <w:sz w:val="20"/>
        </w:rPr>
      </w:pPr>
      <w:r>
        <w:rPr>
          <w:rFonts w:ascii="Times New Roman" w:hAnsi="Times New Roman"/>
          <w:color w:val="000000"/>
          <w:sz w:val="20"/>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utilize our net operating loss carryforwards and tax credit carryforwards may be subject to limitations.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Private Tempest’s,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Business and Strategy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expect to expand our development and regulatory capabilities, and as a result, we may encounter difficulties in managing our growth, which could disrupt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must attract and retain highly skilled employees to succeed.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and President, Stephen Brady and our Chief Medical Officer, Sam Whiting. The loss of services of Messrs. 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pStyle w:val="TextBody"/>
        <w:bidi w:val="0"/>
        <w:jc w:val="both"/>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what we have to offer. If we are unable to continue to attract and retain high-quality personnel, the rate and success at which we can discover and develop product candidates and our business will be limited.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Future acquisitions or strategic alliances could disrupt our business and harm our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diversion of management time and focus from operating our business to addressing acquisition integration challenges;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coordination of research and development efforts;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retention of key employees from the acquired company;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relationships with strategic partners as a result of product acquisitions or strategic positioning resulting from the acquisition;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cultural challenges associated with integrating employees from the acquired company into our organization;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need to implement or improve controls, procedures and policies at a business that prior to the acquisition may have lacked sufficiently effective controls, procedures and policies;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liability for activities of the acquired company before the acquisition, including intellectual property infringement claims, violation of laws, commercial disputes, tax liabilities and other known liabilities;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unanticipated write-offs or charges;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litigation or other claims in connection with the acquired company, including claims from terminated employees, customers, former stockholders or other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Product Development and Regulatory Approval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develop, obtain regulatory approval for and commercialize TPST-1495, TPST-1120, or any of our future product candidates, or if we experience significant delays in doing so, our business will be materially harmed.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plan to invest a substantial amount of our efforts and financial resources in our current lead product candidates, TPST-1495, a dual EP2/EP4 prostaglandin (“PGE2”) receptor antagonist, and TPST-1120, a peroxisome proliferator-activated receptor alpha (“PPARα”) antagonist for the treatment of various cancers. We have initiated Phase 1 clinical trials of TPST-1495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TPST-1120 for the treatment of advanced solid tumors. We intend to request meetings with FDA during 2024 to discuss a potential pivotal Phase 3 trial design for TPST-1120 for HCC, but the FDA may not agree that we are ready for such meetings, and may require that we conduct additional dose optimization or Phase 2 development work prior to proceeding to a Phase 3 trial. Any delay in our ability to proceed to a pivotal trial for TPST-1120 will add time and expense to the development pathway and adversely impact the timing and potential for profitability. Our ability to generate product revenue will depend heavily on the successful development and eventual commercialization of TPST-1495 and TPST-1120 and any future product candidates, which may never occur. We currently generate no revenue from sales of any product and we may never be able to develop or commercialize a marketable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any future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TPST-1495 and TPST-1120 and any future product candidates depends on multiple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Investigational New Drug applications or other regulatory applications, that allow commencement of our planned clinical trials or future clinical trials for our product candidates in relevant territories;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and maintaining relationships with contract research organizations (“CROs”) and clinical sites for the clinical development of our product candidates, both in the United States and internationally;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maintenance of arrangements with third-party contract manufacturing organizations (“CMOs”) for key materials used in our manufacturing processes and to establish backup sources for clinical and large-scale commercial supply;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positive results from our clinical programs that are supportive of safety and efficacy and provide an acceptable risk-benefit profile for our product candidates in the intended patient populations;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receipt of regulatory approvals from applicable regulatory authorities, including those necessary for pricing and reimbursement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establishment and maintenance of patent and trade secret protection and regulatory exclusivity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 launch of our product candidates, if and when approved, whether alone or in collaboration with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acceptance of our product candidates, if and when approved, by patients, patient advocacy groups, third-party payors and the general medical community;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effectively compete with developers of other therapies available in the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establishment and maintenance of adequate reimbursement from third-party payors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acquire or in-license additional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prosecution, maintenance, enforcement and defense of intellectual property rights and claims;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maintenance of a continued acceptable safety profile of our product candidates following approval, including meeting any post-marketing commitments or requirements imposed by or agreed to with applicable regulatory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political factors surrounding the approval process, such as government shutdowns;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such as the Russia-Ukraine war and the war in Israel, natural disasters including earthquakes, typhoons, floods and fires, and public health crises.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Success in preclinical studies and earlier clinical trials for our product candidates may not be indicative of the results that may be obtained in later clinical trials, which may delay or prevent obtaining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pivotal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our clinical trials demonstrate acceptable safety and efficacy of TPST-1495 and TPST-1120 or any future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patient eligibility criteria defined in the protocol;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size of the patient population required for analysis of the trial’s primary endpoints;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proximity of patients to study sites;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obtain and maintain patient consents;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 that patients enrolled in our clinical trials will drop out of the trials before the infusion of our product candidates or trial completion.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and the war in Israel, may delay or prevent patients from enrolling or from receiving treatment in accordance with the protocol and the required timelines, which could delay our clinical trials, or prevent us from completing our clinical trials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because our product candidates represent unproven methods for cancer treatment, potential patients and their doctors may be inclined to use existing therapies rather than enroll patients in our clinical trials.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pStyle w:val="TextBody"/>
        <w:bidi w:val="0"/>
        <w:jc w:val="both"/>
        <w:rPr>
          <w:rFonts w:ascii="Times New Roman" w:hAnsi="Times New Roman"/>
          <w:color w:val="000000"/>
          <w:sz w:val="20"/>
        </w:rPr>
      </w:pPr>
      <w:r>
        <w:rPr>
          <w:rFonts w:ascii="Times New Roman" w:hAnsi="Times New Roman"/>
          <w:color w:val="000000"/>
          <w:sz w:val="20"/>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are investigating TPST-1120 and TPST-1495 in combination with other approved therapies, and we may in the future investigate product candidates in combination with other approved and unapproved therapies, which exposes us to additional risks.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currently investigating and may continue to investigate one or more of our product candidates in combination with one or more other approved or unapproved therapies to treat cancers. Even if any product candidate we develop were to receive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including shortages of those products for use in our intended clinical trials.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 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current product candidates or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complete the necessary preclinical studies and clinical trials, we cannot predict when, or if, we will obtain regulatory approval to commercialize a product candidate and the approval may be for a narrower indication than we seek.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commercialization, TPST-1495, TPST-1120 and any future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TPST-1120 or any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Approval of TPST-1495 and TPST-1120 and any future product candidates may be delayed or refused for many reasons,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or comparable foreign regulatory authorities may disagree with the design or implementation of our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our product candidates are safe and effective for any of their proposed indications;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populations studied in clinical trials may not be sufficiently broad or representative to assure efficacy and safety in the populations for which we seek approval;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unable to demonstrate that our product candidates’ clinical and other benefits outweigh their safety risks;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support the submission of an NDA or other comparable submission in foreign jurisdictions or to obtain regulatory approval in the United States or elsewhere;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facilities of third-party manufacturers with which we contract or procure certain service or raw materials, may not be adequate to support approval of our product candidates;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TPST-1495, TPST-1120 and any future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generate data that could adversely affect the clinical, regulatory or commercial perception of TPST-1495 and TPST-1120 and any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if we or others later identify undesirable side effects caused by our product candidates, several potentially significant negative consequences could result,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authorities may suspend or withdraw approvals of such product candidate;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authorities may require additional warnings in the product labeling;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required to change the way a product candidate is administered or conduct additional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harm our business, financial condition, results of operations and prospects significantly.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our efforts to expand our pipeline of product candidates and develop marketable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our pipeline includes multiple programs, we are primarily focused on our lead product candidates, TPST-1495 and TPST-1120,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240" w:after="283"/>
        <w:jc w:val="both"/>
        <w:rPr>
          <w:rFonts w:ascii="Times New Roman" w:hAnsi="Times New Roman"/>
          <w:sz w:val="20"/>
        </w:rPr>
      </w:pPr>
      <w:r>
        <w:rPr>
          <w:rFonts w:ascii="Times New Roman" w:hAnsi="Times New Roman"/>
          <w:b/>
          <w:i/>
          <w:color w:val="000000"/>
          <w:sz w:val="20"/>
        </w:rPr>
        <w:t>Any product candidate for which we obtain marketing approval will be subject to extensive post-marketing regulatory requirements and could be subject to post-marketing restrictions or withdrawal from the market, and we may be subject to</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penalties if we fail to comply with regulatory requirements or if we experience unanticipated problems with our product candidates, when and if any of them are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FFDCA relating to the promotion of prescription drugs may lead to investigations alleging violations of federal and state healthcare fraud and abuse laws, as well as state consumer protection laws and similar laws in international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later discovery of previously unknown adverse events or other problems with our product candidates, manufacturers or manufacturing processes, or failure to comply with regulatory requirements, may yield various results,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on such product candidates, manufacturers or manufacturing processes;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on the labeling or marketing of a product;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on product distribution or 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withdrawal of any approved product from the market;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recall of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refusal to permit the import or export of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seizure;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Non-compliance with Canadian and European requirements regarding safety monitoring or pharmacovigilance, and with requirements related to the development of products for the pediatric population, can also result in significant financial penalties.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obtain regulatory approval in international jurisdictions would prevent us from marketing our product candidates outside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market and sell TPST-1495, TPST-1120 and any future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Commercialization and Manufacturing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commercial success of our product candidates, including TPST-1495 and TPST-1120, will depend upon their degree of market acceptance by providers, patients, patient advocacy groups, third-party payors and the general medical community.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TPST-1120 or any future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a potential product displays a favorable efficacy and safety profile in preclinical studies and clinical trials, market acceptance of the product will not be fully known until after it is launched.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third 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any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rely on third parties to manufacture our clinical product supplies, and we may have to rely on third parties to produce and process our product candidates, if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manufacturers might be unable to timely formulate and manufacture our product or produce the quantity and quality required to meet our clinical and commercial needs,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manufacturers may not be able to execute our manufacturing procedures appropriately.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contract manufacturers may not perform as agreed or may not remain in the contract manufacturing business for the time required to supply our clinical trials or to successfully produce, store and distribute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own, or may have to share, the intellectual property rights to any improvements made by our third-party manufacturers in the manufacturing process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manufacturers could breach or terminate their agreement(s)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market and sell our product candidates, we may be unable to generate any revenues.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do not have an organization for the sales, marketing and distribution of TPST-1495, TPST-1120 or any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TPST-1120 and any future product candidates, including in markets outside of the United States or for other large markets that are beyond our resources. This will reduce the revenue generated from the sales of these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finding strategic collaborators for continuing development of certain of our future product candidates or successfully commercializing or competing in the market for certain indications.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 regulatory approval process is lengthy and time consuming, and we may experience significant delays in the clinical development and regulatory approval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experience delays in obtaining regulatory approvals, including but not limited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regulatory authorization to begin a trial, if applicable;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redesigning our study protocols and need to conduct additional studies as may be required by a regulator;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governmental or regulatory delays and changes in regulation or policy relating to the development and commercialization of our product candidate by the FDA or other comparable foreign regulatory authorities;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timing and cost of meeting regulatory requirements established by the FDA, and other comparable foreign regulatory authorities;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availability of financial resources to commence and complete the planned trials;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negotiating the terms of any collaboration agreements we may choose to initiate or conclude;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reaching agreement on acceptable terms with prospective CROs and clinical trial sites, the terms of which can be subject to extensive negotiation and may vary significantly among different CROs and trial sites;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of third-party contractors, such as CROs, or investigators to comply with regulatory requirements, including GCPs;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failure in obtaining the necessary approvals from regulators or institutional review boards (“IRBs”), in order to commence a clinical trial at a prospective trial site, or their suspension or termination of a clinical trial once commenced;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inability to recruit and enroll suitable patients to participate in a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having patients complete a trial, including having patients enrolled in clinical trials dropping out of the trial before the product candidate is manufactured and returned to the site, or return for post-treatment follow-up;</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difficulty in having patients complete a trial or return for post-treatment follow-up;</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addressing any patient safety concerns that arise during the course of a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inability to add new clinical trial sites;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varying interpretations of the data generated from our preclinical or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of defending intellectual property disputes, including patent infringement actions brought by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and timing of establishing, expanding and scaling manufacturing capabilities;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inability to manufacture, or obtain from third parties, sufficient quantities of qualified materials under cGMP, for the completion in pre-clinical and clinical studies;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problems with biopharmaceutical product candidate storage, stability and distribution resulting in global supply chain disruptions;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of establishing sales, marketing and distribution capabilities for any product candidate for which we may receive regulatory approval in regions where we choose to commercialize our products on our own;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and the war in Israel), restrictions on trade, import or export restrictions, or public health crises.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 factors that cause, or lead to, a delay in the commencement or completion of clinical trials may ultimately lead to the denial of regulatory approval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be able to obtain approval of our drug by the applicable regulatory authority for a significant period of time unless we are able to show that our drug is clinically superior to the approved drug. The applicable period is seven years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Enacted and future legislation may increase the difficulty and cost for us to commercialize and obtain marketing approval of our product candidates and may affect the prices we may set.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In addition, on August 16, 2022, President Biden signed the Inflation Reduction Act of 2022 ("IRA")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It is unclear how many such challenges and the healthcare reform measures of the Biden administration will impact the ACA and our business. We are continuing to monitor any changes to the ACA that, in turn, may potentially impact our business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Recently, the cost of prescription pharmaceuticals has been the subject of considerable discussion in the United States at both the federal and state levels. While several proposed reform measures will require Congress to pass legislation to become effective, Congress and the Biden administration have each indicated that it will seek new legislative and/or administrative measures to address prescription drug costs. Since the Presidential inauguration, the Biden administration has taken several executive actions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the U.S. Department of Health and Human Services ("HHS") to issue a report to the White House that includes a plan to, among other things, reduce prices for prescription drugs, including prices paid by the federal government for such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the ACA and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FDA’s ability to review and approve new products may be hindered by a variety of factors, including budget and funding levels, ability to hire and retain key personnel, statutory, regulatory and policy changes and global health concerns.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stringent and evolving U.S. and foreign laws, regulations, and rules, contractual obligations, industry standards, policies and other obligations related to data privacy and security, and our failure to comply with them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collect, receive, store, process, generate, use, transfer, disclose, make accessible, protect, secure, dispose of, transmit, and share (collectively, process) a large quantity of sensitive information, including confidential business and patient health information in connection with our preclinical and clinical studies.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there are numerous federal and state privacy and data security laws and regulations governing the processing of personal data, including health information privacy laws, security breach notification laws, consumer protection laws, and other similar laws (e.g., wiretapping laws). Each of these laws is subject to varying interpretations and constantly evolving. In addition, we obtain health information from third parties (including research institutions from which it obtains clinical trial data) that are subject to privacy and security requirements under the Health Insurance Portability and Accountability Act of 1996 (“HIPAA”), which imposes specific requirements relating to the privacy, security, and transmission of protected health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states have also adopted comprehensive privacy laws and regulations that impose certain obligations on covered businesses, including providing specific disclosures in privacy notices and affording residents with certain rights concerning their personal data. For example, the California Consumer Privacy Act, as amended by the California Privacy Rights Act (“CPRA”) (collectively, the “CCPA”) gives California residents expanded rights to access and delete their personal data, opt out of certain personal data sharing, and receive detailed information about how their personal information is used. The CCPA provides for civil penalties for violations, as well as a private right of action for data breaches that is expected to increase data breach litigation. Although the CCPA exempts some data processed in the context of clinical trials, the CCPA may increase our compliance costs and potential liability. Similar laws are being considered in several other states, as well as at the federal and local levels, and we expect more states to pass similar laws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For example, in Canada, the Personal Information Protection and Electronic Documents Act (“PIPEDA”) and similar provincial laws may impose obligations with respect to processing personal data, including health-related information. PIPEDA requires companies to obtain an individual’s consent when collecting, using or disclosing that individual’s personal data. Individuals have the right to access and challenge the accuracy of their personal data held by an organization, and personal data may only be used for the purposes for which it was collected. If an organization intends to use personal data for another purpose, it must again obtain that individual’s consent. Failure to comply with PIPEDA could result in significant fines and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another example, the European Union’s General Data Protection Regulation (the “EU GDPR”) and the United Kingdom’s GDPR (together with EU GDPR, “GDPR”) also impose strict requirements for processing personal data and substantial fines for breaches and violations (for example, under the EU GDPR, up to the greater of €20 million or 4% of our annual worldwide gross revenue). Additionally, under GDPR, companies may face temporary or definitive bans on data processing and other corrective action or private litigation related to processing of personal data brought by classes of data subjects or consumer protection organizations authorized at law to represent their interests.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transfer data and work with partners, vendors and other third parties, and injunctions against our processing or transferring of personal data necessary to operate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we may become subject to such obligations in the future. 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these obligations is a rigorous and time-intensive process, and we may be required to put in place additional mechanisms designed to ensure compliance with these obligations. If we fail (or are perceived to have failed) to comply with any such obligations, we may face significant consequences, including without limitation government enforcement actions (e.g., investigations, fines and penalties, audits, inspections); litigation (including class-action claims) and mass arbitration demands); additional reporting requirements and/or oversight; bans on processing personal data; orders to destroy or not use personal data; imprisonment of company officials; or other consequences that could adversely affect our business, financial condition and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our information technology systems or those of third parties upon which we rely, or our data, are or were compromised, we could experience adverse consequences, including disclosure of sensitive information, damage to our reputation, and significant financial and legal exposure.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upon which we rely. These threats are increasing in their frequency, sophistication and intensity, have become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Cyberattacks could include wrongful conduct by hostile foreign governments, industrial espionage, wire fraud and other forms of cyber fraud, the deployment of harmful malware, denial-of-service attacks, social engineering attacks (including through deep-fakes, which may be increasingly more difficult to identify as fake, and phishing attacks), malicious code (such as viruses and worms), credential stuffing attacks, credential harvesting, ransomware attacks, supply-chain attacks, software bugs, server malfunctions, software or hardware failures, loss of data, attacks enhanced or facilitated by artificial intelligence or other information technology assets, fraud or other means to threaten confidentiality, integrity and availability of our sensitive information. We and the third parties upon which we rely may also experience telecommunications failures, natural disasters, terrorism, war and other similar threats.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more of our employees work remotely, the risk of a cybersecurity incident potentially occurring, and our investment in risk mitigations against such an incident, is increasing. For example, there has been an increase in phishing and spam emails as well as social engineering attempts from “hackers.” Future or past business transactions (such as acquisitions or integrations) could expose us to additional cybersecurity risks and vulnerabilities, as our systems could be negatively affected by vulnerabilities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rely on third parties and their technology to operate critical business systems to process sensitive information, including our CROs, CMOs and other contractors, consultants and law and accounting firms.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devote resources to protect our information systems, we realize that cyberattacks are a threat, and there can be no assurance that our efforts will prevent information security breaches. We take steps designed to detect, mitigate, and remediate vulnerabilities in our information systems (such as our and the third parties’ upon which we rely hardware and software).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successful or perceived security incident experienced by us or the third parties upon which we rely could cause serious negative consequences for us, including, without limitation, the disruption of operations, the misappropriation of sensitive information, disclosure of corporate strategic plans, material disruption of our development programs and our business operations, government enforcement actions (e.g., investigations, fines, penalties, audits, inspections), additional reporting requirements and/or oversight, restrictions on processing sensitive information, litigation, indemnification obligations, reputational harm, negative publicity, and other harms. For example, the loss of data from preclinical studies or clinical trials could result in significant delays in our regulatory approval efforts and significantly increase our costs to recover or reproduce the data. To the extent that any disruption or security incident were to result in a loss of, or damage to, our sensitive information or applications, or inappropriate disclosure of such information, we could incur liability, our competitive position could be harmed and the further development and commercialization of our product candidates could be significantly delayed.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principal investigators, CROs, CMOs and consultants may engage in misconduct or other improper activities, including non-compliance with regulatory standards and requirements and insider trading.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under applicable U.S. federal and state healthcare laws and regulations include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chiropractors), other healthcare professionals (such as physician assistants and nurse practitioners), and, teaching hospitals, as well as certain ownership and investment interests held by physicians and their immediate family;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costly to us in terms of money, time and resources, and we may be subject to criminal, civil or administrative sanctions, including exclusion from government-funded healthcare programs.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tax laws or regulations could materially adversely affect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success depends in part on our ability to obtain, maintain and protect our intellectual property. It is difficult and costly to protect our proprietary rights and technology, and we may not be able to ensure their protection.o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success will depend in large part on obtaining and maintaining patent, trademark, trade secret and other intellectual property protection of our proprietary technologies and product candidates, which include TPST-1495, TPST-1120 and any future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currently and may in the future depend on intellectual property licensed from third parties, and our current or future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royalty, milestone or other payment obligations that may result from the advancement or commercial sale of any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owned and in-licensed patents and patent applications may not provide sufficient protection of our product candidates or result in any competitive advantage.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inter partes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2043,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others may be able to make or use compounds that are similar to the active compositions of our product candidates but that are not covered by the claims of our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APIs in our current product candidates will eventually become commercially available in generic drug products, and no patent protection may be available with regard to formulation or method of 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or our current or future licensors, as the case may be, may fail to meet our or our obligations to the U.S. government regarding any patents and patent applications funded by U.S. government grants, leading to the loss or unenforceability of patent rights;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or our current or future licensors, as the case may be, might not have been the first to file patent applications for certain inventions;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our pending patent applications will not result in issued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there are prior public disclosures that could invalidate our owned or in-licensed patents, as the case may be, or parts of our owned or in-licensed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others may circumvent our owned or in-licensed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there are unpublished applications or patent applications maintained in secrecy that may later issue with claims covering our product candidates or technology similar to ours;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laws of foreign countries may not protect our, or our current or future licensors’, as the case may be, proprietary rights to the same extent as the laws of the United States;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claims of our owned or in-licensed issued patents or patent applications, if and when issued, may not adequately cover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engaged in scientific collaborations in the past and will continue to do so in the future and our collaborators may develop adjacent or competing products that are outside the scope of our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develop additional proprietary technologies for which we can obtain patent protection;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product candidates or diagnostic tests we develop may be covered by third parties’ patents or other exclusive rights;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 foregoing could have a material adverse effect on our business, financial conditions,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strategy of obtaining rights to key technologies through in-licenses may not be successful.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contractual measures, we try to protect the confidential nature of our proprietary information through other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security incident,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Third-party claims of intellectual property infringement may prevent, delay or otherwise interfere with our product discovery and development efforts.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third party claims that we infringe, misappropriate or otherwise violate their intellectual property rights, we may face a number of issues,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infringement and other intellectual property claims that, regardless of merit, may be expensive and time-consuming to litigate and may divert our management’s attention from our core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license is available from a third party, we may have to pay substantial royalties, upfront fees and other amounts, and/or grant cross-licenses to intellectual property rights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we redesign our product candidates or processes so they do not infringe, which may not be possible or may require substantial monetary expenditures and time;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that event, we would be unable to further develop and commercialize our product candidates, which could significantly harm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and could result in a finding that such patents are unenforceable or invalid.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Conversely, we may choose to challenge the patentability of claims in a third party’s U.S. patent by requesting that the USPTO review the patent claims in re-examination, post-grant review, inter partes review, interference proceedings, derivation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 parties may assert that our employees or consultants have wrongfully used or disclosed confidential information or misappropriated trade secrets.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patent law in the United States and in non-U.S. jurisdictions could diminish the value of patents in general, thereby impairing our ability to protect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 involving the interaction of patent term adjustment (PTA), 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further example, beginning June 1, 2023 European patent applications and patents may be subjected to the jurisdiction of the Unified Patent Court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do not obtain patent term extension for any product candidates it may develop, our business may be materially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Intellectual property discovered through government funded programs may be subject to federal regulations such as </w:t>
      </w:r>
      <w:r>
        <w:rPr>
          <w:rFonts w:ascii="Times New Roman" w:hAnsi="Times New Roman"/>
          <w:color w:val="000000"/>
          <w:sz w:val="20"/>
        </w:rPr>
        <w:t>“</w:t>
      </w:r>
      <w:r>
        <w:rPr>
          <w:rFonts w:ascii="Times New Roman" w:hAnsi="Times New Roman"/>
          <w:b/>
          <w:i/>
          <w:color w:val="000000"/>
          <w:sz w:val="20"/>
        </w:rPr>
        <w:t>march-in</w:t>
      </w:r>
      <w:r>
        <w:rPr>
          <w:rFonts w:ascii="Times New Roman" w:hAnsi="Times New Roman"/>
          <w:color w:val="000000"/>
          <w:sz w:val="20"/>
        </w:rPr>
        <w:t xml:space="preserve">” </w:t>
      </w:r>
      <w:r>
        <w:rPr>
          <w:rFonts w:ascii="Times New Roman" w:hAnsi="Times New Roman"/>
          <w:b/>
          <w:i/>
          <w:color w:val="000000"/>
          <w:sz w:val="20"/>
        </w:rPr>
        <w:t>rights, certain reporting requirements and a preference for U.S.-based companies. Compliance with such regulations may limit our exclusive rights and limit our ability to contract with non-U.S.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Recently, the government released a draft framework that may be used by an agency when deciding to exercise its march-in rights for public comments, and as such, the framework for deciding when march-in rights are exercised may change.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Ownership of Our Common Stock and Other General Matters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trading price of the shares of our common stock has been and is likely to continue to be volatile, and purchasers of our common stock could incur substantial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 price of our common stock has been and is likely to continue to be volatile. For example, during 2023, the closing price of our common stock on The Nasdaq Capital Market ranged from $0.23 per share to $9.77 per share. Some of the factors that may cause the market price of our common stock to fluctuate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results of clinical trials and preclinical studies of our product candidates, or those of our competitors or our existing or future collaborators;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meet or exceed financial and development projections we may provide to the public;</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meet or exceed the financial and development projections of the investment community;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announcements of significant acquisitions, strategic collaborations, joint ventures or capital commitments by us or our competitors;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actions taken by regulatory agencies with respect to our product candidates, clinical studies, manufacturing process or sales and marketing terms;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securities or industry analysts do not publish research or reports about our business, or if they issue adverse or misleading opinions regarding our business and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securities by us or our securityholders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raise an adequate amount of capital to fund our operations and continued development of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announcements by competitors of new commercial products, clinical progress or lack thereof, significant contracts, commercial relationships or capital commitments;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publicity relating to precision medicine product candidates, including with respect to other products in such markets;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introduction of technological innovations or new therapies that compete with our products and services;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bank failures, public health crises or geopolitical tensions, such as the Russia-Ukraine war and the armed conflict in Israel and the Gaza Strip;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period-to-period fluctuations in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share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recent bank closures and geopolitical tensions, like the Russia-Ukraine war and the war in Israel,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common stock is thinly traded and our stockholders may be unable to sell their shares quickly or at market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 smaller reporting company, and the reduced reporting requirements applicable to smaller reporting companies may make our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in Section 12 of the Exchange Act. For as long as we continue to be a smaller reporting company, we may take advantage of exemptions from various reporting requirements that are applicable to other public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Status as a Public Company and Other General Matters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expect to continue to incur increased costs as a result of operating as a public company, and our management is required to devote substantial time to compliance with our public company responsibilities and corporate governance practices.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continue to incur significant legal, accounting and other expenses. The Sarbanes-Oxley Act, the Dodd-Frank Wall Street Reform and Consumer Protection Act, the listing requirements of the Nasdaq Stock Market (Nasdaq)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in September 2023, we received a notice from Nasdaq notifying us that for the previous 30 consecutive business days, the bid price of the Company’s common stock had closed below $1.00 per share, the minimum closing bid price required by the continued listing requirements of Nasdaq Listing Rule 5550(a)(2). We were able to achieve compliance within the 180 calendar day compliance period, but there can be no assurance that we will remain in compliance with the requirements for listing our common stock on Nasdaq. Delisting could adversely affect our ability to raise additional capital through the public or private sale of equity securities, would significantly affect the ability of investors to trade our securities and would negatively affect the value and liquidity of our common shares. Delisting could also have other negative results, including the potential loss of confidence by employees, the loss of institutional investor interest and fewer business development opportunities. Also,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as a privately held company, we were not required to evaluate our internal control over financial reporting in a manner that meets the standards of publicly traded companies required by Section 404. In connection with the preparation and audit of our financial statements as of and for the year ended December 31, 2020, material weaknesses were identified in our internal control over financial reporting, which have been remediated. We cannot assure you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or the third parties upon whom we depend may be adversely affected by natural disasters and other calamities, including public health crises, and our business continuity and disaster recovery plans may not adequately protect us from a serious disaster.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 material and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decreased demand for any product candidates that we may develop;</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time and costs to defend the related litigation;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termination of our collaboration relationships or disputes with our collaborators;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voluntary product recalls, withdrawals or labeling restrictions;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inability to commercialize any product candidates that we may develop.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such that not all members of the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for nominations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be effected at a duly called stockholders meeting;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the holders of at least 75% of the votes that all our stockholders would be entitled to cast to amend or repeal certain provisions of our certificate of incorporation or by-laws.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in October 2023, we implemented a Rights Plan, also called a “poison pill,” that may have the effect of discouraging or preventing a change of control by, among other things, making it uneconomical for a third party to acquire us without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consent of our board of directors. The Rights will expire on October 10, 2024, or, if the Company’s stockholders approve the Rights plan, on October 10, 2026, unless the Rights are earlier redeemed or exchanged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anticipate that we will pay any cash dividends in the foreseeable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current expectation is that we will retain our future earnings, if any, to fund our growth as opposed to paying dividends. As a result, capital appreciation, if any, of our common stock will be your sole source of gain, if any, for the foreseeable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exposed to increased litigation, including stockholder litigation, which could have an adverse effect on our business and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exposed to increased litigation from stockholders, customers, suppliers, consumers and other third parties due to the combination of Millendo’s business and ours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pStyle w:val="TextBody"/>
        <w:bidi w:val="0"/>
        <w:spacing w:before="240" w:after="283"/>
        <w:jc w:val="left"/>
        <w:rPr>
          <w:rFonts w:ascii="Times New Roman" w:hAnsi="Times New Roman"/>
          <w:b/>
          <w:color w:val="000000"/>
          <w:sz w:val="20"/>
        </w:rPr>
      </w:pPr>
      <w:bookmarkStart w:id="7" w:name="section7"/>
      <w:bookmarkEnd w:id="7"/>
      <w:r>
        <w:rPr>
          <w:rFonts w:ascii="Times New Roman" w:hAnsi="Times New Roman"/>
          <w:b/>
          <w:color w:val="000000"/>
          <w:sz w:val="20"/>
        </w:rPr>
        <w:t>ITEM 1B. UNRESOLVED STAFF COMMENTS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8" w:name="cybersecurity"/>
      <w:bookmarkEnd w:id="8"/>
      <w:r>
        <w:rPr>
          <w:rFonts w:ascii="Times New Roman" w:hAnsi="Times New Roman"/>
          <w:b/>
          <w:color w:val="000000"/>
          <w:sz w:val="20"/>
        </w:rPr>
        <w:t>ITEM 1C. CYBERSECURITY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employees (“Information Systems and Data”).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information security function is led by our Vice President, Strategy &amp; Finance (“IT Lead”), who reports to our CEO and is supported by our third party security provider, and it helps identify, assess and manage the Company’s cybersecurity threats and risks. The information security function identifies and assesses risks from cybersecurity threats by monitoring and evaluating our threat environment using various methods including, for example analyzing report of threats and threat actors and conducting periodic vulnerability assessments for certain systems. Our assessment and management of material risks from cybersecurity threats are considered as part of our risk management processes. For example, our IT Lead and certain management, including our CEO, evaluate identified material risks from cybersecurity threats against our overall business objectives and our IT Lead periodically reports to the audit committee of the board of directors, which evaluates our overall enterprise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risk assessments for certain systems, systems monitoring for certain systems, access controls, asset management, and employee training. We use third-party service providers to assist us from time to time to identify, assess, and manage material risks from cybersecurity threats, including for example our managed security provider and professional services firms, including legal counsel.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 description of the risks from cybersecurity threats that may materially affect the Company and how they may do so, see our risk factors under Part 1. Item 1A. Risk Factors in this Annual Report on Form 10-K, including that if our information technology systems or those of third parties upon which we rely, or our data, are or were compromised, we could experience adverse consequences, including disclosure of sensitive information, damage to our reputation, and significant financial and legal exposure.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Governance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cybersecurity risk assessment and management processes are implemented and maintained by certain Company management, including the IT Lead. The IT Lead has 3 years of experience in roles that include oversight of cybersecurity risk management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IT Lead is responsible for hiring appropriate personnel, helping to integrate cybersecurity risk considerations into the Company’s overall risk management strategy, communicating key priorities to relevant personnel, helping prepare for cybersecurity incidents, approving cybersecurity processes, and reviewing security assessments and other security-related reports.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cybersecurity incident response processes are designed to escalate certain cybersecurity incidents to members of management depending on the circumstances, including the CEO, who help the Company mitigate and remediate cybersecurity incidents of which they are notified. In addition, the Company’s incident response processes include reporting to the audit committee for certain cybersecurity incidents.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audit committee receives periodic reports from our IT Lead concerning cybersecurity issues, including certain threats and risks and the processes the Company has implemented to address them, as applicable. The audit committee also has access to various reports, summaries or presentations related to cybersecurity threats, risk and mitigation.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9" w:name="section8"/>
      <w:bookmarkEnd w:id="9"/>
      <w:r>
        <w:rPr>
          <w:rFonts w:ascii="Times New Roman" w:hAnsi="Times New Roman"/>
          <w:b/>
          <w:color w:val="000000"/>
          <w:sz w:val="20"/>
        </w:rPr>
        <w:t>ITEM 2. PROPERTIES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2022, we entered into an agreement to lease approximately 20,116 square feet of laboratory and office space at 2000 Sierra Point Parkway, Brisbane, California 94005, which we occupied and began operating as our new headquarters beginning in December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pStyle w:val="TextBody"/>
        <w:bidi w:val="0"/>
        <w:spacing w:before="240" w:after="283"/>
        <w:jc w:val="left"/>
        <w:rPr>
          <w:rFonts w:ascii="Times New Roman" w:hAnsi="Times New Roman"/>
          <w:b/>
          <w:color w:val="000000"/>
          <w:sz w:val="20"/>
        </w:rPr>
      </w:pPr>
      <w:bookmarkStart w:id="10" w:name="section9"/>
      <w:bookmarkEnd w:id="10"/>
      <w:r>
        <w:rPr>
          <w:rFonts w:ascii="Times New Roman" w:hAnsi="Times New Roman"/>
          <w:b/>
          <w:color w:val="000000"/>
          <w:sz w:val="20"/>
        </w:rPr>
        <w:t>ITEM 3.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240" w:after="283"/>
        <w:jc w:val="left"/>
        <w:rPr>
          <w:rFonts w:ascii="Times New Roman" w:hAnsi="Times New Roman"/>
          <w:b/>
          <w:color w:val="000000"/>
          <w:sz w:val="20"/>
        </w:rPr>
      </w:pPr>
      <w:bookmarkStart w:id="11" w:name="section10"/>
      <w:bookmarkEnd w:id="11"/>
      <w:r>
        <w:rPr>
          <w:rFonts w:ascii="Times New Roman" w:hAnsi="Times New Roman"/>
          <w:b/>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section11"/>
      <w:bookmarkEnd w:id="12"/>
      <w:r>
        <w:rPr>
          <w:rFonts w:ascii="Times New Roman" w:hAnsi="Times New Roman"/>
          <w:b/>
          <w:color w:val="000000"/>
          <w:sz w:val="20"/>
        </w:rPr>
        <w:t>PART II</w:t>
      </w:r>
    </w:p>
    <w:p>
      <w:pPr>
        <w:pStyle w:val="TextBody"/>
        <w:bidi w:val="0"/>
        <w:jc w:val="center"/>
        <w:rPr/>
      </w:pPr>
      <w:r>
        <w:rPr/>
        <w:t> </w:t>
      </w:r>
    </w:p>
    <w:p>
      <w:pPr>
        <w:pStyle w:val="TextBody"/>
        <w:bidi w:val="0"/>
        <w:spacing w:before="240" w:after="283"/>
        <w:jc w:val="both"/>
        <w:rPr>
          <w:rFonts w:ascii="Times New Roman" w:hAnsi="Times New Roman"/>
          <w:b/>
          <w:color w:val="000000"/>
          <w:sz w:val="20"/>
        </w:rPr>
      </w:pPr>
      <w:bookmarkStart w:id="13" w:name="section12"/>
      <w:bookmarkEnd w:id="13"/>
      <w:r>
        <w:rPr>
          <w:rFonts w:ascii="Times New Roman" w:hAnsi="Times New Roman"/>
          <w:b/>
          <w:color w:val="000000"/>
          <w:sz w:val="20"/>
        </w:rPr>
        <w:t>ITEM 5. MARKET FOR REGISTRANT’S COMMON EQUITY, RELATED STOCKHOLDER MATTERS AND ISSUER PURCHASE OF EQUITY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Market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common stock is listed on the Nasdaq Stock Market under the ticker symbol “TPST.”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13, 2024, we had 22,192,026 shares of common stock outstanding held by 78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never declared or paid cash dividends on our capital stock. We intend to retain all available funds and future earnings, if any, to fund the development and expansion of our business, and we do not anticipate paying any cash dividends in the foreseeable future.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Purchases of Equity Securities by the Issuer and Affiliated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4" w:name="section13"/>
      <w:bookmarkEnd w:id="14"/>
      <w:r>
        <w:rPr>
          <w:rFonts w:ascii="Times New Roman" w:hAnsi="Times New Roman"/>
          <w:b/>
          <w:color w:val="000000"/>
          <w:sz w:val="20"/>
        </w:rPr>
        <w:t>ITEM 6. RESERVED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5" w:name="section14"/>
      <w:bookmarkEnd w:id="15"/>
      <w:r>
        <w:rPr>
          <w:rFonts w:ascii="Times New Roman" w:hAnsi="Times New Roman"/>
          <w:b/>
          <w:color w:val="000000"/>
          <w:sz w:val="20"/>
        </w:rPr>
        <w:t>ITEM 7. MANAGEMENT’S DISCUSSION AND ANALYSIS OF FINANCIAL CONDITION AND RESULTS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Item 1A. “Risk Factors” and “Special Note Regarding Forward-Looking Statements.”</w:t>
      </w:r>
    </w:p>
    <w:p>
      <w:pPr>
        <w:pStyle w:val="TextBody"/>
        <w:bidi w:val="0"/>
        <w:spacing w:before="240" w:after="283"/>
        <w:jc w:val="both"/>
        <w:rPr>
          <w:rFonts w:ascii="Times New Roman" w:hAnsi="Times New Roman"/>
          <w:b/>
          <w:color w:val="000000"/>
          <w:sz w:val="20"/>
        </w:rPr>
      </w:pPr>
      <w:bookmarkStart w:id="16" w:name="section15"/>
      <w:bookmarkEnd w:id="16"/>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clinical-stage biotechnology company moving into late-stage development with a diverse portfolio of first-in-class targeted and immune-mediated product candidates with the potential to treat a wide range of cancers. The company’s novel programs range from early research to the lead program, TPST-1120, that is poised to begin a pivotal study in first-line liver cancer. Our philosophy is to build a company based upon not only good ideas and creative science, but also upon the efficient translation of those ideas into therapies that will improve patients’ lives. Each of our programs embody different and independent approaches to fighting cancer, providing a portfolio of truly diversified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two clinical-stage therapeutics product candidates are TPST-1120 and TPST-1495, which we believe are the first clinical-stage molecules designed to inhibit their respective targets.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TPST-1120 is a selective antagonist of peroxisome proliferator-activated receptor alpha (“PPARα”). On October 11, 2023, we announced new and updated positive results from the planned data analysis of the ongoing global randomized Phase 1b/2 trial of TPST-1120 combined with the standard-of-care first-line regimen of atezolizumab and bevacizumab in patients with advanced or metastatic hepatocellular carcinoma (“HCC”). The study is comparing the TPST-1120 arm to standard of care alone and enrolled 40 patients randomized to the TPST-1120 arm and 30 patients randomized to the control arm. With a median follow-up of 9.2 and 9.9 months for the TPST-1120 arm and standard-of-care arm, respectively, the data showed a 30% confirmed objective response rate (“ORR”) achieved in TPST-1120 arm compared to 13.3% for atezolizumab and bevacizumab in the control arm, a substantial increase since an earlier interim data release that is specific to the TPST-1120 arm compared to the previous data cut of 17.5% versus 10.3% in the control arm. 40% of the TPST-1120 arm patients remained on treatment versus 16.7% in the control arm, while 72.5% of the TPST-1120 arm patients remained on study versus 46.7% in the control arm. The results also showed a favorable progression free survival and overall survival (“OS”) hazard ratio for the TPST-1120 arm as compared to the standard-of-care control arm. We expect updated OS data to be available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overall data, the new biomarker subpopulation findings are consistent with the mechanism of action of TPST-1120: patients with b-catenin activating mutations (21% in this study (n=7)) showed a confirmed ORR of 43% and a disease control rate (“DCR”) of 100% in the TPST-1120 arm; and distinct from the control arm, the TPST-1120 arm was consistently active across PD-L1 negative tumors with a confirmed ORR of 27% in the TPST-1120 arm, compared to a reduced ORR of 7% for the control arm.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randomized data build upon clinical data from Phase 1 trials, both as a monotherapy and in combination with an anti-PD1 therapy, nivolumab, that were reported at a podium presentation at the American Society of Clinical Oncology (“ASCO”) annual meeting in June 2022. RECIST responses were also observed in this study at the two highest TPST-1120 doses in combination with nivolumab for an ORR of those cohorts of 30% (3 of 10 patients), including in patients who previously progressed on anti-PD-1 (-L1) therapy. We believe the next step in TPST-1120 development is a pivotal Phase 3 in first-line HCC and are planning to meet with the FDA in 2024 towards that goal, and given the totality of the data, also have interest in development in kidney cancer (“RCC”) and potentially other indications.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second clinical program, TPST-1495, a dual antagonist of the EP2 and EP4 receptors of prostaglandin E2, is in an ongoing Phase 1 combination trial in patients with endometrial cancer. Data from the TPST-1495 Phase 1 trial was presented at the ASCO annual meeting in June 2023. Additionally, we are planning to advance TPST-1495 in a new indication, Familial Adenomatous Polyposis (“FAP”), for which there are no approved therapies. Given that prostaglandin signaling is implicated in FAP and based on positive preclinical data in a relevant mouse model, we believe there is strong mechanistic support for this approach. We are working with the Cancer Prevention Clinical Trials Network on a National Cancer Institute (“NCI”)-funded Phase 2 study and subject to final approval from the consortium, plan to start the study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Beyond these clinical programs, we plan to continue to leverage our drug development and company-building experience along with academic relationships to identify promising new targets that may feed new programs into our pipeline. Our Discovery Research team employs a multidisciplinary approach to identify and validate therapeutic targets in oncology, and preclinical validation studies are then conducted to further understand the mechanism of action and potential therapeutic benefit to patients. </w:t>
      </w:r>
    </w:p>
    <w:p>
      <w:pPr>
        <w:pStyle w:val="TextBody"/>
        <w:bidi w:val="0"/>
        <w:spacing w:before="200" w:after="283"/>
        <w:jc w:val="both"/>
        <w:rPr>
          <w:rFonts w:ascii="Times New Roman" w:hAnsi="Times New Roman"/>
          <w:sz w:val="20"/>
        </w:rPr>
      </w:pPr>
      <w:r>
        <w:rPr>
          <w:rFonts w:ascii="Times New Roman" w:hAnsi="Times New Roman"/>
          <w:b/>
          <w:color w:val="000000"/>
          <w:sz w:val="20"/>
        </w:rPr>
        <w:t>Potential Future Milestones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TPST-1120 into a pivotal study in first-line HCC patients where TPST-1120 will be studied in a combination treatment and compared to a standard-of-care therapy, subject to obtaining feedback from the FDA. We believe positive results from the ongoing randomized Phase 1b/2 study provide strategic opportunities for us, and we expect to receive updated results from this randomized study in 2024. We are also evaluating further development in RCC and cholangiocarcinoma (“CCA”) based on the Phase 1 data presented at ASCO 2022.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Explore TPST-1495 beyond original tumor types of interest. We plan to complete the ongoing combination arm in patients with advanced endometrial cancer, where prostaglandin signaling is implicated, and report the data in 2024. Additionally, subject to final approval with the FAP Consortium on NCI, we are planning to advance TPST-1495 into a Phase 2 study in patients with the Cancer Prevention Clinical Trials Network in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Going Concern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 products approved for commercial sale and have not generated any revenue from product sales. From inception to December 31, 2023, we have raised $201.2 million, through sales of our capital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never been profitable and have incurred operating losses in each period since inception. Our net losses were $29.5 million and $35.7 million for the years ended December 31, 2023 and 2022, respectively. As of December 31, 2023, we had an accumulated deficit of $165.3 million. Substantially all of the operating losses resulted from expenses incurred in connection with our research and development programs and from general and administrative costs associated with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involves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our business strategy, our existing cash and cash equivalents of $39.2 million as of December 31, 2023, will be sufficient to fund our operations through at least the next 12 months from the date our consolidated financial statements were available to be issued.</w:t>
      </w:r>
    </w:p>
    <w:p>
      <w:pPr>
        <w:pStyle w:val="TextBody"/>
        <w:bidi w:val="0"/>
        <w:spacing w:before="240" w:after="283"/>
        <w:jc w:val="both"/>
        <w:rPr>
          <w:rFonts w:ascii="Times New Roman" w:hAnsi="Times New Roman"/>
          <w:b/>
          <w:color w:val="000000"/>
          <w:sz w:val="20"/>
        </w:rPr>
      </w:pPr>
      <w:bookmarkStart w:id="17" w:name="section16"/>
      <w:bookmarkEnd w:id="17"/>
      <w:r>
        <w:rPr>
          <w:rFonts w:ascii="Times New Roman" w:hAnsi="Times New Roman"/>
          <w:b/>
          <w:color w:val="000000"/>
          <w:sz w:val="20"/>
        </w:rPr>
        <w:t>Components of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represent costs incurred to conduct research and development, such as the development of our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all research and development costs as they are incurred. Research and development expenses consist primarily of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salaries, benefits and stock-based compensation;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licensing costs;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allocated occupancy;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materials and supplies;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contracted research and manufacturing;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consulting arrangements;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expenses incurred to advance our research and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including expenses related to compliance with the rules and regulations of the SEC and Nasdaq, additional insurance, investor relations and other administrative expenses and professional services.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(Expense) Income ,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(expense) income, net consists primarily of interest expense, interest income, and various income or expense items of a non-recurring nature.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operating results for the years ended December 31, 2023 and 2022:</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30"/>
        <w:gridCol w:w="146"/>
        <w:gridCol w:w="211"/>
        <w:gridCol w:w="736"/>
        <w:gridCol w:w="166"/>
        <w:gridCol w:w="146"/>
        <w:gridCol w:w="211"/>
        <w:gridCol w:w="736"/>
        <w:gridCol w:w="166"/>
        <w:gridCol w:w="146"/>
        <w:gridCol w:w="361"/>
        <w:gridCol w:w="1081"/>
        <w:gridCol w:w="166"/>
        <w:gridCol w:w="146"/>
        <w:gridCol w:w="539"/>
        <w:gridCol w:w="1563"/>
        <w:gridCol w:w="655"/>
      </w:tblGrid>
      <w:tr>
        <w:trPr/>
        <w:tc>
          <w:tcPr>
            <w:tcW w:w="3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0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655" w:type="dxa"/>
            <w:tcBorders/>
            <w:shd w:fill="FFFFFF" w:val="clear"/>
            <w:vAlign w:val="center"/>
          </w:tcPr>
          <w:p>
            <w:pPr>
              <w:pStyle w:val="TableContents"/>
              <w:bidi w:val="0"/>
              <w:spacing w:before="0" w:after="283"/>
              <w:jc w:val="center"/>
              <w:rPr/>
            </w:pPr>
            <w:r>
              <w:rPr/>
              <w:t> </w:t>
            </w:r>
          </w:p>
        </w:tc>
      </w:tr>
      <w:tr>
        <w:trPr/>
        <w:tc>
          <w:tcPr>
            <w:tcW w:w="30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2" w:type="dxa"/>
            <w:gridSpan w:val="2"/>
            <w:tcBorders/>
            <w:shd w:fill="FFFFFF" w:val="clear"/>
            <w:vAlign w:val="center"/>
          </w:tcPr>
          <w:p>
            <w:pPr>
              <w:pStyle w:val="TableContents"/>
              <w:bidi w:val="0"/>
              <w:spacing w:before="0" w:after="283"/>
              <w:jc w:val="center"/>
              <w:rPr/>
            </w:pPr>
            <w:r>
              <w:rPr/>
              <w:t> </w:t>
            </w:r>
          </w:p>
        </w:tc>
        <w:tc>
          <w:tcPr>
            <w:tcW w:w="655" w:type="dxa"/>
            <w:tcBorders/>
            <w:shd w:fill="FFFFFF" w:val="clear"/>
            <w:vAlign w:val="center"/>
          </w:tcPr>
          <w:p>
            <w:pPr>
              <w:pStyle w:val="TableContents"/>
              <w:bidi w:val="0"/>
              <w:spacing w:before="0" w:after="283"/>
              <w:jc w:val="center"/>
              <w:rPr/>
            </w:pPr>
            <w:r>
              <w:rPr/>
              <w:t> </w:t>
            </w:r>
          </w:p>
        </w:tc>
      </w:tr>
      <w:tr>
        <w:trPr/>
        <w:tc>
          <w:tcPr>
            <w:tcW w:w="30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4" w:type="dxa"/>
            <w:gridSpan w:val="14"/>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percentages)</w:t>
            </w:r>
          </w:p>
        </w:tc>
        <w:tc>
          <w:tcPr>
            <w:tcW w:w="655" w:type="dxa"/>
            <w:tcBorders/>
            <w:shd w:fill="FFFFFF" w:val="clear"/>
            <w:vAlign w:val="center"/>
          </w:tcPr>
          <w:p>
            <w:pPr>
              <w:pStyle w:val="TableContents"/>
              <w:bidi w:val="0"/>
              <w:spacing w:before="0" w:after="283"/>
              <w:jc w:val="center"/>
              <w:rPr/>
            </w:pPr>
            <w:r>
              <w:rPr/>
              <w:t> </w:t>
            </w:r>
          </w:p>
        </w:tc>
      </w:tr>
      <w:tr>
        <w:trPr/>
        <w:tc>
          <w:tcPr>
            <w:tcW w:w="30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2"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2"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55"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30"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55"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030"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left"/>
              <w:rPr/>
            </w:pPr>
            <w:r>
              <w:rPr/>
              <w:t> </w:t>
            </w:r>
          </w:p>
        </w:tc>
        <w:tc>
          <w:tcPr>
            <w:tcW w:w="15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research and development expenses for the years ended December 31, 2023 and 2022 were primarily incurred in connection with our most advanced product candidates,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The following table shows our research and development expenses by program for the years ended December 31, 2023 and 2022:</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87"/>
        <w:gridCol w:w="146"/>
        <w:gridCol w:w="211"/>
        <w:gridCol w:w="676"/>
        <w:gridCol w:w="146"/>
        <w:gridCol w:w="146"/>
        <w:gridCol w:w="211"/>
        <w:gridCol w:w="676"/>
        <w:gridCol w:w="146"/>
        <w:gridCol w:w="146"/>
        <w:gridCol w:w="396"/>
        <w:gridCol w:w="1183"/>
        <w:gridCol w:w="166"/>
        <w:gridCol w:w="146"/>
        <w:gridCol w:w="658"/>
        <w:gridCol w:w="1702"/>
        <w:gridCol w:w="363"/>
      </w:tblGrid>
      <w:tr>
        <w:trPr/>
        <w:tc>
          <w:tcPr>
            <w:tcW w:w="3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0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3" w:type="dxa"/>
            <w:tcBorders/>
            <w:shd w:fill="FFFFFF" w:val="clear"/>
            <w:vAlign w:val="center"/>
          </w:tcPr>
          <w:p>
            <w:pPr>
              <w:pStyle w:val="TableContents"/>
              <w:bidi w:val="0"/>
              <w:spacing w:before="0" w:after="283"/>
              <w:jc w:val="center"/>
              <w:rPr/>
            </w:pPr>
            <w:r>
              <w:rPr/>
              <w:t> </w:t>
            </w:r>
          </w:p>
        </w:tc>
      </w:tr>
      <w:tr>
        <w:trPr/>
        <w:tc>
          <w:tcPr>
            <w:tcW w:w="30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0" w:type="dxa"/>
            <w:gridSpan w:val="2"/>
            <w:tcBorders/>
            <w:shd w:fill="FFFFFF" w:val="clear"/>
            <w:vAlign w:val="center"/>
          </w:tcPr>
          <w:p>
            <w:pPr>
              <w:pStyle w:val="TableContents"/>
              <w:bidi w:val="0"/>
              <w:spacing w:before="0" w:after="283"/>
              <w:jc w:val="center"/>
              <w:rPr/>
            </w:pPr>
            <w:r>
              <w:rPr/>
              <w:t> </w:t>
            </w:r>
          </w:p>
        </w:tc>
        <w:tc>
          <w:tcPr>
            <w:tcW w:w="363" w:type="dxa"/>
            <w:tcBorders/>
            <w:shd w:fill="FFFFFF" w:val="clear"/>
            <w:vAlign w:val="center"/>
          </w:tcPr>
          <w:p>
            <w:pPr>
              <w:pStyle w:val="TableContents"/>
              <w:bidi w:val="0"/>
              <w:spacing w:before="0" w:after="283"/>
              <w:jc w:val="center"/>
              <w:rPr/>
            </w:pPr>
            <w:r>
              <w:rPr/>
              <w:t> </w:t>
            </w:r>
          </w:p>
        </w:tc>
      </w:tr>
      <w:tr>
        <w:trPr/>
        <w:tc>
          <w:tcPr>
            <w:tcW w:w="30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0" w:type="dxa"/>
            <w:gridSpan w:val="2"/>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r>
      <w:tr>
        <w:trPr/>
        <w:tc>
          <w:tcPr>
            <w:tcW w:w="30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TPST-1120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TPST-1495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58"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candidate specific research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58"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other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pPr>
            <w:r>
              <w:rPr/>
              <w:t> </w:t>
            </w:r>
          </w:p>
        </w:tc>
        <w:tc>
          <w:tcPr>
            <w:tcW w:w="11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and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0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years ended December 31, 2023 and 2022:</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9"/>
        <w:gridCol w:w="146"/>
        <w:gridCol w:w="211"/>
        <w:gridCol w:w="676"/>
        <w:gridCol w:w="146"/>
        <w:gridCol w:w="146"/>
        <w:gridCol w:w="211"/>
        <w:gridCol w:w="676"/>
        <w:gridCol w:w="146"/>
        <w:gridCol w:w="146"/>
        <w:gridCol w:w="397"/>
        <w:gridCol w:w="1188"/>
        <w:gridCol w:w="166"/>
        <w:gridCol w:w="146"/>
        <w:gridCol w:w="661"/>
        <w:gridCol w:w="1711"/>
        <w:gridCol w:w="363"/>
      </w:tblGrid>
      <w:tr>
        <w:trPr/>
        <w:tc>
          <w:tcPr>
            <w:tcW w:w="3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0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8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3" w:type="dxa"/>
            <w:tcBorders/>
            <w:shd w:fill="FFFFFF" w:val="clear"/>
            <w:vAlign w:val="center"/>
          </w:tcPr>
          <w:p>
            <w:pPr>
              <w:pStyle w:val="TableContents"/>
              <w:bidi w:val="0"/>
              <w:spacing w:before="0" w:after="283"/>
              <w:jc w:val="center"/>
              <w:rPr/>
            </w:pPr>
            <w:r>
              <w:rPr/>
              <w:t> </w:t>
            </w:r>
          </w:p>
        </w:tc>
      </w:tr>
      <w:tr>
        <w:trPr/>
        <w:tc>
          <w:tcPr>
            <w:tcW w:w="30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8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72" w:type="dxa"/>
            <w:gridSpan w:val="2"/>
            <w:tcBorders/>
            <w:shd w:fill="FFFFFF" w:val="clear"/>
            <w:vAlign w:val="center"/>
          </w:tcPr>
          <w:p>
            <w:pPr>
              <w:pStyle w:val="TableContents"/>
              <w:bidi w:val="0"/>
              <w:spacing w:before="0" w:after="283"/>
              <w:jc w:val="center"/>
              <w:rPr/>
            </w:pPr>
            <w:r>
              <w:rPr/>
              <w:t> </w:t>
            </w:r>
          </w:p>
        </w:tc>
        <w:tc>
          <w:tcPr>
            <w:tcW w:w="363" w:type="dxa"/>
            <w:tcBorders/>
            <w:shd w:fill="FFFFFF" w:val="clear"/>
            <w:vAlign w:val="center"/>
          </w:tcPr>
          <w:p>
            <w:pPr>
              <w:pStyle w:val="TableContents"/>
              <w:bidi w:val="0"/>
              <w:spacing w:before="0" w:after="283"/>
              <w:jc w:val="center"/>
              <w:rPr/>
            </w:pPr>
            <w:r>
              <w:rPr/>
              <w:t> </w:t>
            </w:r>
          </w:p>
        </w:tc>
      </w:tr>
      <w:tr>
        <w:trPr/>
        <w:tc>
          <w:tcPr>
            <w:tcW w:w="30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9" w:type="dxa"/>
            <w:gridSpan w:val="6"/>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r>
      <w:tr>
        <w:trPr/>
        <w:tc>
          <w:tcPr>
            <w:tcW w:w="30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outside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17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7"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17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17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7"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17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 decreased by $5.0 million to $17.5 million for the year ended December 31, 2023, which was primarily attributable to a decrease in costs incurred from contract research organizations and third-party vendors.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decreased by $0.4 million to $11.7 million for the year ended December 31, 2023, primarily due to a decrease in consulting and professional services.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years ended December 31, 2023 and 2022, interest income and other income (expense), net consisted of total interest expense of $1.4 million and $1.6 million, respectively, related to the Oxford Loan, and interest income of $1.1 million and $0.6 million, respectively.</w:t>
      </w:r>
    </w:p>
    <w:p>
      <w:pPr>
        <w:pStyle w:val="TextBody"/>
        <w:bidi w:val="0"/>
        <w:spacing w:before="240" w:after="283"/>
        <w:jc w:val="both"/>
        <w:rPr>
          <w:rFonts w:ascii="Times New Roman" w:hAnsi="Times New Roman"/>
          <w:b/>
          <w:color w:val="000000"/>
          <w:sz w:val="20"/>
        </w:rPr>
      </w:pPr>
      <w:bookmarkStart w:id="18" w:name="section17"/>
      <w:bookmarkEnd w:id="18"/>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inception through December 31, 2023, our operations have been financed primarily by net cash proceeds from the sale of our common stock, convertible preferred stock and issuance of debt. As of December 31, 2023, we had $39.2 million in cash and cash equivalents and an accumulated deficit of $165.3 million. We expect that our research and development and general and administrative expenses will increase, and, as a result, we anticipate that we will continue to incur increasing losses in the foreseeable future.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our cash and cash equivalents as of December 31, 2023 will fund our ongoing working capital, investing, and financing requirements for at least the next 12 months from the date our consolidated financial statements were available to be issued.</w:t>
      </w:r>
    </w:p>
    <w:p>
      <w:pPr>
        <w:pStyle w:val="TextBody"/>
        <w:bidi w:val="0"/>
        <w:jc w:val="both"/>
        <w:rPr/>
      </w:pPr>
      <w:r>
        <w:rPr/>
        <w:t> </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Loan Agreement with Oxford Finance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15, 2021, we entered into a loan and security agreement with Oxford to borrow a term loan amount of $35.0 million to be funded in three tranches (the "Loan Agreement"). Tranche A of $15.0 million was funded on January 15, 2021. Tranche B of $10.0 million expired on March 31, 2022. Tranche C of $10.0 million is available at Oxford’s option.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23, 2022, the Company entered into a First Amendment to the Loan Agreement. The amendment modified the agreement as follows: (i) 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the property of the Company, TempestTx and Millendo, including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intellectual property, was granted to the Lender. In addition, the Lender permitted a one-time prepayment in the amount of $5.0 million which the Company paid on December 23, 2022.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fourth quarter of 2023, the Company achieved the circumstances necessary to extend the interest-only repayment period through June 30,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 loan matures on August 1, 2025 and has an annual floating interest rate of 7.15% which is an Index Rate plus 7.10%. Index Rate is the greater of (i) 1-Month CME Term SOFR or (ii) 0.05%.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At-the-Market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23, 2021, we entered into a sales agreement with Jefferies LLC, pursuant to which we may sell, from time to time at our sole discretion through Jefferies, as our sales agent, shares of our common stock having, up to an aggregate sales price of $100.0 million of our common stock through Jefferies (the “ATM Program”). Any shares of our common stock sold will be issued pursuant to our shelf registration statement on Form S-3 (File No. 333-257990). We will pay Jefferies a commission up to 3.0% of the gross sales proceeds of any shares of our common stock sold through Jefferies under the ATM Program and also have provided Jefferies with indemnification and contribution rights. As of December 31, 2023, we have sold an aggregate of 8,960,822 shares of our common stock for net proceeds of approximately $41.2 million, after deducting commissions and offering expenses pursuant to the ATM Program. During the year ended December 31, 2023, the Company has sold an aggregate of 8,260,479 shares of its common stock for net proceeds of approximately $35.6 million, after deducting commissions and expenses. As of December 31, 2023, approximately $57.6 million remained available for sale under the ATM Program.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PIPE Financing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2022, we completed a private investment in public equity (“PIPE”) financing from the sale of 3,149,912 shares of our common stock at a price per share of $2.36 and, in lieu of shares of common stock, pre-funded warrants to purchase up to 3,206,020 shares of our common stock at a price per pre-funded warrant of $2.359 to EcoR1 Capital, LLC and Versant Venture Capital (the “PIPE Investors”). Net proceeds from the PIPE financings totaled approximately $14.5 million, after deducting offering expenses. We entered into a registration rights agreement with the PIPE Investors pursuant to which we filed a registration statement with the SEC registering the resale of the 3,149,912 shares common stock and the 3,206,020 shares of common stock underlying the pre-funded warrants issued in the PIPE financing. As of December 31, 2023, all pre-funded warrants had been exercised.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cash flows for the years ended December 31, 2023 and 2022:</w:t>
      </w:r>
    </w:p>
    <w:p>
      <w:pPr>
        <w:pStyle w:val="TextBody"/>
        <w:bidi w:val="0"/>
        <w:jc w:val="both"/>
        <w:rPr/>
      </w:pPr>
      <w:r>
        <w:rPr/>
        <w:t> </w:t>
      </w:r>
    </w:p>
    <w:tbl>
      <w:tblPr>
        <w:tblW w:w="6884"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73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operating activities for the year ended December 31, 2023 was $27.4 million, consisting of a net loss of $29.5 million, add back of non-cash adjustments for depreciation, stock-based compensation, non-cash operating lease expense and other non-cash items totaling $4.8 million, plus changes in operating assets and liabilities of $2.7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operating activities for the year ended December 31, 2022 was $31.1 million, consisting of a net loss of $35.7 million, add back of non-cash adjustments for depreciation, stock-based compensation, non-cash operating lease expense and other non-cash items totaling $3.8 million, plus changes in operating assets and liabilities of $0.9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used in investing activities for the years ended December 31, 2023 and 2022 was related to purchases of property and equipment, primarily related to office, laboratory and computer equipment.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year ended December 31, 2023 was related to proceeds from the issuance of common stock of $35.6 million from the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year ended December 31, 2022 was $11.4 million, primarily related to proceeds from the issuance of common stock of $8.9 million and pre-funded warrants of $7.3 million related to the PIPE financing, offset by $4.7 million used in the partial repayment of our loan with Oxford.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available cash and cash equivalents are sufficient to fund existing and planned cash requirements for the next 12 months from the date our consolidated financial statements were available to be issued.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funding requirements will depend on many factors,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a pivotal study for TPST-1120 in first-line HCC patients, as well as other costs associated with the scope, progress and results of discovery, preclinical development, laboratory testing and clinical trials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the manufacturing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related to the extent to which we enter into partnerships or other arrangements with third parties to further develop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and fees associated with the discovery, acquisition or in-license of product candidates or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establish collaborations on favorable terms, if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future commercialization activities, if any, including product sales, marketing, manufacturing and distribution, for any of our product candidates for which we receive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if any, received from commercial sales of our product candidates, should any of our product candidates receive marketing approval;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our operating plan may change, and we may need additional funds to meet operational needs and capital requirements for clinical trials and other research and development expenditures.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material cash requirements as of December 31, 2023 primarily relate to the maturities of the principal obligations under our long-term debt, operating leases for office space, trade payables, and accrued expenses. As of December 31, 2023, we have $9.4 million payable within 12 months. Refer to Notes 5 and 6 to our Consolidated Financial Statements for additional information. We expect our expenses to increase in connection with our ongoing development activities, particularly as we continue the research, development and clinical trials of, and seek regulatory approval for, our product candidates. In addition, subject to obtaining regulatory approval for our product candidates, we anticipate that we will need substantial additional funding in connection with our continuing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we can generate a sufficient amount of product revenue to finance our cash requirements, we expect to finance our future cash needs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ourself.</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Consolidated Financial Statements located elsewhere in this Annual Report. We have listed below our critical accounting policies and estimates that we believe to have the greatest potential impact on our Consolidated Financial Statements. Historically, our assumptions, judgments and estimates relative to our critical accounting estimates have not differed materially from actual results and no significant assumptions used have a high degree of subjectivity.</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record accrued expenses for estimated costs of our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but not yet invoiced, and we include these costs in accrued liabilities in the consolidated balance sheets and within research and development expense in the consolidated statements of operations. These costs are a significant component of our research and development expenses. We record accrued expenses for these costs based on the estimated amount of work completed and in accordance with agreements established with these third parties.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which includes gathering information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us.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clinical research organizations and other third-party service providers.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recognize noncash stock-based compensation expense related to stock-based awards to employees, non-employees and directors, including stock options, based on the fair value on the grant date using the Black-Scholes option pricing model. The related stock-based compensation is recognized as expense on a straight line-basis over the employee’s, non-employee’s or director’s requisite service period (generally the vesting period). Noncash stock compensation expense is based on awards ultimately expected to vest and is reduced by any forfeitures as they occur.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determining the fair value of stock options, we use the Black-Scholes option-pricing model. The Black-Scholes model requires the input of subjective assumptions, including expected volatility, expected dividend yield, expected term, risk-free rate of return, and the fair value of the underlying common stock on the date of grant, and generally requires significant judgment to determine.</w:t>
      </w:r>
    </w:p>
    <w:p>
      <w:pPr>
        <w:pStyle w:val="TextBody"/>
        <w:bidi w:val="0"/>
        <w:spacing w:before="240" w:after="283"/>
        <w:jc w:val="both"/>
        <w:rPr>
          <w:rFonts w:ascii="Times New Roman" w:hAnsi="Times New Roman"/>
          <w:b/>
          <w:color w:val="000000"/>
          <w:sz w:val="20"/>
        </w:rPr>
      </w:pPr>
      <w:bookmarkStart w:id="19" w:name="section19"/>
      <w:bookmarkEnd w:id="19"/>
      <w:r>
        <w:rPr>
          <w:rFonts w:ascii="Times New Roman" w:hAnsi="Times New Roman"/>
          <w:b/>
          <w:color w:val="000000"/>
          <w:sz w:val="20"/>
        </w:rPr>
        <w:t>Recent Accounting Pronouncements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to our Consolidated Financial Statements for a description of recent accounting pronouncements applicable to our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both"/>
        <w:rPr>
          <w:rFonts w:ascii="Times New Roman" w:hAnsi="Times New Roman"/>
          <w:b/>
          <w:color w:val="000000"/>
          <w:sz w:val="20"/>
        </w:rPr>
      </w:pPr>
      <w:bookmarkStart w:id="20" w:name="section20"/>
      <w:bookmarkEnd w:id="20"/>
      <w:r>
        <w:rPr>
          <w:rFonts w:ascii="Times New Roman" w:hAnsi="Times New Roman"/>
          <w:b/>
          <w:color w:val="000000"/>
          <w:sz w:val="20"/>
        </w:rPr>
        <w:t>ITEM 7A. QUANTITATIVE AND QUALITATIVE DISCLOSURES ABOUT MARKET RISK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Not required for smaller reporting companies.</w:t>
      </w:r>
    </w:p>
    <w:p>
      <w:pPr>
        <w:pStyle w:val="TextBody"/>
        <w:bidi w:val="0"/>
        <w:spacing w:before="16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section21"/>
      <w:bookmarkEnd w:id="21"/>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TEMPEST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center"/>
        <w:rPr/>
      </w:pPr>
      <w:r>
        <w:rPr/>
        <w:t> </w:t>
      </w:r>
    </w:p>
    <w:tbl>
      <w:tblPr>
        <w:tblW w:w="6527" w:type="dxa"/>
        <w:jc w:val="left"/>
        <w:tblInd w:w="0" w:type="dxa"/>
        <w:tblLayout w:type="fixed"/>
        <w:tblCellMar>
          <w:top w:w="28" w:type="dxa"/>
          <w:left w:w="28" w:type="dxa"/>
          <w:bottom w:w="28" w:type="dxa"/>
          <w:right w:w="28" w:type="dxa"/>
        </w:tblCellMar>
      </w:tblPr>
      <w:tblGrid>
        <w:gridCol w:w="6166"/>
        <w:gridCol w:w="361"/>
      </w:tblGrid>
      <w:tr>
        <w:trPr/>
        <w:tc>
          <w:tcPr>
            <w:tcW w:w="61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166" w:type="dxa"/>
            <w:tcBorders/>
            <w:tcMar>
              <w:top w:w="0" w:type="dxa"/>
              <w:left w:w="0" w:type="dxa"/>
              <w:bottom w:w="0" w:type="dxa"/>
              <w:right w:w="0" w:type="dxa"/>
            </w:tcMar>
            <w:vAlign w:val="center"/>
          </w:tcPr>
          <w:p>
            <w:pPr>
              <w:pStyle w:val="TableContents"/>
              <w:bidi w:val="0"/>
              <w:spacing w:before="75" w:after="30"/>
              <w:jc w:val="left"/>
              <w:rPr/>
            </w:pPr>
            <w:hyperlink w:anchor="section22">
              <w:r>
                <w:rPr>
                  <w:rStyle w:val="InternetLink"/>
                  <w:rFonts w:ascii="Times New Roman" w:hAnsi="Times New Roman"/>
                  <w:color w:val="000080"/>
                  <w:sz w:val="20"/>
                  <w:u w:val="single"/>
                </w:rPr>
                <w:t>Report of Independent Registered Public Accounting Firm</w:t>
              </w:r>
            </w:hyperlink>
            <w:r>
              <w:rPr>
                <w:rFonts w:ascii="Times New Roman" w:hAnsi="Times New Roman"/>
                <w:color w:val="0000FF"/>
                <w:sz w:val="20"/>
                <w:u w:val="single"/>
              </w:rPr>
              <w:t> (PCAOB ID 42)</w:t>
            </w:r>
          </w:p>
        </w:tc>
        <w:tc>
          <w:tcPr>
            <w:tcW w:w="3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90</w:t>
            </w:r>
          </w:p>
        </w:tc>
      </w:tr>
      <w:tr>
        <w:trPr/>
        <w:tc>
          <w:tcPr>
            <w:tcW w:w="6166" w:type="dxa"/>
            <w:tcBorders/>
            <w:tcMar>
              <w:top w:w="0" w:type="dxa"/>
              <w:left w:w="0" w:type="dxa"/>
              <w:bottom w:w="0" w:type="dxa"/>
              <w:right w:w="0" w:type="dxa"/>
            </w:tcMar>
            <w:vAlign w:val="center"/>
          </w:tcPr>
          <w:p>
            <w:pPr>
              <w:pStyle w:val="TableContents"/>
              <w:bidi w:val="0"/>
              <w:spacing w:before="75" w:after="30"/>
              <w:jc w:val="left"/>
              <w:rPr/>
            </w:pPr>
            <w:hyperlink w:anchor="balance_sheets">
              <w:r>
                <w:rPr>
                  <w:rStyle w:val="InternetLink"/>
                  <w:rFonts w:ascii="Times New Roman" w:hAnsi="Times New Roman"/>
                  <w:color w:val="0000FF"/>
                  <w:sz w:val="20"/>
                  <w:u w:val="single"/>
                </w:rPr>
                <w:t>Consolidated Balance Sheets</w:t>
              </w:r>
            </w:hyperlink>
          </w:p>
        </w:tc>
        <w:tc>
          <w:tcPr>
            <w:tcW w:w="3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92</w:t>
            </w:r>
          </w:p>
        </w:tc>
      </w:tr>
      <w:tr>
        <w:trPr/>
        <w:tc>
          <w:tcPr>
            <w:tcW w:w="6166" w:type="dxa"/>
            <w:tcBorders/>
            <w:tcMar>
              <w:top w:w="0" w:type="dxa"/>
              <w:left w:w="0" w:type="dxa"/>
              <w:bottom w:w="0" w:type="dxa"/>
              <w:right w:w="0" w:type="dxa"/>
            </w:tcMar>
            <w:vAlign w:val="center"/>
          </w:tcPr>
          <w:p>
            <w:pPr>
              <w:pStyle w:val="TableContents"/>
              <w:bidi w:val="0"/>
              <w:spacing w:before="75" w:after="30"/>
              <w:jc w:val="left"/>
              <w:rPr/>
            </w:pPr>
            <w:hyperlink w:anchor="statements_of_operations">
              <w:r>
                <w:rPr>
                  <w:rStyle w:val="InternetLink"/>
                  <w:rFonts w:ascii="Times New Roman" w:hAnsi="Times New Roman"/>
                  <w:color w:val="0000FF"/>
                  <w:sz w:val="20"/>
                  <w:u w:val="single"/>
                </w:rPr>
                <w:t>Consolidated Statements of Operations</w:t>
              </w:r>
            </w:hyperlink>
            <w:hyperlink w:anchor="statements_of_operations">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93</w:t>
            </w:r>
          </w:p>
        </w:tc>
      </w:tr>
      <w:tr>
        <w:trPr/>
        <w:tc>
          <w:tcPr>
            <w:tcW w:w="6166" w:type="dxa"/>
            <w:tcBorders/>
            <w:tcMar>
              <w:top w:w="0" w:type="dxa"/>
              <w:left w:w="0" w:type="dxa"/>
              <w:bottom w:w="0" w:type="dxa"/>
              <w:right w:w="0" w:type="dxa"/>
            </w:tcMar>
            <w:vAlign w:val="center"/>
          </w:tcPr>
          <w:p>
            <w:pPr>
              <w:pStyle w:val="TableContents"/>
              <w:bidi w:val="0"/>
              <w:spacing w:before="75" w:after="30"/>
              <w:jc w:val="left"/>
              <w:rPr/>
            </w:pPr>
            <w:hyperlink w:anchor="stockholders_equity">
              <w:r>
                <w:rPr>
                  <w:rStyle w:val="InternetLink"/>
                  <w:rFonts w:ascii="Times New Roman" w:hAnsi="Times New Roman"/>
                  <w:color w:val="0000FF"/>
                  <w:sz w:val="20"/>
                  <w:u w:val="single"/>
                </w:rPr>
                <w:t>Consolidated Statements of Stockholders’ Equity</w:t>
              </w:r>
            </w:hyperlink>
            <w:hyperlink w:anchor="stockholders_equity">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94</w:t>
            </w:r>
          </w:p>
        </w:tc>
      </w:tr>
      <w:tr>
        <w:trPr/>
        <w:tc>
          <w:tcPr>
            <w:tcW w:w="6166" w:type="dxa"/>
            <w:tcBorders/>
            <w:tcMar>
              <w:top w:w="0" w:type="dxa"/>
              <w:left w:w="0" w:type="dxa"/>
              <w:bottom w:w="0" w:type="dxa"/>
              <w:right w:w="0" w:type="dxa"/>
            </w:tcMar>
            <w:vAlign w:val="center"/>
          </w:tcPr>
          <w:p>
            <w:pPr>
              <w:pStyle w:val="TableContents"/>
              <w:bidi w:val="0"/>
              <w:spacing w:before="75" w:after="30"/>
              <w:jc w:val="left"/>
              <w:rPr/>
            </w:pPr>
            <w:hyperlink w:anchor="cash_flows">
              <w:r>
                <w:rPr>
                  <w:rStyle w:val="InternetLink"/>
                  <w:rFonts w:ascii="Times New Roman" w:hAnsi="Times New Roman"/>
                  <w:color w:val="0000FF"/>
                  <w:sz w:val="20"/>
                  <w:u w:val="single"/>
                </w:rPr>
                <w:t>Consolidated Statements of Cash Flows</w:t>
              </w:r>
            </w:hyperlink>
          </w:p>
        </w:tc>
        <w:tc>
          <w:tcPr>
            <w:tcW w:w="3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95</w:t>
            </w:r>
          </w:p>
        </w:tc>
      </w:tr>
      <w:tr>
        <w:trPr/>
        <w:tc>
          <w:tcPr>
            <w:tcW w:w="6166" w:type="dxa"/>
            <w:tcBorders/>
            <w:tcMar>
              <w:top w:w="0" w:type="dxa"/>
              <w:left w:w="0" w:type="dxa"/>
              <w:bottom w:w="0" w:type="dxa"/>
              <w:right w:w="0" w:type="dxa"/>
            </w:tcMar>
            <w:vAlign w:val="center"/>
          </w:tcPr>
          <w:p>
            <w:pPr>
              <w:pStyle w:val="TableContents"/>
              <w:bidi w:val="0"/>
              <w:spacing w:before="75" w:after="30"/>
              <w:jc w:val="left"/>
              <w:rPr/>
            </w:pPr>
            <w:hyperlink w:anchor="notes_to_consolidated">
              <w:r>
                <w:rPr>
                  <w:rStyle w:val="InternetLink"/>
                  <w:rFonts w:ascii="Times New Roman" w:hAnsi="Times New Roman"/>
                  <w:color w:val="0000FF"/>
                  <w:sz w:val="20"/>
                  <w:u w:val="single"/>
                </w:rPr>
                <w:t>Notes to Consolidated Financial Statements</w:t>
              </w:r>
            </w:hyperlink>
          </w:p>
        </w:tc>
        <w:tc>
          <w:tcPr>
            <w:tcW w:w="3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96</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ection22"/>
      <w:bookmarkEnd w:id="22"/>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the Stockholders and the Board of Directors of Tempest Therapeutics, Inc.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audited the accompanying consolidated balance sheets of Tempest Therapeutics, Inc. (the Company) as of December 31, 2023 and 2022, the related consolidated statements of operations,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Critical Audit Matter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32"/>
        <w:gridCol w:w="8973"/>
      </w:tblGrid>
      <w:tr>
        <w:trPr/>
        <w:tc>
          <w:tcPr>
            <w:tcW w:w="1232" w:type="dxa"/>
            <w:tcBorders/>
            <w:vAlign w:val="center"/>
          </w:tcPr>
          <w:p>
            <w:pPr>
              <w:pStyle w:val="TableContents"/>
              <w:bidi w:val="0"/>
              <w:spacing w:before="0" w:after="283"/>
              <w:jc w:val="left"/>
              <w:rPr>
                <w:sz w:val="4"/>
                <w:szCs w:val="4"/>
              </w:rPr>
            </w:pPr>
            <w:r>
              <w:rPr>
                <w:sz w:val="4"/>
                <w:szCs w:val="4"/>
              </w:rPr>
            </w:r>
          </w:p>
        </w:tc>
        <w:tc>
          <w:tcPr>
            <w:tcW w:w="8973" w:type="dxa"/>
            <w:tcBorders/>
            <w:vAlign w:val="center"/>
          </w:tcPr>
          <w:p>
            <w:pPr>
              <w:pStyle w:val="TableContents"/>
              <w:bidi w:val="0"/>
              <w:spacing w:before="0" w:after="283"/>
              <w:jc w:val="left"/>
              <w:rPr>
                <w:sz w:val="4"/>
                <w:szCs w:val="4"/>
              </w:rPr>
            </w:pPr>
            <w:r>
              <w:rPr>
                <w:sz w:val="4"/>
                <w:szCs w:val="4"/>
              </w:rPr>
            </w:r>
          </w:p>
        </w:tc>
      </w:tr>
      <w:tr>
        <w:trPr/>
        <w:tc>
          <w:tcPr>
            <w:tcW w:w="1232" w:type="dxa"/>
            <w:tcBorders/>
            <w:tcMar>
              <w:top w:w="0" w:type="dxa"/>
              <w:left w:w="0" w:type="dxa"/>
              <w:bottom w:w="0" w:type="dxa"/>
              <w:right w:w="0" w:type="dxa"/>
            </w:tcMar>
            <w:vAlign w:val="center"/>
          </w:tcPr>
          <w:p>
            <w:pPr>
              <w:pStyle w:val="TableContents"/>
              <w:bidi w:val="0"/>
              <w:spacing w:before="0" w:after="283"/>
              <w:jc w:val="left"/>
              <w:rPr/>
            </w:pPr>
            <w:r>
              <w:rPr/>
              <w:t> </w:t>
            </w:r>
          </w:p>
        </w:tc>
        <w:tc>
          <w:tcPr>
            <w:tcW w:w="8973"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b/>
                <w:i/>
                <w:color w:val="000000"/>
                <w:sz w:val="20"/>
              </w:rPr>
            </w:pPr>
            <w:r>
              <w:rPr>
                <w:rFonts w:ascii="Times New Roman" w:hAnsi="Times New Roman"/>
                <w:b/>
                <w:i/>
                <w:color w:val="000000"/>
                <w:sz w:val="20"/>
              </w:rPr>
              <w:t>Accrued research and development expenses</w:t>
            </w:r>
          </w:p>
        </w:tc>
      </w:tr>
      <w:tr>
        <w:trPr/>
        <w:tc>
          <w:tcPr>
            <w:tcW w:w="1232"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i/>
                <w:color w:val="000000"/>
                <w:sz w:val="20"/>
              </w:rPr>
            </w:pPr>
            <w:r>
              <w:rPr>
                <w:rFonts w:ascii="Times New Roman" w:hAnsi="Times New Roman"/>
                <w:i/>
                <w:color w:val="000000"/>
                <w:sz w:val="20"/>
              </w:rPr>
              <w:t>Description of the Matter</w:t>
            </w:r>
          </w:p>
        </w:tc>
        <w:tc>
          <w:tcPr>
            <w:tcW w:w="8973" w:type="dxa"/>
            <w:tcBorders/>
            <w:tcMar>
              <w:top w:w="0" w:type="dxa"/>
              <w:left w:w="0" w:type="dxa"/>
              <w:bottom w:w="0" w:type="dxa"/>
              <w:right w:w="0" w:type="dxa"/>
            </w:tcMar>
            <w:vAlign w:val="center"/>
          </w:tcPr>
          <w:p>
            <w:pPr>
              <w:pStyle w:val="TableContents"/>
              <w:bidi w:val="0"/>
              <w:spacing w:before="75" w:after="283"/>
              <w:jc w:val="both"/>
              <w:rPr>
                <w:rFonts w:ascii="Times New Roman" w:hAnsi="Times New Roman"/>
                <w:color w:val="000000"/>
                <w:sz w:val="20"/>
              </w:rPr>
            </w:pPr>
            <w:r>
              <w:rPr>
                <w:rFonts w:ascii="Times New Roman" w:hAnsi="Times New Roman"/>
                <w:color w:val="000000"/>
                <w:sz w:val="20"/>
              </w:rPr>
              <w:t>As described in Note 2 to the financial statements under the caption “Research and development expenses and accrued research and development”, the Company records the cost of research and development activities as they are incurred. The Company estimates preclinical studies and clinical trial expenses based on the services performed pursuant to contracts with research institutions and clinical research organizations that conduct and manage preclinical studies and clinical trials on the Company’s behalf. Service fees are accrued based on the Company’s estimates of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As of December 31, 2023, the Company’s accrued clinical trial liability was $1.0 million.</w:t>
            </w:r>
          </w:p>
          <w:p>
            <w:pPr>
              <w:pStyle w:val="TableContents"/>
              <w:bidi w:val="0"/>
              <w:jc w:val="both"/>
              <w:rPr/>
            </w:pPr>
            <w:r>
              <w:rPr/>
              <w:t> </w:t>
            </w:r>
          </w:p>
          <w:p>
            <w:pPr>
              <w:pStyle w:val="TableContents"/>
              <w:bidi w:val="0"/>
              <w:spacing w:before="0" w:after="30"/>
              <w:jc w:val="both"/>
              <w:rPr>
                <w:rFonts w:ascii="Times New Roman" w:hAnsi="Times New Roman"/>
                <w:color w:val="000000"/>
                <w:sz w:val="20"/>
              </w:rPr>
            </w:pPr>
            <w:r>
              <w:rPr>
                <w:rFonts w:ascii="Times New Roman" w:hAnsi="Times New Roman"/>
                <w:color w:val="000000"/>
                <w:sz w:val="20"/>
              </w:rPr>
              <w:t>Auditing the Company’s accrual for research and development expenses was challenging because of the significant volume of transactions and the use of third-party data involved in determining the accrual balance, which was accumulated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management.</w:t>
            </w:r>
          </w:p>
        </w:tc>
      </w:tr>
      <w:tr>
        <w:trPr/>
        <w:tc>
          <w:tcPr>
            <w:tcW w:w="1232" w:type="dxa"/>
            <w:tcBorders/>
            <w:tcMar>
              <w:top w:w="0" w:type="dxa"/>
              <w:left w:w="0" w:type="dxa"/>
              <w:bottom w:w="0" w:type="dxa"/>
              <w:right w:w="0" w:type="dxa"/>
            </w:tcMar>
            <w:vAlign w:val="center"/>
          </w:tcPr>
          <w:p>
            <w:pPr>
              <w:pStyle w:val="TableContents"/>
              <w:bidi w:val="0"/>
              <w:spacing w:before="75" w:after="283"/>
              <w:jc w:val="left"/>
              <w:rPr>
                <w:rFonts w:ascii="Times New Roman" w:hAnsi="Times New Roman"/>
                <w:sz w:val="20"/>
              </w:rPr>
            </w:pPr>
            <w:r>
              <w:rPr>
                <w:rFonts w:ascii="Times New Roman" w:hAnsi="Times New Roman"/>
                <w:i/>
                <w:color w:val="000000"/>
                <w:sz w:val="20"/>
              </w:rPr>
              <w:t>How We Addressed the Matter</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Our Audit</w:t>
            </w:r>
          </w:p>
        </w:tc>
        <w:tc>
          <w:tcPr>
            <w:tcW w:w="8973" w:type="dxa"/>
            <w:tcBorders/>
            <w:tcMar>
              <w:top w:w="0" w:type="dxa"/>
              <w:left w:w="0" w:type="dxa"/>
              <w:bottom w:w="0" w:type="dxa"/>
              <w:right w:w="0" w:type="dxa"/>
            </w:tcMar>
            <w:vAlign w:val="center"/>
          </w:tcPr>
          <w:p>
            <w:pPr>
              <w:pStyle w:val="TableContents"/>
              <w:bidi w:val="0"/>
              <w:spacing w:before="75" w:after="283"/>
              <w:jc w:val="both"/>
              <w:rPr>
                <w:rFonts w:ascii="Times New Roman" w:hAnsi="Times New Roman"/>
                <w:color w:val="000000"/>
                <w:sz w:val="20"/>
              </w:rPr>
            </w:pPr>
            <w:r>
              <w:rPr>
                <w:rFonts w:ascii="Times New Roman" w:hAnsi="Times New Roman"/>
                <w:color w:val="000000"/>
                <w:sz w:val="20"/>
              </w:rPr>
              <w:t>To test the accrued research and development expenses, our audit procedures included, among others, testing the completeness and accuracy of the underlying data used in the estimate, including, but not limited to, estimated project duration, research and manufacturing services incurred to date and terms of contractual arrangements. To assess the reasonableness of the data, we corroborated the progress of the clinical trials with Company research and development personnel and obtained third-party evidence supporting the activities performed to date. We recalculated the accrual based on executed contracts with the clinical research organizations, contract manufacturing organizations, clinical study sites and collaboration partners. We also tested subsequent invoicing received from third parties to assess the impact to the accrual at the balance sheet date and compared that to the Company’s estimates.</w:t>
            </w:r>
          </w:p>
        </w:tc>
      </w:tr>
    </w:tbl>
    <w:p>
      <w:pPr>
        <w:pStyle w:val="TextBody"/>
        <w:bidi w:val="0"/>
        <w:jc w:val="both"/>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2021.</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Chicago, Illinois</w:t>
      </w:r>
    </w:p>
    <w:p>
      <w:pPr>
        <w:pStyle w:val="TextBody"/>
        <w:bidi w:val="0"/>
        <w:jc w:val="both"/>
        <w:rPr>
          <w:rFonts w:ascii="Times New Roman" w:hAnsi="Times New Roman"/>
          <w:color w:val="000000"/>
          <w:sz w:val="20"/>
        </w:rPr>
      </w:pPr>
      <w:r>
        <w:rPr>
          <w:rFonts w:ascii="Times New Roman" w:hAnsi="Times New Roman"/>
          <w:color w:val="000000"/>
          <w:sz w:val="20"/>
        </w:rPr>
        <w:t>March 19, 2024</w:t>
      </w:r>
    </w:p>
    <w:p>
      <w:pPr>
        <w:pStyle w:val="TextBody"/>
        <w:bidi w:val="0"/>
        <w:jc w:val="both"/>
        <w:rPr/>
      </w:pPr>
      <w:r>
        <w:rPr/>
        <w:t> </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ection23"/>
      <w:bookmarkEnd w:id="23"/>
      <w:r>
        <w:rPr>
          <w:rFonts w:ascii="Times New Roman" w:hAnsi="Times New Roman"/>
          <w:b/>
          <w:color w:val="000000"/>
          <w:sz w:val="20"/>
        </w:rPr>
        <w:t>Tempest Therapeutics, Inc.</w:t>
      </w:r>
    </w:p>
    <w:p>
      <w:pPr>
        <w:pStyle w:val="TextBody"/>
        <w:bidi w:val="0"/>
        <w:spacing w:before="120" w:after="240"/>
        <w:jc w:val="center"/>
        <w:rPr>
          <w:rFonts w:ascii="Times New Roman" w:hAnsi="Times New Roman"/>
          <w:b/>
          <w:color w:val="000000"/>
          <w:sz w:val="20"/>
        </w:rPr>
      </w:pPr>
      <w:bookmarkStart w:id="24" w:name="balance_sheets"/>
      <w:bookmarkEnd w:id="24"/>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52"/>
        <w:gridCol w:w="446"/>
        <w:gridCol w:w="211"/>
        <w:gridCol w:w="841"/>
        <w:gridCol w:w="166"/>
        <w:gridCol w:w="146"/>
        <w:gridCol w:w="211"/>
        <w:gridCol w:w="841"/>
        <w:gridCol w:w="591"/>
      </w:tblGrid>
      <w:tr>
        <w:trPr/>
        <w:tc>
          <w:tcPr>
            <w:tcW w:w="675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752"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2"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4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Insurance recovery of legal settlement</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52"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32,950</w:t>
            </w:r>
          </w:p>
        </w:tc>
        <w:tc>
          <w:tcPr>
            <w:tcW w:w="59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 net</w:t>
            </w:r>
          </w:p>
        </w:tc>
        <w:tc>
          <w:tcPr>
            <w:tcW w:w="4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59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4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w:t>
            </w:r>
          </w:p>
        </w:tc>
        <w:tc>
          <w:tcPr>
            <w:tcW w:w="59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4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4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4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4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settlement</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loan payable (net of discount and issuance costs of $112 and nil, respectively)</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operating lease liabilities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compensation</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payable</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52"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59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payable (net of discount and issuance costs of $164 and $454, respectively)</w:t>
            </w:r>
          </w:p>
        </w:tc>
        <w:tc>
          <w:tcPr>
            <w:tcW w:w="4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c>
          <w:tcPr>
            <w:tcW w:w="59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4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4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4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$0.001 par value; 100,000,000 shares authorized; 22,045,255 and 10,518,539 shares issued and outstanding at December 31, 2023 and December 31, 2022, respectively</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stockholders’ equity</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4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section24"/>
      <w:bookmarkEnd w:id="25"/>
      <w:r>
        <w:rPr>
          <w:rFonts w:ascii="Times New Roman" w:hAnsi="Times New Roman"/>
          <w:b/>
          <w:color w:val="000000"/>
          <w:sz w:val="20"/>
        </w:rPr>
        <w:t>Tempest Therapeutics, Inc.</w:t>
      </w:r>
    </w:p>
    <w:p>
      <w:pPr>
        <w:pStyle w:val="TextBody"/>
        <w:bidi w:val="0"/>
        <w:spacing w:before="120" w:after="240"/>
        <w:jc w:val="center"/>
        <w:rPr>
          <w:rFonts w:ascii="Times New Roman" w:hAnsi="Times New Roman"/>
          <w:sz w:val="20"/>
        </w:rPr>
      </w:pPr>
      <w:bookmarkStart w:id="26" w:name="statements_of_operations"/>
      <w:bookmarkEnd w:id="26"/>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62"/>
        <w:gridCol w:w="146"/>
        <w:gridCol w:w="211"/>
        <w:gridCol w:w="1036"/>
        <w:gridCol w:w="166"/>
        <w:gridCol w:w="146"/>
        <w:gridCol w:w="211"/>
        <w:gridCol w:w="1036"/>
        <w:gridCol w:w="491"/>
      </w:tblGrid>
      <w:tr>
        <w:trPr/>
        <w:tc>
          <w:tcPr>
            <w:tcW w:w="6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7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676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22,527</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676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12,113</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6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(34,640</w:t>
            </w:r>
          </w:p>
        </w:tc>
        <w:tc>
          <w:tcPr>
            <w:tcW w:w="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676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4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76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6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7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and pre-funded warrants,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4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and pre-funded warrants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15,416,203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11,548,907</w:t>
            </w:r>
          </w:p>
        </w:tc>
        <w:tc>
          <w:tcPr>
            <w:tcW w:w="4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section25"/>
      <w:bookmarkEnd w:id="27"/>
      <w:r>
        <w:rPr>
          <w:rFonts w:ascii="Times New Roman" w:hAnsi="Times New Roman"/>
          <w:b/>
          <w:color w:val="000000"/>
          <w:sz w:val="20"/>
        </w:rPr>
        <w:t>Tempest Therapeutics, Inc.</w:t>
      </w:r>
    </w:p>
    <w:p>
      <w:pPr>
        <w:pStyle w:val="TextBody"/>
        <w:bidi w:val="0"/>
        <w:spacing w:before="120" w:after="283"/>
        <w:jc w:val="center"/>
        <w:rPr>
          <w:rFonts w:ascii="Times New Roman" w:hAnsi="Times New Roman"/>
          <w:sz w:val="20"/>
        </w:rPr>
      </w:pPr>
      <w:bookmarkStart w:id="28" w:name="stockholders_equity"/>
      <w:bookmarkEnd w:id="28"/>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9"/>
        <w:gridCol w:w="146"/>
        <w:gridCol w:w="146"/>
        <w:gridCol w:w="916"/>
        <w:gridCol w:w="146"/>
        <w:gridCol w:w="146"/>
        <w:gridCol w:w="249"/>
        <w:gridCol w:w="442"/>
        <w:gridCol w:w="146"/>
        <w:gridCol w:w="146"/>
        <w:gridCol w:w="200"/>
        <w:gridCol w:w="707"/>
        <w:gridCol w:w="146"/>
        <w:gridCol w:w="146"/>
        <w:gridCol w:w="217"/>
        <w:gridCol w:w="834"/>
        <w:gridCol w:w="166"/>
        <w:gridCol w:w="146"/>
        <w:gridCol w:w="268"/>
        <w:gridCol w:w="910"/>
        <w:gridCol w:w="213"/>
      </w:tblGrid>
      <w:tr>
        <w:trPr/>
        <w:tc>
          <w:tcPr>
            <w:tcW w:w="3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7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6,910,324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(100,063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36,117</w:t>
            </w:r>
          </w:p>
        </w:tc>
        <w:tc>
          <w:tcPr>
            <w:tcW w:w="213" w:type="dxa"/>
            <w:tcBorders/>
            <w:shd w:fill="CFF0FC" w:val="clear"/>
            <w:vAlign w:val="center"/>
          </w:tcPr>
          <w:p>
            <w:pPr>
              <w:pStyle w:val="TableContents"/>
              <w:bidi w:val="0"/>
              <w:spacing w:before="0" w:after="283"/>
              <w:jc w:val="left"/>
              <w:rPr/>
            </w:pPr>
            <w:r>
              <w:rPr/>
              <w:t> </w:t>
            </w:r>
          </w:p>
        </w:tc>
      </w:tr>
      <w:tr>
        <w:trPr/>
        <w:tc>
          <w:tcPr>
            <w:tcW w:w="37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cash, net of issuance cost of $489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3,608,215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8,861</w:t>
            </w:r>
          </w:p>
        </w:tc>
        <w:tc>
          <w:tcPr>
            <w:tcW w:w="213" w:type="dxa"/>
            <w:tcBorders/>
            <w:shd w:fill="FFFFFF" w:val="clear"/>
            <w:vAlign w:val="center"/>
          </w:tcPr>
          <w:p>
            <w:pPr>
              <w:pStyle w:val="TableContents"/>
              <w:bidi w:val="0"/>
              <w:spacing w:before="0" w:after="283"/>
              <w:jc w:val="left"/>
              <w:rPr/>
            </w:pPr>
            <w:r>
              <w:rPr/>
              <w:t> </w:t>
            </w:r>
          </w:p>
        </w:tc>
      </w:tr>
      <w:tr>
        <w:trPr/>
        <w:tc>
          <w:tcPr>
            <w:tcW w:w="37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w:t>
            </w:r>
          </w:p>
        </w:tc>
        <w:tc>
          <w:tcPr>
            <w:tcW w:w="213" w:type="dxa"/>
            <w:tcBorders/>
            <w:shd w:fill="CFF0FC" w:val="clear"/>
            <w:vAlign w:val="center"/>
          </w:tcPr>
          <w:p>
            <w:pPr>
              <w:pStyle w:val="TableContents"/>
              <w:bidi w:val="0"/>
              <w:spacing w:before="0" w:after="283"/>
              <w:jc w:val="left"/>
              <w:rPr/>
            </w:pPr>
            <w:r>
              <w:rPr/>
              <w:t> </w:t>
            </w:r>
          </w:p>
        </w:tc>
      </w:tr>
      <w:tr>
        <w:trPr/>
        <w:tc>
          <w:tcPr>
            <w:tcW w:w="37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pre-funded warrants, net of issuance cost $283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7,281</w:t>
            </w:r>
          </w:p>
        </w:tc>
        <w:tc>
          <w:tcPr>
            <w:tcW w:w="213" w:type="dxa"/>
            <w:tcBorders/>
            <w:shd w:fill="FFFFFF" w:val="clear"/>
            <w:vAlign w:val="center"/>
          </w:tcPr>
          <w:p>
            <w:pPr>
              <w:pStyle w:val="TableContents"/>
              <w:bidi w:val="0"/>
              <w:spacing w:before="0" w:after="283"/>
              <w:jc w:val="left"/>
              <w:rPr/>
            </w:pPr>
            <w:r>
              <w:rPr/>
              <w:t> </w:t>
            </w:r>
          </w:p>
        </w:tc>
      </w:tr>
      <w:tr>
        <w:trPr/>
        <w:tc>
          <w:tcPr>
            <w:tcW w:w="37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10,518,539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3" w:type="dxa"/>
            <w:tcBorders/>
            <w:shd w:fill="CFF0FC" w:val="clear"/>
            <w:vAlign w:val="center"/>
          </w:tcPr>
          <w:p>
            <w:pPr>
              <w:pStyle w:val="TableContents"/>
              <w:bidi w:val="0"/>
              <w:spacing w:before="0" w:after="283"/>
              <w:jc w:val="left"/>
              <w:rPr/>
            </w:pPr>
            <w:r>
              <w:rPr/>
              <w:t> </w:t>
            </w:r>
          </w:p>
        </w:tc>
      </w:tr>
      <w:tr>
        <w:trPr/>
        <w:tc>
          <w:tcPr>
            <w:tcW w:w="37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cash, net of issuance cost of $1,105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8,323,218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35,598</w:t>
            </w:r>
          </w:p>
        </w:tc>
        <w:tc>
          <w:tcPr>
            <w:tcW w:w="213" w:type="dxa"/>
            <w:tcBorders/>
            <w:shd w:fill="FFFFFF" w:val="clear"/>
            <w:vAlign w:val="center"/>
          </w:tcPr>
          <w:p>
            <w:pPr>
              <w:pStyle w:val="TableContents"/>
              <w:bidi w:val="0"/>
              <w:spacing w:before="0" w:after="283"/>
              <w:jc w:val="left"/>
              <w:rPr/>
            </w:pPr>
            <w:r>
              <w:rPr/>
              <w:t> </w:t>
            </w:r>
          </w:p>
        </w:tc>
      </w:tr>
      <w:tr>
        <w:trPr/>
        <w:tc>
          <w:tcPr>
            <w:tcW w:w="37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3,202,785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3" w:type="dxa"/>
            <w:tcBorders/>
            <w:shd w:fill="CFF0FC" w:val="clear"/>
            <w:vAlign w:val="center"/>
          </w:tcPr>
          <w:p>
            <w:pPr>
              <w:pStyle w:val="TableContents"/>
              <w:bidi w:val="0"/>
              <w:spacing w:before="0" w:after="283"/>
              <w:jc w:val="left"/>
              <w:rPr/>
            </w:pPr>
            <w:r>
              <w:rPr/>
              <w:t> </w:t>
            </w:r>
          </w:p>
        </w:tc>
      </w:tr>
      <w:tr>
        <w:trPr/>
        <w:tc>
          <w:tcPr>
            <w:tcW w:w="37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2,546</w:t>
            </w:r>
          </w:p>
        </w:tc>
        <w:tc>
          <w:tcPr>
            <w:tcW w:w="213" w:type="dxa"/>
            <w:tcBorders/>
            <w:shd w:fill="FFFFFF" w:val="clear"/>
            <w:vAlign w:val="center"/>
          </w:tcPr>
          <w:p>
            <w:pPr>
              <w:pStyle w:val="TableContents"/>
              <w:bidi w:val="0"/>
              <w:spacing w:before="0" w:after="283"/>
              <w:jc w:val="left"/>
              <w:rPr/>
            </w:pPr>
            <w:r>
              <w:rPr/>
              <w:t> </w:t>
            </w:r>
          </w:p>
        </w:tc>
      </w:tr>
      <w:tr>
        <w:trPr/>
        <w:tc>
          <w:tcPr>
            <w:tcW w:w="37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22,045,255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Tempest Therapeutics, Inc.</w:t>
      </w:r>
    </w:p>
    <w:p>
      <w:pPr>
        <w:pStyle w:val="TextBody"/>
        <w:bidi w:val="0"/>
        <w:spacing w:before="120" w:after="240"/>
        <w:jc w:val="center"/>
        <w:rPr>
          <w:rFonts w:ascii="Times New Roman" w:hAnsi="Times New Roman"/>
          <w:b/>
          <w:color w:val="000000"/>
          <w:sz w:val="20"/>
        </w:rPr>
      </w:pPr>
      <w:bookmarkStart w:id="29" w:name="cash_flows"/>
      <w:bookmarkEnd w:id="29"/>
      <w:r>
        <w:rPr>
          <w:rFonts w:ascii="Times New Roman" w:hAnsi="Times New Roman"/>
          <w:b/>
          <w:color w:val="000000"/>
          <w:sz w:val="20"/>
        </w:rPr>
        <w:t>Consolidated Statements of Cash Flows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872" w:type="dxa"/>
        <w:jc w:val="left"/>
        <w:tblInd w:w="0" w:type="dxa"/>
        <w:tblLayout w:type="fixed"/>
        <w:tblCellMar>
          <w:top w:w="28" w:type="dxa"/>
          <w:left w:w="28" w:type="dxa"/>
          <w:bottom w:w="28" w:type="dxa"/>
          <w:right w:w="28" w:type="dxa"/>
        </w:tblCellMar>
      </w:tblPr>
      <w:tblGrid>
        <w:gridCol w:w="6606"/>
        <w:gridCol w:w="146"/>
        <w:gridCol w:w="221"/>
        <w:gridCol w:w="771"/>
        <w:gridCol w:w="173"/>
        <w:gridCol w:w="152"/>
        <w:gridCol w:w="221"/>
        <w:gridCol w:w="771"/>
        <w:gridCol w:w="811"/>
      </w:tblGrid>
      <w:tr>
        <w:trPr/>
        <w:tc>
          <w:tcPr>
            <w:tcW w:w="6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r>
      <w:tr>
        <w:trPr/>
        <w:tc>
          <w:tcPr>
            <w:tcW w:w="6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(29,491</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(35,709</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6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6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interest and other expense, net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6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6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6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6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0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related party note receivable</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r>
      <w:tr>
        <w:trPr/>
        <w:tc>
          <w:tcPr>
            <w:tcW w:w="6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net of issuance costs</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35,602</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8,861</w:t>
            </w:r>
          </w:p>
        </w:tc>
        <w:tc>
          <w:tcPr>
            <w:tcW w:w="811" w:type="dxa"/>
            <w:tcBorders/>
            <w:shd w:fill="FFFFFF" w:val="clear"/>
            <w:vAlign w:val="center"/>
          </w:tcPr>
          <w:p>
            <w:pPr>
              <w:pStyle w:val="TableContents"/>
              <w:bidi w:val="0"/>
              <w:spacing w:before="0" w:after="283"/>
              <w:jc w:val="left"/>
              <w:rPr/>
            </w:pPr>
            <w:r>
              <w:rPr/>
              <w:t> </w:t>
            </w:r>
          </w:p>
        </w:tc>
      </w:tr>
      <w:tr>
        <w:trPr/>
        <w:tc>
          <w:tcPr>
            <w:tcW w:w="6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pre-funded warrants, net of issuance costs</w:t>
            </w:r>
          </w:p>
        </w:tc>
        <w:tc>
          <w:tcPr>
            <w:tcW w:w="146" w:type="dxa"/>
            <w:tcBorders/>
            <w:shd w:fill="CFF0FC"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color w:val="000000"/>
              </w:rPr>
            </w:pPr>
            <w:r>
              <w:rPr>
                <w:color w:val="000000"/>
              </w:rPr>
              <w:t>—</w:t>
            </w:r>
          </w:p>
        </w:tc>
        <w:tc>
          <w:tcPr>
            <w:tcW w:w="173" w:type="dxa"/>
            <w:tcBorders/>
            <w:shd w:fill="CCEEFF"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7,281</w:t>
            </w:r>
          </w:p>
        </w:tc>
        <w:tc>
          <w:tcPr>
            <w:tcW w:w="811" w:type="dxa"/>
            <w:tcBorders/>
            <w:shd w:fill="CCEEFF" w:val="clear"/>
            <w:vAlign w:val="center"/>
          </w:tcPr>
          <w:p>
            <w:pPr>
              <w:pStyle w:val="TableContents"/>
              <w:bidi w:val="0"/>
              <w:spacing w:before="0" w:after="283"/>
              <w:jc w:val="left"/>
              <w:rPr/>
            </w:pPr>
            <w:r>
              <w:rPr/>
              <w:t> </w:t>
            </w:r>
          </w:p>
        </w:tc>
      </w:tr>
      <w:tr>
        <w:trPr/>
        <w:tc>
          <w:tcPr>
            <w:tcW w:w="6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loan</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0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35,602</w:t>
            </w:r>
          </w:p>
        </w:tc>
        <w:tc>
          <w:tcPr>
            <w:tcW w:w="1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w:t>
            </w:r>
          </w:p>
        </w:tc>
        <w:tc>
          <w:tcPr>
            <w:tcW w:w="8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(20,231</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31,598</w:t>
            </w:r>
          </w:p>
        </w:tc>
        <w:tc>
          <w:tcPr>
            <w:tcW w:w="1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51,829</w:t>
            </w:r>
          </w:p>
        </w:tc>
        <w:tc>
          <w:tcPr>
            <w:tcW w:w="8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business taxes</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 recognized in exchange for lease liabilities</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Non-cash operating activities: </w:t>
            </w:r>
            <w:r>
              <w:rPr>
                <w:rFonts w:ascii="Times New Roman" w:hAnsi="Times New Roman"/>
                <w:color w:val="000000"/>
                <w:sz w:val="20"/>
              </w:rPr>
              <w:t>Lease modification</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Non-cash investing activities: </w:t>
            </w:r>
            <w:r>
              <w:rPr>
                <w:rFonts w:ascii="Times New Roman" w:hAnsi="Times New Roman"/>
                <w:color w:val="000000"/>
                <w:sz w:val="20"/>
              </w:rPr>
              <w:t>Property and equipment in accounts payable</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0" w:name="section27"/>
      <w:bookmarkEnd w:id="30"/>
      <w:r>
        <w:rPr>
          <w:rFonts w:ascii="Times New Roman" w:hAnsi="Times New Roman"/>
          <w:b/>
          <w:color w:val="000000"/>
          <w:sz w:val="20"/>
        </w:rPr>
        <w:t>Tempest Therapeutics, Inc.</w:t>
      </w:r>
    </w:p>
    <w:p>
      <w:pPr>
        <w:pStyle w:val="TextBody"/>
        <w:bidi w:val="0"/>
        <w:spacing w:before="240" w:after="283"/>
        <w:jc w:val="center"/>
        <w:rPr>
          <w:rFonts w:ascii="Times New Roman" w:hAnsi="Times New Roman"/>
          <w:sz w:val="20"/>
        </w:rPr>
      </w:pPr>
      <w:bookmarkStart w:id="31" w:name="notes_to_consolidated"/>
      <w:bookmarkEnd w:id="31"/>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As of and For the Years Ended December 31, 2023 and 2022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 Thousands, Except Share and Per Share Amount)</w:t>
      </w:r>
    </w:p>
    <w:p>
      <w:pPr>
        <w:pStyle w:val="TextBody"/>
        <w:bidi w:val="0"/>
        <w:jc w:val="center"/>
        <w:rPr/>
      </w:pPr>
      <w:r>
        <w:rPr/>
        <w:t> </w:t>
      </w:r>
    </w:p>
    <w:p>
      <w:pPr>
        <w:pStyle w:val="TextBody"/>
        <w:bidi w:val="0"/>
        <w:jc w:val="left"/>
        <w:rPr>
          <w:rFonts w:ascii="Times New Roman" w:hAnsi="Times New Roman"/>
          <w:b/>
          <w:color w:val="000000"/>
          <w:sz w:val="20"/>
        </w:rPr>
      </w:pPr>
      <w:bookmarkStart w:id="32" w:name="section28"/>
      <w:bookmarkEnd w:id="32"/>
      <w:r>
        <w:rPr>
          <w:rFonts w:ascii="Times New Roman" w:hAnsi="Times New Roman"/>
          <w:b/>
          <w:color w:val="000000"/>
          <w:sz w:val="20"/>
        </w:rPr>
        <w:t>1. ORGANIZATION AND DESCRIPTION OF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Tempest Therapeutics, Inc. (“Tempest” or the “Company”)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programs are advancing through clinical trials designed to study the agents as monotherapies and in combination with other approved agents. Tempest is also developing other product candidates currently in our Discovery Research portfolio. Tempest is headquartered in Brisbane, California.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financial statements have been prepared assuming the Company will continue as a going concern. The Company has incurred operating losses since inception. As of December 31, 2023, the Company had cash and cash equivalents of $39.2 million, which is sufficient to fund operations beyond 12 months from the issuance of the financial statements. The Company’s ability to fund continued development will require additional capital, and Tempest intends to raise such capital through the issuance of additional debt or equity including in connection with potential merger opportunities, or through business development activities. The Company’s ability to continue as a going concern is dependent upon its ability to successfully accomplish these plans and secure sources of financing and ultimately attain profitable operations. If the Company are unable to obtain adequate capital, it could be forced to cease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ATM Program</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23, 2021, the Company entered into a sales agreement with Jefferies LLC, pursuant to which the Company may sell, from time to time at its sole discretion through Jefferies, as its sales agent, shares of its common stock having, up to an aggregate sales price of $100.0 million of its common stock through Jefferies (the “ATM Program”). Any shares of its common stock sold will be issued pursuant to the Company’s shelf registration statement on Form S-3 (File No. 333-257990). The Company will pay Jefferies a commission up to 3.0% of the gross sales proceeds of any shares of its common stock sold through Jefferies under the ATM Program and also has provided Jefferies with indemnification and contribution rights. As of December 31, 2023, the Company has sold an aggregate of 8,960,822 shares of its common stock for net proceeds of approximately $41.2 million, after deducting commissions and expenses pursuant to the ATM Program. During the year ended December 31, 2023, the Company has sold an aggregate of 8,260,479 shares of its common stock for net proceeds of approximately $35.6 million, after deducting commissions and expenses. As of December 31, 2023, approximately $57.6 million remained available under the ATM Program.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PIPE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April 29, 2022, the Company completed a private investment in public equity (“PIPE”) financing from the sale of 3,149,912 shares of its common stock at a price per share of $2.36 and,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The Company entered into a registration rights agreement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the PIPE Investors pursuant to which the Company filed a registration statement with the SEC registering the resale of the 3,149,912 shares common stock and the 3,206,020 shares of common stock underlying the pre-funded warrants issued in the PIPE financing. As of December 31, 2023, all pre-funded warrants had been exercised.</w:t>
      </w:r>
    </w:p>
    <w:p>
      <w:pPr>
        <w:pStyle w:val="TextBody"/>
        <w:bidi w:val="0"/>
        <w:jc w:val="left"/>
        <w:rPr/>
      </w:pPr>
      <w:bookmarkStart w:id="33" w:name="section29"/>
      <w:bookmarkEnd w:id="33"/>
      <w:r>
        <w:rPr/>
        <w:t> </w:t>
      </w:r>
    </w:p>
    <w:p>
      <w:pPr>
        <w:pStyle w:val="TextBody"/>
        <w:bidi w:val="0"/>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—The accompanying Consolidated Financial Statements have been prepared in accordance with US generally accepted accounting principles ("GAAP") and necessarily include amounts based on estimates and assumptions by management.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—The Company operates and manages its business as one reportable and operating segment, which is the business of discovery and development of small molecule drugs to treat cancers. All assets and operations are in the U.S. The Company’s Chief Executive Officer, who is the chief operating decision maker, reviews financial information on an aggregate basis for purposes of allocating resources and evaluating financial performance.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—The Company is subject to risks and uncertainties common to early-stage companies in the biotechnology industry, including, but not limited to, development by competitors of new technological innovations, protection of proprietary technology, dependence on key personnel, reliance on single-source vendors, availability of raw materials, patentability of the Company’s products and processes and clinical efficacy and safety of the Company’s products under development,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will require significant amounts of additional capital, adequate personnel infrastructure and extensive compliance and reporting. The Company’s product candidates are still in development and, to date, none of the Company’s product candidates have been approved for sale and, therefore, the Company has not generated any revenue from product sales.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—Financial instruments, which potentially subject the Company to concentration of risk, consist principally of cash and money market fund. All of the Company’s cash and money market fund are deposited in accounts with a major financial institution in excess of federally insured limits. The Company is exposed to credit risk in the event of default by the financial institutions holding its cash and cash equivalents to the extent recorded in the balance sheets. While the Company has not experienced any losses in such accounts, the recent failure of Silicon Valley Bank (SVB), at which the Company held cash and cash equivalents in multiple accounts, exposed the Company to significant credit risk prior to the completion by the Federal Deposit Insurance Corporation of the resolution of SVB in a manner that fully protected all depositors. The Company had subsequently transferred its accounts to one or more alternate depository institutions. The Company has no off-balance sheet concentrations of credit risk, such as foreign currency exchange contracts, option contracts or other hedging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—The Company considers all highly liquid investments purchased with original maturities of 90 days or less at acquisitions to be cash equivalents. As of December 31, 2023 and 2022, the Company’s cash and cash equivalents consisted of bank deposits and money market funds.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—The Company determines if an arrangement is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lease liabilities are initially and subsequently measured at the present value of the unpaid lease payments at the lease commencement date. When readily determinable, the Company uses the implicit rate in determining the present value of lease payments. When leases do not provide an implicit rate, the Company uses its incremental borrowing rate based on the information available at the lease commencement date, including the lease term.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ROU asset is initially measured at cost, which comprises the initial amount of the lease liability adjusted for lease payments made at or before the lease commencement date, plus any initial direct costs incurred less any lease incentives received. 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—Property and equipment is recorded at cost and depreciated over the estimated useful lives of the related assets using the straight-line method. Upon disposal of an asset, the related cost and accumulated depreciation are removed from the asset accounts and any resulting gain or loss is included in the consolidated statements of operations. Repair and maintenance costs are expensed as incurred, whereas major improvements are capitalized as additions to property and equipment. The estimated useful lives of the Company’s respective assets are as follows:</w:t>
      </w:r>
    </w:p>
    <w:p>
      <w:pPr>
        <w:pStyle w:val="TextBody"/>
        <w:bidi w:val="0"/>
        <w:jc w:val="both"/>
        <w:rPr/>
      </w:pPr>
      <w:r>
        <w:rPr/>
        <w:t> </w:t>
      </w:r>
    </w:p>
    <w:tbl>
      <w:tblPr>
        <w:tblW w:w="7742" w:type="dxa"/>
        <w:jc w:val="left"/>
        <w:tblInd w:w="0" w:type="dxa"/>
        <w:tblLayout w:type="fixed"/>
        <w:tblCellMar>
          <w:top w:w="28" w:type="dxa"/>
          <w:left w:w="28" w:type="dxa"/>
          <w:bottom w:w="28" w:type="dxa"/>
          <w:right w:w="28" w:type="dxa"/>
        </w:tblCellMar>
      </w:tblPr>
      <w:tblGrid>
        <w:gridCol w:w="2911"/>
        <w:gridCol w:w="4831"/>
      </w:tblGrid>
      <w:tr>
        <w:trPr/>
        <w:tc>
          <w:tcPr>
            <w:tcW w:w="2911"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Computer equipment and software</w:t>
            </w:r>
          </w:p>
        </w:tc>
        <w:tc>
          <w:tcPr>
            <w:tcW w:w="48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3 years</w:t>
            </w:r>
          </w:p>
        </w:tc>
      </w:tr>
      <w:tr>
        <w:trPr/>
        <w:tc>
          <w:tcPr>
            <w:tcW w:w="291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Furniture and fixtures</w:t>
            </w:r>
          </w:p>
        </w:tc>
        <w:tc>
          <w:tcPr>
            <w:tcW w:w="48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7 years</w:t>
            </w:r>
          </w:p>
        </w:tc>
      </w:tr>
      <w:tr>
        <w:trPr/>
        <w:tc>
          <w:tcPr>
            <w:tcW w:w="291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Laboratory equipment</w:t>
            </w:r>
          </w:p>
        </w:tc>
        <w:tc>
          <w:tcPr>
            <w:tcW w:w="48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5 years</w:t>
            </w:r>
          </w:p>
        </w:tc>
      </w:tr>
      <w:tr>
        <w:trPr/>
        <w:tc>
          <w:tcPr>
            <w:tcW w:w="291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Leasehold improvements</w:t>
            </w:r>
          </w:p>
        </w:tc>
        <w:tc>
          <w:tcPr>
            <w:tcW w:w="48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Shorter of the useful life of the asset or the life of the lease</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—Long-lived assets are reviewed for impairment if events or circumstances indicate the carrying amount of these assets may not be recoverable. If this review indicates that these assets will not be recoverable, based on the forecasted undiscounted future operating cash flows expected to result from the use of long-lived assets and their eventual disposition, the Company’s carrying value of the long-lived assets is reduced to fair value based on a discounted future cash flow approach or quoted market values.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Research and Development Expenses and Accrued Research and Development</w:t>
      </w:r>
      <w:r>
        <w:rPr>
          <w:rFonts w:ascii="Times New Roman" w:hAnsi="Times New Roman"/>
          <w:color w:val="000000"/>
          <w:sz w:val="20"/>
        </w:rPr>
        <w:t>—Research and development expenses are charged to expense as incurred. Research and development expenses include certain payroll and personnel expenses including stock-based compensation, laboratory supplies, consulting costs, external contract research and development expenses and facility or lease expenses. In-licensing fees and other costs to acquire technologies that are utilized in research and development, and that are not expected to have alternative future use, are expensed when incurred. Advance payments for goods or services for future research and development activities are deferred and expensed as the goods are delivered or the related services are performed.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Patent Costs</w:t>
      </w:r>
      <w:r>
        <w:rPr>
          <w:rFonts w:ascii="Times New Roman" w:hAnsi="Times New Roman"/>
          <w:color w:val="000000"/>
          <w:sz w:val="20"/>
        </w:rPr>
        <w:t>—Costs related to filing and pursuing patent applications are expensed as incurred, as recoverability of such expenditures is uncertain. These patent-related legal costs are reported as a component of general and administrative expenses.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—General and administrative costs are expensed as incurred and include employee-related expenses including salaries, benefits, travel and stock-based compensation for the Company’s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carrying amounts of the Company’s financial instruments approximate fair value due to their short-term maturities.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—The Company accounts for stock-based compensation by measuring and recognizing compensation expense for all share-based payments made to employees, directors and non-employees based on estimated grant-date fair values. The Company uses the straight-line method to allocate compensation cost to reporting periods over each optionee’s requisite service period, which is generally the vesting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estimates the fair value of stock options to employees, directors and non-employees using the Black-Scholes option-valuation model. The Black-Scholes model requires the input of subjective assumptions, including expected volatility, expected dividend yield, expected term, risk-free rate of return, and the fair value of the underlying common stock on the date of grant. Due to the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 Company uses the simplified method to calculate the expected term for options granted to employees as it does not have sufficient historical exercise data to provide a reasonable basis upon which to estimate the expected term. The simplified method is based on the vesting period and the contractual term for each grant, or for each vesting 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Net Loss per Share Attributable to Common Stockholders</w:t>
      </w:r>
      <w:r>
        <w:rPr>
          <w:rFonts w:ascii="Times New Roman" w:hAnsi="Times New Roman"/>
          <w:color w:val="000000"/>
          <w:sz w:val="20"/>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2023 and 2022, the Company has recorded a full valuation allowance on its deferred tax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pStyle w:val="TextBody"/>
        <w:bidi w:val="0"/>
        <w:spacing w:before="160" w:after="283"/>
        <w:jc w:val="left"/>
        <w:rPr>
          <w:rFonts w:ascii="Times New Roman" w:hAnsi="Times New Roman"/>
          <w:b/>
          <w:color w:val="000000"/>
          <w:sz w:val="20"/>
        </w:rPr>
      </w:pPr>
      <w:bookmarkStart w:id="34" w:name="section31"/>
      <w:bookmarkEnd w:id="34"/>
      <w:r>
        <w:rPr>
          <w:rFonts w:ascii="Times New Roman" w:hAnsi="Times New Roman"/>
          <w:b/>
          <w:color w:val="000000"/>
          <w:sz w:val="20"/>
        </w:rPr>
        <w:t>3. FAIR VALUE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present the Company’s fair value hierarchy for assets and liabilities measured at fair value on a recurring basis (in thousands):</w:t>
      </w:r>
    </w:p>
    <w:p>
      <w:pPr>
        <w:pStyle w:val="TextBody"/>
        <w:bidi w:val="0"/>
        <w:jc w:val="both"/>
        <w:rPr/>
      </w:pPr>
      <w:r>
        <w:rPr/>
        <w:t> </w:t>
      </w:r>
    </w:p>
    <w:tbl>
      <w:tblPr>
        <w:tblW w:w="6723" w:type="dxa"/>
        <w:jc w:val="left"/>
        <w:tblInd w:w="0" w:type="dxa"/>
        <w:tblLayout w:type="fixed"/>
        <w:tblCellMar>
          <w:top w:w="28" w:type="dxa"/>
          <w:left w:w="28" w:type="dxa"/>
          <w:bottom w:w="28" w:type="dxa"/>
          <w:right w:w="28" w:type="dxa"/>
        </w:tblCellMar>
      </w:tblPr>
      <w:tblGrid>
        <w:gridCol w:w="2266"/>
        <w:gridCol w:w="146"/>
        <w:gridCol w:w="211"/>
        <w:gridCol w:w="676"/>
        <w:gridCol w:w="146"/>
        <w:gridCol w:w="146"/>
        <w:gridCol w:w="277"/>
        <w:gridCol w:w="458"/>
        <w:gridCol w:w="146"/>
        <w:gridCol w:w="146"/>
        <w:gridCol w:w="277"/>
        <w:gridCol w:w="458"/>
        <w:gridCol w:w="146"/>
        <w:gridCol w:w="146"/>
        <w:gridCol w:w="211"/>
        <w:gridCol w:w="67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Times New Roman" w:hAnsi="Times New Roman"/>
          <w:b/>
          <w:color w:val="000000"/>
          <w:sz w:val="20"/>
        </w:rPr>
      </w:pPr>
      <w:bookmarkStart w:id="35" w:name="section32"/>
      <w:bookmarkEnd w:id="35"/>
      <w:r>
        <w:rPr>
          <w:rFonts w:ascii="Times New Roman" w:hAnsi="Times New Roman"/>
          <w:b/>
          <w:color w:val="000000"/>
          <w:sz w:val="20"/>
        </w:rPr>
        <w:t>4. BALANCE SHEET ITEMS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current asset consist of the following as of December 31, 2023 and 2022 (in thousands):</w:t>
      </w:r>
    </w:p>
    <w:p>
      <w:pPr>
        <w:pStyle w:val="TextBody"/>
        <w:bidi w:val="0"/>
        <w:jc w:val="left"/>
        <w:rPr/>
      </w:pPr>
      <w:r>
        <w:rPr/>
        <w:t> </w:t>
      </w:r>
    </w:p>
    <w:tbl>
      <w:tblPr>
        <w:tblW w:w="6139" w:type="dxa"/>
        <w:jc w:val="left"/>
        <w:tblInd w:w="0" w:type="dxa"/>
        <w:tblLayout w:type="fixed"/>
        <w:tblCellMar>
          <w:top w:w="28" w:type="dxa"/>
          <w:left w:w="28" w:type="dxa"/>
          <w:bottom w:w="28" w:type="dxa"/>
          <w:right w:w="28" w:type="dxa"/>
        </w:tblCellMar>
      </w:tblPr>
      <w:tblGrid>
        <w:gridCol w:w="3346"/>
        <w:gridCol w:w="146"/>
        <w:gridCol w:w="211"/>
        <w:gridCol w:w="571"/>
        <w:gridCol w:w="446"/>
        <w:gridCol w:w="446"/>
        <w:gridCol w:w="211"/>
        <w:gridCol w:w="571"/>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446" w:type="dxa"/>
            <w:tcBorders/>
            <w:shd w:fill="CCEEFF" w:val="clear"/>
            <w:vAlign w:val="center"/>
          </w:tcPr>
          <w:p>
            <w:pPr>
              <w:pStyle w:val="TableContents"/>
              <w:bidi w:val="0"/>
              <w:spacing w:before="0" w:after="283"/>
              <w:ind w:left="0" w:right="0" w:firstLine="300"/>
              <w:jc w:val="left"/>
              <w:rPr/>
            </w:pPr>
            <w:r>
              <w:rPr/>
              <w:t> </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91" w:type="dxa"/>
            <w:tcBorders/>
            <w:shd w:fill="CCEEFF"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446" w:type="dxa"/>
            <w:tcBorders/>
            <w:shd w:fill="FFFFFF" w:val="clear"/>
            <w:vAlign w:val="center"/>
          </w:tcPr>
          <w:p>
            <w:pPr>
              <w:pStyle w:val="TableContents"/>
              <w:bidi w:val="0"/>
              <w:spacing w:before="0" w:after="283"/>
              <w:ind w:left="0" w:right="0" w:firstLine="300"/>
              <w:jc w:val="left"/>
              <w:rPr/>
            </w:pPr>
            <w:r>
              <w:rPr/>
              <w:t> </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4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Property and equipment, net, consists of the following as of December 31, 2023 and 2022 (in thousands):</w:t>
      </w:r>
    </w:p>
    <w:p>
      <w:pPr>
        <w:pStyle w:val="TextBody"/>
        <w:bidi w:val="0"/>
        <w:jc w:val="left"/>
        <w:rPr/>
      </w:pPr>
      <w:r>
        <w:rPr/>
        <w:t> </w:t>
      </w:r>
    </w:p>
    <w:tbl>
      <w:tblPr>
        <w:tblW w:w="5744" w:type="dxa"/>
        <w:jc w:val="left"/>
        <w:tblInd w:w="0" w:type="dxa"/>
        <w:tblLayout w:type="fixed"/>
        <w:tblCellMar>
          <w:top w:w="28" w:type="dxa"/>
          <w:left w:w="28" w:type="dxa"/>
          <w:bottom w:w="28" w:type="dxa"/>
          <w:right w:w="28" w:type="dxa"/>
        </w:tblCellMar>
      </w:tblPr>
      <w:tblGrid>
        <w:gridCol w:w="2911"/>
        <w:gridCol w:w="446"/>
        <w:gridCol w:w="211"/>
        <w:gridCol w:w="631"/>
        <w:gridCol w:w="166"/>
        <w:gridCol w:w="146"/>
        <w:gridCol w:w="211"/>
        <w:gridCol w:w="631"/>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4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91" w:type="dxa"/>
            <w:tcBorders/>
            <w:shd w:fill="CCEE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4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4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391" w:type="dxa"/>
            <w:tcBorders/>
            <w:shd w:fill="CCEE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4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391" w:type="dxa"/>
            <w:tcBorders/>
            <w:shd w:fill="CCEE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4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4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for the years ended December 31, 2023 and 2022 were $381 and $638,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liabilities as of December 31, 2023 and 2022 consist of the following (in thousands):</w:t>
      </w:r>
    </w:p>
    <w:p>
      <w:pPr>
        <w:pStyle w:val="TextBody"/>
        <w:bidi w:val="0"/>
        <w:jc w:val="left"/>
        <w:rPr/>
      </w:pPr>
      <w:r>
        <w:rPr/>
        <w:t> </w:t>
      </w:r>
    </w:p>
    <w:tbl>
      <w:tblPr>
        <w:tblW w:w="4729" w:type="dxa"/>
        <w:jc w:val="left"/>
        <w:tblInd w:w="0" w:type="dxa"/>
        <w:tblLayout w:type="fixed"/>
        <w:tblCellMar>
          <w:top w:w="28" w:type="dxa"/>
          <w:left w:w="28" w:type="dxa"/>
          <w:bottom w:w="28" w:type="dxa"/>
          <w:right w:w="28" w:type="dxa"/>
        </w:tblCellMar>
      </w:tblPr>
      <w:tblGrid>
        <w:gridCol w:w="2536"/>
        <w:gridCol w:w="146"/>
        <w:gridCol w:w="211"/>
        <w:gridCol w:w="571"/>
        <w:gridCol w:w="146"/>
        <w:gridCol w:w="146"/>
        <w:gridCol w:w="211"/>
        <w:gridCol w:w="57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91" w:type="dxa"/>
            <w:tcBorders/>
            <w:shd w:fill="CCEEFF"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36" w:name="section33"/>
      <w:bookmarkEnd w:id="36"/>
      <w:r>
        <w:rPr>
          <w:rFonts w:ascii="Times New Roman" w:hAnsi="Times New Roman"/>
          <w:b/>
          <w:color w:val="000000"/>
          <w:sz w:val="20"/>
        </w:rPr>
        <w:t>5. COMMITMENTS AND CONTINGENCIES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Facilities Lease Agreements</w:t>
      </w:r>
      <w:r>
        <w:rPr>
          <w:rFonts w:ascii="Times New Roman" w:hAnsi="Times New Roman"/>
          <w:color w:val="000000"/>
          <w:sz w:val="20"/>
        </w:rPr>
        <w:t>—In February 2019, the Company entered into a 5-year office lease agreement for a 9,780 square feet facility in South San Francisco, California. The original lease term expires on February 29, 2024. In June 2022, the lease was amended to terminate early on January 31, 2023. The amendment was not accounted for as a separate contract and the lease liability and the right-of-use asset were remeasured on the lease modification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January 2022, the Company entered into a new 8-year office lease agreement for a 20,116 square feet facility in Brisbane, California ("Brisbane Lease"). The lease commenced in December 2022.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and 2022, the balance of the operating lease right of use assets were $9,952 and $11,650, respectively, and the related operating lease liability were $10,112 and $11,744, respectively, as shown in the accompanying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Rent expense was $2,738 and $1,445 for the years ended December 31, 2023 and 2022,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future minimum annual lease payments under the Company’s operating lease liabilities were as follows:</w:t>
      </w:r>
    </w:p>
    <w:p>
      <w:pPr>
        <w:pStyle w:val="TextBody"/>
        <w:bidi w:val="0"/>
        <w:jc w:val="both"/>
        <w:rPr/>
      </w:pPr>
      <w:r>
        <w:rPr/>
        <w:t> </w:t>
      </w:r>
    </w:p>
    <w:tbl>
      <w:tblPr>
        <w:tblW w:w="6143" w:type="dxa"/>
        <w:jc w:val="left"/>
        <w:tblInd w:w="0" w:type="dxa"/>
        <w:tblLayout w:type="fixed"/>
        <w:tblCellMar>
          <w:top w:w="28" w:type="dxa"/>
          <w:left w:w="28" w:type="dxa"/>
          <w:bottom w:w="28" w:type="dxa"/>
          <w:right w:w="28" w:type="dxa"/>
        </w:tblCellMar>
      </w:tblPr>
      <w:tblGrid>
        <w:gridCol w:w="3861"/>
        <w:gridCol w:w="146"/>
        <w:gridCol w:w="410"/>
        <w:gridCol w:w="1315"/>
        <w:gridCol w:w="41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Commitment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411" w:type="dxa"/>
            <w:tcBorders/>
            <w:shd w:fill="CFF0FC" w:val="clear"/>
            <w:vAlign w:val="center"/>
          </w:tcPr>
          <w:p>
            <w:pPr>
              <w:pStyle w:val="TableContents"/>
              <w:bidi w:val="0"/>
              <w:spacing w:before="0" w:after="283"/>
              <w:jc w:val="left"/>
              <w:rPr/>
            </w:pPr>
            <w:r>
              <w:rPr/>
              <w:t> </w:t>
            </w:r>
          </w:p>
        </w:tc>
      </w:tr>
      <w:tr>
        <w:trPr/>
        <w:tc>
          <w:tcPr>
            <w:tcW w:w="3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411" w:type="dxa"/>
            <w:tcBorders/>
            <w:shd w:fill="FFFFFF" w:val="clear"/>
            <w:vAlign w:val="center"/>
          </w:tcPr>
          <w:p>
            <w:pPr>
              <w:pStyle w:val="TableContents"/>
              <w:bidi w:val="0"/>
              <w:spacing w:before="0" w:after="283"/>
              <w:jc w:val="left"/>
              <w:rPr/>
            </w:pPr>
            <w:r>
              <w:rPr/>
              <w:t> </w:t>
            </w:r>
          </w:p>
        </w:tc>
      </w:tr>
      <w:tr>
        <w:trPr/>
        <w:tc>
          <w:tcPr>
            <w:tcW w:w="3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pPr>
            <w:r>
              <w:rPr/>
              <w:t> </w:t>
            </w:r>
          </w:p>
        </w:tc>
        <w:tc>
          <w:tcPr>
            <w:tcW w:w="13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411" w:type="dxa"/>
            <w:tcBorders/>
            <w:shd w:fill="CFF0FC" w:val="clear"/>
            <w:vAlign w:val="center"/>
          </w:tcPr>
          <w:p>
            <w:pPr>
              <w:pStyle w:val="TableContents"/>
              <w:bidi w:val="0"/>
              <w:spacing w:before="0" w:after="283"/>
              <w:jc w:val="left"/>
              <w:rPr/>
            </w:pPr>
            <w:r>
              <w:rPr/>
              <w:t> </w:t>
            </w:r>
          </w:p>
        </w:tc>
      </w:tr>
      <w:tr>
        <w:trPr/>
        <w:tc>
          <w:tcPr>
            <w:tcW w:w="3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411" w:type="dxa"/>
            <w:tcBorders/>
            <w:shd w:fill="FFFFFF" w:val="clear"/>
            <w:vAlign w:val="center"/>
          </w:tcPr>
          <w:p>
            <w:pPr>
              <w:pStyle w:val="TableContents"/>
              <w:bidi w:val="0"/>
              <w:spacing w:before="0" w:after="283"/>
              <w:jc w:val="left"/>
              <w:rPr/>
            </w:pPr>
            <w:r>
              <w:rPr/>
              <w:t> </w:t>
            </w:r>
          </w:p>
        </w:tc>
      </w:tr>
      <w:tr>
        <w:trPr/>
        <w:tc>
          <w:tcPr>
            <w:tcW w:w="3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and beyond</w:t>
            </w:r>
          </w:p>
        </w:tc>
        <w:tc>
          <w:tcPr>
            <w:tcW w:w="146" w:type="dxa"/>
            <w:tcBorders/>
            <w:shd w:fill="CFF0FC" w:val="cle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14,291</w:t>
            </w:r>
          </w:p>
        </w:tc>
        <w:tc>
          <w:tcPr>
            <w:tcW w:w="411" w:type="dxa"/>
            <w:tcBorders/>
            <w:shd w:fill="FFFFFF" w:val="clear"/>
            <w:vAlign w:val="center"/>
          </w:tcPr>
          <w:p>
            <w:pPr>
              <w:pStyle w:val="TableContents"/>
              <w:bidi w:val="0"/>
              <w:spacing w:before="0" w:after="283"/>
              <w:jc w:val="left"/>
              <w:rPr/>
            </w:pPr>
            <w:r>
              <w:rPr/>
              <w:t> </w:t>
            </w:r>
          </w:p>
        </w:tc>
      </w:tr>
      <w:tr>
        <w:trPr/>
        <w:tc>
          <w:tcPr>
            <w:tcW w:w="3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Present value of operating lease obligations</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10,112</w:t>
            </w:r>
          </w:p>
        </w:tc>
        <w:tc>
          <w:tcPr>
            <w:tcW w:w="411" w:type="dxa"/>
            <w:tcBorders/>
            <w:shd w:fill="FFFFFF" w:val="clear"/>
            <w:vAlign w:val="center"/>
          </w:tcPr>
          <w:p>
            <w:pPr>
              <w:pStyle w:val="TableContents"/>
              <w:bidi w:val="0"/>
              <w:spacing w:before="0" w:after="283"/>
              <w:jc w:val="left"/>
              <w:rPr/>
            </w:pPr>
            <w:r>
              <w:rPr/>
              <w:t> </w:t>
            </w:r>
          </w:p>
        </w:tc>
      </w:tr>
      <w:tr>
        <w:trPr/>
        <w:tc>
          <w:tcPr>
            <w:tcW w:w="3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obligations</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Related to this Brisbane Lease agreement, the Company entered into a letter of credit with a bank to deposit $388 in a separate account that is restricted cash to serve as security rent deposit. This amount is included in other noncurrent assets in the accompanying Consolidated Balance Sheets as of December 31, 2023.</w:t>
      </w:r>
    </w:p>
    <w:p>
      <w:pPr>
        <w:pStyle w:val="TextBody"/>
        <w:bidi w:val="0"/>
        <w:spacing w:before="240" w:after="283"/>
        <w:jc w:val="both"/>
        <w:rPr>
          <w:rFonts w:ascii="Times New Roman" w:hAnsi="Times New Roman"/>
          <w:sz w:val="20"/>
        </w:rPr>
      </w:pPr>
      <w:r>
        <w:rPr>
          <w:rFonts w:ascii="Times New Roman" w:hAnsi="Times New Roman"/>
          <w:b/>
          <w:color w:val="000000"/>
          <w:sz w:val="20"/>
        </w:rPr>
        <w:t>Guarantees and Indemnifications</w:t>
      </w: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2023 and 2022, the Company does not have any material indemnification claims that were probable or reasonably possible and consequently has not recorded related liabilities.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—Liabilities for loss contingencies arising from claims, assessments, litigation, fines, penalties, and other sources are recorded when it is probable that a liability has been incurred and the amount can be reasonably estimated. 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9, 2016, a purported shareholder derivative action was filed in Massachusetts State court (Cima v. Dipp) against OvaScience and certain former officers and directors of OvaScience and OvaScience alleging breach of fiduciary duties, unjust enrichment, abuse of control, gross mismanagement and waste of corporate assets for purported actions related to OvaScience’s January 2015 follow-on public offering. As of September 12, 2022, the parties have reached an agreement in principle and have executed a term sheet in connection with a settlement. On September 13, 2022, the parties filed a joint motion to stay the case pending settlement. On September 15, 2022, the court issued a 90-day nisi order. On December 14, 2022, the court extended that order for 60 days to February 20, 2023. On February 17, 2023, the court extended the order until March 22, 2023 and set a court appearance for March 23, 2023. On March 23, 2023, the court granted preliminary approval of the settlement and set a final fairness hearing for June 12, 2023. By order dated June 12, 2023, the court granted final approval of the settlement.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 As of September 12, 2022, the parties have reached an agreement in principle and have executed a term sheet in connection with the settlement. On February 14, 2023, the parties informed the court that, subject to court approval, they had reached an agreement to settle Chiu v. Dipp as well as Cima v. Dipp. The parties requested a 90-day stay in order to present the settlement to the state court in Cima v. Dipp first. On February 16, 2023, the court granted the 90-day stay. On May 2, 2023, the court extended the stay through July 12, 2023. After final approval of the Cima settlement, the parties filed a stipulation and proposed order to dismiss the Chiu Action with prejudice on June 27, 2023. By order dated July 5, 2023, the court dismissed the Chiu Action with prejudice.</w:t>
      </w:r>
    </w:p>
    <w:p>
      <w:pPr>
        <w:pStyle w:val="TextBody"/>
        <w:bidi w:val="0"/>
        <w:spacing w:before="240" w:after="283"/>
        <w:jc w:val="left"/>
        <w:rPr>
          <w:rFonts w:ascii="Times New Roman" w:hAnsi="Times New Roman"/>
          <w:b/>
          <w:color w:val="000000"/>
          <w:sz w:val="20"/>
        </w:rPr>
      </w:pPr>
      <w:bookmarkStart w:id="37" w:name="section34"/>
      <w:bookmarkEnd w:id="37"/>
      <w:r>
        <w:rPr>
          <w:rFonts w:ascii="Times New Roman" w:hAnsi="Times New Roman"/>
          <w:b/>
          <w:color w:val="000000"/>
          <w:sz w:val="20"/>
        </w:rPr>
        <w:t>6. LOAN PAYABLE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15, 2021, the Company entered into a loan agreement with Oxford Finance LLC (the "Lender") to borrow a term loan amount of $35,000 to be funded in three tranches. Tranche A of $15,000 was wired to the Company on January 15, 2021. Tranche B of $10,000 expired on March 31, 2022. Tranche C of $10,000 is available at the Lender’s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December 23, 2022, the Company entered into a First Amendment to the loan agreement. The amendment modified the agreement as follows: (i) each of the Company and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Millendo, including any intellectual property, was granted to the Lender. In addition, the Lender permitted a one-time prepayment in the amount of $5.0 million, which the Company paid on December 23,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the amendment to the loan agreement, the term loan matures on August 1, 2025 and has an annual floating interest rate of 7.15% which is an Index Rate plus 7.10%. Index Rate is the greater of (i) 1-Month CME Term SOFR or (ii) 0.05%. In the fourth quarter of 2023, the Company achieved the circumstances necessary to extend the interest-only repayment period through June 30, 2024. Monthly principal payments of $733 are required to begin on July 1, 2024. Related to this borrowing, the Company recorded loan discounts totaling $898 and paid $95 of debt issuance costs. These amounts would be amortized as additional interest expense over the life of the loan. As of December 31, 2023, the balance of the loan payable (net of debt issuance costs) was $10.5 million. The carrying value of the loan approximates fair value (Level 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years ended December 31, 2023 and 2022, total interest expense was $1,449 and $1,618, respectively.</w:t>
      </w:r>
    </w:p>
    <w:p>
      <w:pPr>
        <w:pStyle w:val="TextBody"/>
        <w:bidi w:val="0"/>
        <w:spacing w:before="240" w:after="283"/>
        <w:jc w:val="left"/>
        <w:rPr>
          <w:rFonts w:ascii="Times New Roman" w:hAnsi="Times New Roman"/>
          <w:b/>
          <w:color w:val="000000"/>
          <w:sz w:val="20"/>
        </w:rPr>
      </w:pPr>
      <w:bookmarkStart w:id="38" w:name="section35"/>
      <w:bookmarkEnd w:id="38"/>
      <w:r>
        <w:rPr>
          <w:rFonts w:ascii="Times New Roman" w:hAnsi="Times New Roman"/>
          <w:b/>
          <w:color w:val="000000"/>
          <w:sz w:val="20"/>
        </w:rPr>
        <w:t>7. STOCKHOLDERS' EQUITY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29, 2021, TempestTx, Inc. (“Private Tempest”) entered into an Agreement and Plan of Merger (with Millendo Therapeutics, Inc. upon completion of the merger on June 25, 2021,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(3,692,912 common shares) and those shares of common stock issued with its pre-merger financing of $30.0 million (1,136,849 common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and December 31, 2022, the Company was authorized to issue 100,000,000 shares of common stock and 5,000,000 shares of preferred stock, each with a par value of $0.001 per share. Of the common stock shares authorized, 22,045,255 and 10,518,539 were issued and outstanding at December 31, 2023 and December 31, 2022, respectively. There were no shares subject to repurchase due to remaining vesting requirements. There was no preferred stock issued nor outstanding as of December 31, 2023 and December 31, 2022. 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Rights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10, 2023, the Company’s Board of Directors adopted a limited duration stockholder rights plan (the “Rights Plan”), effective immediately, and declared a dividend of one preferred share purchase right (a “Right”) for each outstanding share of the common stock, par value $0.001 per share (the “Common Shares”), of the Company. The dividend was effective as of October 23, 2023 (the “Record Date”) with respect to stockholders of record on that date. The Rights will also attach to new Common Shares issued after the Record Date. Each Right entitles the registered holder to purchase from the Company one one-thousandth of a share of Series A Junior Participating Preferred Stock, par value $0.001 per share, (the “Preferred Shares”), of the Company at a price of $25.00 per one one-thousandth of a Preferred Share, subject to adjustment. The descriptions and terms of the Rights are set forth in a Rights Agreement, dated as of October 10, 2023 (the “Rights Agreement"), between the Company and Computershare Trust Company, NA. The Rights will expire on October 10, 2024, or, if the Company’s stockholders approve the Rights plan, on October 10, 2026, unless the Rights are earlier redeemed or exchanged by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23, 2021, the Company entered into a sales agreement with Jefferies LLC, pursuant to which the Company may sell, from time to time, up to an aggregate sales price of $100,000,000 of its common stock through Jefferies LLC (the "ATM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Program"). Our ability to sell securities under the ATM program will be limited until we are no longer subject to the SEC’s “baby shelf” limitations.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Pre-Funded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2022, the Company completed a PIPE financing, which included the issuance of pre-funded warrants to purchase up to 3,206,020 shares of its common stock at a price per pre-funded warrant of $2.359 to the PIPE Investors. As of December 31, 2023, all pre-funded warrants had been exercised.</w:t>
      </w:r>
    </w:p>
    <w:p>
      <w:pPr>
        <w:pStyle w:val="TextBody"/>
        <w:bidi w:val="0"/>
        <w:jc w:val="left"/>
        <w:rPr/>
      </w:pPr>
      <w:r>
        <w:rPr/>
        <w:t> </w:t>
      </w:r>
    </w:p>
    <w:p>
      <w:pPr>
        <w:pStyle w:val="TextBody"/>
        <w:bidi w:val="0"/>
        <w:jc w:val="left"/>
        <w:rPr>
          <w:rFonts w:ascii="Times New Roman" w:hAnsi="Times New Roman"/>
          <w:b/>
          <w:color w:val="000000"/>
          <w:sz w:val="20"/>
        </w:rPr>
      </w:pPr>
      <w:bookmarkStart w:id="39" w:name="section36"/>
      <w:bookmarkEnd w:id="39"/>
      <w:r>
        <w:rPr>
          <w:rFonts w:ascii="Times New Roman" w:hAnsi="Times New Roman"/>
          <w:b/>
          <w:color w:val="000000"/>
          <w:sz w:val="20"/>
        </w:rPr>
        <w:t>8. STOCK-BASED COMPENSATION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Equity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 Tempest Prior Plans will remain subject to the terms of the applicable prior plan. As a result of the merger with Millendo, the Tempest Prior Plans were assumed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will be a successor to, and replacement of, the 2019 Plan.</w:t>
      </w:r>
    </w:p>
    <w:p>
      <w:pPr>
        <w:pStyle w:val="TextBody"/>
        <w:bidi w:val="0"/>
        <w:spacing w:before="240" w:after="283"/>
        <w:jc w:val="both"/>
        <w:rPr>
          <w:rFonts w:ascii="Times New Roman" w:hAnsi="Times New Roman"/>
          <w:sz w:val="20"/>
        </w:rPr>
      </w:pPr>
      <w:r>
        <w:rPr>
          <w:rFonts w:ascii="Times New Roman" w:hAnsi="Times New Roman"/>
          <w:color w:val="000000"/>
          <w:sz w:val="20"/>
        </w:rPr>
        <w:t>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w:t>
      </w:r>
      <w:r>
        <w:rPr>
          <w:rFonts w:ascii="Times New Roman" w:hAnsi="Times New Roman"/>
          <w:color w:val="000000"/>
          <w:sz w:val="13"/>
        </w:rPr>
        <w:t>st</w:t>
      </w:r>
      <w:r>
        <w:rPr>
          <w:rFonts w:ascii="Times New Roman" w:hAnsi="Times New Roman"/>
          <w:color w:val="000000"/>
          <w:sz w:val="20"/>
        </w:rPr>
        <w:t xml:space="preserve"> of the preceding calendar year, or a lesser number of shares as may be determined by the Board of Directors. Accordingly, on January 1, 2024, the common stock reserved for issuance was increased by 881,810 shares. As of December 31, 2023, there were 233,708 shares available for future grant under the 2023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of Tempest adopted the 2023 Inducement Plan (“2023 Inducement Plan”) on June 21, 2023, pursuant to which the Company reserved 1,150,000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December 31, 2023, there were 1,142,350 shares available for future grant under the 2023 Inducement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measures employee and non-employee stock-based awards at grant date fair value and records compensation expense on a straight-line basis over the vesting period of the award.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 Stock Ownership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Board of Millendo adopted the 2019 Employee Stock Purchase Plan on April 29, 2019, which became effective upon stockholder approval on June 11, 2019. On June 17, 2022, the Company’s stockholders approved the Amended and Restated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2019 Employee Stock Purchase Plan (the “2019 ESPP”). The 2019 ESPP enables employees to purchase shares of the Company's common stock through offerings of rights to purchase the Company's common stock to all eligible employees.</w:t>
      </w:r>
    </w:p>
    <w:p>
      <w:pPr>
        <w:pStyle w:val="TextBody"/>
        <w:bidi w:val="0"/>
        <w:spacing w:before="240" w:after="283"/>
        <w:jc w:val="both"/>
        <w:rPr>
          <w:rFonts w:ascii="Times New Roman" w:hAnsi="Times New Roman"/>
          <w:sz w:val="20"/>
        </w:rPr>
      </w:pPr>
      <w:r>
        <w:rPr>
          <w:rFonts w:ascii="Times New Roman" w:hAnsi="Times New Roman"/>
          <w:color w:val="000000"/>
          <w:sz w:val="20"/>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w:t>
      </w:r>
      <w:r>
        <w:rPr>
          <w:rFonts w:ascii="Times New Roman" w:hAnsi="Times New Roman"/>
          <w:color w:val="000000"/>
          <w:sz w:val="13"/>
        </w:rPr>
        <w:t>st</w:t>
      </w:r>
      <w:r>
        <w:rPr>
          <w:rFonts w:ascii="Times New Roman" w:hAnsi="Times New Roman"/>
          <w:color w:val="000000"/>
          <w:sz w:val="20"/>
        </w:rPr>
        <w:t xml:space="preserve"> of the preceding calendar year, (ii) 500,000 shares of Common Stock, or (iii) such lesser number of shares of Common Stock as determined by the Board of Directors (which may be zero). On January 1, 2024, the common stock reserved for issuance was increased by 330,678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232,136 shares of common stock remained available for future issuance under the 2019 ESPP. During the year ended December 31, 2023, 62,739 shares of common stock had been issued under the 2019 ESPP.</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the merger with Millendo, the grant date fair market value of the shares of common stock underlying stock options was determined by the Company’s Board of Directors. Up until the merger, there had been no public market for the Company’s 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shows the stock option activities for the years ended December 31, 2023 and 2022:</w:t>
      </w:r>
    </w:p>
    <w:p>
      <w:pPr>
        <w:pStyle w:val="TextBody"/>
        <w:bidi w:val="0"/>
        <w:jc w:val="left"/>
        <w:rPr/>
      </w:pPr>
      <w:r>
        <w:rPr/>
        <w:t> </w:t>
      </w:r>
    </w:p>
    <w:tbl>
      <w:tblPr>
        <w:tblW w:w="9017" w:type="dxa"/>
        <w:jc w:val="left"/>
        <w:tblInd w:w="0" w:type="dxa"/>
        <w:tblLayout w:type="fixed"/>
        <w:tblCellMar>
          <w:top w:w="28" w:type="dxa"/>
          <w:left w:w="28" w:type="dxa"/>
          <w:bottom w:w="28" w:type="dxa"/>
          <w:right w:w="28" w:type="dxa"/>
        </w:tblCellMar>
      </w:tblPr>
      <w:tblGrid>
        <w:gridCol w:w="2551"/>
        <w:gridCol w:w="146"/>
        <w:gridCol w:w="146"/>
        <w:gridCol w:w="146"/>
        <w:gridCol w:w="317"/>
        <w:gridCol w:w="2038"/>
        <w:gridCol w:w="166"/>
        <w:gridCol w:w="146"/>
        <w:gridCol w:w="705"/>
        <w:gridCol w:w="2265"/>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20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790,637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20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22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20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left"/>
              <w:rPr/>
            </w:pPr>
            <w:r>
              <w:rPr/>
              <w:t> </w:t>
            </w:r>
          </w:p>
        </w:tc>
        <w:tc>
          <w:tcPr>
            <w:tcW w:w="2265"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20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1,553,041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20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22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20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left"/>
              <w:rPr/>
            </w:pPr>
            <w:r>
              <w:rPr/>
              <w:t> </w:t>
            </w:r>
          </w:p>
        </w:tc>
        <w:tc>
          <w:tcPr>
            <w:tcW w:w="22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22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91" w:type="dxa"/>
            <w:tcBorders/>
            <w:shd w:fill="FFFFFF" w:val="cle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left"/>
              <w:rPr/>
            </w:pPr>
            <w:r>
              <w:rPr/>
              <w:t> </w:t>
            </w:r>
          </w:p>
        </w:tc>
        <w:tc>
          <w:tcPr>
            <w:tcW w:w="22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about stock options outstanding at December 31, 2023:</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7"/>
        <w:gridCol w:w="146"/>
        <w:gridCol w:w="146"/>
        <w:gridCol w:w="931"/>
        <w:gridCol w:w="146"/>
        <w:gridCol w:w="146"/>
        <w:gridCol w:w="668"/>
        <w:gridCol w:w="2141"/>
        <w:gridCol w:w="146"/>
        <w:gridCol w:w="146"/>
        <w:gridCol w:w="560"/>
        <w:gridCol w:w="1242"/>
        <w:gridCol w:w="146"/>
        <w:gridCol w:w="146"/>
        <w:gridCol w:w="303"/>
        <w:gridCol w:w="1340"/>
        <w:gridCol w:w="195"/>
      </w:tblGrid>
      <w:tr>
        <w:trPr/>
        <w:tc>
          <w:tcPr>
            <w:tcW w:w="1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2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2,737,358</w:t>
            </w:r>
          </w:p>
        </w:tc>
        <w:tc>
          <w:tcPr>
            <w:tcW w:w="195" w:type="dxa"/>
            <w:tcBorders/>
            <w:shd w:fill="CFF0FC" w:val="clear"/>
            <w:vAlign w:val="center"/>
          </w:tcPr>
          <w:p>
            <w:pPr>
              <w:pStyle w:val="TableContents"/>
              <w:bidi w:val="0"/>
              <w:spacing w:before="0" w:after="283"/>
              <w:jc w:val="left"/>
              <w:rPr/>
            </w:pPr>
            <w:r>
              <w:rPr/>
              <w:t> </w:t>
            </w:r>
          </w:p>
        </w:tc>
      </w:tr>
      <w:tr>
        <w:trPr/>
        <w:tc>
          <w:tcPr>
            <w:tcW w:w="16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2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2,737,358</w:t>
            </w:r>
          </w:p>
        </w:tc>
        <w:tc>
          <w:tcPr>
            <w:tcW w:w="195" w:type="dxa"/>
            <w:tcBorders/>
            <w:shd w:fill="FFFFFF" w:val="clear"/>
            <w:vAlign w:val="center"/>
          </w:tcPr>
          <w:p>
            <w:pPr>
              <w:pStyle w:val="TableContents"/>
              <w:bidi w:val="0"/>
              <w:spacing w:before="0" w:after="283"/>
              <w:jc w:val="left"/>
              <w:rPr/>
            </w:pPr>
            <w:r>
              <w:rPr/>
              <w:t> </w:t>
            </w:r>
          </w:p>
        </w:tc>
      </w:tr>
      <w:tr>
        <w:trPr/>
        <w:tc>
          <w:tcPr>
            <w:tcW w:w="16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2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906,002</w:t>
            </w:r>
          </w:p>
        </w:tc>
        <w:tc>
          <w:tcPr>
            <w:tcW w:w="195"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years ended December 31, 2023 and 2022, the Company granted employees and non-employees stock options to purchase 2,308,800 and 909,527 shares of common stock with a weighted-average grant date fair value of $6.05 and $2.82 per share, respectively. As of December 31, 2023 and 2022, total unrecognized compensation costs related to unvested employee stock options were $14,703 and $4,012, respectively. These costs are expected to be recognized over a weighted-average period of approximately 3.5 years and 2.6 years,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years ended December 31, 2023 and 2022:</w:t>
      </w:r>
    </w:p>
    <w:p>
      <w:pPr>
        <w:pStyle w:val="TextBody"/>
        <w:bidi w:val="0"/>
        <w:jc w:val="left"/>
        <w:rPr/>
      </w:pPr>
      <w:r>
        <w:rPr/>
        <w:t> </w:t>
      </w:r>
    </w:p>
    <w:tbl>
      <w:tblPr>
        <w:tblW w:w="5515" w:type="dxa"/>
        <w:jc w:val="left"/>
        <w:tblInd w:w="0" w:type="dxa"/>
        <w:tblLayout w:type="fixed"/>
        <w:tblCellMar>
          <w:top w:w="28" w:type="dxa"/>
          <w:left w:w="28" w:type="dxa"/>
          <w:bottom w:w="28" w:type="dxa"/>
          <w:right w:w="28" w:type="dxa"/>
        </w:tblCellMar>
      </w:tblPr>
      <w:tblGrid>
        <w:gridCol w:w="2086"/>
        <w:gridCol w:w="146"/>
        <w:gridCol w:w="360"/>
        <w:gridCol w:w="855"/>
        <w:gridCol w:w="331"/>
        <w:gridCol w:w="146"/>
        <w:gridCol w:w="360"/>
        <w:gridCol w:w="855"/>
        <w:gridCol w:w="37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5.5 - 6.1</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5.5 - 6.1</w:t>
            </w:r>
          </w:p>
        </w:tc>
        <w:tc>
          <w:tcPr>
            <w:tcW w:w="376" w:type="dxa"/>
            <w:tcBorders/>
            <w:shd w:fill="CFF0FC" w:val="clear"/>
            <w:vAlign w:val="center"/>
          </w:tcPr>
          <w:p>
            <w:pPr>
              <w:pStyle w:val="TableContents"/>
              <w:bidi w:val="0"/>
              <w:spacing w:before="0" w:after="283"/>
              <w:jc w:val="righ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 - 111%</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 - 112%</w:t>
            </w:r>
          </w:p>
        </w:tc>
        <w:tc>
          <w:tcPr>
            <w:tcW w:w="376" w:type="dxa"/>
            <w:tcBorders/>
            <w:shd w:fill="FFFFFF" w:val="clear"/>
            <w:vAlign w:val="center"/>
          </w:tcPr>
          <w:p>
            <w:pPr>
              <w:pStyle w:val="TableContents"/>
              <w:bidi w:val="0"/>
              <w:spacing w:before="0" w:after="283"/>
              <w:jc w:val="righ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 - 4.5%</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 - 3.9%</w:t>
            </w:r>
          </w:p>
        </w:tc>
        <w:tc>
          <w:tcPr>
            <w:tcW w:w="376" w:type="dxa"/>
            <w:tcBorders/>
            <w:shd w:fill="CFF0FC" w:val="clear"/>
            <w:vAlign w:val="center"/>
          </w:tcPr>
          <w:p>
            <w:pPr>
              <w:pStyle w:val="TableContents"/>
              <w:bidi w:val="0"/>
              <w:spacing w:before="0" w:after="283"/>
              <w:jc w:val="righ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color w:val="000000"/>
              </w:rPr>
            </w:pPr>
            <w:r>
              <w:rPr>
                <w:color w:val="000000"/>
              </w:rPr>
              <w:t>—</w:t>
            </w:r>
          </w:p>
        </w:tc>
        <w:tc>
          <w:tcPr>
            <w:tcW w:w="3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Expected Term</w:t>
      </w:r>
      <w:r>
        <w:rPr>
          <w:rFonts w:ascii="Times New Roman" w:hAnsi="Times New Roman"/>
          <w:color w:val="000000"/>
          <w:sz w:val="20"/>
        </w:rPr>
        <w:t>—The expected term of options granted represents the period of time that the options are expected to be outstanding. Due to the lack of historical exercise history, the expected term of the Company’s employee stock options has been determined utilizing the simplified method for awards that qualify as plain-vanilla options.</w:t>
      </w:r>
    </w:p>
    <w:p>
      <w:pPr>
        <w:pStyle w:val="TextBody"/>
        <w:bidi w:val="0"/>
        <w:spacing w:before="240" w:after="283"/>
        <w:jc w:val="both"/>
        <w:rPr>
          <w:rFonts w:ascii="Times New Roman" w:hAnsi="Times New Roman"/>
          <w:sz w:val="20"/>
        </w:rPr>
      </w:pPr>
      <w:r>
        <w:rPr>
          <w:rFonts w:ascii="Times New Roman" w:hAnsi="Times New Roman"/>
          <w:b/>
          <w:i/>
          <w:color w:val="000000"/>
          <w:sz w:val="20"/>
        </w:rPr>
        <w:t>Expected Volatility</w:t>
      </w:r>
      <w:r>
        <w:rPr>
          <w:rFonts w:ascii="Times New Roman" w:hAnsi="Times New Roman"/>
          <w:color w:val="000000"/>
          <w:sz w:val="20"/>
        </w:rPr>
        <w:t>—The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 as more historical data for the Company’s common stock becomes available.</w:t>
      </w:r>
    </w:p>
    <w:p>
      <w:pPr>
        <w:pStyle w:val="TextBody"/>
        <w:bidi w:val="0"/>
        <w:spacing w:before="240" w:after="283"/>
        <w:jc w:val="both"/>
        <w:rPr>
          <w:rFonts w:ascii="Times New Roman" w:hAnsi="Times New Roman"/>
          <w:sz w:val="20"/>
        </w:rPr>
      </w:pPr>
      <w:r>
        <w:rPr>
          <w:rFonts w:ascii="Times New Roman" w:hAnsi="Times New Roman"/>
          <w:b/>
          <w:i/>
          <w:color w:val="000000"/>
          <w:sz w:val="20"/>
        </w:rPr>
        <w:t>Risk-Free Interest Rate</w:t>
      </w:r>
      <w:r>
        <w:rPr>
          <w:rFonts w:ascii="Times New Roman" w:hAnsi="Times New Roman"/>
          <w:color w:val="000000"/>
          <w:sz w:val="20"/>
        </w:rPr>
        <w:t>—The risk-free interest rate assumption is based on the U.S. Treasury instruments whose term was consistent with the expected term of the Company’s stock options.</w:t>
      </w:r>
    </w:p>
    <w:p>
      <w:pPr>
        <w:pStyle w:val="TextBody"/>
        <w:bidi w:val="0"/>
        <w:spacing w:before="240" w:after="283"/>
        <w:jc w:val="both"/>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—The Company has not paid any cash dividends on common stock since inception and does not anticipate paying any dividends in the foreseeable future. Consequently, an expected dividend yield of zero was used.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granted 125,000 restricted stock units ("RSUs") with a fair value of $0.60 per share during the year ended December 31, 2023. The RSUs vest on February 25, 2024.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components of stock-based compensation expense recognized in the Company’s consolidated statements of operations for the years ended December 31, 2023 and 2022:</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504"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91"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bookmarkStart w:id="40" w:name="section37"/>
      <w:bookmarkEnd w:id="40"/>
      <w:r>
        <w:rPr>
          <w:rFonts w:ascii="Times New Roman" w:hAnsi="Times New Roman"/>
          <w:b/>
          <w:color w:val="000000"/>
          <w:sz w:val="20"/>
        </w:rPr>
        <w:t>9. INCOME TAXES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was no provision for income taxes for the years ended December 31, 2023 and 2022, because the Company has incurred losses since inception. At December 31, 2023 and 2022 the Company concluded it was not more likely than not that it would realize its deferred tax assets, and therefore has recorded a full valuation allowance.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the years ended December 31, 2023 and 2022, income tax provision (benefit) related to continuing operations differ from the amounts computed by applying the statutory income tax rate of 21% to pre-tax loss as follows (in thousands):</w:t>
      </w:r>
    </w:p>
    <w:tbl>
      <w:tblPr>
        <w:tblW w:w="5039" w:type="dxa"/>
        <w:jc w:val="left"/>
        <w:tblInd w:w="0" w:type="dxa"/>
        <w:tblLayout w:type="fixed"/>
        <w:tblCellMar>
          <w:top w:w="28" w:type="dxa"/>
          <w:left w:w="28" w:type="dxa"/>
          <w:bottom w:w="28" w:type="dxa"/>
          <w:right w:w="28" w:type="dxa"/>
        </w:tblCellMar>
      </w:tblPr>
      <w:tblGrid>
        <w:gridCol w:w="2686"/>
        <w:gridCol w:w="146"/>
        <w:gridCol w:w="211"/>
        <w:gridCol w:w="631"/>
        <w:gridCol w:w="166"/>
        <w:gridCol w:w="146"/>
        <w:gridCol w:w="211"/>
        <w:gridCol w:w="63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federal provision (benefit)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statutory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8,581</w:t>
            </w:r>
          </w:p>
        </w:tc>
        <w:tc>
          <w:tcPr>
            <w:tcW w:w="2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w:t>
            </w:r>
          </w:p>
        </w:tc>
        <w:tc>
          <w:tcPr>
            <w:tcW w:w="2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Significant components of the Company’s deferred tax assets at December 31, 2023 and 2022 are shown below.</w:t>
      </w:r>
    </w:p>
    <w:tbl>
      <w:tblPr>
        <w:tblW w:w="6569" w:type="dxa"/>
        <w:jc w:val="left"/>
        <w:tblInd w:w="0" w:type="dxa"/>
        <w:tblLayout w:type="fixed"/>
        <w:tblCellMar>
          <w:top w:w="28" w:type="dxa"/>
          <w:left w:w="28" w:type="dxa"/>
          <w:bottom w:w="28" w:type="dxa"/>
          <w:right w:w="28" w:type="dxa"/>
        </w:tblCellMar>
      </w:tblPr>
      <w:tblGrid>
        <w:gridCol w:w="3396"/>
        <w:gridCol w:w="146"/>
        <w:gridCol w:w="211"/>
        <w:gridCol w:w="841"/>
        <w:gridCol w:w="166"/>
        <w:gridCol w:w="146"/>
        <w:gridCol w:w="211"/>
        <w:gridCol w:w="841"/>
        <w:gridCol w:w="611"/>
      </w:tblGrid>
      <w:tr>
        <w:trPr/>
        <w:tc>
          <w:tcPr>
            <w:tcW w:w="3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131,346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R&amp;D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gross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158,990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gross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valuation allowance increased by $9.1 million from December 31, 2022 to December 31, 2023 due primarily to the generation of net operating losses and research and development credits.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the Company has net operating loss carryforwards for federal and state income tax purposes of approximately $482.1 million and $457.8 million, respectively. As of December 31, 2022, the Company has net operating loss carryforwards for federal and state income tax purposes of approximately $466.0 million and $434.4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and state net operating loss carryforwards begin to expire in 2031 and 2023, respectively, if not utilized. Federal net operating losses of $260.9 million are not subject to expiration.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the Company has federal and state research and development carryforwards of approximately $12.7 million and $4.0 million, respectively. The Company also has $7.4 million of Orphan Drug Credit. As of December 31, 2022, the Company has federal and state research and development carryforwards of approximately $11.7 million and $3.6 million, respectively. The federal and state credits begin to expire in 2031 and 2029, respectively, if not utilized; $2.9 million of the state credits can be carried forward indefinitely.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Utilization of some of the federal and state net operating loss and credit carryforwards may be subject to annual limitations due to the “change in ownership” provisions of the Internal Revenue Code of 1986 and similar state provisions. The annual limitations may result in the expiration of net operating losses and credits before utilization. The Company has not performed a Section 382 study as of December 31, 2023. At least $455.8 thousand of legacy Millendo federal net operating losses are expected to expire unused due to prior ownership changes.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has the following activity relating to unrecognized tax benefits as of December 31, 2023 and 2022:</w:t>
      </w:r>
    </w:p>
    <w:tbl>
      <w:tblPr>
        <w:tblW w:w="5989" w:type="dxa"/>
        <w:jc w:val="left"/>
        <w:tblInd w:w="0" w:type="dxa"/>
        <w:tblLayout w:type="fixed"/>
        <w:tblCellMar>
          <w:top w:w="28" w:type="dxa"/>
          <w:left w:w="28" w:type="dxa"/>
          <w:bottom w:w="28" w:type="dxa"/>
          <w:right w:w="28" w:type="dxa"/>
        </w:tblCellMar>
      </w:tblPr>
      <w:tblGrid>
        <w:gridCol w:w="3796"/>
        <w:gridCol w:w="146"/>
        <w:gridCol w:w="211"/>
        <w:gridCol w:w="571"/>
        <w:gridCol w:w="146"/>
        <w:gridCol w:w="146"/>
        <w:gridCol w:w="211"/>
        <w:gridCol w:w="57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increase - tax position in current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and 2022, none of the unrecognized tax benefits would impact the Company's effective tax rate due to the valuation allowance. The Company does not anticipate the uncertain tax positions will materially change in the next 12 months. The Company’s practice is to recognize interest and/or penalties related to income tax matters in income tax expense. The Company had no accrual for interest and penalties on the accompanying consolidated balance sheets as of December 31, 2023 and 2022, respectively, and has not recognized penalties and/or interest in the accompanying statements of operations for the years ended December 31, 2023 and 2022,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subject to taxation in the United States, California, Massachusetts, and Michigan. The Company’s tax years from inception are subject to examination by the IRS and state tax authorities due to the carryforward of unutilized net operating losses and research and development credits.</w:t>
      </w:r>
    </w:p>
    <w:p>
      <w:pPr>
        <w:pStyle w:val="TextBody"/>
        <w:bidi w:val="0"/>
        <w:spacing w:before="240" w:after="283"/>
        <w:jc w:val="left"/>
        <w:rPr>
          <w:rFonts w:ascii="Times New Roman" w:hAnsi="Times New Roman"/>
          <w:b/>
          <w:color w:val="000000"/>
          <w:sz w:val="20"/>
        </w:rPr>
      </w:pPr>
      <w:bookmarkStart w:id="41" w:name="section38"/>
      <w:bookmarkEnd w:id="41"/>
      <w:r>
        <w:rPr>
          <w:rFonts w:ascii="Times New Roman" w:hAnsi="Times New Roman"/>
          <w:b/>
          <w:color w:val="000000"/>
          <w:sz w:val="20"/>
        </w:rPr>
        <w:t>10. RETIREMENT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year ended December 31, 2023, the Company contributed $147 to the 401(k) Plan. During the year ended December 31, 2022, the Company contributed $126 to the 401(k) Plan.</w:t>
      </w:r>
    </w:p>
    <w:p>
      <w:pPr>
        <w:pStyle w:val="TextBody"/>
        <w:bidi w:val="0"/>
        <w:spacing w:before="240" w:after="283"/>
        <w:jc w:val="left"/>
        <w:rPr>
          <w:rFonts w:ascii="Times New Roman" w:hAnsi="Times New Roman"/>
          <w:b/>
          <w:color w:val="000000"/>
          <w:sz w:val="20"/>
        </w:rPr>
      </w:pPr>
      <w:bookmarkStart w:id="42" w:name="section39"/>
      <w:bookmarkEnd w:id="42"/>
      <w:r>
        <w:rPr>
          <w:rFonts w:ascii="Times New Roman" w:hAnsi="Times New Roman"/>
          <w:b/>
          <w:color w:val="000000"/>
          <w:sz w:val="20"/>
        </w:rPr>
        <w:t>11. NET LOSS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computation of the Company’s basic and diluted net loss per share for the years ended December 31, 2023 and 2022 (in thousands, except share and per share amounts):</w:t>
      </w:r>
    </w:p>
    <w:p>
      <w:pPr>
        <w:pStyle w:val="TextBody"/>
        <w:bidi w:val="0"/>
        <w:jc w:val="left"/>
        <w:rPr/>
      </w:pPr>
      <w:r>
        <w:rPr/>
        <w:t> </w:t>
      </w:r>
    </w:p>
    <w:tbl>
      <w:tblPr>
        <w:tblW w:w="9989" w:type="dxa"/>
        <w:jc w:val="left"/>
        <w:tblInd w:w="0" w:type="dxa"/>
        <w:tblLayout w:type="fixed"/>
        <w:tblCellMar>
          <w:top w:w="28" w:type="dxa"/>
          <w:left w:w="28" w:type="dxa"/>
          <w:bottom w:w="28" w:type="dxa"/>
          <w:right w:w="28" w:type="dxa"/>
        </w:tblCellMar>
      </w:tblPr>
      <w:tblGrid>
        <w:gridCol w:w="6826"/>
        <w:gridCol w:w="146"/>
        <w:gridCol w:w="211"/>
        <w:gridCol w:w="1036"/>
        <w:gridCol w:w="166"/>
        <w:gridCol w:w="146"/>
        <w:gridCol w:w="211"/>
        <w:gridCol w:w="1036"/>
        <w:gridCol w:w="211"/>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826"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6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15,416,203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11,548,907</w:t>
            </w:r>
          </w:p>
        </w:tc>
        <w:tc>
          <w:tcPr>
            <w:tcW w:w="211" w:type="dxa"/>
            <w:tcBorders/>
            <w:shd w:fill="FFFFFF" w:val="clear"/>
            <w:vAlign w:val="center"/>
          </w:tcPr>
          <w:p>
            <w:pPr>
              <w:pStyle w:val="TableContents"/>
              <w:bidi w:val="0"/>
              <w:spacing w:before="0" w:after="283"/>
              <w:jc w:val="left"/>
              <w:rPr/>
            </w:pPr>
            <w:r>
              <w:rPr/>
              <w:t> </w:t>
            </w:r>
          </w:p>
        </w:tc>
      </w:tr>
      <w:tr>
        <w:trPr/>
        <w:tc>
          <w:tcPr>
            <w:tcW w:w="6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Weighted-average unvested restricted shares and shares subject to repurchase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basic and diluted net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15,416,203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11,548,907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8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December 31, 2023 and 2022,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have been included in the computation of basic and diluted net loss per share attributable to common stockholders. Based on the amounts outstanding as of December 31, 2023 and 2022, the Company excluded the following potential common shares from the computation of diluted net loss per share attributable to common stockholders because including them would have had an anti-dilutive effect:</w:t>
      </w:r>
    </w:p>
    <w:tbl>
      <w:tblPr>
        <w:tblW w:w="57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1,553,041</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1,559,077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3" w:name="section40"/>
      <w:bookmarkEnd w:id="43"/>
      <w:r>
        <w:rPr>
          <w:rFonts w:ascii="Times New Roman" w:hAnsi="Times New Roman"/>
          <w:b/>
          <w:color w:val="000000"/>
          <w:sz w:val="20"/>
        </w:rPr>
        <w:t>ITEM 9. CHANGES IN AND DISAGREEMENTS WITH ACCOUNTANTS ON ACCOUNTING AND FINANCIAL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44" w:name="section41"/>
      <w:bookmarkEnd w:id="44"/>
      <w:r>
        <w:rPr>
          <w:rFonts w:ascii="Times New Roman" w:hAnsi="Times New Roman"/>
          <w:b/>
          <w:color w:val="000000"/>
          <w:sz w:val="20"/>
        </w:rPr>
        <w:t>ITEM 9A. CONTROLS AND PROCEDURES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principal executive and principal financial officers, or persons performing similar functions, as appropriate to allow timely decisions regarding required disclosure.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 with the participation of our Chief Executive Officer (principal executive officer) and Vice-President, Strategy and Finance (principal financial officer), evaluated the effectiveness of our disclosure controls and procedures (as defined in the Securities Exchange Act of 1934 Rules 13a-15(e) or 15d-15(e)) as required by paragraph (b) of Exchange Act Rules 13a-15 or 15d-15, as of December 31, 2023. Based on the evaluation of our disclosure controls and procedures as of December 31, 2023, our Chief Executive Officer and Vice-President, Strategy and Finance concluded that, as of such date, our disclosure controls and procedures were effective.</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 (f) under the Exchange Act). Internal control over financial reporting is a process designed to provide reasonable assurance regarding the reliability of financial reporting and the preparation of financial statements for external reporting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management assessed the effectiveness of our internal control over financial reporting as of December 31, 2023. In making this assessment, management used the criteria set forth by the Committee of Sponsoring organizations of the Treadway Commission (COSO) in Internal Control – Integrated Framework (2013). Based on that assessment, our management concluded that, as of December 31, 2023, our internal control over financial reporting was effective.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Attestation Report of the Registered Public Accounting Firm.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smaller reporting company, and therefore our independent registered public accounting firm has not issued a report on the effectiveness of internal control over financial reporting.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changes in internal control over financial reporting during the quarter ended December 31, 2023 that have materially affected, or are reasonably likely to materially affect, our internal control over financial reporting.</w:t>
      </w:r>
    </w:p>
    <w:p>
      <w:pPr>
        <w:pStyle w:val="TextBody"/>
        <w:bidi w:val="0"/>
        <w:jc w:val="both"/>
        <w:rPr/>
      </w:pPr>
      <w:r>
        <w:rPr/>
        <w:t> </w:t>
      </w:r>
    </w:p>
    <w:p>
      <w:pPr>
        <w:pStyle w:val="TextBody"/>
        <w:bidi w:val="0"/>
        <w:jc w:val="left"/>
        <w:rPr>
          <w:rFonts w:ascii="Times New Roman" w:hAnsi="Times New Roman"/>
          <w:b/>
          <w:color w:val="000000"/>
          <w:sz w:val="20"/>
        </w:rPr>
      </w:pPr>
      <w:bookmarkStart w:id="45" w:name="section42"/>
      <w:bookmarkEnd w:id="45"/>
      <w:r>
        <w:rPr>
          <w:rFonts w:ascii="Times New Roman" w:hAnsi="Times New Roman"/>
          <w:b/>
          <w:color w:val="000000"/>
          <w:sz w:val="20"/>
        </w:rPr>
        <w:t>ITEM 9B. OTHER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December 31, 2023, no director or officer of the Company adopted or terminated a “Rule 10b5-1 trading arrangement” or “non-Rule 10b5-1 trading arrangement,” as each term is defined in Item 408(a) of Regulation 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46" w:name="section43"/>
      <w:bookmarkEnd w:id="46"/>
      <w:r>
        <w:rPr>
          <w:rFonts w:ascii="Times New Roman" w:hAnsi="Times New Roman"/>
          <w:b/>
          <w:color w:val="000000"/>
          <w:sz w:val="20"/>
        </w:rPr>
        <w:t xml:space="preserve">ITEM 9C. </w:t>
      </w:r>
      <w:bookmarkStart w:id="47" w:name="disclosure_regarding_foreign"/>
      <w:bookmarkEnd w:id="47"/>
      <w:r>
        <w:rPr>
          <w:rFonts w:ascii="Times New Roman" w:hAnsi="Times New Roman"/>
          <w:b/>
          <w:color w:val="000000"/>
          <w:sz w:val="20"/>
        </w:rPr>
        <w:t>DISCLOSURE REGARDING FOREIGN JURISDICTIONS THAT PREVENT INSPECTIONS.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8" w:name="section44"/>
      <w:bookmarkEnd w:id="48"/>
      <w:r>
        <w:rPr>
          <w:rFonts w:ascii="Times New Roman" w:hAnsi="Times New Roman"/>
          <w:b/>
          <w:color w:val="000000"/>
          <w:sz w:val="20"/>
        </w:rPr>
        <w:t>PART III</w:t>
      </w:r>
    </w:p>
    <w:p>
      <w:pPr>
        <w:pStyle w:val="TextBody"/>
        <w:bidi w:val="0"/>
        <w:spacing w:before="240" w:after="283"/>
        <w:jc w:val="both"/>
        <w:rPr>
          <w:rFonts w:ascii="Times New Roman" w:hAnsi="Times New Roman"/>
          <w:b/>
          <w:color w:val="000000"/>
          <w:sz w:val="20"/>
        </w:rPr>
      </w:pPr>
      <w:bookmarkStart w:id="49" w:name="section45"/>
      <w:bookmarkEnd w:id="49"/>
      <w:r>
        <w:rPr>
          <w:rFonts w:ascii="Times New Roman" w:hAnsi="Times New Roman"/>
          <w:b/>
          <w:color w:val="000000"/>
          <w:sz w:val="20"/>
        </w:rPr>
        <w:t>ITEM 10. DIRECTORS, EXECUTIVE OFFICERS AND CORPORATE GOVERNANCE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Information About Our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regarding our Directors required by this item will be contained in our 2024 Proxy Statement under the caption “Information Regarding Director Nominees and Continuing Directors,” and is hereby incorporated by reference.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Information About Our Executive Officers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regarding our Executive Officers required by this item will be contained in our 2024 Proxy Statement under the caption “Executive Officers,” and is hereby incorporated by reference.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Identification of Audit Committee and Financial Experts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regarding our Audit Committee and Financial Experts required by this item will be contained in our 2024 Proxy Statement under the caption “Information Regarding the Board of Directors and Corporate Governance—Audit Committee,” and is hereby incorporated by reference.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Material Changes to Procedures for Recommending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regarding our Procedures for Recommending Directors required by this item will be contained in our 2024 Proxy Statement under the caption “Information Regarding the Board of Directors and Corporate Governance—Nominating and Corporate Governance Committee,” and is hereby incorporated by reference.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Information regarding our Code of Business Conduct and Ethics (the “Code of Conduct”) required by this item will be contained in our 2024 Proxy Statement under the caption “Information Regarding the Board of Directors and Corporate Governance—Code of Ethics,” and is hereby incorporated by reference. If we make any substantive amendments to the Code of Conduct or grant any waiver from a provision of the Code of Conduct to any executive officer or director, we will promptly disclose the nature of the amendment or waiver on its website. The full text of our Code of Conduct is available at the investors section of our website at </w:t>
      </w:r>
      <w:r>
        <w:rPr>
          <w:rFonts w:ascii="Times New Roman" w:hAnsi="Times New Roman"/>
          <w:i/>
          <w:color w:val="000000"/>
          <w:sz w:val="20"/>
        </w:rPr>
        <w:t>www.tempesttx.com.</w:t>
      </w:r>
      <w:r>
        <w:rPr>
          <w:rFonts w:ascii="Times New Roman" w:hAnsi="Times New Roman"/>
          <w:color w:val="000000"/>
          <w:sz w:val="20"/>
        </w:rPr>
        <w:t xml:space="preserve"> The reference to our website address does not constitute incorporation by reference of the information contained at or available through our website, and you should not consider it to be a part of this Annual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Information regarding compliance with Section 16(a) of the Exchange Act required by this item will be contained in our 2024 Proxy Statement under the caption “Security Ownership of Certain Beneficial Owners and Management—Delinquent Section 16(A) Reports,” if any, and is hereby incorporated by reference. </w:t>
      </w:r>
    </w:p>
    <w:p>
      <w:pPr>
        <w:pStyle w:val="TextBody"/>
        <w:bidi w:val="0"/>
        <w:spacing w:before="240" w:after="283"/>
        <w:jc w:val="left"/>
        <w:rPr>
          <w:rFonts w:ascii="Times New Roman" w:hAnsi="Times New Roman"/>
          <w:b/>
          <w:color w:val="000000"/>
          <w:sz w:val="20"/>
        </w:rPr>
      </w:pPr>
      <w:bookmarkStart w:id="50" w:name="section46"/>
      <w:bookmarkEnd w:id="50"/>
      <w:r>
        <w:rPr>
          <w:rFonts w:ascii="Times New Roman" w:hAnsi="Times New Roman"/>
          <w:b/>
          <w:color w:val="000000"/>
          <w:sz w:val="20"/>
        </w:rPr>
        <w:t>ITEM 11.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regarding our Executive Compensation required by this item will be contained in our 2024 Proxy Statement under the caption “Executive and Director Compensation,” and is hereby incorporated by reference.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51" w:name="section47"/>
      <w:bookmarkEnd w:id="51"/>
      <w:r>
        <w:rPr>
          <w:rFonts w:ascii="Times New Roman" w:hAnsi="Times New Roman"/>
          <w:b/>
          <w:color w:val="000000"/>
          <w:sz w:val="20"/>
        </w:rPr>
        <w:t>ITEM 12. SECURITY OWNERSHIP OF CERTAIN BENEFICIAL OWNERS AND MANAGEMENT AND RELATED STOCKHOLDER MATTERS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Ownership of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regarding our Ownership of Securities required by this item will be contained in our 2024 Proxy Statement under the caption “Security Ownership of Certain Beneficial Owners and Management,” and is hereby incorporated by reference.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regarding our Equity Compensation Plan required by this item will be contained in our 2024 Proxy Statement under the caption “Equity Compensation Plan Information,” and is hereby incorporated by reference.</w:t>
      </w:r>
    </w:p>
    <w:p>
      <w:pPr>
        <w:pStyle w:val="TextBody"/>
        <w:bidi w:val="0"/>
        <w:spacing w:before="240" w:after="283"/>
        <w:jc w:val="left"/>
        <w:rPr>
          <w:rFonts w:ascii="Times New Roman" w:hAnsi="Times New Roman"/>
          <w:b/>
          <w:color w:val="000000"/>
          <w:sz w:val="20"/>
        </w:rPr>
      </w:pPr>
      <w:bookmarkStart w:id="52" w:name="section48"/>
      <w:bookmarkEnd w:id="52"/>
      <w:r>
        <w:rPr>
          <w:rFonts w:ascii="Times New Roman" w:hAnsi="Times New Roman"/>
          <w:b/>
          <w:color w:val="000000"/>
          <w:sz w:val="20"/>
        </w:rPr>
        <w:t>ITEM 13. CERTAIN RELATIONSHIPS AND RELATED 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regarding Related Transactions and Director Independence required by this item will be contained in our 2024 Proxy Statement under the caption “Transactions with Related Persons and Indemnification,” and “Information Regarding the Board of Directors and Corporate Governance – Independence of the Board of Directors,” and is hereby incorporated by reference.</w:t>
      </w:r>
    </w:p>
    <w:p>
      <w:pPr>
        <w:pStyle w:val="TextBody"/>
        <w:bidi w:val="0"/>
        <w:spacing w:before="240" w:after="283"/>
        <w:jc w:val="left"/>
        <w:rPr>
          <w:rFonts w:ascii="Times New Roman" w:hAnsi="Times New Roman"/>
          <w:b/>
          <w:color w:val="000000"/>
          <w:sz w:val="20"/>
        </w:rPr>
      </w:pPr>
      <w:bookmarkStart w:id="53" w:name="section49"/>
      <w:bookmarkEnd w:id="53"/>
      <w:r>
        <w:rPr>
          <w:rFonts w:ascii="Times New Roman" w:hAnsi="Times New Roman"/>
          <w:b/>
          <w:color w:val="000000"/>
          <w:sz w:val="20"/>
        </w:rPr>
        <w:t>ITEM 14. PRINCIPAL ACCOUNTING FEES AND SERVICES</w:t>
      </w:r>
    </w:p>
    <w:p>
      <w:pPr>
        <w:pStyle w:val="TextBody"/>
        <w:bidi w:val="0"/>
        <w:jc w:val="both"/>
        <w:rPr>
          <w:rFonts w:ascii="Times New Roman" w:hAnsi="Times New Roman"/>
          <w:color w:val="000000"/>
          <w:sz w:val="20"/>
        </w:rPr>
      </w:pPr>
      <w:r>
        <w:rPr>
          <w:rFonts w:ascii="Times New Roman" w:hAnsi="Times New Roman"/>
          <w:color w:val="000000"/>
          <w:sz w:val="20"/>
        </w:rPr>
        <w:t>Information regarding Accounting Fees and Services required by this item will be contained in our 2024 Proxy Statement in Proposal 3 under the captions “—Principal Accountant Fees and Services” and “—Pre-Approval Policies and Procedures,” and is hereby incorporated by reference.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4" w:name="section50"/>
      <w:bookmarkEnd w:id="54"/>
      <w:r>
        <w:rPr>
          <w:rFonts w:ascii="Times New Roman" w:hAnsi="Times New Roman"/>
          <w:b/>
          <w:color w:val="000000"/>
          <w:sz w:val="20"/>
        </w:rPr>
        <w:t>PART IV</w:t>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55" w:name="section51"/>
      <w:bookmarkEnd w:id="55"/>
      <w:r>
        <w:rPr>
          <w:rFonts w:ascii="Times New Roman" w:hAnsi="Times New Roman"/>
          <w:b/>
          <w:color w:val="000000"/>
          <w:sz w:val="20"/>
        </w:rPr>
        <w:t>ITEM 15. EXHIBITS AND FINANCIAL STATEMENT SCHEDULES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filed the following documents as part of this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(a)(1)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financial statements are included in Item 8. “Financial Statements and Supplementary Data.”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(a)(2) Financial Statement Schedules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schedules are omitted as information required is inapplicable or the information is presented in the financial statements and the related notes.</w:t>
      </w:r>
    </w:p>
    <w:p>
      <w:pPr>
        <w:pStyle w:val="TextBody"/>
        <w:bidi w:val="0"/>
        <w:spacing w:before="240" w:after="240"/>
        <w:jc w:val="left"/>
        <w:rPr>
          <w:rFonts w:ascii="Times New Roman" w:hAnsi="Times New Roman"/>
          <w:sz w:val="20"/>
        </w:rPr>
      </w:pPr>
      <w:r>
        <w:rPr>
          <w:rFonts w:ascii="Times New Roman" w:hAnsi="Times New Roman"/>
          <w:b/>
          <w:color w:val="000000"/>
          <w:sz w:val="20"/>
        </w:rPr>
        <w:t>(a)(3)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33"/>
        <w:gridCol w:w="5686"/>
        <w:gridCol w:w="511"/>
        <w:gridCol w:w="761"/>
        <w:gridCol w:w="631"/>
        <w:gridCol w:w="613"/>
        <w:gridCol w:w="1170"/>
      </w:tblGrid>
      <w:tr>
        <w:trPr/>
        <w:tc>
          <w:tcPr>
            <w:tcW w:w="833" w:type="dxa"/>
            <w:tcBorders/>
            <w:vAlign w:val="center"/>
          </w:tcPr>
          <w:p>
            <w:pPr>
              <w:pStyle w:val="TableContents"/>
              <w:bidi w:val="0"/>
              <w:spacing w:before="0" w:after="283"/>
              <w:jc w:val="left"/>
              <w:rPr>
                <w:sz w:val="4"/>
                <w:szCs w:val="4"/>
              </w:rPr>
            </w:pPr>
            <w:r>
              <w:rPr>
                <w:sz w:val="4"/>
                <w:szCs w:val="4"/>
              </w:rPr>
            </w:r>
          </w:p>
        </w:tc>
        <w:tc>
          <w:tcPr>
            <w:tcW w:w="56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833" w:type="dxa"/>
            <w:tcBorders/>
            <w:vAlign w:val="center"/>
          </w:tcPr>
          <w:p>
            <w:pPr>
              <w:pStyle w:val="TableContents"/>
              <w:bidi w:val="0"/>
              <w:spacing w:before="0" w:after="283"/>
              <w:jc w:val="left"/>
              <w:rPr/>
            </w:pPr>
            <w:r>
              <w:rPr/>
              <w:t> </w:t>
            </w:r>
          </w:p>
        </w:tc>
        <w:tc>
          <w:tcPr>
            <w:tcW w:w="5686" w:type="dxa"/>
            <w:tcBorders/>
            <w:vAlign w:val="center"/>
          </w:tcPr>
          <w:p>
            <w:pPr>
              <w:pStyle w:val="TableContents"/>
              <w:bidi w:val="0"/>
              <w:spacing w:before="0" w:after="283"/>
              <w:jc w:val="left"/>
              <w:rPr/>
            </w:pPr>
            <w:r>
              <w:rPr/>
              <w:t> </w:t>
            </w:r>
          </w:p>
        </w:tc>
        <w:tc>
          <w:tcPr>
            <w:tcW w:w="3686" w:type="dxa"/>
            <w:gridSpan w:val="5"/>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833"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b/>
                <w:color w:val="000000"/>
                <w:sz w:val="16"/>
              </w:rPr>
            </w:pPr>
            <w:r>
              <w:rPr>
                <w:rFonts w:ascii="Times New Roman" w:hAnsi="Times New Roman"/>
                <w:b/>
                <w:color w:val="000000"/>
                <w:sz w:val="16"/>
              </w:rPr>
              <w:t>Exhibit Number</w:t>
            </w:r>
          </w:p>
        </w:tc>
        <w:tc>
          <w:tcPr>
            <w:tcW w:w="568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b/>
                <w:color w:val="000000"/>
                <w:sz w:val="16"/>
              </w:rPr>
            </w:pPr>
            <w:r>
              <w:rPr>
                <w:rFonts w:ascii="Times New Roman" w:hAnsi="Times New Roman"/>
                <w:b/>
                <w:color w:val="000000"/>
                <w:sz w:val="16"/>
              </w:rPr>
              <w:t>Description of Exhibit</w:t>
            </w:r>
          </w:p>
        </w:tc>
        <w:tc>
          <w:tcPr>
            <w:tcW w:w="511"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b/>
                <w:color w:val="000000"/>
                <w:sz w:val="16"/>
              </w:rPr>
            </w:pPr>
            <w:r>
              <w:rPr>
                <w:rFonts w:ascii="Times New Roman" w:hAnsi="Times New Roman"/>
                <w:b/>
                <w:color w:val="000000"/>
                <w:sz w:val="16"/>
              </w:rPr>
              <w:t>Form</w:t>
            </w:r>
          </w:p>
        </w:tc>
        <w:tc>
          <w:tcPr>
            <w:tcW w:w="761"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b/>
                <w:color w:val="000000"/>
                <w:sz w:val="16"/>
              </w:rPr>
            </w:pPr>
            <w:r>
              <w:rPr>
                <w:rFonts w:ascii="Times New Roman" w:hAnsi="Times New Roman"/>
                <w:b/>
                <w:color w:val="000000"/>
                <w:sz w:val="16"/>
              </w:rPr>
              <w:t>File Number</w:t>
            </w:r>
          </w:p>
        </w:tc>
        <w:tc>
          <w:tcPr>
            <w:tcW w:w="631"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b/>
                <w:color w:val="000000"/>
                <w:sz w:val="16"/>
              </w:rPr>
            </w:pPr>
            <w:r>
              <w:rPr>
                <w:rFonts w:ascii="Times New Roman" w:hAnsi="Times New Roman"/>
                <w:b/>
                <w:color w:val="000000"/>
                <w:sz w:val="16"/>
              </w:rPr>
              <w:t>Exhibit</w:t>
            </w:r>
          </w:p>
        </w:tc>
        <w:tc>
          <w:tcPr>
            <w:tcW w:w="613"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b/>
                <w:color w:val="000000"/>
                <w:sz w:val="16"/>
              </w:rPr>
            </w:pPr>
            <w:r>
              <w:rPr>
                <w:rFonts w:ascii="Times New Roman" w:hAnsi="Times New Roman"/>
                <w:b/>
                <w:color w:val="000000"/>
                <w:sz w:val="16"/>
              </w:rPr>
              <w:t>Filing Date</w:t>
            </w:r>
          </w:p>
        </w:tc>
        <w:tc>
          <w:tcPr>
            <w:tcW w:w="1170"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b/>
                <w:color w:val="000000"/>
                <w:sz w:val="16"/>
              </w:rPr>
            </w:pPr>
            <w:r>
              <w:rPr>
                <w:rFonts w:ascii="Times New Roman" w:hAnsi="Times New Roman"/>
                <w:b/>
                <w:color w:val="000000"/>
                <w:sz w:val="16"/>
              </w:rPr>
              <w:t>Filed or Furnished Herewith</w:t>
            </w:r>
          </w:p>
        </w:tc>
      </w:tr>
      <w:tr>
        <w:trPr/>
        <w:tc>
          <w:tcPr>
            <w:tcW w:w="833"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16"/>
              </w:rPr>
            </w:pPr>
            <w:r>
              <w:rPr>
                <w:rFonts w:ascii="Times New Roman" w:hAnsi="Times New Roman"/>
                <w:color w:val="000000"/>
                <w:sz w:val="16"/>
              </w:rPr>
              <w:t>2.1*</w:t>
            </w:r>
          </w:p>
        </w:tc>
        <w:tc>
          <w:tcPr>
            <w:tcW w:w="5686" w:type="dxa"/>
            <w:tcBorders/>
            <w:tcMar>
              <w:top w:w="0" w:type="dxa"/>
              <w:left w:w="0" w:type="dxa"/>
              <w:bottom w:w="0" w:type="dxa"/>
              <w:right w:w="0" w:type="dxa"/>
            </w:tcMar>
            <w:vAlign w:val="center"/>
          </w:tcPr>
          <w:p>
            <w:pPr>
              <w:pStyle w:val="TableContents"/>
              <w:bidi w:val="0"/>
              <w:spacing w:before="55" w:after="30"/>
              <w:jc w:val="left"/>
              <w:rPr/>
            </w:pPr>
            <w:hyperlink r:id="rId11">
              <w:r>
                <w:rPr>
                  <w:rStyle w:val="InternetLink"/>
                  <w:rFonts w:ascii="Times New Roman" w:hAnsi="Times New Roman"/>
                  <w:color w:val="0000FF"/>
                  <w:sz w:val="16"/>
                  <w:u w:val="single"/>
                </w:rPr>
                <w:t>Agreement and Plan of Merger, dated as of March 29, 2021, by and among Tempest Therapeutics, Inc., Mars Merger Corp. and Tempest Therapeutics, Inc.</w:t>
              </w:r>
            </w:hyperlink>
            <w:hyperlink r:id="rId12">
              <w:r>
                <w:rPr>
                  <w:rStyle w:val="InternetLink"/>
                  <w:rFonts w:ascii="Times New Roman" w:hAnsi="Times New Roman"/>
                  <w:color w:val="0000FF"/>
                  <w:sz w:val="16"/>
                </w:rPr>
                <w:t xml:space="preserve"> </w:t>
              </w:r>
            </w:hyperlink>
          </w:p>
        </w:tc>
        <w:tc>
          <w:tcPr>
            <w:tcW w:w="511"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16"/>
              </w:rPr>
            </w:pPr>
            <w:r>
              <w:rPr>
                <w:rFonts w:ascii="Times New Roman" w:hAnsi="Times New Roman"/>
                <w:color w:val="000000"/>
                <w:sz w:val="16"/>
              </w:rPr>
              <w:t>8-K</w:t>
            </w:r>
          </w:p>
        </w:tc>
        <w:tc>
          <w:tcPr>
            <w:tcW w:w="761" w:type="dxa"/>
            <w:tcBorders/>
            <w:tcMar>
              <w:top w:w="0" w:type="dxa"/>
              <w:left w:w="0" w:type="dxa"/>
              <w:bottom w:w="0" w:type="dxa"/>
              <w:right w:w="0" w:type="dxa"/>
            </w:tcMar>
            <w:vAlign w:val="center"/>
          </w:tcPr>
          <w:p>
            <w:pPr>
              <w:pStyle w:val="TableContents"/>
              <w:bidi w:val="0"/>
              <w:spacing w:before="5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16"/>
              </w:rPr>
            </w:pPr>
            <w:r>
              <w:rPr>
                <w:rFonts w:ascii="Times New Roman" w:hAnsi="Times New Roman"/>
                <w:color w:val="000000"/>
                <w:sz w:val="16"/>
              </w:rPr>
              <w:t>2.1</w:t>
            </w:r>
          </w:p>
        </w:tc>
        <w:tc>
          <w:tcPr>
            <w:tcW w:w="613" w:type="dxa"/>
            <w:tcBorders/>
            <w:tcMar>
              <w:top w:w="0" w:type="dxa"/>
              <w:left w:w="0" w:type="dxa"/>
              <w:bottom w:w="0" w:type="dxa"/>
              <w:right w:w="0" w:type="dxa"/>
            </w:tcMar>
            <w:vAlign w:val="center"/>
          </w:tcPr>
          <w:p>
            <w:pPr>
              <w:pStyle w:val="TableContents"/>
              <w:bidi w:val="0"/>
              <w:spacing w:before="55" w:after="30"/>
              <w:jc w:val="right"/>
              <w:rPr>
                <w:rFonts w:ascii="Times New Roman" w:hAnsi="Times New Roman"/>
                <w:color w:val="000000"/>
                <w:sz w:val="16"/>
              </w:rPr>
            </w:pPr>
            <w:r>
              <w:rPr>
                <w:rFonts w:ascii="Times New Roman" w:hAnsi="Times New Roman"/>
                <w:color w:val="000000"/>
                <w:sz w:val="16"/>
              </w:rPr>
              <w:t>3/29/2021</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3.1</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13">
              <w:r>
                <w:rPr>
                  <w:rStyle w:val="InternetLink"/>
                  <w:rFonts w:ascii="Times New Roman" w:hAnsi="Times New Roman"/>
                  <w:color w:val="0000FF"/>
                  <w:sz w:val="16"/>
                  <w:u w:val="single"/>
                </w:rPr>
                <w:t>Restated Certificate of Incorporation of the Registrant, as amended</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10-Q</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3.1</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5/15/2019</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3.2</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14">
              <w:r>
                <w:rPr>
                  <w:rStyle w:val="InternetLink"/>
                  <w:rFonts w:ascii="Times New Roman" w:hAnsi="Times New Roman"/>
                  <w:color w:val="0000FF"/>
                  <w:sz w:val="16"/>
                  <w:u w:val="single"/>
                </w:rPr>
                <w:t>Certificate of Amendment to the Restated Certificate of Incorporation of the Company, as filed with the Secretary of State of the State of Delaware on June 24, 2021</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3.1</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6/28/2021</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3.3</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15">
              <w:r>
                <w:rPr>
                  <w:rStyle w:val="InternetLink"/>
                  <w:rFonts w:ascii="Times New Roman" w:hAnsi="Times New Roman"/>
                  <w:color w:val="0000FF"/>
                  <w:sz w:val="16"/>
                  <w:u w:val="single"/>
                </w:rPr>
                <w:t>Certificate of Amendment to the Restated Certificate of Incorporation of the Company, as filed with the Secretary of State of the State of Delaware on June 25, 2021</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3.2</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6/28/2021</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3.4</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16">
              <w:r>
                <w:rPr>
                  <w:rStyle w:val="InternetLink"/>
                  <w:rFonts w:ascii="Times New Roman" w:hAnsi="Times New Roman"/>
                  <w:color w:val="0000FF"/>
                  <w:sz w:val="16"/>
                  <w:u w:val="single"/>
                </w:rPr>
                <w:t>Certificate of Designation of Series A Junior Participating Preferred Stock filed with the Secretary of State of the State of Delaware on October 10, 2023</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3.1</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10/11/2023</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3.5</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17">
              <w:r>
                <w:rPr>
                  <w:rStyle w:val="InternetLink"/>
                  <w:rFonts w:ascii="Times New Roman" w:hAnsi="Times New Roman"/>
                  <w:color w:val="0000FF"/>
                  <w:sz w:val="16"/>
                  <w:u w:val="single"/>
                </w:rPr>
                <w:t>Amended and Restated Bylaws of the Registrant</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3.1</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9/24/2021</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4.1</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w:anchor="tpst-ex4_1.htm">
              <w:r>
                <w:rPr>
                  <w:rStyle w:val="InternetLink"/>
                  <w:rFonts w:ascii="Times New Roman" w:hAnsi="Times New Roman"/>
                  <w:color w:val="0000FF"/>
                  <w:sz w:val="16"/>
                  <w:u w:val="single"/>
                </w:rPr>
                <w:t>Description of Securities Registered Pursuant to Section 12 of the Securities Exchange Act of 1934</w:t>
              </w:r>
            </w:hyperlink>
          </w:p>
        </w:tc>
        <w:tc>
          <w:tcPr>
            <w:tcW w:w="511" w:type="dxa"/>
            <w:tcBorders/>
            <w:vAlign w:val="center"/>
          </w:tcPr>
          <w:p>
            <w:pPr>
              <w:pStyle w:val="TableContents"/>
              <w:bidi w:val="0"/>
              <w:spacing w:before="75" w:after="30"/>
              <w:jc w:val="center"/>
              <w:rPr/>
            </w:pPr>
            <w:r>
              <w:rPr/>
              <w:t> </w:t>
            </w:r>
          </w:p>
        </w:tc>
        <w:tc>
          <w:tcPr>
            <w:tcW w:w="761" w:type="dxa"/>
            <w:tcBorders/>
            <w:vAlign w:val="center"/>
          </w:tcPr>
          <w:p>
            <w:pPr>
              <w:pStyle w:val="TableContents"/>
              <w:bidi w:val="0"/>
              <w:spacing w:before="75" w:after="30"/>
              <w:jc w:val="right"/>
              <w:rPr/>
            </w:pPr>
            <w:r>
              <w:rPr/>
              <w:t> </w:t>
            </w:r>
          </w:p>
        </w:tc>
        <w:tc>
          <w:tcPr>
            <w:tcW w:w="631" w:type="dxa"/>
            <w:tcBorders/>
            <w:vAlign w:val="center"/>
          </w:tcPr>
          <w:p>
            <w:pPr>
              <w:pStyle w:val="TableContents"/>
              <w:bidi w:val="0"/>
              <w:spacing w:before="75" w:after="30"/>
              <w:jc w:val="center"/>
              <w:rPr/>
            </w:pPr>
            <w:r>
              <w:rPr/>
              <w:t> </w:t>
            </w:r>
          </w:p>
        </w:tc>
        <w:tc>
          <w:tcPr>
            <w:tcW w:w="613" w:type="dxa"/>
            <w:tcBorders/>
            <w:vAlign w:val="center"/>
          </w:tcPr>
          <w:p>
            <w:pPr>
              <w:pStyle w:val="TableContents"/>
              <w:bidi w:val="0"/>
              <w:spacing w:before="75" w:after="30"/>
              <w:jc w:val="right"/>
              <w:rPr/>
            </w:pPr>
            <w:r>
              <w:rPr/>
              <w:t> </w:t>
            </w:r>
          </w:p>
        </w:tc>
        <w:tc>
          <w:tcPr>
            <w:tcW w:w="1170"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4.2</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18">
              <w:r>
                <w:rPr>
                  <w:rStyle w:val="InternetLink"/>
                  <w:rFonts w:ascii="Times New Roman" w:hAnsi="Times New Roman"/>
                  <w:color w:val="0000FF"/>
                  <w:sz w:val="16"/>
                  <w:u w:val="single"/>
                </w:rPr>
                <w:t>Form of Tempest Therapeutics, Inc. Warrant to Purchase Stock</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S-4/A</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333-255198</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4.2</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5/4/2021</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4.3</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19">
              <w:r>
                <w:rPr>
                  <w:rStyle w:val="InternetLink"/>
                  <w:rFonts w:ascii="Times New Roman" w:hAnsi="Times New Roman"/>
                  <w:color w:val="0000FF"/>
                  <w:sz w:val="16"/>
                  <w:u w:val="single"/>
                </w:rPr>
                <w:t>Form of Pre-Funded Warrant</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4.1</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5/2/2022</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4.4</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20">
              <w:r>
                <w:rPr>
                  <w:rStyle w:val="InternetLink"/>
                  <w:rFonts w:ascii="Times New Roman" w:hAnsi="Times New Roman"/>
                  <w:color w:val="0000FF"/>
                  <w:sz w:val="16"/>
                  <w:u w:val="single"/>
                </w:rPr>
                <w:t>Registration Rights Agreement, dated April 26, 2022, by and among Tempest Therapeutics, Inc. and the persons party thereto</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5/2/2022</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4.5</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21">
              <w:r>
                <w:rPr>
                  <w:rStyle w:val="InternetLink"/>
                  <w:rFonts w:ascii="Times New Roman" w:hAnsi="Times New Roman"/>
                  <w:color w:val="0000FF"/>
                  <w:sz w:val="16"/>
                  <w:u w:val="single"/>
                </w:rPr>
                <w:t>Rights Agreement, dated as of October 10, 2023, between Tempest Therapeutics, Inc. and Computershare Trust Company, N.A., which includes the form of Certificate of Designation as Exhibit A, the form of Right Certificate as Exhibit B and the Summary of Rights to Purchase Preferred Shares as Exhibit C</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4.1</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10/11/2023</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10.1</w:t>
            </w:r>
            <w:r>
              <w:rPr>
                <w:rFonts w:ascii="Times New Roman" w:hAnsi="Times New Roman"/>
                <w:color w:val="000000"/>
                <w:sz w:val="11"/>
              </w:rPr>
              <w:t>+</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22">
              <w:r>
                <w:rPr>
                  <w:rStyle w:val="InternetLink"/>
                  <w:rFonts w:ascii="Times New Roman" w:hAnsi="Times New Roman"/>
                  <w:color w:val="0000FF"/>
                  <w:sz w:val="16"/>
                  <w:u w:val="single"/>
                </w:rPr>
                <w:t>2011 Equity Incentive Plan</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S-8</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333-257727</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7/7/2021</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10.2</w:t>
            </w:r>
            <w:r>
              <w:rPr>
                <w:rFonts w:ascii="Times New Roman" w:hAnsi="Times New Roman"/>
                <w:color w:val="000000"/>
                <w:sz w:val="11"/>
              </w:rPr>
              <w:t>+</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23">
              <w:r>
                <w:rPr>
                  <w:rStyle w:val="InternetLink"/>
                  <w:rFonts w:ascii="Times New Roman" w:hAnsi="Times New Roman"/>
                  <w:color w:val="0000FF"/>
                  <w:sz w:val="16"/>
                  <w:u w:val="single"/>
                </w:rPr>
                <w:t>2017 Equity Incentive Plan</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S-8</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333-257727</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7/7/2021</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10.3</w:t>
            </w:r>
            <w:r>
              <w:rPr>
                <w:rFonts w:ascii="Times New Roman" w:hAnsi="Times New Roman"/>
                <w:color w:val="000000"/>
                <w:sz w:val="11"/>
              </w:rPr>
              <w:t>+</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24">
              <w:r>
                <w:rPr>
                  <w:rStyle w:val="InternetLink"/>
                  <w:rFonts w:ascii="Times New Roman" w:hAnsi="Times New Roman"/>
                  <w:color w:val="0000FF"/>
                  <w:sz w:val="16"/>
                  <w:u w:val="single"/>
                </w:rPr>
                <w:t>Form of Stock Option Agreement under the 2017 Equity Incentive Plan</w:t>
              </w:r>
            </w:hyperlink>
          </w:p>
        </w:tc>
        <w:tc>
          <w:tcPr>
            <w:tcW w:w="511"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10-K</w:t>
            </w:r>
          </w:p>
        </w:tc>
        <w:tc>
          <w:tcPr>
            <w:tcW w:w="761"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10.3</w:t>
            </w:r>
          </w:p>
        </w:tc>
        <w:tc>
          <w:tcPr>
            <w:tcW w:w="613" w:type="dxa"/>
            <w:tcBorders/>
            <w:vAlign w:val="center"/>
          </w:tcPr>
          <w:p>
            <w:pPr>
              <w:pStyle w:val="TableContents"/>
              <w:bidi w:val="0"/>
              <w:spacing w:before="55" w:after="30"/>
              <w:jc w:val="right"/>
              <w:rPr>
                <w:rFonts w:ascii="Times New Roman" w:hAnsi="Times New Roman"/>
                <w:color w:val="000000"/>
                <w:sz w:val="16"/>
              </w:rPr>
            </w:pPr>
            <w:r>
              <w:rPr>
                <w:rFonts w:ascii="Times New Roman" w:hAnsi="Times New Roman"/>
                <w:color w:val="000000"/>
                <w:sz w:val="16"/>
              </w:rPr>
              <w:t>3/29/2022</w:t>
            </w:r>
          </w:p>
        </w:tc>
        <w:tc>
          <w:tcPr>
            <w:tcW w:w="1170" w:type="dxa"/>
            <w:tcBorders/>
            <w:tcMar>
              <w:top w:w="0" w:type="dxa"/>
              <w:left w:w="0" w:type="dxa"/>
              <w:bottom w:w="0" w:type="dxa"/>
              <w:right w:w="0" w:type="dxa"/>
            </w:tcMar>
            <w:vAlign w:val="center"/>
          </w:tcPr>
          <w:p>
            <w:pPr>
              <w:pStyle w:val="TableContents"/>
              <w:bidi w:val="0"/>
              <w:spacing w:before="75" w:after="30"/>
              <w:jc w:val="center"/>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10.13</w:t>
            </w:r>
            <w:r>
              <w:rPr>
                <w:rFonts w:ascii="Times New Roman" w:hAnsi="Times New Roman"/>
                <w:color w:val="000000"/>
                <w:sz w:val="11"/>
              </w:rPr>
              <w:t>+</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25">
              <w:r>
                <w:rPr>
                  <w:rStyle w:val="InternetLink"/>
                  <w:rFonts w:ascii="Times New Roman" w:hAnsi="Times New Roman"/>
                  <w:color w:val="0000FF"/>
                  <w:sz w:val="16"/>
                  <w:u w:val="single"/>
                </w:rPr>
                <w:t>Amended and Restated 2019 Equity Incentive Plan</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6/21/2022</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10.14</w:t>
            </w:r>
            <w:r>
              <w:rPr>
                <w:rFonts w:ascii="Times New Roman" w:hAnsi="Times New Roman"/>
                <w:color w:val="000000"/>
                <w:sz w:val="11"/>
              </w:rPr>
              <w:t>+</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26">
              <w:r>
                <w:rPr>
                  <w:rStyle w:val="InternetLink"/>
                  <w:rFonts w:ascii="Times New Roman" w:hAnsi="Times New Roman"/>
                  <w:color w:val="0000FF"/>
                  <w:sz w:val="16"/>
                  <w:u w:val="single"/>
                </w:rPr>
                <w:t>Form of Option Grant Package under 2019 Equity Incentive Plan</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10-Q</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10.7</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8/12/2019</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10.15</w:t>
            </w:r>
            <w:r>
              <w:rPr>
                <w:rFonts w:ascii="Times New Roman" w:hAnsi="Times New Roman"/>
                <w:color w:val="000000"/>
                <w:sz w:val="11"/>
              </w:rPr>
              <w:t>+</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27">
              <w:r>
                <w:rPr>
                  <w:rStyle w:val="InternetLink"/>
                  <w:rFonts w:ascii="Times New Roman" w:hAnsi="Times New Roman"/>
                  <w:color w:val="0000FF"/>
                  <w:sz w:val="16"/>
                  <w:u w:val="single"/>
                </w:rPr>
                <w:t>Form of RSU Grant Package under 2019 Equity Incentive Plan</w:t>
              </w:r>
            </w:hyperlink>
            <w:hyperlink r:id="rId28">
              <w:r>
                <w:rPr>
                  <w:rStyle w:val="InternetLink"/>
                  <w:rFonts w:ascii="Times New Roman" w:hAnsi="Times New Roman"/>
                  <w:color w:val="0000FF"/>
                  <w:sz w:val="16"/>
                </w:rPr>
                <w:t xml:space="preserve"> </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10-Q</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10.8</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8/12/2019</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10.16</w:t>
            </w:r>
            <w:r>
              <w:rPr>
                <w:rFonts w:ascii="Times New Roman" w:hAnsi="Times New Roman"/>
                <w:color w:val="000000"/>
                <w:sz w:val="11"/>
              </w:rPr>
              <w:t>+</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29">
              <w:r>
                <w:rPr>
                  <w:rStyle w:val="InternetLink"/>
                  <w:rFonts w:ascii="Times New Roman" w:hAnsi="Times New Roman"/>
                  <w:color w:val="0000FF"/>
                  <w:sz w:val="16"/>
                  <w:u w:val="single"/>
                </w:rPr>
                <w:t>Form of Stock Option Agreement under the Sub Plan for French Residents under 2019 Equity Incentive Plan</w:t>
              </w:r>
            </w:hyperlink>
            <w:hyperlink r:id="rId30">
              <w:r>
                <w:rPr>
                  <w:rStyle w:val="InternetLink"/>
                  <w:rFonts w:ascii="Times New Roman" w:hAnsi="Times New Roman"/>
                  <w:color w:val="0000FF"/>
                  <w:sz w:val="16"/>
                </w:rPr>
                <w:t xml:space="preserve"> </w:t>
              </w:r>
            </w:hyperlink>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10-K</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10.16</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3/11/2020</w:t>
            </w:r>
          </w:p>
        </w:tc>
        <w:tc>
          <w:tcPr>
            <w:tcW w:w="1170" w:type="dxa"/>
            <w:tcBorders/>
            <w:vAlign w:val="center"/>
          </w:tcPr>
          <w:p>
            <w:pPr>
              <w:pStyle w:val="TableContents"/>
              <w:bidi w:val="0"/>
              <w:spacing w:before="0" w:after="283"/>
              <w:jc w:val="left"/>
              <w:rPr/>
            </w:pPr>
            <w:r>
              <w:rPr/>
              <w:t> </w:t>
            </w:r>
          </w:p>
        </w:tc>
      </w:tr>
      <w:tr>
        <w:trPr/>
        <w:tc>
          <w:tcPr>
            <w:tcW w:w="83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10.17</w:t>
            </w:r>
            <w:r>
              <w:rPr>
                <w:rFonts w:ascii="Times New Roman" w:hAnsi="Times New Roman"/>
                <w:color w:val="000000"/>
                <w:sz w:val="11"/>
              </w:rPr>
              <w:t>+</w:t>
            </w:r>
          </w:p>
        </w:tc>
        <w:tc>
          <w:tcPr>
            <w:tcW w:w="5686" w:type="dxa"/>
            <w:tcBorders/>
            <w:tcMar>
              <w:top w:w="0" w:type="dxa"/>
              <w:left w:w="0" w:type="dxa"/>
              <w:bottom w:w="0" w:type="dxa"/>
              <w:right w:w="0" w:type="dxa"/>
            </w:tcMar>
            <w:vAlign w:val="center"/>
          </w:tcPr>
          <w:p>
            <w:pPr>
              <w:pStyle w:val="TableContents"/>
              <w:bidi w:val="0"/>
              <w:spacing w:before="75" w:after="30"/>
              <w:jc w:val="left"/>
              <w:rPr/>
            </w:pPr>
            <w:hyperlink r:id="rId31">
              <w:r>
                <w:rPr>
                  <w:rStyle w:val="InternetLink"/>
                  <w:rFonts w:ascii="Times New Roman" w:hAnsi="Times New Roman"/>
                  <w:color w:val="0000FF"/>
                  <w:sz w:val="16"/>
                  <w:u w:val="single"/>
                </w:rPr>
                <w:t>Form of Inducement Nonqualified Stock Option Agreement subject to the terms of the 2019 Equity Incentive Plan</w:t>
              </w:r>
            </w:hyperlink>
            <w:r>
              <w:rPr>
                <w:rFonts w:ascii="Times New Roman" w:hAnsi="Times New Roman"/>
                <w:color w:val="000000"/>
                <w:sz w:val="16"/>
              </w:rPr>
              <w:t xml:space="preserve"> </w:t>
            </w:r>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10-K</w:t>
            </w:r>
          </w:p>
        </w:tc>
        <w:tc>
          <w:tcPr>
            <w:tcW w:w="76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6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10.17</w:t>
            </w:r>
          </w:p>
        </w:tc>
        <w:tc>
          <w:tcPr>
            <w:tcW w:w="613"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3/11/2020</w:t>
            </w:r>
          </w:p>
        </w:tc>
        <w:tc>
          <w:tcPr>
            <w:tcW w:w="1170" w:type="dxa"/>
            <w:tcBorders/>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3"/>
        <w:gridCol w:w="7019"/>
        <w:gridCol w:w="437"/>
        <w:gridCol w:w="751"/>
        <w:gridCol w:w="511"/>
        <w:gridCol w:w="610"/>
        <w:gridCol w:w="274"/>
      </w:tblGrid>
      <w:tr>
        <w:trPr/>
        <w:tc>
          <w:tcPr>
            <w:tcW w:w="603" w:type="dxa"/>
            <w:tcBorders/>
            <w:vAlign w:val="center"/>
          </w:tcPr>
          <w:p>
            <w:pPr>
              <w:pStyle w:val="TableContents"/>
              <w:bidi w:val="0"/>
              <w:spacing w:before="0" w:after="283"/>
              <w:jc w:val="left"/>
              <w:rPr>
                <w:sz w:val="4"/>
                <w:szCs w:val="4"/>
              </w:rPr>
            </w:pPr>
            <w:r>
              <w:rPr>
                <w:sz w:val="4"/>
                <w:szCs w:val="4"/>
              </w:rPr>
            </w:r>
          </w:p>
        </w:tc>
        <w:tc>
          <w:tcPr>
            <w:tcW w:w="701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10.18</w:t>
            </w:r>
            <w:r>
              <w:rPr>
                <w:rFonts w:ascii="Times New Roman" w:hAnsi="Times New Roman"/>
                <w:color w:val="000000"/>
                <w:sz w:val="11"/>
              </w:rPr>
              <w:t>+</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32">
              <w:r>
                <w:rPr>
                  <w:rStyle w:val="InternetLink"/>
                  <w:rFonts w:ascii="Times New Roman" w:hAnsi="Times New Roman"/>
                  <w:color w:val="0000FF"/>
                  <w:sz w:val="16"/>
                  <w:u w:val="single"/>
                </w:rPr>
                <w:t>Amended and Restated 2019 Employee Stock Purchase Plan</w:t>
              </w:r>
            </w:hyperlink>
          </w:p>
        </w:tc>
        <w:tc>
          <w:tcPr>
            <w:tcW w:w="437"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5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w:t>
            </w:r>
          </w:p>
        </w:tc>
        <w:tc>
          <w:tcPr>
            <w:tcW w:w="610"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6/21/2022</w:t>
            </w:r>
          </w:p>
        </w:tc>
        <w:tc>
          <w:tcPr>
            <w:tcW w:w="274" w:type="dxa"/>
            <w:tcBorders/>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10.19</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33">
              <w:r>
                <w:rPr>
                  <w:rStyle w:val="InternetLink"/>
                  <w:rFonts w:ascii="Times New Roman" w:hAnsi="Times New Roman"/>
                  <w:color w:val="0000FF"/>
                  <w:sz w:val="16"/>
                  <w:u w:val="single"/>
                </w:rPr>
                <w:t>Loan and Security Agreement, dated January 15, 2021, by and among Oxford Finance LLC, the Lenders party thereto, and Tempest</w:t>
              </w:r>
            </w:hyperlink>
            <w:r>
              <w:rPr>
                <w:rFonts w:ascii="Times New Roman" w:hAnsi="Times New Roman"/>
                <w:color w:val="000000"/>
                <w:sz w:val="16"/>
              </w:rPr>
              <w:t xml:space="preserve"> </w:t>
            </w:r>
          </w:p>
        </w:tc>
        <w:tc>
          <w:tcPr>
            <w:tcW w:w="437"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S-4/A</w:t>
            </w:r>
          </w:p>
        </w:tc>
        <w:tc>
          <w:tcPr>
            <w:tcW w:w="75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333-255198</w:t>
            </w:r>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10.3</w:t>
            </w:r>
          </w:p>
        </w:tc>
        <w:tc>
          <w:tcPr>
            <w:tcW w:w="610"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5/4/2021</w:t>
            </w:r>
          </w:p>
        </w:tc>
        <w:tc>
          <w:tcPr>
            <w:tcW w:w="274" w:type="dxa"/>
            <w:tcBorders/>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10.20</w:t>
            </w:r>
            <w:r>
              <w:rPr>
                <w:rFonts w:ascii="Times New Roman" w:hAnsi="Times New Roman"/>
                <w:color w:val="000000"/>
                <w:sz w:val="11"/>
              </w:rPr>
              <w:t>+</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34">
              <w:r>
                <w:rPr>
                  <w:rStyle w:val="InternetLink"/>
                  <w:rFonts w:ascii="Times New Roman" w:hAnsi="Times New Roman"/>
                  <w:color w:val="0000FF"/>
                  <w:sz w:val="16"/>
                  <w:u w:val="single"/>
                </w:rPr>
                <w:t>Form of Indemnification Agreement</w:t>
              </w:r>
            </w:hyperlink>
            <w:hyperlink r:id="rId35">
              <w:r>
                <w:rPr>
                  <w:rStyle w:val="InternetLink"/>
                  <w:rFonts w:ascii="Times New Roman" w:hAnsi="Times New Roman"/>
                  <w:color w:val="0000FF"/>
                  <w:sz w:val="16"/>
                </w:rPr>
                <w:t xml:space="preserve"> </w:t>
              </w:r>
            </w:hyperlink>
          </w:p>
        </w:tc>
        <w:tc>
          <w:tcPr>
            <w:tcW w:w="437"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5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w:t>
            </w:r>
          </w:p>
        </w:tc>
        <w:tc>
          <w:tcPr>
            <w:tcW w:w="610"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7/07/2021</w:t>
            </w:r>
          </w:p>
        </w:tc>
        <w:tc>
          <w:tcPr>
            <w:tcW w:w="274" w:type="dxa"/>
            <w:tcBorders/>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10.21</w:t>
            </w:r>
            <w:r>
              <w:rPr>
                <w:rFonts w:ascii="Times New Roman" w:hAnsi="Times New Roman"/>
                <w:color w:val="000000"/>
                <w:sz w:val="11"/>
              </w:rPr>
              <w:t>+</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36">
              <w:r>
                <w:rPr>
                  <w:rStyle w:val="InternetLink"/>
                  <w:rFonts w:ascii="Times New Roman" w:hAnsi="Times New Roman"/>
                  <w:color w:val="0000FF"/>
                  <w:sz w:val="16"/>
                  <w:u w:val="single"/>
                </w:rPr>
                <w:t>Employment Agreement, dated July 7, 2021, by and between the Company and Stephen Brady</w:t>
              </w:r>
            </w:hyperlink>
            <w:r>
              <w:rPr>
                <w:rFonts w:ascii="Times New Roman" w:hAnsi="Times New Roman"/>
                <w:color w:val="000000"/>
                <w:sz w:val="16"/>
              </w:rPr>
              <w:t xml:space="preserve"> </w:t>
            </w:r>
          </w:p>
        </w:tc>
        <w:tc>
          <w:tcPr>
            <w:tcW w:w="437"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5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w:t>
            </w:r>
          </w:p>
        </w:tc>
        <w:tc>
          <w:tcPr>
            <w:tcW w:w="610"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7/07/2021</w:t>
            </w:r>
          </w:p>
        </w:tc>
        <w:tc>
          <w:tcPr>
            <w:tcW w:w="274" w:type="dxa"/>
            <w:tcBorders/>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10.22</w:t>
            </w:r>
            <w:r>
              <w:rPr>
                <w:rFonts w:ascii="Times New Roman" w:hAnsi="Times New Roman"/>
                <w:color w:val="000000"/>
                <w:sz w:val="11"/>
              </w:rPr>
              <w:t>+</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37">
              <w:r>
                <w:rPr>
                  <w:rStyle w:val="InternetLink"/>
                  <w:rFonts w:ascii="Times New Roman" w:hAnsi="Times New Roman"/>
                  <w:color w:val="0000FF"/>
                  <w:sz w:val="16"/>
                  <w:u w:val="single"/>
                </w:rPr>
                <w:t>Employment Agreement, dated July 7, 2021, by and between the Company and Thomas Dubensky, Ph.D.</w:t>
              </w:r>
            </w:hyperlink>
            <w:hyperlink r:id="rId38">
              <w:r>
                <w:rPr>
                  <w:rStyle w:val="InternetLink"/>
                  <w:rFonts w:ascii="Times New Roman" w:hAnsi="Times New Roman"/>
                  <w:color w:val="0000FF"/>
                  <w:sz w:val="16"/>
                </w:rPr>
                <w:t xml:space="preserve"> </w:t>
              </w:r>
            </w:hyperlink>
          </w:p>
        </w:tc>
        <w:tc>
          <w:tcPr>
            <w:tcW w:w="437"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5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10.3</w:t>
            </w:r>
          </w:p>
        </w:tc>
        <w:tc>
          <w:tcPr>
            <w:tcW w:w="610"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7/07/2021</w:t>
            </w:r>
          </w:p>
        </w:tc>
        <w:tc>
          <w:tcPr>
            <w:tcW w:w="274" w:type="dxa"/>
            <w:tcBorders/>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10.23</w:t>
            </w:r>
            <w:r>
              <w:rPr>
                <w:rFonts w:ascii="Times New Roman" w:hAnsi="Times New Roman"/>
                <w:color w:val="000000"/>
                <w:sz w:val="11"/>
              </w:rPr>
              <w:t>+</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39">
              <w:r>
                <w:rPr>
                  <w:rStyle w:val="InternetLink"/>
                  <w:rFonts w:ascii="Times New Roman" w:hAnsi="Times New Roman"/>
                  <w:color w:val="0000FF"/>
                  <w:sz w:val="16"/>
                  <w:u w:val="single"/>
                </w:rPr>
                <w:t>Employment Agreement, dated July 7, 2021, by and between the Company and Samuel Whiting, M.D., Ph.D.</w:t>
              </w:r>
            </w:hyperlink>
            <w:r>
              <w:rPr>
                <w:rFonts w:ascii="Times New Roman" w:hAnsi="Times New Roman"/>
                <w:color w:val="000000"/>
                <w:sz w:val="16"/>
              </w:rPr>
              <w:t xml:space="preserve"> </w:t>
            </w:r>
          </w:p>
        </w:tc>
        <w:tc>
          <w:tcPr>
            <w:tcW w:w="437"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5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10.4</w:t>
            </w:r>
          </w:p>
        </w:tc>
        <w:tc>
          <w:tcPr>
            <w:tcW w:w="610"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7/07/2021</w:t>
            </w:r>
          </w:p>
        </w:tc>
        <w:tc>
          <w:tcPr>
            <w:tcW w:w="274" w:type="dxa"/>
            <w:tcBorders/>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10.24</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40">
              <w:r>
                <w:rPr>
                  <w:rStyle w:val="InternetLink"/>
                  <w:rFonts w:ascii="Times New Roman" w:hAnsi="Times New Roman"/>
                  <w:color w:val="0000FF"/>
                  <w:sz w:val="16"/>
                  <w:u w:val="single"/>
                </w:rPr>
                <w:t>Lease Agreement, dated January 24, 2022, by and between HCP Life Science REIT, Inc. and Tempest Therapeutics, Inc.</w:t>
              </w:r>
            </w:hyperlink>
            <w:hyperlink r:id="rId41">
              <w:r>
                <w:rPr>
                  <w:rStyle w:val="InternetLink"/>
                  <w:rFonts w:ascii="Times New Roman" w:hAnsi="Times New Roman"/>
                  <w:color w:val="0000FF"/>
                  <w:sz w:val="16"/>
                </w:rPr>
                <w:t xml:space="preserve"> </w:t>
              </w:r>
            </w:hyperlink>
          </w:p>
        </w:tc>
        <w:tc>
          <w:tcPr>
            <w:tcW w:w="437"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10-K</w:t>
            </w:r>
          </w:p>
        </w:tc>
        <w:tc>
          <w:tcPr>
            <w:tcW w:w="75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10.24</w:t>
            </w:r>
          </w:p>
        </w:tc>
        <w:tc>
          <w:tcPr>
            <w:tcW w:w="610"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03/22/2023</w:t>
            </w:r>
          </w:p>
        </w:tc>
        <w:tc>
          <w:tcPr>
            <w:tcW w:w="274" w:type="dxa"/>
            <w:tcBorders/>
            <w:vAlign w:val="center"/>
          </w:tcPr>
          <w:p>
            <w:pPr>
              <w:pStyle w:val="TableContents"/>
              <w:bidi w:val="0"/>
              <w:spacing w:before="75" w:after="30"/>
              <w:jc w:val="center"/>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10.25</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42">
              <w:r>
                <w:rPr>
                  <w:rStyle w:val="InternetLink"/>
                  <w:rFonts w:ascii="Times New Roman" w:hAnsi="Times New Roman"/>
                  <w:color w:val="0000FF"/>
                  <w:sz w:val="16"/>
                  <w:u w:val="single"/>
                </w:rPr>
                <w:t>First Amendment to Loan and Security Agreement, dated December 23, 2022, by and among Oxford Finance LLC, Tempest Therapeutics, Inc., Tempest TX, Inc. and Millendo Therapeutics US, Inc.</w:t>
              </w:r>
            </w:hyperlink>
          </w:p>
        </w:tc>
        <w:tc>
          <w:tcPr>
            <w:tcW w:w="437"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8-K</w:t>
            </w:r>
          </w:p>
        </w:tc>
        <w:tc>
          <w:tcPr>
            <w:tcW w:w="751"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w:t>
            </w:r>
          </w:p>
        </w:tc>
        <w:tc>
          <w:tcPr>
            <w:tcW w:w="610"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12/29/2022</w:t>
            </w:r>
          </w:p>
        </w:tc>
        <w:tc>
          <w:tcPr>
            <w:tcW w:w="274" w:type="dxa"/>
            <w:tcBorders/>
            <w:tcMar>
              <w:top w:w="0" w:type="dxa"/>
              <w:left w:w="0" w:type="dxa"/>
              <w:bottom w:w="0" w:type="dxa"/>
              <w:right w:w="0" w:type="dxa"/>
            </w:tcMar>
            <w:vAlign w:val="center"/>
          </w:tcPr>
          <w:p>
            <w:pPr>
              <w:pStyle w:val="TableContents"/>
              <w:bidi w:val="0"/>
              <w:spacing w:before="75" w:after="30"/>
              <w:jc w:val="center"/>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10.26#</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w:anchor="tpst-ex10_26.htm">
              <w:r>
                <w:rPr>
                  <w:rStyle w:val="InternetLink"/>
                  <w:rFonts w:ascii="Times New Roman" w:hAnsi="Times New Roman"/>
                  <w:color w:val="0000FF"/>
                  <w:sz w:val="16"/>
                  <w:u w:val="single"/>
                </w:rPr>
                <w:t>Second Amendment to Loan and Security Agreement, dated November 3, 2023, by and among Oxford Finance LLC, Tempest Therapeutics, Inc., Tempest TX, Inc. and Millendo Therapeutics US, Inc</w:t>
              </w:r>
            </w:hyperlink>
          </w:p>
        </w:tc>
        <w:tc>
          <w:tcPr>
            <w:tcW w:w="437" w:type="dxa"/>
            <w:tcBorders/>
            <w:vAlign w:val="center"/>
          </w:tcPr>
          <w:p>
            <w:pPr>
              <w:pStyle w:val="TableContents"/>
              <w:bidi w:val="0"/>
              <w:spacing w:before="75" w:after="30"/>
              <w:jc w:val="center"/>
              <w:rPr/>
            </w:pPr>
            <w:r>
              <w:rPr/>
              <w:t> </w:t>
            </w:r>
          </w:p>
        </w:tc>
        <w:tc>
          <w:tcPr>
            <w:tcW w:w="751" w:type="dxa"/>
            <w:tcBorders/>
            <w:vAlign w:val="center"/>
          </w:tcPr>
          <w:p>
            <w:pPr>
              <w:pStyle w:val="TableContents"/>
              <w:bidi w:val="0"/>
              <w:spacing w:before="75" w:after="30"/>
              <w:jc w:val="right"/>
              <w:rPr/>
            </w:pPr>
            <w:r>
              <w:rPr/>
              <w:t> </w:t>
            </w:r>
          </w:p>
        </w:tc>
        <w:tc>
          <w:tcPr>
            <w:tcW w:w="511" w:type="dxa"/>
            <w:tcBorders/>
            <w:vAlign w:val="center"/>
          </w:tcPr>
          <w:p>
            <w:pPr>
              <w:pStyle w:val="TableContents"/>
              <w:bidi w:val="0"/>
              <w:spacing w:before="75" w:after="30"/>
              <w:jc w:val="center"/>
              <w:rPr/>
            </w:pPr>
            <w:r>
              <w:rPr/>
              <w:t> </w:t>
            </w:r>
          </w:p>
        </w:tc>
        <w:tc>
          <w:tcPr>
            <w:tcW w:w="610" w:type="dxa"/>
            <w:tcBorders/>
            <w:vAlign w:val="center"/>
          </w:tcPr>
          <w:p>
            <w:pPr>
              <w:pStyle w:val="TableContents"/>
              <w:bidi w:val="0"/>
              <w:spacing w:before="75" w:after="30"/>
              <w:jc w:val="righ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10.27</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43">
              <w:r>
                <w:rPr>
                  <w:rStyle w:val="InternetLink"/>
                  <w:rFonts w:ascii="Times New Roman" w:hAnsi="Times New Roman"/>
                  <w:color w:val="0000FF"/>
                  <w:sz w:val="16"/>
                  <w:u w:val="single"/>
                </w:rPr>
                <w:t>Tempest Therapeutics, Inc. Amended and Restated 2023 Equity Incentive Plan</w:t>
              </w:r>
            </w:hyperlink>
          </w:p>
        </w:tc>
        <w:tc>
          <w:tcPr>
            <w:tcW w:w="437"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10-Q</w:t>
            </w:r>
          </w:p>
        </w:tc>
        <w:tc>
          <w:tcPr>
            <w:tcW w:w="751"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w:t>
            </w:r>
          </w:p>
        </w:tc>
        <w:tc>
          <w:tcPr>
            <w:tcW w:w="610"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8/10/2023</w:t>
            </w:r>
          </w:p>
        </w:tc>
        <w:tc>
          <w:tcPr>
            <w:tcW w:w="274" w:type="dxa"/>
            <w:tcBorders/>
            <w:tcMar>
              <w:top w:w="0" w:type="dxa"/>
              <w:left w:w="0" w:type="dxa"/>
              <w:bottom w:w="0" w:type="dxa"/>
              <w:right w:w="0" w:type="dxa"/>
            </w:tcMar>
            <w:vAlign w:val="center"/>
          </w:tcPr>
          <w:p>
            <w:pPr>
              <w:pStyle w:val="TableContents"/>
              <w:bidi w:val="0"/>
              <w:spacing w:before="75" w:after="30"/>
              <w:jc w:val="center"/>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10.28</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44">
              <w:r>
                <w:rPr>
                  <w:rStyle w:val="InternetLink"/>
                  <w:rFonts w:ascii="Times New Roman" w:hAnsi="Times New Roman"/>
                  <w:color w:val="0000FF"/>
                  <w:sz w:val="16"/>
                  <w:u w:val="single"/>
                </w:rPr>
                <w:t>Form of Option Grant Package under the Amended and Restated 2023 Equity Incentive Plan</w:t>
              </w:r>
            </w:hyperlink>
          </w:p>
        </w:tc>
        <w:tc>
          <w:tcPr>
            <w:tcW w:w="437"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10-Q</w:t>
            </w:r>
          </w:p>
        </w:tc>
        <w:tc>
          <w:tcPr>
            <w:tcW w:w="751"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w:t>
            </w:r>
          </w:p>
        </w:tc>
        <w:tc>
          <w:tcPr>
            <w:tcW w:w="610"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8/10/2023</w:t>
            </w:r>
          </w:p>
        </w:tc>
        <w:tc>
          <w:tcPr>
            <w:tcW w:w="274" w:type="dxa"/>
            <w:tcBorders/>
            <w:tcMar>
              <w:top w:w="0" w:type="dxa"/>
              <w:left w:w="0" w:type="dxa"/>
              <w:bottom w:w="0" w:type="dxa"/>
              <w:right w:w="0" w:type="dxa"/>
            </w:tcMar>
            <w:vAlign w:val="center"/>
          </w:tcPr>
          <w:p>
            <w:pPr>
              <w:pStyle w:val="TableContents"/>
              <w:bidi w:val="0"/>
              <w:spacing w:before="75" w:after="30"/>
              <w:jc w:val="center"/>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10.29</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45">
              <w:r>
                <w:rPr>
                  <w:rStyle w:val="InternetLink"/>
                  <w:rFonts w:ascii="Times New Roman" w:hAnsi="Times New Roman"/>
                  <w:color w:val="0000FF"/>
                  <w:sz w:val="16"/>
                  <w:u w:val="single"/>
                </w:rPr>
                <w:t>Tempest Therapeutics, Inc. 2023 Inducement Plan</w:t>
              </w:r>
            </w:hyperlink>
          </w:p>
        </w:tc>
        <w:tc>
          <w:tcPr>
            <w:tcW w:w="437"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10-Q</w:t>
            </w:r>
          </w:p>
        </w:tc>
        <w:tc>
          <w:tcPr>
            <w:tcW w:w="751"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10.3</w:t>
            </w:r>
          </w:p>
        </w:tc>
        <w:tc>
          <w:tcPr>
            <w:tcW w:w="610"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8/10/2023</w:t>
            </w:r>
          </w:p>
        </w:tc>
        <w:tc>
          <w:tcPr>
            <w:tcW w:w="274" w:type="dxa"/>
            <w:tcBorders/>
            <w:tcMar>
              <w:top w:w="0" w:type="dxa"/>
              <w:left w:w="0" w:type="dxa"/>
              <w:bottom w:w="0" w:type="dxa"/>
              <w:right w:w="0" w:type="dxa"/>
            </w:tcMar>
            <w:vAlign w:val="center"/>
          </w:tcPr>
          <w:p>
            <w:pPr>
              <w:pStyle w:val="TableContents"/>
              <w:bidi w:val="0"/>
              <w:spacing w:before="75" w:after="30"/>
              <w:jc w:val="center"/>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10.30</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46">
              <w:r>
                <w:rPr>
                  <w:rStyle w:val="InternetLink"/>
                  <w:rFonts w:ascii="Times New Roman" w:hAnsi="Times New Roman"/>
                  <w:color w:val="0000FF"/>
                  <w:sz w:val="16"/>
                  <w:u w:val="single"/>
                </w:rPr>
                <w:t>Form of Option Grant Package under the 2023 Inducement Plan</w:t>
              </w:r>
            </w:hyperlink>
          </w:p>
        </w:tc>
        <w:tc>
          <w:tcPr>
            <w:tcW w:w="437"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10-Q</w:t>
            </w:r>
          </w:p>
        </w:tc>
        <w:tc>
          <w:tcPr>
            <w:tcW w:w="751"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10.4</w:t>
            </w:r>
          </w:p>
        </w:tc>
        <w:tc>
          <w:tcPr>
            <w:tcW w:w="610"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8/10/2023</w:t>
            </w:r>
          </w:p>
        </w:tc>
        <w:tc>
          <w:tcPr>
            <w:tcW w:w="274" w:type="dxa"/>
            <w:tcBorders/>
            <w:tcMar>
              <w:top w:w="0" w:type="dxa"/>
              <w:left w:w="0" w:type="dxa"/>
              <w:bottom w:w="0" w:type="dxa"/>
              <w:right w:w="0" w:type="dxa"/>
            </w:tcMar>
            <w:vAlign w:val="center"/>
          </w:tcPr>
          <w:p>
            <w:pPr>
              <w:pStyle w:val="TableContents"/>
              <w:bidi w:val="0"/>
              <w:spacing w:before="75" w:after="30"/>
              <w:jc w:val="center"/>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10.31+</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47">
              <w:r>
                <w:rPr>
                  <w:rStyle w:val="InternetLink"/>
                  <w:rFonts w:ascii="Times New Roman" w:hAnsi="Times New Roman"/>
                  <w:color w:val="0000FF"/>
                  <w:sz w:val="16"/>
                  <w:u w:val="single"/>
                </w:rPr>
                <w:t>Separation and Consulting Agreement by and between the Registrant and Thomas Dubensky, Ph.D., dated September 15, 2023</w:t>
              </w:r>
            </w:hyperlink>
          </w:p>
        </w:tc>
        <w:tc>
          <w:tcPr>
            <w:tcW w:w="437"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10-Q</w:t>
            </w:r>
          </w:p>
        </w:tc>
        <w:tc>
          <w:tcPr>
            <w:tcW w:w="751"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w:t>
            </w:r>
          </w:p>
        </w:tc>
        <w:tc>
          <w:tcPr>
            <w:tcW w:w="610"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11/8/2023</w:t>
            </w:r>
          </w:p>
        </w:tc>
        <w:tc>
          <w:tcPr>
            <w:tcW w:w="274" w:type="dxa"/>
            <w:tcBorders/>
            <w:tcMar>
              <w:top w:w="0" w:type="dxa"/>
              <w:left w:w="0" w:type="dxa"/>
              <w:bottom w:w="0" w:type="dxa"/>
              <w:right w:w="0" w:type="dxa"/>
            </w:tcMar>
            <w:vAlign w:val="center"/>
          </w:tcPr>
          <w:p>
            <w:pPr>
              <w:pStyle w:val="TableContents"/>
              <w:bidi w:val="0"/>
              <w:spacing w:before="75" w:after="30"/>
              <w:jc w:val="center"/>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21.1</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r:id="rId48">
              <w:r>
                <w:rPr>
                  <w:rStyle w:val="InternetLink"/>
                  <w:rFonts w:ascii="Times New Roman" w:hAnsi="Times New Roman"/>
                  <w:color w:val="0000FF"/>
                  <w:sz w:val="16"/>
                  <w:u w:val="single"/>
                </w:rPr>
                <w:t>Subsidiaries of the Registrant</w:t>
              </w:r>
            </w:hyperlink>
          </w:p>
        </w:tc>
        <w:tc>
          <w:tcPr>
            <w:tcW w:w="437"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10-K/A</w:t>
            </w:r>
          </w:p>
        </w:tc>
        <w:tc>
          <w:tcPr>
            <w:tcW w:w="751"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001-35890</w:t>
            </w:r>
          </w:p>
        </w:tc>
        <w:tc>
          <w:tcPr>
            <w:tcW w:w="511" w:type="dxa"/>
            <w:tcBorders/>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21.1</w:t>
            </w:r>
          </w:p>
        </w:tc>
        <w:tc>
          <w:tcPr>
            <w:tcW w:w="610" w:type="dxa"/>
            <w:tcBorders/>
            <w:vAlign w:val="center"/>
          </w:tcPr>
          <w:p>
            <w:pPr>
              <w:pStyle w:val="TableContents"/>
              <w:bidi w:val="0"/>
              <w:spacing w:before="75" w:after="30"/>
              <w:jc w:val="right"/>
              <w:rPr>
                <w:rFonts w:ascii="Times New Roman" w:hAnsi="Times New Roman"/>
                <w:color w:val="000000"/>
                <w:sz w:val="16"/>
              </w:rPr>
            </w:pPr>
            <w:r>
              <w:rPr>
                <w:rFonts w:ascii="Times New Roman" w:hAnsi="Times New Roman"/>
                <w:color w:val="000000"/>
                <w:sz w:val="16"/>
              </w:rPr>
              <w:t>4/1/2022</w:t>
            </w:r>
          </w:p>
        </w:tc>
        <w:tc>
          <w:tcPr>
            <w:tcW w:w="274" w:type="dxa"/>
            <w:tcBorders/>
            <w:tcMar>
              <w:top w:w="0" w:type="dxa"/>
              <w:left w:w="0" w:type="dxa"/>
              <w:bottom w:w="0" w:type="dxa"/>
              <w:right w:w="0" w:type="dxa"/>
            </w:tcMar>
            <w:vAlign w:val="center"/>
          </w:tcPr>
          <w:p>
            <w:pPr>
              <w:pStyle w:val="TableContents"/>
              <w:bidi w:val="0"/>
              <w:spacing w:before="75" w:after="30"/>
              <w:jc w:val="center"/>
              <w:rPr/>
            </w:pPr>
            <w:r>
              <w:rPr/>
              <w:t> </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23.1</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w:anchor="tpst-ex23_1.htm">
              <w:r>
                <w:rPr>
                  <w:rStyle w:val="InternetLink"/>
                  <w:rFonts w:ascii="Times New Roman" w:hAnsi="Times New Roman"/>
                  <w:color w:val="0000FF"/>
                  <w:sz w:val="16"/>
                  <w:u w:val="single"/>
                </w:rPr>
                <w:t>Consent of Ernst &amp; Young LLP, independent registered public accounting firm</w:t>
              </w:r>
            </w:hyperlink>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24.1</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w:anchor="section53">
              <w:r>
                <w:rPr>
                  <w:rStyle w:val="InternetLink"/>
                  <w:rFonts w:ascii="Times New Roman" w:hAnsi="Times New Roman"/>
                  <w:color w:val="0000FF"/>
                  <w:sz w:val="16"/>
                  <w:u w:val="single"/>
                </w:rPr>
                <w:t>Power of Attorney (included on signature page)</w:t>
              </w:r>
            </w:hyperlink>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31.1</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w:anchor="tpst-ex31_1.htm">
              <w:r>
                <w:rPr>
                  <w:rStyle w:val="InternetLink"/>
                  <w:rFonts w:ascii="Times New Roman" w:hAnsi="Times New Roman"/>
                  <w:color w:val="0000FF"/>
                  <w:sz w:val="16"/>
                  <w:u w:val="single"/>
                </w:rPr>
                <w:t>Certification of Principal Executive Officer pursuant to Rules 13a-14(a) and 15d-14(a) promulgated under the Securities Exchange Act of 1934, as adopted pursuant to Section 302 of the Sarbanes-Oxley Act of 2002</w:t>
              </w:r>
            </w:hyperlink>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31.2</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w:anchor="tpst-ex31_2.htm">
              <w:r>
                <w:rPr>
                  <w:rStyle w:val="InternetLink"/>
                  <w:rFonts w:ascii="Times New Roman" w:hAnsi="Times New Roman"/>
                  <w:color w:val="0000FF"/>
                  <w:sz w:val="16"/>
                  <w:u w:val="single"/>
                </w:rPr>
                <w:t>Certification of Principal Financial Officer pursuant to Rules 13a-14(a) and 15d-14(a) promulgated under the Securities Exchange Act of 1934, as adopted pursuant to section 302 of the Sarbanes-Oxley Act of 2002</w:t>
              </w:r>
            </w:hyperlink>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16"/>
              </w:rPr>
            </w:pPr>
            <w:r>
              <w:rPr>
                <w:rFonts w:ascii="Times New Roman" w:hAnsi="Times New Roman"/>
                <w:color w:val="000000"/>
                <w:sz w:val="16"/>
              </w:rPr>
              <w:t>32.1</w:t>
            </w:r>
            <w:r>
              <w:rPr>
                <w:rFonts w:ascii="Times New Roman" w:hAnsi="Times New Roman"/>
                <w:color w:val="000000"/>
                <w:sz w:val="11"/>
              </w:rPr>
              <w:t>^</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w:anchor="tpst-ex32_1.htm">
              <w:r>
                <w:rPr>
                  <w:rStyle w:val="InternetLink"/>
                  <w:rFonts w:ascii="Times New Roman" w:hAnsi="Times New Roman"/>
                  <w:color w:val="0000FF"/>
                  <w:sz w:val="16"/>
                  <w:u w:val="single"/>
                </w:rPr>
                <w:t>Certification of Principal Executive Officer and Principal Financial Officer pursuant to Rules 13a-14(b) and 15d-14(b) promulgated under the Securities Exchange Act of 1934 and 18 U.S.C. Section 1350, as adopted pursuant to section 906 of The Sarbanes-Oxley Act of 2002</w:t>
              </w:r>
            </w:hyperlink>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97.1+</w:t>
            </w:r>
          </w:p>
        </w:tc>
        <w:tc>
          <w:tcPr>
            <w:tcW w:w="7019" w:type="dxa"/>
            <w:tcBorders/>
            <w:tcMar>
              <w:top w:w="0" w:type="dxa"/>
              <w:left w:w="0" w:type="dxa"/>
              <w:bottom w:w="0" w:type="dxa"/>
              <w:right w:w="0" w:type="dxa"/>
            </w:tcMar>
            <w:vAlign w:val="center"/>
          </w:tcPr>
          <w:p>
            <w:pPr>
              <w:pStyle w:val="TableContents"/>
              <w:bidi w:val="0"/>
              <w:spacing w:before="75" w:after="30"/>
              <w:jc w:val="left"/>
              <w:rPr/>
            </w:pPr>
            <w:hyperlink w:anchor="tpst-ex97_1.htm">
              <w:r>
                <w:rPr>
                  <w:rStyle w:val="InternetLink"/>
                  <w:rFonts w:ascii="Times New Roman" w:hAnsi="Times New Roman"/>
                  <w:color w:val="0000FF"/>
                  <w:sz w:val="16"/>
                  <w:u w:val="single"/>
                </w:rPr>
                <w:t>Incentive Compensation Recoupment Policy</w:t>
              </w:r>
            </w:hyperlink>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101.INS</w:t>
            </w:r>
          </w:p>
        </w:tc>
        <w:tc>
          <w:tcPr>
            <w:tcW w:w="7019"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Inline XBRL Instance Document</w:t>
            </w:r>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101.SCH</w:t>
            </w:r>
          </w:p>
        </w:tc>
        <w:tc>
          <w:tcPr>
            <w:tcW w:w="7019"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Inline XBRL Taxonomy Extension Schema Document</w:t>
            </w:r>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101.CAL</w:t>
            </w:r>
          </w:p>
        </w:tc>
        <w:tc>
          <w:tcPr>
            <w:tcW w:w="7019"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Inline XBRL Taxonomy Extension Calculation Linkbase Document</w:t>
            </w:r>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101.DEF</w:t>
            </w:r>
          </w:p>
        </w:tc>
        <w:tc>
          <w:tcPr>
            <w:tcW w:w="7019"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Inline XBRL Taxonomy Extension Definition Linkbase Document</w:t>
            </w:r>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101.LAB</w:t>
            </w:r>
          </w:p>
        </w:tc>
        <w:tc>
          <w:tcPr>
            <w:tcW w:w="7019"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Inline XBRL Taxonomy Extension Label Linkbase Document</w:t>
            </w:r>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101.PRE</w:t>
            </w:r>
          </w:p>
        </w:tc>
        <w:tc>
          <w:tcPr>
            <w:tcW w:w="7019"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Inline XBRL Taxonomy Extension Presentation Linkbase Document</w:t>
            </w:r>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X</w:t>
            </w:r>
          </w:p>
        </w:tc>
      </w:tr>
      <w:tr>
        <w:trPr/>
        <w:tc>
          <w:tcPr>
            <w:tcW w:w="60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16"/>
              </w:rPr>
            </w:pPr>
            <w:r>
              <w:rPr>
                <w:rFonts w:ascii="Times New Roman" w:hAnsi="Times New Roman"/>
                <w:color w:val="000000"/>
                <w:sz w:val="16"/>
              </w:rPr>
              <w:t>104</w:t>
            </w:r>
          </w:p>
        </w:tc>
        <w:tc>
          <w:tcPr>
            <w:tcW w:w="7019"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6"/>
              </w:rPr>
            </w:pPr>
            <w:r>
              <w:rPr>
                <w:rFonts w:ascii="Times New Roman" w:hAnsi="Times New Roman"/>
                <w:color w:val="000000"/>
                <w:sz w:val="16"/>
              </w:rPr>
              <w:t>Cover Page Interactive Data File (formatted as inline XBRL with applicable taxonomy extension contained in Exhibit 101).</w:t>
            </w:r>
          </w:p>
        </w:tc>
        <w:tc>
          <w:tcPr>
            <w:tcW w:w="437"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75" w:after="30"/>
              <w:jc w:val="center"/>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 Exhibits and/or schedules have been omitted pursuant to Item 601(a)(5) of Regulation S-K. The registrant hereby undertakes to furnish supplementally copies of any of the omitted exhibits and schedules upon request by the SEC.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Pursuant to Item 601(b)(10)(iv) of Regulation S-K, certain portions of this exhibit (indicated by ***) have been omitted because the identified information is not material and is the type that the Registrant treats as private or confidential.</w:t>
      </w:r>
    </w:p>
    <w:p>
      <w:pPr>
        <w:pStyle w:val="TextBody"/>
        <w:bidi w:val="0"/>
        <w:jc w:val="left"/>
        <w:rPr/>
      </w:pPr>
      <w:bookmarkStart w:id="56" w:name="section52"/>
      <w:bookmarkEnd w:id="56"/>
      <w:r>
        <w:rPr/>
        <w:t> </w:t>
      </w:r>
    </w:p>
    <w:p>
      <w:pPr>
        <w:pStyle w:val="TextBody"/>
        <w:bidi w:val="0"/>
        <w:jc w:val="left"/>
        <w:rPr>
          <w:rFonts w:ascii="Times New Roman" w:hAnsi="Times New Roman"/>
          <w:b/>
          <w:color w:val="000000"/>
          <w:sz w:val="20"/>
        </w:rPr>
      </w:pPr>
      <w:r>
        <w:rPr>
          <w:rFonts w:ascii="Times New Roman" w:hAnsi="Times New Roman"/>
          <w:b/>
          <w:color w:val="000000"/>
          <w:sz w:val="20"/>
        </w:rPr>
        <w:t>ITEM 16. FORM 10-K SUMMARY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7" w:name="section53"/>
      <w:bookmarkEnd w:id="57"/>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both"/>
        <w:rPr/>
      </w:pPr>
      <w:r>
        <w:rPr/>
        <w:t> </w:t>
      </w:r>
    </w:p>
    <w:tbl>
      <w:tblPr>
        <w:tblW w:w="5460" w:type="dxa"/>
        <w:jc w:val="left"/>
        <w:tblInd w:w="0" w:type="dxa"/>
        <w:tblLayout w:type="fixed"/>
        <w:tblCellMar>
          <w:top w:w="28" w:type="dxa"/>
          <w:left w:w="28" w:type="dxa"/>
          <w:bottom w:w="28" w:type="dxa"/>
          <w:right w:w="28" w:type="dxa"/>
        </w:tblCellMar>
      </w:tblPr>
      <w:tblGrid>
        <w:gridCol w:w="1028"/>
        <w:gridCol w:w="4432"/>
      </w:tblGrid>
      <w:tr>
        <w:trPr/>
        <w:tc>
          <w:tcPr>
            <w:tcW w:w="1028" w:type="dxa"/>
            <w:tcBorders/>
            <w:vAlign w:val="center"/>
          </w:tcPr>
          <w:p>
            <w:pPr>
              <w:pStyle w:val="TableContents"/>
              <w:bidi w:val="0"/>
              <w:spacing w:before="0" w:after="283"/>
              <w:jc w:val="left"/>
              <w:rPr>
                <w:sz w:val="4"/>
                <w:szCs w:val="4"/>
              </w:rPr>
            </w:pPr>
            <w:r>
              <w:rPr>
                <w:sz w:val="4"/>
                <w:szCs w:val="4"/>
              </w:rPr>
            </w:r>
          </w:p>
        </w:tc>
        <w:tc>
          <w:tcPr>
            <w:tcW w:w="4432" w:type="dxa"/>
            <w:tcBorders/>
            <w:vAlign w:val="center"/>
          </w:tcPr>
          <w:p>
            <w:pPr>
              <w:pStyle w:val="TableContents"/>
              <w:bidi w:val="0"/>
              <w:spacing w:before="0" w:after="283"/>
              <w:jc w:val="left"/>
              <w:rPr>
                <w:sz w:val="4"/>
                <w:szCs w:val="4"/>
              </w:rPr>
            </w:pPr>
            <w:r>
              <w:rPr>
                <w:sz w:val="4"/>
                <w:szCs w:val="4"/>
              </w:rPr>
            </w:r>
          </w:p>
        </w:tc>
      </w:tr>
      <w:tr>
        <w:trPr/>
        <w:tc>
          <w:tcPr>
            <w:tcW w:w="5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TEMPEST THERAPEUTICS, INC.</w:t>
            </w:r>
          </w:p>
        </w:tc>
      </w:tr>
      <w:tr>
        <w:trPr/>
        <w:tc>
          <w:tcPr>
            <w:tcW w:w="1028" w:type="dxa"/>
            <w:tcBorders/>
            <w:tcMar>
              <w:top w:w="0" w:type="dxa"/>
              <w:left w:w="0" w:type="dxa"/>
              <w:bottom w:w="0" w:type="dxa"/>
              <w:right w:w="0" w:type="dxa"/>
            </w:tcMar>
            <w:vAlign w:val="center"/>
          </w:tcPr>
          <w:p>
            <w:pPr>
              <w:pStyle w:val="TableContents"/>
              <w:bidi w:val="0"/>
              <w:spacing w:before="0" w:after="283"/>
              <w:jc w:val="left"/>
              <w:rPr/>
            </w:pPr>
            <w:r>
              <w:rPr/>
              <w:t> </w:t>
            </w:r>
          </w:p>
        </w:tc>
        <w:tc>
          <w:tcPr>
            <w:tcW w:w="4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32"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Stephen Brady</w:t>
            </w:r>
          </w:p>
        </w:tc>
      </w:tr>
      <w:tr>
        <w:trPr/>
        <w:tc>
          <w:tcPr>
            <w:tcW w:w="5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Brady</w:t>
            </w:r>
          </w:p>
        </w:tc>
      </w:tr>
      <w:tr>
        <w:trPr/>
        <w:tc>
          <w:tcPr>
            <w:tcW w:w="5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 (Principal Executive Officer)</w:t>
            </w:r>
          </w:p>
        </w:tc>
      </w:tr>
      <w:tr>
        <w:trPr/>
        <w:tc>
          <w:tcPr>
            <w:tcW w:w="1028" w:type="dxa"/>
            <w:tcBorders/>
            <w:tcMar>
              <w:top w:w="0" w:type="dxa"/>
              <w:left w:w="0" w:type="dxa"/>
              <w:bottom w:w="0" w:type="dxa"/>
              <w:right w:w="0" w:type="dxa"/>
            </w:tcMar>
            <w:vAlign w:val="center"/>
          </w:tcPr>
          <w:p>
            <w:pPr>
              <w:pStyle w:val="TableContents"/>
              <w:bidi w:val="0"/>
              <w:spacing w:before="0" w:after="283"/>
              <w:jc w:val="left"/>
              <w:rPr/>
            </w:pPr>
            <w:r>
              <w:rPr/>
              <w:t> </w:t>
            </w:r>
          </w:p>
        </w:tc>
        <w:tc>
          <w:tcPr>
            <w:tcW w:w="4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8" w:type="dxa"/>
            <w:tcBorders/>
            <w:tcMar>
              <w:top w:w="0" w:type="dxa"/>
              <w:left w:w="0" w:type="dxa"/>
              <w:bottom w:w="0" w:type="dxa"/>
              <w:right w:w="0" w:type="dxa"/>
            </w:tcMar>
            <w:vAlign w:val="center"/>
          </w:tcPr>
          <w:p>
            <w:pPr>
              <w:pStyle w:val="TableContents"/>
              <w:bidi w:val="0"/>
              <w:spacing w:before="0" w:after="283"/>
              <w:jc w:val="left"/>
              <w:rPr/>
            </w:pPr>
            <w:r>
              <w:rPr/>
              <w:t> </w:t>
            </w:r>
          </w:p>
        </w:tc>
        <w:tc>
          <w:tcPr>
            <w:tcW w:w="4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32"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Nicholas Maestas</w:t>
            </w:r>
          </w:p>
        </w:tc>
      </w:tr>
      <w:tr>
        <w:trPr/>
        <w:tc>
          <w:tcPr>
            <w:tcW w:w="5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Maestas</w:t>
            </w:r>
          </w:p>
        </w:tc>
      </w:tr>
      <w:tr>
        <w:trPr/>
        <w:tc>
          <w:tcPr>
            <w:tcW w:w="5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Vice-President, Strategy and Finance (Principal Financial Officer)</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March 19, 2024</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KNOW ALL PERSONS BY THESE PRESENTS, that each person whose signature appears below constitutes and appoints Stephen Brady </w:t>
      </w:r>
      <w:r>
        <w:rPr>
          <w:rFonts w:ascii="Times New Roman" w:hAnsi="Times New Roman"/>
          <w:color w:val="231F20"/>
          <w:sz w:val="20"/>
        </w:rPr>
        <w:t>and Nicolas Maestas</w:t>
      </w:r>
      <w:r>
        <w:rPr>
          <w:rFonts w:ascii="Times New Roman" w:hAnsi="Times New Roman"/>
          <w:color w:val="000000"/>
          <w:sz w:val="20"/>
        </w:rPr>
        <w:t>, jointly and severally, as his or her true and lawful attorneys-in-fact and agents, with full power of substitution and resubstitution, for him or her and in his or her name, place and stead, in any and all capacities, to sign this Annual Report on Form 10-K of Tempest 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and in the capacities and on the dates indicated.</w:t>
      </w:r>
    </w:p>
    <w:p>
      <w:pPr>
        <w:pStyle w:val="TextBody"/>
        <w:bidi w:val="0"/>
        <w:jc w:val="left"/>
        <w:rPr/>
      </w:pPr>
      <w:r>
        <w:rPr/>
        <w:t> </w:t>
      </w:r>
    </w:p>
    <w:tbl>
      <w:tblPr>
        <w:tblW w:w="9805" w:type="dxa"/>
        <w:jc w:val="left"/>
        <w:tblInd w:w="0" w:type="dxa"/>
        <w:tblLayout w:type="fixed"/>
        <w:tblCellMar>
          <w:top w:w="28" w:type="dxa"/>
          <w:left w:w="28" w:type="dxa"/>
          <w:bottom w:w="28" w:type="dxa"/>
          <w:right w:w="28" w:type="dxa"/>
        </w:tblCellMar>
      </w:tblPr>
      <w:tblGrid>
        <w:gridCol w:w="2686"/>
        <w:gridCol w:w="146"/>
        <w:gridCol w:w="5536"/>
        <w:gridCol w:w="1246"/>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top w:val="single" w:sz="16" w:space="0" w:color="000000"/>
            </w:tcBorders>
            <w:tcMar>
              <w:left w:w="0" w:type="dxa"/>
              <w:bottom w:w="0" w:type="dxa"/>
              <w:right w:w="0" w:type="dxa"/>
            </w:tcMar>
            <w:vAlign w:val="center"/>
          </w:tcPr>
          <w:p>
            <w:pPr>
              <w:pStyle w:val="TableContents"/>
              <w:bidi w:val="0"/>
              <w:spacing w:before="35" w:after="30"/>
              <w:jc w:val="left"/>
              <w:rPr>
                <w:rFonts w:ascii="Times New Roman" w:hAnsi="Times New Roman"/>
                <w:b/>
                <w:color w:val="000000"/>
                <w:sz w:val="18"/>
              </w:rPr>
            </w:pPr>
            <w:r>
              <w:rPr>
                <w:rFonts w:ascii="Times New Roman" w:hAnsi="Times New Roman"/>
                <w:b/>
                <w:color w:val="000000"/>
                <w:sz w:val="18"/>
              </w:rPr>
              <w:t>Signature</w:t>
            </w:r>
          </w:p>
        </w:tc>
        <w:tc>
          <w:tcPr>
            <w:tcW w:w="146"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5536" w:type="dxa"/>
            <w:tcBorders>
              <w:top w:val="single" w:sz="16" w:space="0" w:color="000000"/>
              <w:bottom w:val="single" w:sz="8" w:space="0" w:color="000000"/>
            </w:tcBorders>
            <w:tcMar>
              <w:left w:w="0" w:type="dxa"/>
              <w:right w:w="0" w:type="dxa"/>
            </w:tcMar>
            <w:vAlign w:val="center"/>
          </w:tcPr>
          <w:p>
            <w:pPr>
              <w:pStyle w:val="TableContents"/>
              <w:bidi w:val="0"/>
              <w:spacing w:before="35" w:after="30"/>
              <w:jc w:val="left"/>
              <w:rPr>
                <w:rFonts w:ascii="Times New Roman" w:hAnsi="Times New Roman"/>
                <w:b/>
                <w:color w:val="000000"/>
                <w:sz w:val="18"/>
              </w:rPr>
            </w:pPr>
            <w:r>
              <w:rPr>
                <w:rFonts w:ascii="Times New Roman" w:hAnsi="Times New Roman"/>
                <w:b/>
                <w:color w:val="000000"/>
                <w:sz w:val="18"/>
              </w:rPr>
              <w:t>Title</w:t>
            </w:r>
          </w:p>
        </w:tc>
        <w:tc>
          <w:tcPr>
            <w:tcW w:w="1246" w:type="dxa"/>
            <w:tcBorders>
              <w:top w:val="single" w:sz="16" w:space="0" w:color="000000"/>
              <w:bottom w:val="single" w:sz="8" w:space="0" w:color="000000"/>
            </w:tcBorders>
            <w:tcMar>
              <w:left w:w="0" w:type="dxa"/>
              <w:right w:w="0" w:type="dxa"/>
            </w:tcMar>
            <w:vAlign w:val="center"/>
          </w:tcPr>
          <w:p>
            <w:pPr>
              <w:pStyle w:val="TableContents"/>
              <w:bidi w:val="0"/>
              <w:spacing w:before="35" w:after="30"/>
              <w:jc w:val="center"/>
              <w:rPr>
                <w:rFonts w:ascii="Times New Roman" w:hAnsi="Times New Roman"/>
                <w:b/>
                <w:color w:val="000000"/>
                <w:sz w:val="20"/>
              </w:rPr>
            </w:pPr>
            <w:r>
              <w:rPr>
                <w:rFonts w:ascii="Times New Roman" w:hAnsi="Times New Roman"/>
                <w:b/>
                <w:color w:val="000000"/>
                <w:sz w:val="20"/>
              </w:rPr>
              <w:t>Date</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i/>
                <w:color w:val="000000"/>
                <w:sz w:val="18"/>
              </w:rPr>
            </w:pPr>
            <w:r>
              <w:rPr>
                <w:rFonts w:ascii="Times New Roman" w:hAnsi="Times New Roman"/>
                <w:i/>
                <w:color w:val="000000"/>
                <w:sz w:val="18"/>
              </w:rPr>
              <w:t>/s/ Stephen Brady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36" w:type="dxa"/>
            <w:vMerge w:val="restart"/>
            <w:tcBorders/>
            <w:tcMar>
              <w:top w:w="0" w:type="dxa"/>
              <w:left w:w="0" w:type="dxa"/>
              <w:bottom w:w="0" w:type="dxa"/>
              <w:right w:w="0" w:type="dxa"/>
            </w:tcMar>
            <w:vAlign w:val="center"/>
          </w:tcPr>
          <w:p>
            <w:pPr>
              <w:pStyle w:val="TableContents"/>
              <w:bidi w:val="0"/>
              <w:spacing w:before="55" w:after="30"/>
              <w:jc w:val="left"/>
              <w:rPr>
                <w:rFonts w:ascii="Times New Roman" w:hAnsi="Times New Roman"/>
                <w:sz w:val="18"/>
              </w:rPr>
            </w:pPr>
            <w:r>
              <w:rPr>
                <w:rFonts w:ascii="Times New Roman" w:hAnsi="Times New Roman"/>
                <w:color w:val="000000"/>
                <w:sz w:val="18"/>
              </w:rPr>
              <w:t xml:space="preserve">Chief Executive Officer, President and Director </w:t>
            </w:r>
            <w:r>
              <w:rPr>
                <w:rFonts w:ascii="Times New Roman" w:hAnsi="Times New Roman"/>
                <w:i/>
                <w:color w:val="000000"/>
                <w:sz w:val="18"/>
              </w:rPr>
              <w:t>(Principal Executive Officer)</w:t>
            </w:r>
          </w:p>
        </w:tc>
        <w:tc>
          <w:tcPr>
            <w:tcW w:w="124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Stephen Brady</w:t>
            </w:r>
          </w:p>
        </w:tc>
        <w:tc>
          <w:tcPr>
            <w:tcW w:w="146" w:type="dxa"/>
            <w:tcBorders/>
            <w:vAlign w:val="center"/>
          </w:tcPr>
          <w:p>
            <w:pPr>
              <w:pStyle w:val="TableContents"/>
              <w:bidi w:val="0"/>
              <w:spacing w:before="0" w:after="283"/>
              <w:jc w:val="left"/>
              <w:rPr/>
            </w:pPr>
            <w:r>
              <w:rPr/>
              <w:t> </w:t>
            </w:r>
          </w:p>
        </w:tc>
        <w:tc>
          <w:tcPr>
            <w:tcW w:w="5536" w:type="dxa"/>
            <w:vMerge w:val="continue"/>
            <w:tcBorders/>
            <w:tcMar>
              <w:top w:w="0" w:type="dxa"/>
              <w:left w:w="0" w:type="dxa"/>
              <w:bottom w:w="0" w:type="dxa"/>
              <w:right w:w="0" w:type="dxa"/>
            </w:tcMar>
            <w:vAlign w:val="center"/>
          </w:tcPr>
          <w:p>
            <w:pPr>
              <w:pStyle w:val="Normal"/>
              <w:bidi w:val="0"/>
              <w:jc w:val="left"/>
              <w:rPr/>
            </w:pPr>
            <w:r>
              <w:rPr/>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6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i/>
                <w:color w:val="000000"/>
                <w:sz w:val="18"/>
              </w:rPr>
            </w:pPr>
            <w:r>
              <w:rPr>
                <w:rFonts w:ascii="Times New Roman" w:hAnsi="Times New Roman"/>
                <w:i/>
                <w:color w:val="000000"/>
                <w:sz w:val="18"/>
              </w:rPr>
              <w:t>/s/ Nicholas Maestas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36" w:type="dxa"/>
            <w:vMerge w:val="restart"/>
            <w:tcBorders/>
            <w:tcMar>
              <w:top w:w="0" w:type="dxa"/>
              <w:left w:w="0" w:type="dxa"/>
              <w:bottom w:w="0" w:type="dxa"/>
              <w:right w:w="0" w:type="dxa"/>
            </w:tcMar>
            <w:vAlign w:val="center"/>
          </w:tcPr>
          <w:p>
            <w:pPr>
              <w:pStyle w:val="TableContents"/>
              <w:bidi w:val="0"/>
              <w:spacing w:before="55" w:after="283"/>
              <w:jc w:val="left"/>
              <w:rPr>
                <w:rFonts w:ascii="Times New Roman" w:hAnsi="Times New Roman"/>
                <w:color w:val="000000"/>
                <w:sz w:val="18"/>
              </w:rPr>
            </w:pPr>
            <w:r>
              <w:rPr>
                <w:rFonts w:ascii="Times New Roman" w:hAnsi="Times New Roman"/>
                <w:color w:val="000000"/>
                <w:sz w:val="18"/>
              </w:rPr>
              <w:t>Vice President, Strategy and Finance and Secretary</w:t>
            </w:r>
          </w:p>
          <w:p>
            <w:pPr>
              <w:pStyle w:val="TableContents"/>
              <w:bidi w:val="0"/>
              <w:spacing w:before="0" w:after="30"/>
              <w:jc w:val="left"/>
              <w:rPr>
                <w:rFonts w:ascii="Times New Roman" w:hAnsi="Times New Roman"/>
                <w:i/>
                <w:color w:val="000000"/>
                <w:sz w:val="18"/>
              </w:rPr>
            </w:pPr>
            <w:r>
              <w:rPr>
                <w:rFonts w:ascii="Times New Roman" w:hAnsi="Times New Roman"/>
                <w:i/>
                <w:color w:val="000000"/>
                <w:sz w:val="18"/>
              </w:rPr>
              <w:t>(Principal Financial Officer)</w:t>
            </w:r>
          </w:p>
        </w:tc>
        <w:tc>
          <w:tcPr>
            <w:tcW w:w="124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Nicholas Maestas</w:t>
            </w:r>
          </w:p>
        </w:tc>
        <w:tc>
          <w:tcPr>
            <w:tcW w:w="146" w:type="dxa"/>
            <w:tcBorders/>
            <w:vAlign w:val="center"/>
          </w:tcPr>
          <w:p>
            <w:pPr>
              <w:pStyle w:val="TableContents"/>
              <w:bidi w:val="0"/>
              <w:spacing w:before="0" w:after="283"/>
              <w:jc w:val="left"/>
              <w:rPr/>
            </w:pPr>
            <w:r>
              <w:rPr/>
              <w:t> </w:t>
            </w:r>
          </w:p>
        </w:tc>
        <w:tc>
          <w:tcPr>
            <w:tcW w:w="5536" w:type="dxa"/>
            <w:vMerge w:val="continue"/>
            <w:tcBorders/>
            <w:tcMar>
              <w:top w:w="0" w:type="dxa"/>
              <w:left w:w="0" w:type="dxa"/>
              <w:bottom w:w="0" w:type="dxa"/>
              <w:right w:w="0" w:type="dxa"/>
            </w:tcMar>
            <w:vAlign w:val="center"/>
          </w:tcPr>
          <w:p>
            <w:pPr>
              <w:pStyle w:val="Normal"/>
              <w:bidi w:val="0"/>
              <w:jc w:val="left"/>
              <w:rPr/>
            </w:pPr>
            <w:r>
              <w:rPr/>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i/>
                <w:color w:val="000000"/>
                <w:sz w:val="18"/>
              </w:rPr>
            </w:pPr>
            <w:r>
              <w:rPr>
                <w:rFonts w:ascii="Times New Roman" w:hAnsi="Times New Roman"/>
                <w:i/>
                <w:color w:val="000000"/>
                <w:sz w:val="18"/>
              </w:rPr>
              <w:t>/s/ Justin Trojanowski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36" w:type="dxa"/>
            <w:vMerge w:val="restart"/>
            <w:tcBorders/>
            <w:tcMar>
              <w:top w:w="0" w:type="dxa"/>
              <w:left w:w="0" w:type="dxa"/>
              <w:bottom w:w="0" w:type="dxa"/>
              <w:right w:w="0" w:type="dxa"/>
            </w:tcMar>
            <w:vAlign w:val="center"/>
          </w:tcPr>
          <w:p>
            <w:pPr>
              <w:pStyle w:val="TableContents"/>
              <w:bidi w:val="0"/>
              <w:spacing w:before="55" w:after="283"/>
              <w:jc w:val="left"/>
              <w:rPr>
                <w:rFonts w:ascii="Times New Roman" w:hAnsi="Times New Roman"/>
                <w:color w:val="000000"/>
                <w:sz w:val="18"/>
              </w:rPr>
            </w:pPr>
            <w:r>
              <w:rPr>
                <w:rFonts w:ascii="Times New Roman" w:hAnsi="Times New Roman"/>
                <w:color w:val="000000"/>
                <w:sz w:val="18"/>
              </w:rPr>
              <w:t>Corporate Controller, Treasurer</w:t>
            </w:r>
          </w:p>
          <w:p>
            <w:pPr>
              <w:pStyle w:val="TableContents"/>
              <w:bidi w:val="0"/>
              <w:spacing w:before="0" w:after="30"/>
              <w:jc w:val="left"/>
              <w:rPr>
                <w:rFonts w:ascii="Times New Roman" w:hAnsi="Times New Roman"/>
                <w:i/>
                <w:color w:val="000000"/>
                <w:sz w:val="18"/>
              </w:rPr>
            </w:pPr>
            <w:r>
              <w:rPr>
                <w:rFonts w:ascii="Times New Roman" w:hAnsi="Times New Roman"/>
                <w:i/>
                <w:color w:val="000000"/>
                <w:sz w:val="18"/>
              </w:rPr>
              <w:t>(Principal Accounting Officer)</w:t>
            </w:r>
          </w:p>
        </w:tc>
        <w:tc>
          <w:tcPr>
            <w:tcW w:w="124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Justin Trojanowski</w:t>
            </w:r>
          </w:p>
        </w:tc>
        <w:tc>
          <w:tcPr>
            <w:tcW w:w="146" w:type="dxa"/>
            <w:tcBorders/>
            <w:vAlign w:val="center"/>
          </w:tcPr>
          <w:p>
            <w:pPr>
              <w:pStyle w:val="TableContents"/>
              <w:bidi w:val="0"/>
              <w:spacing w:before="0" w:after="283"/>
              <w:jc w:val="left"/>
              <w:rPr/>
            </w:pPr>
            <w:r>
              <w:rPr/>
              <w:t> </w:t>
            </w:r>
          </w:p>
        </w:tc>
        <w:tc>
          <w:tcPr>
            <w:tcW w:w="5536" w:type="dxa"/>
            <w:vMerge w:val="continue"/>
            <w:tcBorders/>
            <w:tcMar>
              <w:top w:w="0" w:type="dxa"/>
              <w:left w:w="0" w:type="dxa"/>
              <w:bottom w:w="0" w:type="dxa"/>
              <w:right w:w="0" w:type="dxa"/>
            </w:tcMar>
            <w:vAlign w:val="center"/>
          </w:tcPr>
          <w:p>
            <w:pPr>
              <w:pStyle w:val="Normal"/>
              <w:bidi w:val="0"/>
              <w:jc w:val="left"/>
              <w:rPr/>
            </w:pPr>
            <w:r>
              <w:rPr/>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i/>
                <w:color w:val="000000"/>
                <w:sz w:val="18"/>
              </w:rPr>
            </w:pPr>
            <w:r>
              <w:rPr>
                <w:rFonts w:ascii="Times New Roman" w:hAnsi="Times New Roman"/>
                <w:i/>
                <w:color w:val="000000"/>
                <w:sz w:val="18"/>
              </w:rPr>
              <w:t>/s/ Michael Raab</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3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Chairman of the Board of Directors</w:t>
            </w:r>
          </w:p>
        </w:tc>
        <w:tc>
          <w:tcPr>
            <w:tcW w:w="124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Michael Raab</w:t>
            </w:r>
          </w:p>
        </w:tc>
        <w:tc>
          <w:tcPr>
            <w:tcW w:w="146" w:type="dxa"/>
            <w:tcBorders/>
            <w:vAlign w:val="center"/>
          </w:tcPr>
          <w:p>
            <w:pPr>
              <w:pStyle w:val="TableContents"/>
              <w:bidi w:val="0"/>
              <w:spacing w:before="0" w:after="283"/>
              <w:jc w:val="left"/>
              <w:rPr/>
            </w:pPr>
            <w:r>
              <w:rPr/>
              <w:t> </w:t>
            </w:r>
          </w:p>
        </w:tc>
        <w:tc>
          <w:tcPr>
            <w:tcW w:w="553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i/>
                <w:color w:val="000000"/>
                <w:sz w:val="18"/>
              </w:rPr>
            </w:pPr>
            <w:r>
              <w:rPr>
                <w:rFonts w:ascii="Times New Roman" w:hAnsi="Times New Roman"/>
                <w:i/>
                <w:color w:val="000000"/>
                <w:sz w:val="18"/>
              </w:rPr>
              <w:t>/s/ Geoff Nichol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3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Director</w:t>
            </w:r>
          </w:p>
        </w:tc>
        <w:tc>
          <w:tcPr>
            <w:tcW w:w="124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Geoff Nichol, M.B., Ch.B., M.B.A.</w:t>
            </w:r>
          </w:p>
        </w:tc>
        <w:tc>
          <w:tcPr>
            <w:tcW w:w="146" w:type="dxa"/>
            <w:tcBorders/>
            <w:vAlign w:val="center"/>
          </w:tcPr>
          <w:p>
            <w:pPr>
              <w:pStyle w:val="TableContents"/>
              <w:bidi w:val="0"/>
              <w:spacing w:before="0" w:after="283"/>
              <w:jc w:val="left"/>
              <w:rPr/>
            </w:pPr>
            <w:r>
              <w:rPr/>
              <w:t> </w:t>
            </w:r>
          </w:p>
        </w:tc>
        <w:tc>
          <w:tcPr>
            <w:tcW w:w="553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i/>
                <w:color w:val="000000"/>
                <w:sz w:val="18"/>
              </w:rPr>
            </w:pPr>
            <w:r>
              <w:rPr>
                <w:rFonts w:ascii="Times New Roman" w:hAnsi="Times New Roman"/>
                <w:i/>
                <w:color w:val="000000"/>
                <w:sz w:val="18"/>
              </w:rPr>
              <w:t>/s/ Christine Pellizzari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3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Director</w:t>
            </w:r>
          </w:p>
        </w:tc>
        <w:tc>
          <w:tcPr>
            <w:tcW w:w="124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Christine Pellizzari</w:t>
            </w:r>
          </w:p>
        </w:tc>
        <w:tc>
          <w:tcPr>
            <w:tcW w:w="146" w:type="dxa"/>
            <w:tcBorders/>
            <w:vAlign w:val="center"/>
          </w:tcPr>
          <w:p>
            <w:pPr>
              <w:pStyle w:val="TableContents"/>
              <w:bidi w:val="0"/>
              <w:spacing w:before="0" w:after="283"/>
              <w:jc w:val="left"/>
              <w:rPr/>
            </w:pPr>
            <w:r>
              <w:rPr/>
              <w:t> </w:t>
            </w:r>
          </w:p>
        </w:tc>
        <w:tc>
          <w:tcPr>
            <w:tcW w:w="553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Times New Roman" w:hAnsi="Times New Roman"/>
                <w:i/>
                <w:color w:val="000000"/>
                <w:sz w:val="18"/>
              </w:rPr>
            </w:pPr>
            <w:r>
              <w:rPr>
                <w:rFonts w:ascii="Times New Roman" w:hAnsi="Times New Roman"/>
                <w:i/>
                <w:color w:val="000000"/>
                <w:sz w:val="18"/>
              </w:rPr>
              <w:t>/s/ Ronit Simantov</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3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Director</w:t>
            </w:r>
          </w:p>
        </w:tc>
        <w:tc>
          <w:tcPr>
            <w:tcW w:w="124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Ronit Simantov, M.D.</w:t>
            </w:r>
          </w:p>
        </w:tc>
        <w:tc>
          <w:tcPr>
            <w:tcW w:w="146" w:type="dxa"/>
            <w:tcBorders/>
            <w:vAlign w:val="center"/>
          </w:tcPr>
          <w:p>
            <w:pPr>
              <w:pStyle w:val="TableContents"/>
              <w:bidi w:val="0"/>
              <w:spacing w:before="0" w:after="283"/>
              <w:jc w:val="left"/>
              <w:rPr/>
            </w:pPr>
            <w:r>
              <w:rPr/>
              <w:t> </w:t>
            </w:r>
          </w:p>
        </w:tc>
        <w:tc>
          <w:tcPr>
            <w:tcW w:w="553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8" w:name="tpst-ex4_1.htm"/>
      <w:bookmarkStart w:id="59" w:name="kstpstex4_1"/>
      <w:bookmarkEnd w:id="58"/>
      <w:bookmarkEnd w:id="59"/>
      <w:r>
        <w:rPr>
          <w:rFonts w:ascii="Times New Roman" w:hAnsi="Times New Roman"/>
          <w:b/>
          <w:color w:val="000000"/>
          <w:sz w:val="20"/>
        </w:rPr>
        <w:t>Exhibit 4.1</w:t>
      </w:r>
      <w:r>
        <w:br w:type="page"/>
      </w:r>
    </w:p>
    <w:p>
      <w:pPr>
        <w:pStyle w:val="TextBody"/>
        <w:bidi w:val="0"/>
        <w:spacing w:before="0" w:after="240"/>
        <w:jc w:val="center"/>
        <w:rPr>
          <w:rFonts w:ascii="Times New Roman" w:hAnsi="Times New Roman"/>
          <w:sz w:val="20"/>
        </w:rPr>
      </w:pPr>
      <w:r>
        <w:rPr>
          <w:rFonts w:ascii="Times New Roman" w:hAnsi="Times New Roman"/>
          <w:b/>
          <w:color w:val="000000"/>
          <w:sz w:val="20"/>
        </w:rPr>
        <w:t>DESCRIPTION OF THE REGISTRANT’S SECURITIES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0"/>
        </w:rPr>
        <w:t>REGISTERED PURSUANT TO SECTION 12 OF THE</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0"/>
        </w:rPr>
        <w:t>SECURITIES EXCHANGE ACT OF 1934</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Tempest Therapeutics, Inc. (the “Company,” or “we,” “us,” and “our”) has one class of securities registered under Section 12 of the Securities Exchange Act of 1934, as amended: our common stock.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descriptions of our capital stock, provisions of our restated certificate of incorporation, as amended, and amended and restated by-laws, and certain provisions of Delaware law are summaries and do not purport to be complete. You should also refer to the restated certificate and the amended and restated by-laws, which are incorporated by reference as exhibits to the Annual Report on Form 10-K of which this Exhibit 4.1 is a part. We refer in this section to our restated certificate of incorporation and amended and restated by-laws as our restated certificate and by-laws, respectively. </w:t>
      </w:r>
    </w:p>
    <w:p>
      <w:pPr>
        <w:pStyle w:val="TextBody"/>
        <w:bidi w:val="0"/>
        <w:spacing w:before="0" w:after="240"/>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restated certificate authorizes us to issue up to 100,000,000 shares of common stock, $0.001 par value per share, and 5,000,000 shares of preferred stock, $0.001 par value per share, all of which shares of preferred stock are undesignated. Our board of directors may establish the rights and preferences of the preferred stock from time to time. </w:t>
      </w:r>
    </w:p>
    <w:p>
      <w:pPr>
        <w:pStyle w:val="TextBody"/>
        <w:bidi w:val="0"/>
        <w:spacing w:before="0" w:after="240"/>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0" w:after="240"/>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board of directors may, without further action by our stockholders, from time to time, direct the issuance of shares of up to 5,000,000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board of directors will fix the designations, voting powers, preferences and rights of each series, as well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Securities and Exchange Commission, the form of any certificate of designation that describes the terms of the series of preferred stock we are offering before the issuance of that series of preferred stock. This description will include: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title and stated value;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number of shares we are offering;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liquidation preference per share;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purchase price per share;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dividend rate per share, dividend period and payment dates and method of calculation for dividends;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whether dividends will be cumulative or non-cumulative and, if cumulative, the date from which dividends will accumulate;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right, if any, to defer payment of dividends and the maximum length of any such deferral period;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procedures for any auction and remarketing, if any;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provisions for a sinking fund, if any;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provisions for redemption or repurchase, if applicable, and any restrictions on our ability to exercise those redemption and repurchase rights;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listing of the preferred stock on any securities exchange or market;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whether the preferred stock will be convertible into our common stock or other securities of ours, including depositary shares and warrants, and, if applicable, the conversion period, the conversion price, or how it will be calculated, and under what circumstances it may be adjusted;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whether the preferred stock will be exchangeable into debt securities, and, if applicable, the exchange period, the exchange price, or how it will be calculated, and under what circumstances it may be adjusted;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voting rights, if any, of the preferred stock;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preemption rights, if any;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restrictions on transfer, sale or other assignment, if any;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whether interests in the preferred stock will be represented by depositary shares;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discussion of any material or special U.S. federal income tax considerations applicable to the preferred stock;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relative ranking and preferences of the preferred stock as to dividend rights and rights if we liquidate, dissolve or wind up our affairs;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limitations on issuances of any class or series of preferred stock ranking senior to or on a parity with the series of preferred stock being issued as to dividend rights and rights if we liquidate, dissolve or wind up our affairs; and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other specific terms, rights, preferences, privileges, qualifications or restrictions of the preferred stock.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General Corporation Law of the State of Delaware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Preferred Stock Purchase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10, 2023, our board of directors declared a dividend of one preferred share purchase right (“Right”) to purchase one-thousandth of one share of our newly designated Preferred Shares (as defined below) for each outstanding share of our common stock to the stockholders of record as of the close of business on October 23, 2023 (the “Record Date”), and adopted a limited duration stockholder rights plan (the “Rights Plan”), effective immediately, as set forth in the Rights Agreement, dated as of October 10, 2023 (the “Rights Agreement”), by and between the Company and Computershare Trust Company, N.A., as Rights Agent. The Rights Agent currently serves as our transfer agent with respect to our common stock and also has been appointed transfer agent with respect to the Series A Junior Participating Preferred Stock, par value $0.001 per share (each, a “Preferred Share” and collectively, the “Preferred Shares”), if any, that may be issued pursuant to the exercise of rights under the Rights Agreement. The Rights will expire on October 10, 2024 or, if our stockholders approve the Rights Plan, on October 10, 2026 (“Final Expiration Date”), unless the rights are earlier redeemed or exchanged by the Company. We do not have any obligation under the Rights Agreement to seek stockholder approval for the Rights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general terms, the Rights Agreement works by imposing a significant penalty upon any person or group that acquires beneficial ownership of 10% (15% in the case of a passive institutional investor) or more of the outstanding shares of our common stock without the approval of the Board. The Rights Agreement was adopted in response to the significant and ongoing dislocation in the trading price of our common stock and not in response to a specific takeover threat. Our board adopted the Rights Agreement to enable all stockholders of the Company to realize the long-term value of their investment. The Rights Agreement should reduce the likelihood that any person or group gains control of Tempest through open market accumulation without paying all stockholders an appropriate control premium or without providing the board sufficient time to make informed judgments and take actions that are in the best interests of all stockholders. The Rights Agreement does not prevent the board from engaging with parties or accepting an acquisition proposal if the board believes that it is in the best interests of Tempest and its stockholders. The Rights Agreement is similar to other plans adopted by publicly held companies in comparable circumstances.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The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Rights will not be exercisable and will trade with shares of our common stock until the earlier to occur of (a) the tenth calendar day (or such later date as may be determined by the board) after a person or group acquires beneficial ownership of 10% (15% in the case of a passive institutional investor) or more of our outstanding common stock (an “Acquiring Person”) or (b) the tenth business day (or such later date as may be determined by action of the Board prior to such time as any person or entity becomes an Acquiring Person) following the date of commencement of, or the first announcement of, an intention to commence, a tender offer or exchange offer, the consummation of which would result in any person or entity or group of persons or entities acting in concert becoming an Acquiring Person; provided, however, the term “Acquiring Person” is subject to certain customary exceptions whereby certain stockholders that would have otherwise been an Acquiring Person are excluded from the definition of “Acquiring Person.” Any stockholders with beneficial ownership of our common stock above the applicable threshold as of the time of this announcement are grandfathered at their current ownership levels but are not permitted to increase their ownership without triggering the Rights. Prior to exercise, the Right does not give its holder any dividend, voting or liquidation rights.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date when the Rights separate from our common stock and become exercisable is referred to herein as the “Distribution Date.” Until that date, common stock certificates or, in the case of uncertificated shares, notations in the book-entry account system, will evidence the Rights, and any transfer of shares of our common stock will constitute a transfer of Rights. After the Distribution Date, the Rights will be evidenced by separate book-entry credits or by Rights certificates that the Company will mail to all eligible, certificated holders of our common stock. Any Rights held by an Acquiring Person are null and void and may not be exercised.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Exercise Price</w:t>
      </w:r>
    </w:p>
    <w:p>
      <w:pPr>
        <w:pStyle w:val="TextBody"/>
        <w:bidi w:val="0"/>
        <w:spacing w:before="0" w:after="240"/>
        <w:jc w:val="both"/>
        <w:rPr>
          <w:rFonts w:ascii="Times New Roman" w:hAnsi="Times New Roman"/>
          <w:sz w:val="20"/>
        </w:rPr>
      </w:pPr>
      <w:r>
        <w:rPr>
          <w:rFonts w:ascii="Times New Roman" w:hAnsi="Times New Roman"/>
          <w:color w:val="000000"/>
          <w:sz w:val="20"/>
        </w:rPr>
        <w:t>After the Distribution Date, each Right will entitle the holder to purchase one-thousandth (1/1000</w:t>
      </w:r>
      <w:r>
        <w:rPr>
          <w:rFonts w:ascii="Times New Roman" w:hAnsi="Times New Roman"/>
          <w:color w:val="000000"/>
          <w:sz w:val="10"/>
        </w:rPr>
        <w:t>th</w:t>
      </w:r>
      <w:r>
        <w:rPr>
          <w:rFonts w:ascii="Times New Roman" w:hAnsi="Times New Roman"/>
          <w:color w:val="000000"/>
          <w:sz w:val="20"/>
        </w:rPr>
        <w:t>) of a Preferred Share for $25.00, subject to adjustment (the “Exercise Price”). Each one-thousandth (1/1000</w:t>
      </w:r>
      <w:r>
        <w:rPr>
          <w:rFonts w:ascii="Times New Roman" w:hAnsi="Times New Roman"/>
          <w:color w:val="000000"/>
          <w:sz w:val="10"/>
        </w:rPr>
        <w:t>th</w:t>
      </w:r>
      <w:r>
        <w:rPr>
          <w:rFonts w:ascii="Times New Roman" w:hAnsi="Times New Roman"/>
          <w:color w:val="000000"/>
          <w:sz w:val="20"/>
        </w:rPr>
        <w:t>) of a Preferred Share has economic terms similar to that of one share of our common stock. The Exercise Price payable, and the number of Preferred Shares or other securities or other property issuable upon exercise of the Rights will be subject to adjustment from time to time to prevent dilution in the event of a stock dividend on, or a subdivision, combination or reclassification of, the Preferred Shares. The exercise of Rights to purchase Preferred Shares will at all times be subject to the availability of a sufficient number of authorized but unissued Preferred Shares. Notwithstanding the foregoing, with certain exceptions, no adjustment in the Exercise Price will be required until cumulative adjustments require an adjustment of at least 1% in such Exercise Price. No fractional Preferred Shares will be issued (other than fractions which are integral multiples of the number of one one-hundredth (1/100</w:t>
      </w:r>
      <w:r>
        <w:rPr>
          <w:rFonts w:ascii="Times New Roman" w:hAnsi="Times New Roman"/>
          <w:color w:val="000000"/>
          <w:sz w:val="10"/>
        </w:rPr>
        <w:t>th</w:t>
      </w:r>
      <w:r>
        <w:rPr>
          <w:rFonts w:ascii="Times New Roman" w:hAnsi="Times New Roman"/>
          <w:color w:val="000000"/>
          <w:sz w:val="20"/>
        </w:rPr>
        <w:t>) of a Preferred Share issuable upon the exercise of one Right, which may, at our election, be evidenced by depositary receipts), and in lieu thereof, an adjustment in cash will be made based on the market price of the Preferred Shares on the last trading day prior to the date of exercise.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Beneficial Ownership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synthetic interests in securities created by derivative positions — whether or not such interests are considered to be ownership of underlying shares of our common stock or are reportable for purposes of Regulation 13D of the Securities Exchange Act of 1934, as amended — are treated as beneficial ownership of the number of shares of our common stock equivalent to the economic exposure created by the derivative position, to the extent actual shares of our common stock are directly or indirectly held by counterparties to the derivatives contracts. Swaps dealers unassociated with any control intent or intent to evade the purposes of the Rights Agreement are excepted from such imputed beneficial ownership. In addition, shares held by affiliates and associates of an Acquiring Person, including shares that are subject of, or the reference securities for, or that underline, any derivative position of such persons, will be deemed to be beneficially owned by the Acquiring Person. In addition, any securities beneficially owned by a third party with whom the Acquiring Person has any agreement, arrangement or understanding (whether or not in writing) (i) for the purpose of acquiring, holding or voting securities of the Company or (ii) to cooperate in obtaining, changing or influencing control of the Company, will be deemed to be beneficially owned by the Acquiring Person.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Consequences of a Person or Group Becoming an Acquiring Person</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i/>
          <w:color w:val="000000"/>
          <w:sz w:val="20"/>
        </w:rPr>
        <w:t>Flip-In</w:t>
      </w:r>
      <w:r>
        <w:rPr>
          <w:rFonts w:ascii="Times New Roman" w:hAnsi="Times New Roman"/>
          <w:color w:val="000000"/>
          <w:sz w:val="20"/>
        </w:rPr>
        <w:t>. If a person or group becomes an Acquiring Person, all holders of Rights except the Acquiring Person or its affiliates may, for the Exercise Price, purchase shares of Company Common Stock with a market value of twice the Exercise Price.</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i/>
          <w:color w:val="000000"/>
          <w:sz w:val="20"/>
        </w:rPr>
        <w:t>Exchange</w:t>
      </w:r>
      <w:r>
        <w:rPr>
          <w:rFonts w:ascii="Times New Roman" w:hAnsi="Times New Roman"/>
          <w:color w:val="000000"/>
          <w:sz w:val="20"/>
        </w:rPr>
        <w:t>. In lieu of “flip-in” feature described above, the Board may, at its option at any time after a person or group becomes an Acquiring Person, exchange the Rights (other than Rights owned by the Acquiring Person or its affiliates), in whole or in part, for shares of our common stock at an exchange ratio of one share of our common stock per Right (subject to adjustment).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i/>
          <w:color w:val="000000"/>
          <w:sz w:val="20"/>
        </w:rPr>
        <w:t>Flip-Over</w:t>
      </w:r>
      <w:r>
        <w:rPr>
          <w:rFonts w:ascii="Times New Roman" w:hAnsi="Times New Roman"/>
          <w:color w:val="000000"/>
          <w:sz w:val="20"/>
        </w:rPr>
        <w:t>. If the Company is later acquired in a merger or similar transaction after the Distribution Date, all holders of Rights except the Acquiring Person or its affiliates may purchase, for the Exercise Price, a number of shares of our common stock of the person engaging in the transaction having a market value of twice the Exercise Price.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Company Preferred Share Provision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Preferred Share, if issued: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will not be redeemable;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when and if any dividend is declared on our common stock, entitle the holder to a preferential quarterly dividend payment equal to 1,000 times the aggregate per share price of all cash and non-cash dividends declared per share of our common stock;</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will entitle the holder upon liquidation either to receive $1,000 plus an amount equal to accrued and unpaid dividends and distributions thereon or an aggregate amount per share equal to 1,000 times the aggregate amount to be distributed per share to holders of our common stock;</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will have 1,000 votes, voting together with the our common stock;</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shares of our common stock are exchanged via merger, consolidation, or a similar transaction, will entitle the holder to a per share payment equal to 1,000 times the amount of consideration received per share of our common stock;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Preferred Shares would rank junior to any other series of the Company’s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value of one-thousandth interest in a Preferred Share is intended to approximate the value of one share of our common stock.</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Expiration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Rights will expire on the Final Expiration Date.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Redemption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may redeem the Rights for $0.001 per Right at any time prior to the earlier of (A) such time as any person or group becomes an Acquiring Person or (B) the close of business on the Final Expiration Date. Following the expiration of the above periods, the Rights become nonredeemable. If the board redeems any Rights, it must redeem all of the Rights. Once the Rights are redeemed, the only right of the holders of Rights will be to receive the redemption price of $0.001 per Right. The redemption price will be adjusted if the Company effects a stock split or stock dividend of our common stock.</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Anti-Dilution Provisions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Rights will have the benefit of certain customary anti-dilution provisions.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Amendments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terms of the Rights Agreement may be amended by the board without the consent of the holders of the Rights. After a person or group becomes an Acquiring Person, the board may not amend the Rights Agreement in a way that adversely affects holders of the Rights.</w:t>
      </w:r>
    </w:p>
    <w:p>
      <w:pPr>
        <w:pStyle w:val="TextBody"/>
        <w:bidi w:val="0"/>
        <w:spacing w:before="0" w:after="240"/>
        <w:jc w:val="left"/>
        <w:rPr>
          <w:rFonts w:ascii="Times New Roman" w:hAnsi="Times New Roman"/>
          <w:sz w:val="20"/>
        </w:rPr>
      </w:pPr>
      <w:r>
        <w:rPr>
          <w:rFonts w:ascii="Times New Roman" w:hAnsi="Times New Roman"/>
          <w:b/>
          <w:i/>
          <w:color w:val="000000"/>
          <w:sz w:val="20"/>
        </w:rPr>
        <w:t>Miscellaneous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Rights Agreement does not contain any dead-hand, slow-hand, no-hand or similar feature that limits the ability of a future board to redeem the Rights. Until a Right is exercised, the holder thereof, as such, will have no rights as a stockholder of the Company, including, without limitation, the right to vote or to receive dividends.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Anti-Takeover Provisions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0"/>
        </w:rPr>
        <w:t>Section 203 of the Delaware General Corporation Law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before such date, the board of directors of the corporation approved either the business combination or the transaction that resulted in the stockholder becoming an interested stockholder;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general, Section 203 defines a “business combination” to include the following: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merger or consolidation involving the corporation and the interested stockholder;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sale, transfer, pledge or other disposition of 10% or more of the assets of the corporation involving the interested stockholder;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certain exceptions, any transaction that results in the issuance or transfer by the corporation of any stock of the corporation to the interested stockholder;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transaction involving the corporation that has the effect of increasing the proportionate share of the stock or any class or series of the corporation beneficially owned by the interested stockholder; or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receipt by the interested stockholder of the benefit of any loans, advances, guarantees, pledges or other financial benefits by or through the corporation.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0" w:after="240"/>
        <w:jc w:val="left"/>
        <w:rPr>
          <w:rFonts w:ascii="Times New Roman" w:hAnsi="Times New Roman"/>
          <w:sz w:val="20"/>
        </w:rPr>
      </w:pPr>
      <w:r>
        <w:rPr>
          <w:rFonts w:ascii="Times New Roman" w:hAnsi="Times New Roman"/>
          <w:b/>
          <w:i/>
          <w:color w:val="000000"/>
          <w:sz w:val="20"/>
        </w:rPr>
        <w:t>Staggered Board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 directors then in office. Furthermore, 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Authorized but Unissued Shares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 </w:t>
      </w:r>
    </w:p>
    <w:p>
      <w:pPr>
        <w:pStyle w:val="TextBody"/>
        <w:bidi w:val="0"/>
        <w:spacing w:before="0" w:after="240"/>
        <w:jc w:val="left"/>
        <w:rPr>
          <w:rFonts w:ascii="Times New Roman" w:hAnsi="Times New Roman"/>
          <w:sz w:val="20"/>
        </w:rPr>
      </w:pPr>
      <w:r>
        <w:rPr>
          <w:rFonts w:ascii="Times New Roman" w:hAnsi="Times New Roman"/>
          <w:b/>
          <w:i/>
          <w:color w:val="000000"/>
          <w:sz w:val="20"/>
        </w:rPr>
        <w:t>Special Meeting of Stockholders; Advance Notice Requirements for Stockholder Proposals and Director Nominations; Stockholder Action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restated certificate and by-laws provide that only our board of directors, the chairman of the board or our chief executive officer may call special meetings of stockholders, and the business transacted at a special meeting of stockholders shall be limited to matters relating to the purpose or purposes stated in the notice of meeting. 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of the preceding year’s annual meeting. Our by-laws specify the requirements as to form and content of all stockholders’ notices. These requirements may preclude stockholders from bringing matters before the stockholders at an annual or special meeting. Our restated certificate and by-laws provide that our stockholders may not take any action by written consent in lieu of a meeting. </w:t>
      </w:r>
    </w:p>
    <w:p>
      <w:pPr>
        <w:pStyle w:val="TextBody"/>
        <w:bidi w:val="0"/>
        <w:spacing w:before="0" w:after="240"/>
        <w:jc w:val="left"/>
        <w:rPr>
          <w:rFonts w:ascii="Times New Roman" w:hAnsi="Times New Roman"/>
          <w:sz w:val="20"/>
        </w:rPr>
      </w:pPr>
      <w:r>
        <w:rPr>
          <w:rFonts w:ascii="Times New Roman" w:hAnsi="Times New Roman"/>
          <w:b/>
          <w:i/>
          <w:color w:val="000000"/>
          <w:sz w:val="20"/>
        </w:rPr>
        <w:t>Super Majority Voting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 </w:t>
      </w:r>
    </w:p>
    <w:p>
      <w:pPr>
        <w:pStyle w:val="TextBody"/>
        <w:bidi w:val="0"/>
        <w:spacing w:before="0" w:after="240"/>
        <w:jc w:val="left"/>
        <w:rPr>
          <w:rFonts w:ascii="Times New Roman" w:hAnsi="Times New Roman"/>
          <w:sz w:val="20"/>
        </w:rPr>
      </w:pPr>
      <w:r>
        <w:rPr>
          <w:rFonts w:ascii="Times New Roman" w:hAnsi="Times New Roman"/>
          <w:b/>
          <w:i/>
          <w:color w:val="000000"/>
          <w:sz w:val="20"/>
        </w:rPr>
        <w:t>Exclusive Forum</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by-laws provide that unless we consent in writing to the selection of an alternative forum, the Court of Chancery of the State of Delaware shall, to the fullest extent permitted by applicable law, be the sole and exclusive forum for (A) any derivative action or proceeding brought on behalf of the Company; (B) any action asserting a claim of breach of a fiduciary duty owed by any director, officer or other employee of the Company to the Company or the Company’s stockholders; (C) any action asserting a claim against the Company or any director or officer or other employee of the Company arising pursuant to any provision of the DGCL, our restated certificate or our by-laws; or (D) any action asserting a claim against the Company or any director or officer or other employee of the Company governed by the internal affairs doctrine. </w:t>
      </w:r>
    </w:p>
    <w:p>
      <w:pPr>
        <w:pStyle w:val="TextBody"/>
        <w:bidi w:val="0"/>
        <w:spacing w:before="0" w:after="240"/>
        <w:jc w:val="left"/>
        <w:rPr>
          <w:rFonts w:ascii="Times New Roman" w:hAnsi="Times New Roman"/>
          <w:sz w:val="20"/>
        </w:rPr>
      </w:pPr>
      <w:r>
        <w:rPr>
          <w:rFonts w:ascii="Times New Roman" w:hAnsi="Times New Roman"/>
          <w:b/>
          <w:color w:val="000000"/>
          <w:sz w:val="20"/>
        </w:rPr>
        <w:t>Indemnification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and in a manner he or she reasonably believed to be in, or not opposed to, our best interests, and, with respect to any criminal action or proceeding, he or she had no reasonable cause to believe his or her conduct was unlawful. </w:t>
      </w:r>
    </w:p>
    <w:p>
      <w:pPr>
        <w:pStyle w:val="TextBody"/>
        <w:bidi w:val="0"/>
        <w:spacing w:before="0" w:after="240"/>
        <w:jc w:val="left"/>
        <w:rPr>
          <w:rFonts w:ascii="Times New Roman" w:hAnsi="Times New Roman"/>
          <w:sz w:val="20"/>
        </w:rPr>
      </w:pPr>
      <w:r>
        <w:rPr>
          <w:rFonts w:ascii="Times New Roman" w:hAnsi="Times New Roman"/>
          <w:b/>
          <w:color w:val="000000"/>
          <w:sz w:val="20"/>
        </w:rPr>
        <w:t>Transfer Agent and Registrar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transfer agent and registrar for our common stock is Computershare Trust Company, N.A., with offices at 250 Royall Street, Canton, Massachusetts 02021. The transfer agent for any series of preferred stock that we may offer under this prospectus will be named and described in the prospectus supplement for that series. </w:t>
      </w:r>
    </w:p>
    <w:p>
      <w:pPr>
        <w:pStyle w:val="TextBody"/>
        <w:bidi w:val="0"/>
        <w:spacing w:before="0" w:after="240"/>
        <w:jc w:val="left"/>
        <w:rPr>
          <w:rFonts w:ascii="Times New Roman" w:hAnsi="Times New Roman"/>
          <w:sz w:val="20"/>
        </w:rPr>
      </w:pPr>
      <w:r>
        <w:rPr>
          <w:rFonts w:ascii="Times New Roman" w:hAnsi="Times New Roman"/>
          <w:b/>
          <w:color w:val="000000"/>
          <w:sz w:val="20"/>
        </w:rPr>
        <w:t>Listing on Nasdaq</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is listed on the Nasdaq Capital Market under the symbol “TPST.”</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1440" w:right="0" w:hanging="0"/>
        <w:jc w:val="right"/>
        <w:rPr>
          <w:rFonts w:ascii="Times New Roman" w:hAnsi="Times New Roman"/>
          <w:b/>
          <w:color w:val="000000"/>
          <w:sz w:val="20"/>
        </w:rPr>
      </w:pPr>
      <w:bookmarkStart w:id="60" w:name="tpst-ex10_26.htm"/>
      <w:bookmarkStart w:id="61" w:name="kstpstex10_26"/>
      <w:bookmarkEnd w:id="60"/>
      <w:bookmarkEnd w:id="61"/>
      <w:r>
        <w:rPr>
          <w:rFonts w:ascii="Times New Roman" w:hAnsi="Times New Roman"/>
          <w:b/>
          <w:color w:val="000000"/>
          <w:sz w:val="20"/>
        </w:rPr>
        <w:t>Exhibit 10.26</w:t>
      </w:r>
      <w:r>
        <w:br w:type="page"/>
      </w:r>
    </w:p>
    <w:p>
      <w:pPr>
        <w:pStyle w:val="TextBody"/>
        <w:bidi w:val="0"/>
        <w:ind w:left="1440" w:right="0" w:hanging="0"/>
        <w:jc w:val="left"/>
        <w:rPr/>
      </w:pPr>
      <w:r>
        <w:rPr/>
        <w:t> </w:t>
      </w:r>
    </w:p>
    <w:p>
      <w:pPr>
        <w:pStyle w:val="TextBody"/>
        <w:bidi w:val="0"/>
        <w:ind w:left="1440" w:right="0" w:hanging="0"/>
        <w:jc w:val="left"/>
        <w:rPr>
          <w:rFonts w:ascii="Times New Roman" w:hAnsi="Times New Roman"/>
          <w:b/>
          <w:color w:val="000000"/>
          <w:sz w:val="20"/>
        </w:rPr>
      </w:pPr>
      <w:r>
        <w:rPr>
          <w:rFonts w:ascii="Times New Roman" w:hAnsi="Times New Roman"/>
          <w:b/>
          <w:color w:val="000000"/>
          <w:sz w:val="20"/>
        </w:rPr>
        <w:t>Certain information has been excluded from this agreement (indicated by “[***]”) because such information (i) is not material and (ii) is the type that the registrant treats as private or confidential.</w:t>
      </w:r>
    </w:p>
    <w:p>
      <w:pPr>
        <w:pStyle w:val="TextBody"/>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SECOND AMENDMENT TO LOAN AND SECURITY AGREEMENT</w:t>
      </w:r>
    </w:p>
    <w:p>
      <w:pPr>
        <w:pStyle w:val="TextBody"/>
        <w:bidi w:val="0"/>
        <w:spacing w:before="9"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THIS SECOND AMENDMENT to Loan and Security Agreement (this “</w:t>
      </w:r>
      <w:r>
        <w:rPr>
          <w:rFonts w:ascii="Times New Roman" w:hAnsi="Times New Roman"/>
          <w:b/>
          <w:color w:val="000000"/>
          <w:sz w:val="20"/>
        </w:rPr>
        <w:t>Amendment</w:t>
      </w:r>
      <w:r>
        <w:rPr>
          <w:rFonts w:ascii="Times New Roman" w:hAnsi="Times New Roman"/>
          <w:color w:val="000000"/>
          <w:sz w:val="20"/>
        </w:rPr>
        <w:t>”) is entered into as of November 3, 2023 (the “</w:t>
      </w:r>
      <w:r>
        <w:rPr>
          <w:rFonts w:ascii="Times New Roman" w:hAnsi="Times New Roman"/>
          <w:b/>
          <w:color w:val="000000"/>
          <w:sz w:val="20"/>
        </w:rPr>
        <w:t>Second Amendment Date</w:t>
      </w:r>
      <w:r>
        <w:rPr>
          <w:rFonts w:ascii="Times New Roman" w:hAnsi="Times New Roman"/>
          <w:color w:val="000000"/>
          <w:sz w:val="20"/>
        </w:rPr>
        <w:t>”), by and among OXFORD FINANCE LLC, a Delaware limited liability company with an office located at 115 South Union Street, Suite 300, Alexandria, Virginia 22314 (in its individual capacity, “</w:t>
      </w:r>
      <w:r>
        <w:rPr>
          <w:rFonts w:ascii="Times New Roman" w:hAnsi="Times New Roman"/>
          <w:b/>
          <w:color w:val="000000"/>
          <w:sz w:val="20"/>
        </w:rPr>
        <w:t>Oxford</w:t>
      </w:r>
      <w:r>
        <w:rPr>
          <w:rFonts w:ascii="Times New Roman" w:hAnsi="Times New Roman"/>
          <w:color w:val="000000"/>
          <w:sz w:val="20"/>
        </w:rPr>
        <w:t>”; and in its capacity as Collateral Agent, “</w:t>
      </w:r>
      <w:r>
        <w:rPr>
          <w:rFonts w:ascii="Times New Roman" w:hAnsi="Times New Roman"/>
          <w:b/>
          <w:color w:val="000000"/>
          <w:sz w:val="20"/>
        </w:rPr>
        <w:t>Collateral Agent</w:t>
      </w:r>
      <w:r>
        <w:rPr>
          <w:rFonts w:ascii="Times New Roman" w:hAnsi="Times New Roman"/>
          <w:color w:val="000000"/>
          <w:sz w:val="20"/>
        </w:rPr>
        <w:t>”), the Lenders listed on Schedule 1.1 thereof from time to time including Oxford in its capacity as a Lender and OXFORD FINANCE FUNDING 2019-1, LLC, a Delaware limited liability company (each a “</w:t>
      </w:r>
      <w:r>
        <w:rPr>
          <w:rFonts w:ascii="Times New Roman" w:hAnsi="Times New Roman"/>
          <w:b/>
          <w:color w:val="000000"/>
          <w:sz w:val="20"/>
        </w:rPr>
        <w:t>Lender</w:t>
      </w:r>
      <w:r>
        <w:rPr>
          <w:rFonts w:ascii="Times New Roman" w:hAnsi="Times New Roman"/>
          <w:color w:val="000000"/>
          <w:sz w:val="20"/>
        </w:rPr>
        <w:t>” and collectively, the “</w:t>
      </w:r>
      <w:r>
        <w:rPr>
          <w:rFonts w:ascii="Times New Roman" w:hAnsi="Times New Roman"/>
          <w:b/>
          <w:color w:val="000000"/>
          <w:sz w:val="20"/>
        </w:rPr>
        <w:t>Lenders</w:t>
      </w:r>
      <w:r>
        <w:rPr>
          <w:rFonts w:ascii="Times New Roman" w:hAnsi="Times New Roman"/>
          <w:color w:val="000000"/>
          <w:sz w:val="20"/>
        </w:rPr>
        <w:t>”), TEMPESTTX, INC., a Delaware corporation with offices located at 2000 Sierra Point Parkway, Suite 400, Brisbane, CA 94005 (f/k/a TEMPEST THERAPEUTICS, INC.), TEMPEST THERAPEUTICS, INC., a Delaware corporation</w:t>
      </w:r>
    </w:p>
    <w:p>
      <w:pPr>
        <w:pStyle w:val="TextBody"/>
        <w:bidi w:val="0"/>
        <w:spacing w:before="1" w:after="283"/>
        <w:jc w:val="both"/>
        <w:rPr>
          <w:rFonts w:ascii="Times New Roman" w:hAnsi="Times New Roman"/>
          <w:sz w:val="20"/>
        </w:rPr>
      </w:pPr>
      <w:r>
        <w:rPr>
          <w:rFonts w:ascii="Times New Roman" w:hAnsi="Times New Roman"/>
          <w:color w:val="000000"/>
          <w:sz w:val="20"/>
        </w:rPr>
        <w:t>(f/k/a MILLENDO THERAPEUTICS, INC., a Delaware corporation) with offices located at 2000 Sierra Point Parkway, Suite 400, Brisbane, CA 94005 and MILLENDO THERAPEUTICS US, INC., a Delaware corporation with offices located at 2000 Sierra Point Parkway, Suite 400, Brisbane, CA 94005 (individually and collectively, jointly and severally, “</w:t>
      </w:r>
      <w:r>
        <w:rPr>
          <w:rFonts w:ascii="Times New Roman" w:hAnsi="Times New Roman"/>
          <w:b/>
          <w:color w:val="000000"/>
          <w:sz w:val="20"/>
        </w:rPr>
        <w:t>Borrower</w:t>
      </w:r>
      <w:r>
        <w:rPr>
          <w:rFonts w:ascii="Times New Roman" w:hAnsi="Times New Roman"/>
          <w:color w:val="000000"/>
          <w:sz w:val="20"/>
        </w:rPr>
        <w:t>”).</w:t>
      </w:r>
    </w:p>
    <w:p>
      <w:pPr>
        <w:pStyle w:val="TextBody"/>
        <w:bidi w:val="0"/>
        <w:spacing w:before="9"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0"/>
        </w:rPr>
        <w:t>WHEREAS, Collateral Agent, Borrower and the Lenders party thereto from time to time have entered into that certain Loan and Security Agreement, dated as of January 15, 2021 (as amended, supplemented or otherwise modified from time to time, the “</w:t>
      </w:r>
      <w:r>
        <w:rPr>
          <w:rFonts w:ascii="Times New Roman" w:hAnsi="Times New Roman"/>
          <w:b/>
          <w:color w:val="000000"/>
          <w:sz w:val="20"/>
        </w:rPr>
        <w:t>Loan Agreement</w:t>
      </w:r>
      <w:r>
        <w:rPr>
          <w:rFonts w:ascii="Times New Roman" w:hAnsi="Times New Roman"/>
          <w:color w:val="000000"/>
          <w:sz w:val="20"/>
        </w:rPr>
        <w:t>”) pursuant to which the Lenders have provided to Borrower certain loans in accordance with the terms and conditions thereof; and</w:t>
      </w:r>
    </w:p>
    <w:p>
      <w:pPr>
        <w:pStyle w:val="TextBody"/>
        <w:bidi w:val="0"/>
        <w:spacing w:before="1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WHEREAS, Borrower, Lenders and Collateral Agent desire to amend certain provisions of the Loan Agreement as provided herein and subject to the terms and conditions set forth herein;</w:t>
      </w:r>
    </w:p>
    <w:p>
      <w:pPr>
        <w:pStyle w:val="TextBody"/>
        <w:bidi w:val="0"/>
        <w:spacing w:before="1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NOW, THEREFORE, in consideration of the promises, covenants and agreements contained herein, and other good and valuable consideration, the receipt and adequacy of which are hereby acknowledged, Borrower, Lenders and Collateral Agent hereby agree as follows: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pPr>
      <w:r>
        <w:rPr>
          <w:rFonts w:ascii="Times New Roman" w:hAnsi="Times New Roman"/>
          <w:b/>
          <w:color w:val="000000"/>
          <w:sz w:val="20"/>
        </w:rPr>
        <w:t xml:space="preserve">Definitions. </w:t>
      </w:r>
      <w:r>
        <w:rPr>
          <w:rFonts w:ascii="Times New Roman" w:hAnsi="Times New Roman"/>
          <w:color w:val="000000"/>
          <w:sz w:val="20"/>
        </w:rPr>
        <w:t>Capitalized terms used herein but not otherwise defined shall have the respective meanings given to them in the Loan Agreement.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Section 13.1 of the Loan Agreement is hereby amended by amending and restating the following definitions therein as follows:</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0"/>
        </w:rPr>
        <w:t>Designated Deposit Account</w:t>
      </w:r>
      <w:r>
        <w:rPr>
          <w:rFonts w:ascii="Times New Roman" w:hAnsi="Times New Roman"/>
          <w:color w:val="000000"/>
          <w:sz w:val="20"/>
        </w:rPr>
        <w:t>” is Borrower’s deposit account, account number [***], maintained with JP Morgan.</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0"/>
        </w:rPr>
        <w:t>Permitted Indebtedness</w:t>
      </w:r>
      <w:r>
        <w:rPr>
          <w:rFonts w:ascii="Times New Roman" w:hAnsi="Times New Roman"/>
          <w:color w:val="000000"/>
          <w:sz w:val="20"/>
        </w:rPr>
        <w:t>” is:</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Borrower’s Indebtedness to the Lenders and Collateral Agent under this Agreement and the other Loan Documents;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Indebtedness existing on the Effective Date and disclosed on the Perfection Certificate(s);</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Subordinated Debt;</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unsecured Indebtedness to trade creditors incurred in the ordinary course of business;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Two Hundred Fifty Thousand Dollars ($250,000.00)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Indebtedness incurred as a result of endorsing negotiable instruments received in the ordinary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course of Borrower’s business;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jc w:val="both"/>
        <w:rPr>
          <w:rFonts w:ascii="Times New Roman" w:hAnsi="Times New Roman"/>
          <w:color w:val="000000"/>
          <w:sz w:val="20"/>
        </w:rPr>
      </w:pPr>
      <w:r>
        <w:rPr>
          <w:rFonts w:ascii="Times New Roman" w:hAnsi="Times New Roman"/>
          <w:color w:val="000000"/>
          <w:sz w:val="20"/>
        </w:rPr>
        <w:t>Indebtedness that also constitutes a Permitted Investment;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reimbursement obligations in connection with letters of credit and cash management services (excluding credit cards and debit cards and similar instruments) that are secured by cash or cash equivalents and issued on behalf of the Borrower or a Subsidiary thereof in an amount not to exceed Five Hundred Thousand Dollars ($500,000.00) at any time outstanding;</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unsecured Indebtedness incurred in the ordinary course of business with corporate credit cards not to exceed Four Hundred and Fifty Thousand Dollars ($450,000.00) at any time outstanding;</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(j)</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cash-secured Indebtedness incurred in the ordinary course of business with corporate credit cards not to exceed Fifty Thousand Dollars ($50,000.00) at any time outstanding;</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(k)</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other unsecured Indebtedness in an amount not to exceed Five Hundred Thousand Dollars ($500,000.00) at any time outstanding; and</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(l)</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extensions, refinancings, modifications, amendments and restatements of any items of Permitted Indebtedness (a) through (e) above, provided that the principal amount thereof is not increased or the terms thereof are not modified to impose materially more burdensome terms upon Borrower, or its Subsidiary, as the case may be.</w:t>
      </w:r>
    </w:p>
    <w:p>
      <w:pPr>
        <w:pStyle w:val="TextBody"/>
        <w:bidi w:val="0"/>
        <w:jc w:val="left"/>
        <w:rPr/>
      </w:pPr>
      <w:r>
        <w:rPr/>
        <w:t> </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0"/>
        </w:rPr>
        <w:t>Permitted Liens</w:t>
      </w:r>
      <w:r>
        <w:rPr>
          <w:rFonts w:ascii="Times New Roman" w:hAnsi="Times New Roman"/>
          <w:color w:val="000000"/>
          <w:sz w:val="20"/>
        </w:rPr>
        <w:t>” are:</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Liens existing on the Effective Date and disclosed on the Perfection Certificates or arising under this Agreement and the other Loan Documents;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color w:val="000000"/>
          <w:sz w:val="20"/>
        </w:rPr>
        <w:t>liens securing Indebtedness permitted under clause (e) of the definition of “</w:t>
      </w:r>
      <w:r>
        <w:rPr>
          <w:rFonts w:ascii="Times New Roman" w:hAnsi="Times New Roman"/>
          <w:b/>
          <w:color w:val="000000"/>
          <w:sz w:val="20"/>
        </w:rPr>
        <w:t>Permitted Indebtedness</w:t>
      </w:r>
      <w:r>
        <w:rPr>
          <w:rFonts w:ascii="Times New Roman" w:hAnsi="Times New Roman"/>
          <w:color w:val="000000"/>
          <w:sz w:val="20"/>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Liens of carriers, warehousemen, suppliers, or other Persons that are possessory in nature arising in the ordinary course of business so long as such Liens attach only to Inventory, securing liabilities in the aggregate amount not to exceed Two Hundred Fifty Thousand Dollars ($250,000.00), and which are not delinquent or remain payable without penalty or which are being contested in good faith and by appropriate proceedings which proceedings have the effect of preventing the forfeiture or sale of the property subject thereto;</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rFonts w:ascii="Times New Roman" w:hAnsi="Times New Roman"/>
          <w:color w:val="000000"/>
          <w:sz w:val="20"/>
        </w:rPr>
      </w:pPr>
      <w:r>
        <w:rPr>
          <w:rFonts w:ascii="Times New Roman" w:hAnsi="Times New Roman"/>
          <w:color w:val="000000"/>
          <w:sz w:val="20"/>
        </w:rPr>
        <w:t>Liens to secure payment of workers’ compensation, employment insurance, old-age pensions, social security and other like obligations incurred in the ordinary course of business (other than Liens imposed by ERISA);</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0"/>
        <w:jc w:val="both"/>
        <w:rPr/>
      </w:pPr>
      <w:r>
        <w:rPr>
          <w:rFonts w:ascii="Times New Roman" w:hAnsi="Times New Roman"/>
          <w:color w:val="000000"/>
          <w:sz w:val="20"/>
        </w:rPr>
        <w:t xml:space="preserve">Liens incurred in the extension, renewal or refinancing of the indebtedness secured by Liens described in (a) through (c), </w:t>
      </w:r>
      <w:r>
        <w:rPr>
          <w:rFonts w:ascii="Times New Roman" w:hAnsi="Times New Roman"/>
          <w:color w:val="000000"/>
          <w:sz w:val="20"/>
          <w:u w:val="single"/>
        </w:rPr>
        <w:t>but</w:t>
      </w:r>
      <w:r>
        <w:rPr>
          <w:color w:val="000000"/>
        </w:rPr>
        <w:t xml:space="preserve"> </w:t>
      </w:r>
      <w:r>
        <w:rPr>
          <w:rFonts w:ascii="Times New Roman" w:hAnsi="Times New Roman"/>
          <w:color w:val="000000"/>
          <w:sz w:val="20"/>
        </w:rPr>
        <w:t>any extension, renewal or replacement Lien must be limited to the property encumbered by the existing Lien and the principal amount of the indebtedness may not increase;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ordinary course of Borrower’s business (or, if referring to another Person, in the ordinary course of such Person’s business), if the leases, subleases, licenses and sublicenses do not prohibit granting Collateral Agent or any Lender a security interest therein;</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jc w:val="both"/>
        <w:rPr>
          <w:rFonts w:ascii="Times New Roman" w:hAnsi="Times New Roman"/>
          <w:color w:val="000000"/>
          <w:sz w:val="20"/>
        </w:rPr>
      </w:pPr>
      <w:r>
        <w:rPr>
          <w:rFonts w:ascii="Times New Roman" w:hAnsi="Times New Roman"/>
          <w:color w:val="000000"/>
          <w:sz w:val="20"/>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Liens arising from judgments, decrees or attachments in circumstances not constituting an Event of Default under Section 8.4 or 8.7;</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w:t>
      </w:r>
    </w:p>
    <w:p>
      <w:pPr>
        <w:pStyle w:val="TextBody"/>
        <w:bidi w:val="0"/>
        <w:jc w:val="both"/>
        <w:rPr>
          <w:rFonts w:ascii="Times New Roman" w:hAnsi="Times New Roman"/>
          <w:color w:val="000000"/>
          <w:sz w:val="20"/>
        </w:rPr>
      </w:pPr>
      <w:r>
        <w:rPr>
          <w:rFonts w:ascii="Times New Roman" w:hAnsi="Times New Roman"/>
          <w:color w:val="000000"/>
          <w:sz w:val="20"/>
        </w:rPr>
        <w:t>Liens consisting of Permitted Licenses;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w:t>
      </w:r>
    </w:p>
    <w:p>
      <w:pPr>
        <w:pStyle w:val="TextBody"/>
        <w:bidi w:val="0"/>
        <w:jc w:val="both"/>
        <w:rPr>
          <w:rFonts w:ascii="Times New Roman" w:hAnsi="Times New Roman"/>
          <w:color w:val="000000"/>
          <w:sz w:val="20"/>
        </w:rPr>
      </w:pPr>
      <w:r>
        <w:rPr>
          <w:rFonts w:ascii="Times New Roman" w:hAnsi="Times New Roman"/>
          <w:color w:val="000000"/>
          <w:sz w:val="20"/>
        </w:rPr>
        <w:t>Liens in favor of customs and revenue authorities arising as a matter of law to secure payment of custom duties that are promptly paid on or before the date they become due; provided, however, the aggregate amount of duties secured by such Liens may not exceed Two Hundred Fifty Thousand Dollars ($250,000.00) at any given time; and</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w:t>
      </w:r>
    </w:p>
    <w:p>
      <w:pPr>
        <w:pStyle w:val="TextBody"/>
        <w:bidi w:val="0"/>
        <w:jc w:val="both"/>
        <w:rPr>
          <w:rFonts w:ascii="Times New Roman" w:hAnsi="Times New Roman"/>
          <w:color w:val="000000"/>
          <w:sz w:val="20"/>
        </w:rPr>
      </w:pPr>
      <w:r>
        <w:rPr>
          <w:rFonts w:ascii="Times New Roman" w:hAnsi="Times New Roman"/>
          <w:color w:val="000000"/>
          <w:sz w:val="20"/>
        </w:rPr>
        <w:t>Liens on insurance proceeds securing the payment of financed insurance premiums that are promptly paid on or before the date they become due (provided that such Liens extend only to such insurance proceeds and not to any other property or assets and the aggregate amount of payment secured by such Liens do not exceed One Hundred Thousand Dollars ($100,000.00) at any given time); and</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w:t>
      </w:r>
    </w:p>
    <w:p>
      <w:pPr>
        <w:pStyle w:val="TextBody"/>
        <w:bidi w:val="0"/>
        <w:jc w:val="both"/>
        <w:rPr>
          <w:rFonts w:ascii="Times New Roman" w:hAnsi="Times New Roman"/>
          <w:color w:val="000000"/>
          <w:sz w:val="20"/>
        </w:rPr>
      </w:pPr>
      <w:r>
        <w:rPr>
          <w:rFonts w:ascii="Times New Roman" w:hAnsi="Times New Roman"/>
          <w:color w:val="000000"/>
          <w:sz w:val="20"/>
        </w:rPr>
        <w:t>Liens on cash or cash equivalents securing obligations permitted under clause (h) of the definition of Permitted Indebtedness; provided, however, such Liens are restricted to a segregated bank account of Borrower identified to Collateral Agent in writing and the aggregate balance in such bank account does not exceed the amount of Indebtedness then outstanding and permitted under clause (h) of the definition of Permitted Indebtedness at any given time.</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w:t>
      </w:r>
    </w:p>
    <w:p>
      <w:pPr>
        <w:pStyle w:val="TextBody"/>
        <w:bidi w:val="0"/>
        <w:jc w:val="both"/>
        <w:rPr>
          <w:rFonts w:ascii="Times New Roman" w:hAnsi="Times New Roman"/>
          <w:color w:val="000000"/>
          <w:sz w:val="20"/>
        </w:rPr>
      </w:pPr>
      <w:r>
        <w:rPr>
          <w:rFonts w:ascii="Times New Roman" w:hAnsi="Times New Roman"/>
          <w:color w:val="000000"/>
          <w:sz w:val="20"/>
        </w:rPr>
        <w:t>Liens on cash or cash equivalents securing obligations permitted under clause (j) of the definition of Permitted Indebtedness; provided, however, such Liens are restricted to a segregated bank account of Borrower identified to Collateral Agent in writing and the aggregate balance in such bank account does not exceed Fifty Five Thousand Dollars ($55,000.00) at any given time.</w:t>
      </w:r>
    </w:p>
    <w:p>
      <w:pPr>
        <w:pStyle w:val="TextBody"/>
        <w:bidi w:val="0"/>
        <w:jc w:val="left"/>
        <w:rPr/>
      </w:pPr>
      <w:r>
        <w:rPr/>
        <w:t> </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The address of Borrower set forth in Section 10 of the Loan Agreement, the addresses referenced in clause</w:t>
      </w:r>
    </w:p>
    <w:p>
      <w:pPr>
        <w:pStyle w:val="TextBody"/>
        <w:bidi w:val="0"/>
        <w:jc w:val="both"/>
        <w:rPr>
          <w:rFonts w:ascii="Times New Roman" w:hAnsi="Times New Roman"/>
          <w:color w:val="000000"/>
          <w:sz w:val="20"/>
        </w:rPr>
      </w:pPr>
      <w:r>
        <w:rPr>
          <w:rFonts w:ascii="Times New Roman" w:hAnsi="Times New Roman"/>
          <w:color w:val="000000"/>
          <w:sz w:val="20"/>
        </w:rPr>
        <w:t>(d) of Section 5.1 of the Loan Agreement, and each Perfection Certificate previously delivered to Bank are each hereby amended as appropriate to reflect the address of each of TEMPESTTX, INC., TEMPEST THERAPEUTICS, INC., and MILLENDO THERAPEUTICS US, INC. as: 2000 Sierra Point Parkway, Suite 400, Brisbane, CA 94005.</w:t>
      </w:r>
    </w:p>
    <w:p>
      <w:pPr>
        <w:pStyle w:val="TextBody"/>
        <w:bidi w:val="0"/>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Limitation of Amendment.</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The amendments and waivers set forth above are effective for the purposes set forth herein and shall be limited precisely as written and shall not be deemed to (a) be a consent to any amendment, waiver or modification of any other term or condition of any Loan Document, or (b) otherwise prejudice any right, remedy or obligation which Lenders or Borrower may now have or may have in the future under or in connection with any Loan Document, as amended hereby.</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This Amendment shall be construed in connection with and as part of the Loan Documents and all terms, conditions, representations, warranties, covenants and agreements set forth in the Loan Documents, except as herein amended, are hereby ratified and confirmed and shall remain in full</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force and effect. For the avoidance of doubt, this Amendment shall be considered part of the Loan Documents.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To induce Collateral Agent and Lenders to enter into this Amendment, Borrower hereby represents and warrants to Collateral Agent and Lenders as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Immediately after giving effect to this Amendment (a) the representations and warranties contained in the Loan Documents are true, accurate and complete in all respects as of the date hereof (except to the extent such representations and warranties relate to an earlier date, in which case they are true and correct as of such date), and (b) no Event of Default has occurred and is continuing;</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Borrower has the power and due authority to execute and deliver this Amendment and to perform its obligations under the Loan Agreement, as amended by this Amendment;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The organizational documents of Borrower delivered to Collateral Agent on the Effective Date, and updated pursuant to subsequent deliveries by the Borrower to the Collateral Agent, remain true, accurate and complete and have not been amended, supplemented or restated and are and continue to be in full force and effect;</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execution and delivery by Borrower of this Amendment and the performance by Borrower of its obligations under the Loan Agreement, as amended by this Amendment, have been duly authorized;</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The execution and delivery by Borrower of this Amendment and the performance by Borrower of its obligations under the Loan Agreement, as amended by this Amendment, do not and will not contravene (i) any law or regulation binding on or affecting Borrower, (ii) any contractual restriction with a Person binding on Borrower, (iii) any order, judgment or decree of any court or other governmental or public body or authority, or subdivision thereof, binding on Borrower, or (iv) the organizational documents of Borrower;</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jc w:val="both"/>
        <w:rPr>
          <w:rFonts w:ascii="Times New Roman" w:hAnsi="Times New Roman"/>
          <w:color w:val="000000"/>
          <w:sz w:val="20"/>
        </w:rPr>
      </w:pPr>
      <w:r>
        <w:rPr>
          <w:rFonts w:ascii="Times New Roman" w:hAnsi="Times New Roman"/>
          <w:color w:val="000000"/>
          <w:sz w:val="20"/>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jc w:val="both"/>
        <w:rPr>
          <w:rFonts w:ascii="Times New Roman" w:hAnsi="Times New Roman"/>
          <w:color w:val="000000"/>
          <w:sz w:val="20"/>
        </w:rPr>
      </w:pPr>
      <w:r>
        <w:rPr>
          <w:rFonts w:ascii="Times New Roman" w:hAnsi="Times New Roman"/>
          <w:color w:val="000000"/>
          <w:sz w:val="20"/>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Except as expressly set forth herein, the Loan Agreement shall continue in full force and effect without alteration or amendment. This Amendment and the Loan Documents represent the entire agreement about this subject matter and supersede prior negotiations or agreements.</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This Amendment shall be deemed effective as of the Second Amendment Date upon (a) the due execution and delivery to Collateral Agent of this Amendment by each party hereto.</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jc w:val="both"/>
        <w:rPr/>
      </w:pPr>
      <w:r>
        <w:rPr>
          <w:rFonts w:ascii="Times New Roman" w:hAnsi="Times New Roman"/>
          <w:color w:val="000000"/>
          <w:sz w:val="20"/>
        </w:rPr>
        <w:t xml:space="preserve">The Borrower hereby remises, releases, acquits, satisfies and forever discharges the Lenders and Collateral Agent, their agents, employees, officers, directors, predecessors, attorneys and all others acting or purporting to act on behalf of or at the direction of the Lenders and Collateral Agent </w:t>
      </w:r>
      <w:r>
        <w:rPr>
          <w:rFonts w:ascii="Times New Roman" w:hAnsi="Times New Roman"/>
          <w:b/>
          <w:color w:val="000000"/>
          <w:sz w:val="20"/>
        </w:rPr>
        <w:t>(“Releasees</w:t>
      </w:r>
      <w:r>
        <w:rPr>
          <w:color w:val="000000"/>
        </w:rPr>
        <w:t>”</w:t>
      </w:r>
      <w:r>
        <w:rPr>
          <w:rFonts w:ascii="Times New Roman" w:hAnsi="Times New Roman"/>
          <w:color w:val="000000"/>
          <w:sz w:val="20"/>
        </w:rPr>
        <w:t>), of and from any and all manner of actions, causes of action, suit, debts, accounts, covenants, contracts, controversies, agreements, variances, damages, judgments, claims and demands whatsoever, in law or in equity (other than claims relating to fraud), which any of such parties ever had, now has or, to the extent arising from or in connection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with any act, omission or state of facts taken or existing on or prior to the date hereof, may have after the date hereof against the Releasees, for, upon or by reason of any matter, cause or thing whatsoever relating to or arising out of the Loan Agreement or the other Loan Documents on or prior to the date hereof and through the date hereof. Without limiting the generality of the foregoing, the Borrower waives and affirmatively agrees not to allege or otherwise pursue any defenses, affirmative defenses, counterclaims, claims, causes of action, setoffs or other rights they do, shall or may have as of the date hereof, including the rights to contest:</w:t>
      </w:r>
    </w:p>
    <w:p>
      <w:pPr>
        <w:pStyle w:val="TextBody"/>
        <w:bidi w:val="0"/>
        <w:jc w:val="both"/>
        <w:rPr>
          <w:rFonts w:ascii="Times New Roman" w:hAnsi="Times New Roman"/>
          <w:color w:val="000000"/>
          <w:sz w:val="20"/>
        </w:rPr>
      </w:pPr>
      <w:r>
        <w:rPr>
          <w:rFonts w:ascii="Times New Roman" w:hAnsi="Times New Roman"/>
          <w:color w:val="000000"/>
          <w:sz w:val="20"/>
        </w:rPr>
        <w:t xml:space="preserve">(a) the right of Collateral Agent and each Lender to exercise its rights and remedies described in the Loan Documents; (b) any provision of this Amendment or the Loan Documents; or (c) any conduct of the Lenders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or other Releasees relating to or arising out of the Loan Agreement or the other Loan Documents on or prior to the date hereof.</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jc w:val="both"/>
        <w:rPr>
          <w:rFonts w:ascii="Times New Roman" w:hAnsi="Times New Roman"/>
          <w:color w:val="000000"/>
          <w:sz w:val="20"/>
        </w:rPr>
      </w:pPr>
      <w:r>
        <w:rPr>
          <w:rFonts w:ascii="Times New Roman" w:hAnsi="Times New Roman"/>
          <w:color w:val="000000"/>
          <w:sz w:val="20"/>
        </w:rPr>
        <w:t>This Amendment may be executed in any number of counterparts, each of which shall be deemed an original, and all of which, taken together, shall constitute one and the same instrument.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jc w:val="both"/>
        <w:rPr>
          <w:rFonts w:ascii="Times New Roman" w:hAnsi="Times New Roman"/>
          <w:color w:val="000000"/>
          <w:sz w:val="20"/>
        </w:rPr>
      </w:pPr>
      <w:r>
        <w:rPr>
          <w:rFonts w:ascii="Times New Roman" w:hAnsi="Times New Roman"/>
          <w:color w:val="000000"/>
          <w:sz w:val="20"/>
        </w:rPr>
        <w:t>This Amendment and the rights and obligations of the parties hereto shall be governed by and construed in accordance with the laws of the State of California.</w:t>
      </w:r>
    </w:p>
    <w:p>
      <w:pPr>
        <w:pStyle w:val="TextBody"/>
        <w:bidi w:val="0"/>
        <w:jc w:val="left"/>
        <w:rPr/>
      </w:pPr>
      <w:r>
        <w:rPr/>
        <w:t> </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Balance of Page Intentionally Left Blank</w:t>
      </w:r>
      <w:r>
        <w:rPr>
          <w:rFonts w:ascii="Times New Roman" w:hAnsi="Times New Roman"/>
          <w:b/>
          <w:color w:val="000000"/>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38"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hereto have caused this Second Amendment to Loan and Security Agreement to be executed as of the date first set forth above.</w:t>
      </w:r>
    </w:p>
    <w:p>
      <w:pPr>
        <w:pStyle w:val="TextBody"/>
        <w:bidi w:val="0"/>
        <w:spacing w:before="1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BORROWER:</w:t>
      </w:r>
    </w:p>
    <w:p>
      <w:pPr>
        <w:pStyle w:val="TextBody"/>
        <w:bidi w:val="0"/>
        <w:spacing w:before="230" w:after="283"/>
        <w:jc w:val="left"/>
        <w:rPr>
          <w:rFonts w:ascii="Times New Roman" w:hAnsi="Times New Roman"/>
          <w:color w:val="000000"/>
          <w:sz w:val="20"/>
        </w:rPr>
      </w:pPr>
      <w:r>
        <w:rPr>
          <w:rFonts w:ascii="Times New Roman" w:hAnsi="Times New Roman"/>
          <w:color w:val="000000"/>
          <w:sz w:val="20"/>
        </w:rPr>
        <w:t>TEMPEST THERAPEUTICS, INC.</w:t>
      </w:r>
    </w:p>
    <w:p>
      <w:pPr>
        <w:pStyle w:val="TextBody"/>
        <w:bidi w:val="0"/>
        <w:jc w:val="left"/>
        <w:rPr/>
      </w:pPr>
      <w:r>
        <w:rPr/>
        <w:t> </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Stephen Brady </w:t>
      </w:r>
    </w:p>
    <w:p>
      <w:pPr>
        <w:pStyle w:val="TextBody"/>
        <w:bidi w:val="0"/>
        <w:jc w:val="left"/>
        <w:rPr>
          <w:rFonts w:ascii="Times New Roman" w:hAnsi="Times New Roman"/>
          <w:sz w:val="20"/>
        </w:rPr>
      </w:pPr>
      <w:r>
        <w:rPr>
          <w:rFonts w:ascii="Times New Roman" w:hAnsi="Times New Roman"/>
          <w:color w:val="000000"/>
          <w:sz w:val="20"/>
        </w:rPr>
        <w:t xml:space="preserve">Name: </w:t>
      </w:r>
      <w:r>
        <w:rPr>
          <w:rFonts w:ascii="Arial" w:hAnsi="Arial"/>
          <w:color w:val="000000"/>
          <w:sz w:val="18"/>
        </w:rPr>
        <w:t>Stephen Brady</w:t>
      </w:r>
    </w:p>
    <w:p>
      <w:pPr>
        <w:pStyle w:val="TextBody"/>
        <w:bidi w:val="0"/>
        <w:jc w:val="left"/>
        <w:rPr>
          <w:rFonts w:ascii="Times New Roman" w:hAnsi="Times New Roman"/>
          <w:sz w:val="20"/>
        </w:rPr>
      </w:pPr>
      <w:r>
        <w:rPr>
          <w:rFonts w:ascii="Times New Roman" w:hAnsi="Times New Roman"/>
          <w:color w:val="000000"/>
          <w:sz w:val="20"/>
        </w:rPr>
        <w:t xml:space="preserve">Title: </w:t>
      </w:r>
      <w:r>
        <w:rPr>
          <w:rFonts w:ascii="Arial" w:hAnsi="Arial"/>
          <w:color w:val="000000"/>
          <w:sz w:val="18"/>
        </w:rPr>
        <w:t>Chief Executive Officer</w:t>
      </w:r>
    </w:p>
    <w:p>
      <w:pPr>
        <w:pStyle w:val="TextBody"/>
        <w:bidi w:val="0"/>
        <w:jc w:val="left"/>
        <w:rPr/>
      </w:pPr>
      <w:r>
        <w:rPr/>
        <w:t> </w:t>
      </w:r>
    </w:p>
    <w:p>
      <w:pPr>
        <w:pStyle w:val="TextBody"/>
        <w:bidi w:val="0"/>
        <w:spacing w:before="151" w:after="283"/>
        <w:jc w:val="left"/>
        <w:rPr>
          <w:rFonts w:ascii="Times New Roman" w:hAnsi="Times New Roman"/>
          <w:b/>
          <w:color w:val="000000"/>
          <w:sz w:val="20"/>
        </w:rPr>
      </w:pPr>
      <w:r>
        <w:rPr>
          <w:rFonts w:ascii="Times New Roman" w:hAnsi="Times New Roman"/>
          <w:b/>
          <w:color w:val="000000"/>
          <w:sz w:val="20"/>
        </w:rPr>
        <w:t>BORROWER:</w:t>
      </w:r>
    </w:p>
    <w:p>
      <w:pPr>
        <w:pStyle w:val="TextBody"/>
        <w:bidi w:val="0"/>
        <w:spacing w:before="230" w:after="283"/>
        <w:jc w:val="left"/>
        <w:rPr>
          <w:rFonts w:ascii="Times New Roman" w:hAnsi="Times New Roman"/>
          <w:color w:val="000000"/>
          <w:sz w:val="20"/>
        </w:rPr>
      </w:pPr>
      <w:r>
        <w:rPr>
          <w:rFonts w:ascii="Times New Roman" w:hAnsi="Times New Roman"/>
          <w:color w:val="000000"/>
          <w:sz w:val="20"/>
        </w:rPr>
        <w:t>TEMPESTTX, INC.</w:t>
      </w:r>
    </w:p>
    <w:p>
      <w:pPr>
        <w:pStyle w:val="TextBody"/>
        <w:bidi w:val="0"/>
        <w:spacing w:before="23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Stephen Brady </w:t>
      </w:r>
    </w:p>
    <w:p>
      <w:pPr>
        <w:pStyle w:val="TextBody"/>
        <w:bidi w:val="0"/>
        <w:jc w:val="left"/>
        <w:rPr>
          <w:rFonts w:ascii="Times New Roman" w:hAnsi="Times New Roman"/>
          <w:sz w:val="20"/>
        </w:rPr>
      </w:pPr>
      <w:r>
        <w:rPr>
          <w:rFonts w:ascii="Times New Roman" w:hAnsi="Times New Roman"/>
          <w:color w:val="000000"/>
          <w:sz w:val="20"/>
        </w:rPr>
        <w:t xml:space="preserve">Name: </w:t>
      </w:r>
      <w:r>
        <w:rPr>
          <w:rFonts w:ascii="Arial" w:hAnsi="Arial"/>
          <w:color w:val="000000"/>
          <w:sz w:val="18"/>
        </w:rPr>
        <w:t>Stephen Brady</w:t>
      </w:r>
    </w:p>
    <w:p>
      <w:pPr>
        <w:pStyle w:val="TextBody"/>
        <w:bidi w:val="0"/>
        <w:spacing w:before="1" w:after="283"/>
        <w:jc w:val="left"/>
        <w:rPr>
          <w:rFonts w:ascii="Times New Roman" w:hAnsi="Times New Roman"/>
          <w:sz w:val="20"/>
        </w:rPr>
      </w:pPr>
      <w:r>
        <w:rPr>
          <w:rFonts w:ascii="Times New Roman" w:hAnsi="Times New Roman"/>
          <w:color w:val="000000"/>
          <w:sz w:val="20"/>
        </w:rPr>
        <w:t xml:space="preserve">Title: </w:t>
      </w:r>
      <w:r>
        <w:rPr>
          <w:rFonts w:ascii="Arial" w:hAnsi="Arial"/>
          <w:color w:val="000000"/>
          <w:sz w:val="18"/>
        </w:rPr>
        <w:t>Chief Executive Officer</w:t>
      </w:r>
    </w:p>
    <w:p>
      <w:pPr>
        <w:pStyle w:val="TextBody"/>
        <w:bidi w:val="0"/>
        <w:jc w:val="left"/>
        <w:rPr/>
      </w:pPr>
      <w:r>
        <w:rPr/>
        <w:t> </w:t>
      </w:r>
    </w:p>
    <w:p>
      <w:pPr>
        <w:pStyle w:val="TextBody"/>
        <w:bidi w:val="0"/>
        <w:spacing w:before="177" w:after="283"/>
        <w:jc w:val="left"/>
        <w:rPr>
          <w:rFonts w:ascii="Times New Roman" w:hAnsi="Times New Roman"/>
          <w:b/>
          <w:color w:val="000000"/>
          <w:sz w:val="20"/>
        </w:rPr>
      </w:pPr>
      <w:r>
        <w:rPr>
          <w:rFonts w:ascii="Times New Roman" w:hAnsi="Times New Roman"/>
          <w:b/>
          <w:color w:val="000000"/>
          <w:sz w:val="20"/>
        </w:rPr>
        <w:t>BORROWER:</w:t>
      </w:r>
    </w:p>
    <w:p>
      <w:pPr>
        <w:pStyle w:val="TextBody"/>
        <w:bidi w:val="0"/>
        <w:spacing w:before="229" w:after="283"/>
        <w:jc w:val="left"/>
        <w:rPr>
          <w:rFonts w:ascii="Times New Roman" w:hAnsi="Times New Roman"/>
          <w:color w:val="000000"/>
          <w:sz w:val="20"/>
        </w:rPr>
      </w:pPr>
      <w:r>
        <w:rPr>
          <w:rFonts w:ascii="Times New Roman" w:hAnsi="Times New Roman"/>
          <w:color w:val="000000"/>
          <w:sz w:val="20"/>
        </w:rPr>
        <w:t>MILLENDO THERAPEUTICS US, INC.</w:t>
      </w:r>
    </w:p>
    <w:p>
      <w:pPr>
        <w:pStyle w:val="TextBody"/>
        <w:bidi w:val="0"/>
        <w:spacing w:before="229"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Stephen Brady </w:t>
      </w:r>
    </w:p>
    <w:p>
      <w:pPr>
        <w:pStyle w:val="TextBody"/>
        <w:bidi w:val="0"/>
        <w:jc w:val="left"/>
        <w:rPr>
          <w:rFonts w:ascii="Times New Roman" w:hAnsi="Times New Roman"/>
          <w:sz w:val="20"/>
        </w:rPr>
      </w:pPr>
      <w:r>
        <w:rPr>
          <w:rFonts w:ascii="Times New Roman" w:hAnsi="Times New Roman"/>
          <w:color w:val="000000"/>
          <w:sz w:val="20"/>
        </w:rPr>
        <w:t xml:space="preserve">Name: </w:t>
      </w:r>
      <w:r>
        <w:rPr>
          <w:rFonts w:ascii="Arial" w:hAnsi="Arial"/>
          <w:color w:val="000000"/>
          <w:sz w:val="18"/>
        </w:rPr>
        <w:t>Stephen Brady</w:t>
      </w:r>
    </w:p>
    <w:p>
      <w:pPr>
        <w:pStyle w:val="TextBody"/>
        <w:bidi w:val="0"/>
        <w:jc w:val="left"/>
        <w:rPr>
          <w:rFonts w:ascii="Times New Roman" w:hAnsi="Times New Roman"/>
          <w:sz w:val="20"/>
        </w:rPr>
      </w:pPr>
      <w:r>
        <w:rPr>
          <w:rFonts w:ascii="Times New Roman" w:hAnsi="Times New Roman"/>
          <w:color w:val="000000"/>
          <w:sz w:val="20"/>
        </w:rPr>
        <w:t xml:space="preserve">Title: </w:t>
      </w:r>
      <w:r>
        <w:rPr>
          <w:rFonts w:ascii="Arial" w:hAnsi="Arial"/>
          <w:color w:val="000000"/>
          <w:sz w:val="18"/>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53"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COLLATERAL AGENT AND LENDER:</w:t>
      </w:r>
    </w:p>
    <w:p>
      <w:pPr>
        <w:pStyle w:val="TextBody"/>
        <w:bidi w:val="0"/>
        <w:spacing w:before="230" w:after="283"/>
        <w:jc w:val="left"/>
        <w:rPr>
          <w:rFonts w:ascii="Times New Roman" w:hAnsi="Times New Roman"/>
          <w:color w:val="000000"/>
          <w:sz w:val="20"/>
        </w:rPr>
      </w:pPr>
      <w:r>
        <w:rPr>
          <w:rFonts w:ascii="Times New Roman" w:hAnsi="Times New Roman"/>
          <w:color w:val="000000"/>
          <w:sz w:val="20"/>
        </w:rPr>
        <w:t>OXFORD FINANCE LLC</w:t>
      </w:r>
    </w:p>
    <w:p>
      <w:pPr>
        <w:pStyle w:val="TextBody"/>
        <w:bidi w:val="0"/>
        <w:spacing w:before="229"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Colette H. Featherly </w:t>
      </w:r>
    </w:p>
    <w:p>
      <w:pPr>
        <w:pStyle w:val="TextBody"/>
        <w:bidi w:val="0"/>
        <w:spacing w:before="1" w:after="283"/>
        <w:jc w:val="both"/>
        <w:rPr>
          <w:rFonts w:ascii="Times New Roman" w:hAnsi="Times New Roman"/>
          <w:sz w:val="20"/>
        </w:rPr>
      </w:pPr>
      <w:r>
        <w:rPr>
          <w:rFonts w:ascii="Times New Roman" w:hAnsi="Times New Roman"/>
          <w:color w:val="000000"/>
          <w:sz w:val="20"/>
        </w:rPr>
        <w:t>Name:</w:t>
      </w:r>
      <w:r>
        <w:rPr>
          <w:rFonts w:ascii="Times New Roman" w:hAnsi="Times New Roman"/>
          <w:color w:val="000000"/>
          <w:sz w:val="20"/>
          <w:u w:val="single"/>
        </w:rPr>
        <w:t xml:space="preserve"> Colette H. Featherly </w:t>
      </w:r>
    </w:p>
    <w:p>
      <w:pPr>
        <w:pStyle w:val="TextBody"/>
        <w:bidi w:val="0"/>
        <w:spacing w:before="1" w:after="283"/>
        <w:jc w:val="both"/>
        <w:rPr>
          <w:rFonts w:ascii="Times New Roman" w:hAnsi="Times New Roman"/>
          <w:sz w:val="20"/>
        </w:rPr>
      </w:pPr>
      <w:r>
        <w:rPr>
          <w:rFonts w:ascii="Times New Roman" w:hAnsi="Times New Roman"/>
          <w:color w:val="000000"/>
          <w:sz w:val="20"/>
        </w:rPr>
        <w:t>Title:</w:t>
      </w:r>
      <w:r>
        <w:rPr>
          <w:rFonts w:ascii="Times New Roman" w:hAnsi="Times New Roman"/>
          <w:color w:val="000000"/>
          <w:sz w:val="20"/>
          <w:u w:val="single"/>
        </w:rPr>
        <w:t xml:space="preserve"> Secretary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OXFORD FINANCE FUNDING 2019-1, LLC</w:t>
      </w:r>
    </w:p>
    <w:p>
      <w:pPr>
        <w:pStyle w:val="TextBody"/>
        <w:bidi w:val="0"/>
        <w:jc w:val="left"/>
        <w:rPr/>
      </w:pPr>
      <w:r>
        <w:rPr/>
        <w:t> </w:t>
      </w:r>
    </w:p>
    <w:p>
      <w:pPr>
        <w:pStyle w:val="TextBody"/>
        <w:bidi w:val="0"/>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Colette H. Featherly </w:t>
      </w:r>
    </w:p>
    <w:p>
      <w:pPr>
        <w:pStyle w:val="TextBody"/>
        <w:bidi w:val="0"/>
        <w:spacing w:before="1" w:after="283"/>
        <w:jc w:val="both"/>
        <w:rPr>
          <w:rFonts w:ascii="Times New Roman" w:hAnsi="Times New Roman"/>
          <w:sz w:val="20"/>
        </w:rPr>
      </w:pPr>
      <w:r>
        <w:rPr>
          <w:rFonts w:ascii="Times New Roman" w:hAnsi="Times New Roman"/>
          <w:color w:val="000000"/>
          <w:sz w:val="20"/>
        </w:rPr>
        <w:t>Name:</w:t>
      </w:r>
      <w:r>
        <w:rPr>
          <w:rFonts w:ascii="Times New Roman" w:hAnsi="Times New Roman"/>
          <w:color w:val="000000"/>
          <w:sz w:val="20"/>
          <w:u w:val="single"/>
        </w:rPr>
        <w:t xml:space="preserve"> Colette H. Featherly </w:t>
      </w:r>
    </w:p>
    <w:p>
      <w:pPr>
        <w:pStyle w:val="TextBody"/>
        <w:bidi w:val="0"/>
        <w:spacing w:before="1" w:after="283"/>
        <w:jc w:val="both"/>
        <w:rPr>
          <w:rFonts w:ascii="Times New Roman" w:hAnsi="Times New Roman"/>
          <w:sz w:val="20"/>
        </w:rPr>
      </w:pPr>
      <w:r>
        <w:rPr>
          <w:rFonts w:ascii="Times New Roman" w:hAnsi="Times New Roman"/>
          <w:color w:val="000000"/>
          <w:sz w:val="20"/>
        </w:rPr>
        <w:t>Title:</w:t>
      </w:r>
      <w:r>
        <w:rPr>
          <w:rFonts w:ascii="Times New Roman" w:hAnsi="Times New Roman"/>
          <w:color w:val="000000"/>
          <w:sz w:val="20"/>
          <w:u w:val="single"/>
        </w:rPr>
        <w:t xml:space="preserve"> Secretary </w:t>
      </w:r>
    </w:p>
    <w:p>
      <w:pPr>
        <w:pStyle w:val="TextBody"/>
        <w:bidi w:val="0"/>
        <w:spacing w:before="1"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2" w:name="tpst-ex23_1.htm"/>
      <w:bookmarkStart w:id="63" w:name="kstpstex23_1"/>
      <w:bookmarkEnd w:id="62"/>
      <w:bookmarkEnd w:id="63"/>
      <w:r>
        <w:rPr>
          <w:rFonts w:ascii="Times New Roman" w:hAnsi="Times New Roman"/>
          <w:b/>
          <w:color w:val="000000"/>
          <w:sz w:val="20"/>
        </w:rPr>
        <w:t>Exhibit 23.1</w:t>
      </w:r>
      <w:r>
        <w:br w:type="page"/>
      </w:r>
    </w:p>
    <w:p>
      <w:pPr>
        <w:pStyle w:val="TextBody"/>
        <w:bidi w:val="0"/>
        <w:spacing w:before="0" w:after="120"/>
        <w:jc w:val="center"/>
        <w:rPr>
          <w:rFonts w:ascii="Times New Roman" w:hAnsi="Times New Roman"/>
          <w:color w:val="333333"/>
          <w:sz w:val="20"/>
        </w:rPr>
      </w:pPr>
      <w:r>
        <w:rPr>
          <w:rFonts w:ascii="Times New Roman" w:hAnsi="Times New Roman"/>
          <w:color w:val="333333"/>
          <w:sz w:val="20"/>
        </w:rPr>
        <w:t>Consent of Independent Registered Public Accounting Firm</w:t>
      </w:r>
    </w:p>
    <w:p>
      <w:pPr>
        <w:pStyle w:val="TextBody"/>
        <w:bidi w:val="0"/>
        <w:spacing w:before="0" w:after="120"/>
        <w:jc w:val="left"/>
        <w:rPr>
          <w:rFonts w:ascii="Times New Roman" w:hAnsi="Times New Roman"/>
          <w:color w:val="333333"/>
          <w:sz w:val="20"/>
        </w:rPr>
      </w:pPr>
      <w:r>
        <w:rPr>
          <w:rFonts w:ascii="Times New Roman" w:hAnsi="Times New Roman"/>
          <w:color w:val="333333"/>
          <w:sz w:val="20"/>
        </w:rPr>
        <w:t xml:space="preserve">We consent to the incorporation by reference in the following Registration Statements: </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Registration Statement (Form S-8 No. 333-275637) pertaining to the Tempest Therapeutics, Inc. Amended and Restated 2019 Equity Incentive Plan, Tempest Therapeutics, Inc. Amended and Restated 2023 Equity Incentive Plan, Tempest Therapeutics, Inc. 2023 Inducement Plan, and Inducement Stock Options,</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Registration Statement (Form S-8 No. 333-265718) pertaining to the Tempest Therapeutics, Inc. Amended and Restated 2019 Equity Incentive Plan and Tempest Therapeutics, Inc. 2019 Employee Stock Purchase Plan, as amended by Post-Effective Amendment No. 1 filed on November 17, 2023,</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Registration Statement (Form S-3 No. 333-264989) of Tempest Therapeutics, Inc.,</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Registration Statement (Form S-8 No. 333-264943) pertaining to the Millendo Therapeutics, Inc. 2019 Equity Incentive Plan and Millendo Therapeutics, Inc. 2019 Employee Stock Purchase Plan, as amended by Post-Effective Amendment No. 1 filed on November 17, 2023,</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Registration Statement (Form S-3 No. 333-257990) of Tempest Therapeutics, Inc.,</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Registration Statement (Form S-8 No. 333-257727) pertaining to the Tempest Therapeutics, Inc. 2017 Equity Incentive Plan and Inception 2, Inc. 2011 Equity Incentive Plan,</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Registration Statement (Form S-8 No. 333-255261) pertaining to the Millendo Therapeutics, Inc. 2019 Equity Incentive Plan and Millendo Therapeutics, Inc. 2019 Employee Stock Purchase Plan, as amended by Post-Effective Amendment No. 1 filed on November 17, 2023,</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Registration Statement (Form S-8 No. 333-235515) pertaining to the Millendo Therapeutics, Inc. 2019 Equity Incentive Plan, Millendo Therapeutics, Inc. 2019 Employee Stock Purchase Plan, and New Hire Inducement Stock Options Grants of Millendo Therapeutics, Inc., as amended by Post-Effective Amendment No. 1 filed on November 17, 2023, and</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Registration Statement (Form S-8 No. 333-249993) pertaining to the Millendo Therapeutics, Inc. 2019 Equity Incentive Plan, Millendo Therapeutics, Inc. 2019 Employee Stock Purchase Plan, and New Hire Inducement Stock Options Grant of Millendo Therapeutics, Inc., as amended by Post-Effective Amendment No. 1 filed on November 17, 2023;</w:t>
      </w:r>
    </w:p>
    <w:p>
      <w:pPr>
        <w:pStyle w:val="TextBody"/>
        <w:bidi w:val="0"/>
        <w:spacing w:before="0" w:after="120"/>
        <w:jc w:val="left"/>
        <w:rPr/>
      </w:pPr>
      <w:r>
        <w:rPr/>
        <w:t> </w:t>
      </w:r>
    </w:p>
    <w:p>
      <w:pPr>
        <w:pStyle w:val="TextBody"/>
        <w:bidi w:val="0"/>
        <w:spacing w:before="0" w:after="120"/>
        <w:jc w:val="left"/>
        <w:rPr>
          <w:rFonts w:ascii="Times New Roman" w:hAnsi="Times New Roman"/>
          <w:color w:val="333333"/>
          <w:sz w:val="20"/>
        </w:rPr>
      </w:pPr>
      <w:r>
        <w:rPr>
          <w:rFonts w:ascii="Times New Roman" w:hAnsi="Times New Roman"/>
          <w:color w:val="333333"/>
          <w:sz w:val="20"/>
        </w:rPr>
        <w:t>of our report dated March 19, 2024, with respect to the consolidated financial statements of Tempest Therapeutics, Inc. included in this Annual Report (Form 10-K) of Tempest Therapeutics, Inc. for the year ended December 31, 2023.</w:t>
      </w:r>
    </w:p>
    <w:p>
      <w:pPr>
        <w:pStyle w:val="TextBody"/>
        <w:bidi w:val="0"/>
        <w:spacing w:before="0" w:after="160"/>
        <w:jc w:val="left"/>
        <w:rPr/>
      </w:pPr>
      <w:r>
        <w:rPr/>
        <w:t> </w:t>
      </w:r>
    </w:p>
    <w:p>
      <w:pPr>
        <w:pStyle w:val="TextBody"/>
        <w:bidi w:val="0"/>
        <w:spacing w:before="0" w:after="120"/>
        <w:jc w:val="left"/>
        <w:rPr>
          <w:rFonts w:ascii="Times New Roman" w:hAnsi="Times New Roman"/>
          <w:color w:val="333333"/>
          <w:sz w:val="20"/>
        </w:rPr>
      </w:pPr>
      <w:r>
        <w:rPr>
          <w:rFonts w:ascii="Times New Roman" w:hAnsi="Times New Roman"/>
          <w:color w:val="333333"/>
          <w:sz w:val="20"/>
        </w:rPr>
        <w:t>/s/ Ernst &amp; Young LLP</w:t>
      </w:r>
    </w:p>
    <w:p>
      <w:pPr>
        <w:pStyle w:val="TextBody"/>
        <w:bidi w:val="0"/>
        <w:spacing w:before="0" w:after="120"/>
        <w:jc w:val="left"/>
        <w:rPr>
          <w:rFonts w:ascii="Times New Roman" w:hAnsi="Times New Roman"/>
          <w:color w:val="333333"/>
          <w:sz w:val="20"/>
        </w:rPr>
      </w:pPr>
      <w:r>
        <w:rPr>
          <w:rFonts w:ascii="Times New Roman" w:hAnsi="Times New Roman"/>
          <w:color w:val="333333"/>
          <w:sz w:val="20"/>
        </w:rPr>
        <w:t>Chicago, Illinois</w:t>
      </w:r>
    </w:p>
    <w:p>
      <w:pPr>
        <w:pStyle w:val="TextBody"/>
        <w:bidi w:val="0"/>
        <w:spacing w:before="0" w:after="120"/>
        <w:jc w:val="left"/>
        <w:rPr>
          <w:rFonts w:ascii="Times New Roman" w:hAnsi="Times New Roman"/>
          <w:color w:val="333333"/>
          <w:sz w:val="20"/>
        </w:rPr>
      </w:pPr>
      <w:r>
        <w:rPr>
          <w:rFonts w:ascii="Times New Roman" w:hAnsi="Times New Roman"/>
          <w:color w:val="333333"/>
          <w:sz w:val="20"/>
        </w:rPr>
        <w:t>March 19, 2024</w:t>
      </w:r>
    </w:p>
    <w:p>
      <w:pPr>
        <w:pStyle w:val="HorizontalLine"/>
        <w:pBdr>
          <w:bottom w:val="double" w:sz="2" w:space="0" w:color="808080"/>
        </w:pBdr>
        <w:bidi w:val="0"/>
        <w:spacing w:before="0" w:after="283"/>
        <w:jc w:val="left"/>
        <w:rPr/>
      </w:pPr>
      <w:r>
        <w:rPr/>
      </w:r>
    </w:p>
    <w:p>
      <w:pPr>
        <w:pStyle w:val="TextBody"/>
        <w:bidi w:val="0"/>
        <w:jc w:val="left"/>
        <w:rPr/>
      </w:pPr>
      <w:bookmarkStart w:id="64" w:name="tpst-ex31_1.htm"/>
      <w:bookmarkStart w:id="65" w:name="kstpstex31_1"/>
      <w:bookmarkEnd w:id="64"/>
      <w:bookmarkEnd w:id="65"/>
      <w:r>
        <w:rPr/>
        <w:t> </w:t>
      </w:r>
      <w:r>
        <w:br w:type="page"/>
      </w:r>
    </w:p>
    <w:p>
      <w:pPr>
        <w:pStyle w:val="TextBody"/>
        <w:bidi w:val="0"/>
        <w:jc w:val="right"/>
        <w:rPr>
          <w:rFonts w:ascii="Times New Roman" w:hAnsi="Times New Roman"/>
          <w:b/>
          <w:color w:val="000000"/>
          <w:sz w:val="20"/>
        </w:rPr>
      </w:pPr>
      <w:bookmarkStart w:id="66" w:name="section18"/>
      <w:bookmarkEnd w:id="66"/>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Stephen Brady,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Annual Report on Form 10-K of Tempest Therapeutics, Inc.;</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58" w:type="dxa"/>
        <w:jc w:val="left"/>
        <w:tblInd w:w="0" w:type="dxa"/>
        <w:tblLayout w:type="fixed"/>
        <w:tblCellMar>
          <w:top w:w="28" w:type="dxa"/>
          <w:left w:w="28" w:type="dxa"/>
          <w:bottom w:w="28" w:type="dxa"/>
          <w:right w:w="28" w:type="dxa"/>
        </w:tblCellMar>
      </w:tblPr>
      <w:tblGrid>
        <w:gridCol w:w="1891"/>
        <w:gridCol w:w="406"/>
        <w:gridCol w:w="3061"/>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2024</w:t>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Brady</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Brady</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&amp;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7" w:name="tpst-ex31_2.htm"/>
      <w:bookmarkStart w:id="68" w:name="kstpstex31_2"/>
      <w:bookmarkEnd w:id="67"/>
      <w:bookmarkEnd w:id="68"/>
      <w:r>
        <w:rPr/>
        <w:t> </w:t>
      </w:r>
      <w:r>
        <w:br w:type="page"/>
      </w:r>
    </w:p>
    <w:p>
      <w:pPr>
        <w:pStyle w:val="TextBody"/>
        <w:bidi w:val="0"/>
        <w:jc w:val="right"/>
        <w:rPr>
          <w:rFonts w:ascii="Times New Roman" w:hAnsi="Times New Roman"/>
          <w:b/>
          <w:color w:val="000000"/>
          <w:sz w:val="20"/>
        </w:rPr>
      </w:pPr>
      <w:bookmarkStart w:id="69" w:name="section110"/>
      <w:bookmarkEnd w:id="69"/>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Nicholas Maestas,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Annual Report on Form 10-K of Tempest Therapeutics, Inc.;</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33" w:type="dxa"/>
        <w:jc w:val="left"/>
        <w:tblInd w:w="0" w:type="dxa"/>
        <w:tblLayout w:type="fixed"/>
        <w:tblCellMar>
          <w:top w:w="28" w:type="dxa"/>
          <w:left w:w="28" w:type="dxa"/>
          <w:bottom w:w="28" w:type="dxa"/>
          <w:right w:w="28" w:type="dxa"/>
        </w:tblCellMar>
      </w:tblPr>
      <w:tblGrid>
        <w:gridCol w:w="1891"/>
        <w:gridCol w:w="406"/>
        <w:gridCol w:w="3136"/>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2024</w:t>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Maestas</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Maestas</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Vice-President, Strategy and Finance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0" w:name="tpst-ex32_1.htm"/>
      <w:bookmarkStart w:id="71" w:name="kstpstex32_1"/>
      <w:bookmarkEnd w:id="70"/>
      <w:bookmarkEnd w:id="71"/>
      <w:r>
        <w:rPr/>
        <w:t> </w:t>
      </w:r>
      <w:r>
        <w:br w:type="page"/>
      </w:r>
    </w:p>
    <w:p>
      <w:pPr>
        <w:pStyle w:val="TextBody"/>
        <w:bidi w:val="0"/>
        <w:jc w:val="right"/>
        <w:rPr>
          <w:rFonts w:ascii="Times New Roman" w:hAnsi="Times New Roman"/>
          <w:b/>
          <w:color w:val="000000"/>
          <w:sz w:val="20"/>
        </w:rPr>
      </w:pPr>
      <w:bookmarkStart w:id="72" w:name="section111"/>
      <w:bookmarkEnd w:id="72"/>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Company’s Annual Report on Form 10-K for the fiscal year ended December 31, 2023, to which this Certification is attached as Exhibit 32.1 (the “Annual Report”), fully complies with the requirements of Section 13(a) or Section 15(d) of the Exchange Act;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Annual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March 19, 2024</w:t>
      </w:r>
    </w:p>
    <w:p>
      <w:pPr>
        <w:pStyle w:val="TextBody"/>
        <w:bidi w:val="0"/>
        <w:jc w:val="both"/>
        <w:rPr/>
      </w:pPr>
      <w:r>
        <w:rPr/>
        <w:t> </w:t>
      </w:r>
    </w:p>
    <w:tbl>
      <w:tblPr>
        <w:tblW w:w="6353" w:type="dxa"/>
        <w:jc w:val="left"/>
        <w:tblInd w:w="0" w:type="dxa"/>
        <w:tblLayout w:type="fixed"/>
        <w:tblCellMar>
          <w:top w:w="28" w:type="dxa"/>
          <w:left w:w="28" w:type="dxa"/>
          <w:bottom w:w="28" w:type="dxa"/>
          <w:right w:w="28" w:type="dxa"/>
        </w:tblCellMar>
      </w:tblPr>
      <w:tblGrid>
        <w:gridCol w:w="3031"/>
        <w:gridCol w:w="166"/>
        <w:gridCol w:w="3156"/>
      </w:tblGrid>
      <w:tr>
        <w:trPr/>
        <w:tc>
          <w:tcPr>
            <w:tcW w:w="3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 xml:space="preserve">/s/ Stephen Brady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3156" w:type="dxa"/>
            <w:tcBorders>
              <w:bottom w:val="single" w:sz="4" w:space="0" w:color="000000"/>
            </w:tcBorders>
            <w:tcMar>
              <w:top w:w="0" w:type="dxa"/>
              <w:left w:w="0" w:type="dxa"/>
              <w:right w:w="0" w:type="dxa"/>
            </w:tcMar>
            <w:vAlign w:val="center"/>
          </w:tcPr>
          <w:p>
            <w:pPr>
              <w:pStyle w:val="TableContents"/>
              <w:bidi w:val="0"/>
              <w:spacing w:before="53" w:after="30"/>
              <w:ind w:left="20" w:right="0" w:firstLine="20"/>
              <w:jc w:val="left"/>
              <w:rPr>
                <w:rFonts w:ascii="Times New Roman" w:hAnsi="Times New Roman"/>
                <w:color w:val="000000"/>
                <w:sz w:val="20"/>
              </w:rPr>
            </w:pPr>
            <w:r>
              <w:rPr>
                <w:rFonts w:ascii="Times New Roman" w:hAnsi="Times New Roman"/>
                <w:color w:val="000000"/>
                <w:sz w:val="20"/>
              </w:rPr>
              <w:t xml:space="preserve">/s/ Nicholas Maestas </w:t>
            </w:r>
          </w:p>
        </w:tc>
      </w:tr>
      <w:tr>
        <w:trPr/>
        <w:tc>
          <w:tcPr>
            <w:tcW w:w="3031" w:type="dxa"/>
            <w:tcBorders/>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Stephen Brady</w:t>
            </w:r>
          </w:p>
        </w:tc>
        <w:tc>
          <w:tcPr>
            <w:tcW w:w="166" w:type="dxa"/>
            <w:tcBorders/>
            <w:vAlign w:val="center"/>
          </w:tcPr>
          <w:p>
            <w:pPr>
              <w:pStyle w:val="TableContents"/>
              <w:bidi w:val="0"/>
              <w:spacing w:before="0" w:after="283"/>
              <w:ind w:left="0" w:right="0" w:firstLine="20"/>
              <w:jc w:val="left"/>
              <w:rPr/>
            </w:pPr>
            <w:r>
              <w:rPr/>
              <w:t> </w:t>
            </w:r>
          </w:p>
        </w:tc>
        <w:tc>
          <w:tcPr>
            <w:tcW w:w="3156" w:type="dxa"/>
            <w:tcBorders/>
            <w:vAlign w:val="center"/>
          </w:tcPr>
          <w:p>
            <w:pPr>
              <w:pStyle w:val="TableContents"/>
              <w:bidi w:val="0"/>
              <w:spacing w:before="53" w:after="30"/>
              <w:ind w:left="20" w:right="0" w:firstLine="20"/>
              <w:jc w:val="left"/>
              <w:rPr>
                <w:rFonts w:ascii="Times New Roman" w:hAnsi="Times New Roman"/>
                <w:color w:val="000000"/>
                <w:sz w:val="20"/>
              </w:rPr>
            </w:pPr>
            <w:r>
              <w:rPr>
                <w:rFonts w:ascii="Times New Roman" w:hAnsi="Times New Roman"/>
                <w:color w:val="000000"/>
                <w:sz w:val="20"/>
              </w:rPr>
              <w:t>Nicholas Maestas</w:t>
            </w:r>
          </w:p>
        </w:tc>
      </w:tr>
      <w:tr>
        <w:trPr/>
        <w:tc>
          <w:tcPr>
            <w:tcW w:w="3031" w:type="dxa"/>
            <w:tcBorders/>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&amp; President</w:t>
            </w:r>
          </w:p>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(Principal Executive Officer)</w:t>
            </w:r>
          </w:p>
        </w:tc>
        <w:tc>
          <w:tcPr>
            <w:tcW w:w="166" w:type="dxa"/>
            <w:tcBorders/>
            <w:vAlign w:val="center"/>
          </w:tcPr>
          <w:p>
            <w:pPr>
              <w:pStyle w:val="TableContents"/>
              <w:bidi w:val="0"/>
              <w:spacing w:before="0" w:after="283"/>
              <w:ind w:left="0" w:right="0" w:firstLine="20"/>
              <w:jc w:val="left"/>
              <w:rPr/>
            </w:pPr>
            <w:r>
              <w:rPr/>
              <w:t> </w:t>
            </w:r>
          </w:p>
        </w:tc>
        <w:tc>
          <w:tcPr>
            <w:tcW w:w="3156" w:type="dxa"/>
            <w:tcBorders/>
            <w:vAlign w:val="center"/>
          </w:tcPr>
          <w:p>
            <w:pPr>
              <w:pStyle w:val="TableContents"/>
              <w:bidi w:val="0"/>
              <w:spacing w:before="53" w:after="30"/>
              <w:ind w:left="20" w:right="0" w:firstLine="20"/>
              <w:jc w:val="left"/>
              <w:rPr>
                <w:rFonts w:ascii="Times New Roman" w:hAnsi="Times New Roman"/>
                <w:color w:val="000000"/>
                <w:sz w:val="20"/>
              </w:rPr>
            </w:pPr>
            <w:r>
              <w:rPr>
                <w:rFonts w:ascii="Times New Roman" w:hAnsi="Times New Roman"/>
                <w:color w:val="000000"/>
                <w:sz w:val="20"/>
              </w:rPr>
              <w:t>Vice-President, Strategy and Finance</w:t>
            </w:r>
          </w:p>
          <w:p>
            <w:pPr>
              <w:pStyle w:val="TableContents"/>
              <w:bidi w:val="0"/>
              <w:spacing w:before="53" w:after="30"/>
              <w:ind w:left="20" w:right="0" w:firstLine="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certification accompanies the Form 10-K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10-K),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3" w:name="tpst-ex97_1.htm"/>
      <w:bookmarkStart w:id="74" w:name="kstpstex97_1"/>
      <w:bookmarkEnd w:id="73"/>
      <w:bookmarkEnd w:id="74"/>
      <w:r>
        <w:rPr>
          <w:rFonts w:ascii="Times New Roman" w:hAnsi="Times New Roman"/>
          <w:b/>
          <w:color w:val="000000"/>
          <w:sz w:val="20"/>
        </w:rPr>
        <w:t>Exhibit 97.1</w:t>
      </w:r>
      <w:r>
        <w:br w:type="page"/>
      </w:r>
    </w:p>
    <w:p>
      <w:pPr>
        <w:pStyle w:val="TextBody"/>
        <w:bidi w:val="0"/>
        <w:jc w:val="left"/>
        <w:rPr/>
      </w:pPr>
      <w:r>
        <w:rPr/>
        <w:t> </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Tempest Therapeutics, Inc.</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Incentive Compensation Recoupment Policy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1.</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Introduction</w:t>
      </w:r>
    </w:p>
    <w:p>
      <w:pPr>
        <w:pStyle w:val="TextBody"/>
        <w:bidi w:val="0"/>
        <w:spacing w:before="0" w:after="220"/>
        <w:jc w:val="both"/>
        <w:rPr>
          <w:rFonts w:ascii="Times New Roman" w:hAnsi="Times New Roman"/>
          <w:sz w:val="20"/>
        </w:rPr>
      </w:pPr>
      <w:r>
        <w:rPr>
          <w:rFonts w:ascii="Times New Roman" w:hAnsi="Times New Roman"/>
          <w:color w:val="000000"/>
          <w:sz w:val="22"/>
        </w:rPr>
        <w:t>The Compensation Committee (the “</w:t>
      </w:r>
      <w:r>
        <w:rPr>
          <w:rFonts w:ascii="Times New Roman" w:hAnsi="Times New Roman"/>
          <w:b/>
          <w:i/>
          <w:color w:val="000000"/>
          <w:sz w:val="22"/>
        </w:rPr>
        <w:t>Compensation Committee</w:t>
      </w:r>
      <w:r>
        <w:rPr>
          <w:rFonts w:ascii="Times New Roman" w:hAnsi="Times New Roman"/>
          <w:color w:val="000000"/>
          <w:sz w:val="20"/>
        </w:rPr>
        <w:t>”</w:t>
      </w:r>
      <w:r>
        <w:rPr>
          <w:rFonts w:ascii="Times New Roman" w:hAnsi="Times New Roman"/>
          <w:color w:val="000000"/>
          <w:sz w:val="22"/>
        </w:rPr>
        <w:t>)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Tempest Therapeutics,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determined that it is in the best interests of the Company and its stockholders to adopt this Incentive Compensation Recoupment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0" w:after="220"/>
        <w:jc w:val="both"/>
        <w:rPr>
          <w:rFonts w:ascii="Times New Roman" w:hAnsi="Times New Roman"/>
          <w:sz w:val="20"/>
        </w:rPr>
      </w:pPr>
      <w:r>
        <w:rPr>
          <w:rFonts w:ascii="Times New Roman" w:hAnsi="Times New Roman"/>
          <w:color w:val="000000"/>
          <w:sz w:val="22"/>
        </w:rPr>
        <w:t>This Policy is designed to comply with, and shall be interpreted to be consistent with, Section 10D of the Exchange Act, Rule 10D-1 promulgated thereunder (“</w:t>
      </w:r>
      <w:r>
        <w:rPr>
          <w:rFonts w:ascii="Times New Roman" w:hAnsi="Times New Roman"/>
          <w:b/>
          <w:i/>
          <w:color w:val="000000"/>
          <w:sz w:val="22"/>
        </w:rPr>
        <w:t>Rule 10D-1</w:t>
      </w:r>
      <w:r>
        <w:rPr>
          <w:rFonts w:ascii="Times New Roman" w:hAnsi="Times New Roman"/>
          <w:color w:val="000000"/>
          <w:sz w:val="20"/>
        </w:rPr>
        <w:t>”</w:t>
      </w:r>
      <w:r>
        <w:rPr>
          <w:rFonts w:ascii="Times New Roman" w:hAnsi="Times New Roman"/>
          <w:color w:val="000000"/>
          <w:sz w:val="22"/>
        </w:rPr>
        <w:t>) and Nasdaq Listing Rule 5608 (the “</w:t>
      </w:r>
      <w:r>
        <w:rPr>
          <w:rFonts w:ascii="Times New Roman" w:hAnsi="Times New Roman"/>
          <w:b/>
          <w:i/>
          <w:color w:val="000000"/>
          <w:sz w:val="22"/>
        </w:rPr>
        <w:t>Listing Standards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2.</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Effective Date</w:t>
      </w:r>
    </w:p>
    <w:p>
      <w:pPr>
        <w:pStyle w:val="TextBody"/>
        <w:bidi w:val="0"/>
        <w:spacing w:before="0" w:after="220"/>
        <w:jc w:val="both"/>
        <w:rPr>
          <w:rFonts w:ascii="Times New Roman" w:hAnsi="Times New Roman"/>
          <w:sz w:val="20"/>
        </w:rPr>
      </w:pPr>
      <w:r>
        <w:rPr>
          <w:rFonts w:ascii="Times New Roman" w:hAnsi="Times New Roman"/>
          <w:color w:val="000000"/>
          <w:sz w:val="22"/>
        </w:rPr>
        <w:t>This Policy shall apply to all Incentive Compensation that is received by a Covered Officer on or after October 2, 2023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Incentive Compensation is deemed “</w:t>
      </w:r>
      <w:r>
        <w:rPr>
          <w:rFonts w:ascii="Times New Roman" w:hAnsi="Times New Roman"/>
          <w:b/>
          <w:i/>
          <w:color w:val="000000"/>
          <w:sz w:val="22"/>
        </w:rPr>
        <w:t>received</w:t>
      </w:r>
      <w:r>
        <w:rPr>
          <w:rFonts w:ascii="Times New Roman" w:hAnsi="Times New Roman"/>
          <w:color w:val="000000"/>
          <w:sz w:val="20"/>
        </w:rPr>
        <w:t xml:space="preserve">” </w:t>
      </w:r>
      <w:r>
        <w:rPr>
          <w:rFonts w:ascii="Times New Roman" w:hAnsi="Times New Roman"/>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3.</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Definitions</w:t>
      </w:r>
    </w:p>
    <w:p>
      <w:pPr>
        <w:pStyle w:val="TextBody"/>
        <w:bidi w:val="0"/>
        <w:spacing w:before="0" w:after="220"/>
        <w:jc w:val="both"/>
        <w:rPr/>
      </w:pPr>
      <w:r>
        <w:rPr>
          <w:color w:val="000000"/>
        </w:rPr>
        <w:t>“</w:t>
      </w:r>
      <w:r>
        <w:rPr>
          <w:rFonts w:ascii="Times New Roman" w:hAnsi="Times New Roman"/>
          <w:b/>
          <w:i/>
          <w:color w:val="000000"/>
          <w:sz w:val="22"/>
        </w:rPr>
        <w:t>Accounting Restatement</w:t>
      </w:r>
      <w:r>
        <w:rPr>
          <w:rFonts w:ascii="Times New Roman" w:hAnsi="Times New Roman"/>
          <w:color w:val="000000"/>
          <w:sz w:val="20"/>
        </w:rPr>
        <w:t xml:space="preserve">” </w:t>
      </w:r>
      <w:r>
        <w:rPr>
          <w:rFonts w:ascii="Times New Roman" w:hAnsi="Times New Roman"/>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20"/>
        <w:jc w:val="both"/>
        <w:rPr/>
      </w:pPr>
      <w:r>
        <w:rPr>
          <w:color w:val="000000"/>
        </w:rPr>
        <w:t>“</w:t>
      </w:r>
      <w:r>
        <w:rPr>
          <w:rFonts w:ascii="Times New Roman" w:hAnsi="Times New Roman"/>
          <w:b/>
          <w:i/>
          <w:color w:val="000000"/>
          <w:sz w:val="22"/>
        </w:rPr>
        <w:t>Accounting Restatement Date</w:t>
      </w:r>
      <w:r>
        <w:rPr>
          <w:rFonts w:ascii="Times New Roman" w:hAnsi="Times New Roman"/>
          <w:color w:val="000000"/>
          <w:sz w:val="20"/>
        </w:rPr>
        <w:t xml:space="preserve">” </w:t>
      </w:r>
      <w:r>
        <w:rPr>
          <w:rFonts w:ascii="Times New Roman" w:hAnsi="Times New Roman"/>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220"/>
        <w:jc w:val="both"/>
        <w:rPr/>
      </w:pPr>
      <w:r>
        <w:rPr>
          <w:color w:val="000000"/>
        </w:rPr>
        <w:t>“</w:t>
      </w:r>
      <w:r>
        <w:rPr>
          <w:rFonts w:ascii="Times New Roman" w:hAnsi="Times New Roman"/>
          <w:b/>
          <w:i/>
          <w:color w:val="000000"/>
          <w:sz w:val="22"/>
        </w:rPr>
        <w:t>Administrator</w:t>
      </w:r>
      <w:r>
        <w:rPr>
          <w:rFonts w:ascii="Times New Roman" w:hAnsi="Times New Roman"/>
          <w:color w:val="000000"/>
          <w:sz w:val="20"/>
        </w:rPr>
        <w:t xml:space="preserve">” </w:t>
      </w:r>
      <w:r>
        <w:rPr>
          <w:rFonts w:ascii="Times New Roman" w:hAnsi="Times New Roman"/>
          <w:color w:val="000000"/>
          <w:sz w:val="22"/>
        </w:rPr>
        <w:t>means the Compensation Committee or, in the absence of such committee, the Board.</w:t>
      </w:r>
    </w:p>
    <w:p>
      <w:pPr>
        <w:pStyle w:val="TextBody"/>
        <w:bidi w:val="0"/>
        <w:spacing w:before="0" w:after="220"/>
        <w:jc w:val="both"/>
        <w:rPr/>
      </w:pPr>
      <w:r>
        <w:rPr>
          <w:color w:val="000000"/>
        </w:rPr>
        <w:t>“</w:t>
      </w:r>
      <w:r>
        <w:rPr>
          <w:rFonts w:ascii="Times New Roman" w:hAnsi="Times New Roman"/>
          <w:b/>
          <w:i/>
          <w:color w:val="000000"/>
          <w:sz w:val="22"/>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and the regulations promulgated thereunder.</w:t>
      </w:r>
    </w:p>
    <w:p>
      <w:pPr>
        <w:pStyle w:val="TextBody"/>
        <w:bidi w:val="0"/>
        <w:spacing w:before="0" w:after="220"/>
        <w:jc w:val="both"/>
        <w:rPr/>
      </w:pPr>
      <w:r>
        <w:rPr>
          <w:color w:val="000000"/>
        </w:rPr>
        <w:t>“</w:t>
      </w:r>
      <w:r>
        <w:rPr>
          <w:rFonts w:ascii="Times New Roman" w:hAnsi="Times New Roman"/>
          <w:b/>
          <w:i/>
          <w:color w:val="000000"/>
          <w:sz w:val="22"/>
        </w:rPr>
        <w:t>Covered Officer</w:t>
      </w:r>
      <w:r>
        <w:rPr>
          <w:rFonts w:ascii="Times New Roman" w:hAnsi="Times New Roman"/>
          <w:color w:val="000000"/>
          <w:sz w:val="20"/>
        </w:rPr>
        <w:t xml:space="preserve">” </w:t>
      </w:r>
      <w:r>
        <w:rPr>
          <w:rFonts w:ascii="Times New Roman" w:hAnsi="Times New Roman"/>
          <w:color w:val="000000"/>
          <w:sz w:val="22"/>
        </w:rPr>
        <w:t>means each current and former Executive Officer.</w:t>
      </w:r>
    </w:p>
    <w:p>
      <w:pPr>
        <w:pStyle w:val="TextBody"/>
        <w:bidi w:val="0"/>
        <w:spacing w:before="0" w:after="220"/>
        <w:jc w:val="both"/>
        <w:rPr/>
      </w:pPr>
      <w:r>
        <w:rPr>
          <w:color w:val="000000"/>
        </w:rPr>
        <w:t>“</w:t>
      </w:r>
      <w:r>
        <w:rPr>
          <w:rFonts w:ascii="Times New Roman" w:hAnsi="Times New Roman"/>
          <w:b/>
          <w:i/>
          <w:color w:val="000000"/>
          <w:sz w:val="22"/>
        </w:rPr>
        <w:t>Exchange</w:t>
      </w:r>
      <w:r>
        <w:rPr>
          <w:rFonts w:ascii="Times New Roman" w:hAnsi="Times New Roman"/>
          <w:color w:val="000000"/>
          <w:sz w:val="20"/>
        </w:rPr>
        <w:t xml:space="preserve">” </w:t>
      </w:r>
      <w:r>
        <w:rPr>
          <w:rFonts w:ascii="Times New Roman" w:hAnsi="Times New Roman"/>
          <w:color w:val="000000"/>
          <w:sz w:val="22"/>
        </w:rPr>
        <w:t>means the Nasdaq Stock Market.</w:t>
      </w:r>
    </w:p>
    <w:p>
      <w:pPr>
        <w:pStyle w:val="TextBody"/>
        <w:bidi w:val="0"/>
        <w:spacing w:before="0" w:after="220"/>
        <w:jc w:val="both"/>
        <w:rPr/>
      </w:pPr>
      <w:r>
        <w:rPr>
          <w:color w:val="000000"/>
        </w:rPr>
        <w:t>“</w:t>
      </w:r>
      <w:r>
        <w:rPr>
          <w:rFonts w:ascii="Times New Roman" w:hAnsi="Times New Roman"/>
          <w:b/>
          <w:i/>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U.S. Securities Exchange Act of 1934,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i/>
          <w:color w:val="000000"/>
          <w:sz w:val="22"/>
        </w:rPr>
        <w:t>Executive Officer</w:t>
      </w:r>
      <w:r>
        <w:rPr>
          <w:rFonts w:ascii="Times New Roman" w:hAnsi="Times New Roman"/>
          <w:color w:val="000000"/>
          <w:sz w:val="20"/>
        </w:rPr>
        <w:t xml:space="preserve">” </w:t>
      </w:r>
      <w:r>
        <w:rPr>
          <w:rFonts w:ascii="Times New Roman" w:hAnsi="Times New Roman"/>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220"/>
        <w:jc w:val="both"/>
        <w:rPr/>
      </w:pPr>
      <w:r>
        <w:rPr>
          <w:color w:val="000000"/>
        </w:rPr>
        <w:t>“</w:t>
      </w:r>
      <w:r>
        <w:rPr>
          <w:rFonts w:ascii="Times New Roman" w:hAnsi="Times New Roman"/>
          <w:b/>
          <w:i/>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hAnsi="Times New Roman"/>
          <w:b/>
          <w:i/>
          <w:color w:val="000000"/>
          <w:sz w:val="22"/>
        </w:rPr>
        <w:t>TSR</w:t>
      </w:r>
      <w:r>
        <w:rPr>
          <w:rFonts w:ascii="Times New Roman" w:hAnsi="Times New Roman"/>
          <w:color w:val="000000"/>
          <w:sz w:val="20"/>
        </w:rPr>
        <w:t>”</w:t>
      </w:r>
      <w:r>
        <w:rPr>
          <w:rFonts w:ascii="Times New Roman" w:hAnsi="Times New Roman"/>
          <w:color w:val="000000"/>
          <w:sz w:val="22"/>
        </w:rPr>
        <w:t>). A measure need not be presented in the Company’s financial statements or included in a filing with the SEC in order to be a Financial Reporting Measure.</w:t>
      </w:r>
    </w:p>
    <w:p>
      <w:pPr>
        <w:pStyle w:val="TextBody"/>
        <w:bidi w:val="0"/>
        <w:spacing w:before="0" w:after="220"/>
        <w:jc w:val="both"/>
        <w:rPr/>
      </w:pPr>
      <w:r>
        <w:rPr>
          <w:color w:val="000000"/>
        </w:rPr>
        <w:t>“</w:t>
      </w:r>
      <w:r>
        <w:rPr>
          <w:rFonts w:ascii="Times New Roman" w:hAnsi="Times New Roman"/>
          <w:b/>
          <w:i/>
          <w:color w:val="000000"/>
          <w:sz w:val="22"/>
        </w:rPr>
        <w:t>Incentive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Lookback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Recoverable Incentive Compensation</w:t>
      </w:r>
      <w:r>
        <w:rPr>
          <w:rFonts w:ascii="Times New Roman" w:hAnsi="Times New Roman"/>
          <w:color w:val="000000"/>
          <w:sz w:val="20"/>
        </w:rPr>
        <w:t xml:space="preserve">” </w:t>
      </w:r>
      <w:r>
        <w:rPr>
          <w:rFonts w:ascii="Times New Roman" w:hAnsi="Times New Roman"/>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hAnsi="Times New Roman"/>
          <w:i/>
          <w:color w:val="000000"/>
          <w:sz w:val="22"/>
        </w:rPr>
        <w:t>i.e.</w:t>
      </w:r>
      <w:r>
        <w:rPr>
          <w:rFonts w:ascii="Times New Roman" w:hAnsi="Times New Roman"/>
          <w:color w:val="000000"/>
          <w:sz w:val="22"/>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220"/>
        <w:jc w:val="both"/>
        <w:rPr/>
      </w:pPr>
      <w:r>
        <w:rPr>
          <w:color w:val="000000"/>
        </w:rPr>
        <w:t>“</w:t>
      </w:r>
      <w:r>
        <w:rPr>
          <w:rFonts w:ascii="Times New Roman" w:hAnsi="Times New Roman"/>
          <w:b/>
          <w:i/>
          <w:color w:val="000000"/>
          <w:sz w:val="22"/>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4.</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Recoupment</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20"/>
        <w:jc w:val="both"/>
        <w:rPr/>
      </w:pPr>
      <w:r>
        <w:rPr>
          <w:rFonts w:ascii="Times New Roman" w:hAnsi="Times New Roman"/>
          <w:b/>
          <w:color w:val="000000"/>
          <w:sz w:val="22"/>
        </w:rPr>
        <w:t xml:space="preserve">Applicability of Policy. </w:t>
      </w:r>
      <w:r>
        <w:rPr>
          <w:rFonts w:ascii="Times New Roman" w:hAnsi="Times New Roman"/>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20"/>
        <w:jc w:val="both"/>
        <w:rPr/>
      </w:pPr>
      <w:r>
        <w:rPr>
          <w:rFonts w:ascii="Times New Roman" w:hAnsi="Times New Roman"/>
          <w:b/>
          <w:color w:val="000000"/>
          <w:sz w:val="22"/>
        </w:rPr>
        <w:t xml:space="preserve">Recoupment Generally. </w:t>
      </w:r>
      <w:r>
        <w:rPr>
          <w:rFonts w:ascii="Times New Roman" w:hAnsi="Times New Roman"/>
          <w:color w:val="000000"/>
          <w:sz w:val="22"/>
        </w:rPr>
        <w:t xml:space="preserve">Pursuant to the provisions of this Policy, if there is an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rFonts w:ascii="Times New Roman" w:hAnsi="Times New Roman"/>
          <w:color w:val="000000"/>
          <w:sz w:val="22"/>
        </w:rPr>
        <w:t>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r>
        <w:rPr>
          <w:color w:val="000000"/>
        </w:rPr>
        <w:t xml:space="preserve">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20"/>
        <w:jc w:val="both"/>
        <w:rPr/>
      </w:pPr>
      <w:r>
        <w:rPr>
          <w:rFonts w:ascii="Times New Roman" w:hAnsi="Times New Roman"/>
          <w:b/>
          <w:color w:val="000000"/>
          <w:sz w:val="22"/>
        </w:rPr>
        <w:t>Impracticability of Recovery.</w:t>
      </w:r>
      <w:r>
        <w:rPr>
          <w:color w:val="000000"/>
        </w:rPr>
        <w:t xml:space="preserve"> </w:t>
      </w:r>
      <w:r>
        <w:rPr>
          <w:rFonts w:ascii="Times New Roman" w:hAnsi="Times New Roman"/>
          <w:color w:val="000000"/>
          <w:sz w:val="22"/>
        </w:rPr>
        <w:t>Recoupment may be determined to be impracticable if, and only if:</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20"/>
        <w:jc w:val="both"/>
        <w:rPr/>
      </w:pPr>
      <w:r>
        <w:rPr>
          <w:rFonts w:ascii="Times New Roman" w:hAnsi="Times New Roman"/>
          <w:b/>
          <w:color w:val="000000"/>
          <w:sz w:val="22"/>
        </w:rPr>
        <w:t>Sources of Recoupment.</w:t>
      </w:r>
      <w:r>
        <w:rPr>
          <w:color w:val="000000"/>
        </w:rPr>
        <w:t xml:space="preserve"> </w:t>
      </w:r>
      <w:r>
        <w:rPr>
          <w:rFonts w:ascii="Times New Roman" w:hAnsi="Times New Roman"/>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hAnsi="Times New Roman"/>
          <w:i/>
          <w:color w:val="000000"/>
          <w:sz w:val="22"/>
        </w:rPr>
        <w:t>e.g.</w:t>
      </w:r>
      <w:r>
        <w:rPr>
          <w:rFonts w:ascii="Times New Roman" w:hAnsi="Times New Roman"/>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20"/>
        <w:jc w:val="both"/>
        <w:rPr/>
      </w:pPr>
      <w:r>
        <w:rPr>
          <w:rFonts w:ascii="Times New Roman" w:hAnsi="Times New Roman"/>
          <w:b/>
          <w:color w:val="000000"/>
          <w:sz w:val="22"/>
        </w:rPr>
        <w:t>No Indemnification of Covered Officers.</w:t>
      </w:r>
      <w:r>
        <w:rPr>
          <w:color w:val="000000"/>
        </w:rPr>
        <w:t xml:space="preserve"> </w:t>
      </w:r>
      <w:r>
        <w:rPr>
          <w:rFonts w:ascii="Times New Roman" w:hAnsi="Times New Roman"/>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20"/>
        <w:jc w:val="both"/>
        <w:rPr/>
      </w:pPr>
      <w:r>
        <w:rPr>
          <w:rFonts w:ascii="Times New Roman" w:hAnsi="Times New Roman"/>
          <w:b/>
          <w:color w:val="000000"/>
          <w:sz w:val="22"/>
        </w:rPr>
        <w:t>Indemnification of Administrator.</w:t>
      </w:r>
      <w:r>
        <w:rPr>
          <w:color w:val="000000"/>
        </w:rPr>
        <w:t xml:space="preserve"> </w:t>
      </w:r>
      <w:r>
        <w:rPr>
          <w:rFonts w:ascii="Times New Roman" w:hAnsi="Times New Roman"/>
          <w:color w:val="000000"/>
          <w:sz w:val="22"/>
        </w:rPr>
        <w:t xml:space="preserve">Any members of the Administrator, and any other members of the Board who assist in the administration of this Policy, shall not be personally liable for any action, determination or interpretation made with respect to this Policy and shall be indemnified by the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20"/>
        <w:jc w:val="both"/>
        <w:rPr/>
      </w:pPr>
      <w:r>
        <w:rPr>
          <w:rFonts w:ascii="Times New Roman" w:hAnsi="Times New Roman"/>
          <w:b/>
          <w:color w:val="000000"/>
          <w:sz w:val="22"/>
        </w:rPr>
        <w:t>No “Good Reason” for Covered Officers.</w:t>
      </w:r>
      <w:r>
        <w:rPr>
          <w:color w:val="000000"/>
        </w:rPr>
        <w:t xml:space="preserve"> </w:t>
      </w:r>
      <w:r>
        <w:rPr>
          <w:rFonts w:ascii="Times New Roman" w:hAnsi="Times New Roman"/>
          <w:color w:val="00000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5.</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Administration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6.</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Severability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7.</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No Impairment of Other Remedies</w:t>
      </w:r>
    </w:p>
    <w:p>
      <w:pPr>
        <w:pStyle w:val="TextBody"/>
        <w:bidi w:val="0"/>
        <w:spacing w:before="0" w:after="220"/>
        <w:jc w:val="both"/>
        <w:rPr>
          <w:rFonts w:ascii="Times New Roman" w:hAnsi="Times New Roman"/>
          <w:sz w:val="20"/>
        </w:rPr>
      </w:pPr>
      <w:r>
        <w:rPr>
          <w:rFonts w:ascii="Times New Roman" w:hAnsi="Times New Roman"/>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hAnsi="Times New Roman"/>
          <w:b/>
          <w:i/>
          <w:color w:val="000000"/>
          <w:sz w:val="22"/>
        </w:rPr>
        <w:t>SOX 304</w:t>
      </w:r>
      <w:r>
        <w:rPr>
          <w:rFonts w:ascii="Times New Roman" w:hAnsi="Times New Roman"/>
          <w:color w:val="000000"/>
          <w:sz w:val="20"/>
        </w:rPr>
        <w:t>”</w:t>
      </w:r>
      <w:r>
        <w:rPr>
          <w:rFonts w:ascii="Times New Roman" w:hAnsi="Times New Roman"/>
          <w:color w:val="00000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8.</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Amendment; Termination</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9.</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Successors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220"/>
        <w:jc w:val="both"/>
        <w:rPr>
          <w:rFonts w:ascii="Times New Roman" w:hAnsi="Times New Roman"/>
          <w:sz w:val="20"/>
        </w:rPr>
      </w:pPr>
      <w:r>
        <w:rPr>
          <w:rFonts w:ascii="Times New Roman" w:hAnsi="Times New Roman"/>
          <w:b/>
          <w:color w:val="000000"/>
          <w:sz w:val="22"/>
        </w:rPr>
        <w:t xml:space="preserve">10. </w:t>
      </w:r>
      <w:r>
        <w:rPr>
          <w:rFonts w:ascii="Times New Roman" w:hAnsi="Times New Roman"/>
          <w:b/>
          <w:smallCaps/>
          <w:color w:val="000000"/>
          <w:sz w:val="22"/>
        </w:rPr>
        <w:t>Required Filings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 shall make any disclosures and filings with respect to this Policy that are required by law, including as required by the SEC.</w:t>
      </w:r>
    </w:p>
    <w:p>
      <w:pPr>
        <w:pStyle w:val="TextBody"/>
        <w:bidi w:val="0"/>
        <w:spacing w:before="0" w:after="220"/>
        <w:jc w:val="center"/>
        <w:rPr>
          <w:rFonts w:ascii="Times New Roman" w:hAnsi="Times New Roman"/>
          <w:color w:val="000000"/>
          <w:sz w:val="22"/>
        </w:rPr>
      </w:pPr>
      <w:r>
        <w:rPr>
          <w:rFonts w:ascii="Times New Roman" w:hAnsi="Times New Roman"/>
          <w:color w:val="000000"/>
          <w:sz w:val="22"/>
        </w:rPr>
        <w:t>* * * *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544227/000110465921042768/tm2111026d1_ex2-1.htm" TargetMode="External"/><Relationship Id="rId12" Type="http://schemas.openxmlformats.org/officeDocument/2006/relationships/hyperlink" Target="https://www.sec.gov/Archives/edgar/data/1544227/000110465921042768/tm2111026d1_ex2-1.htm" TargetMode="External"/><Relationship Id="rId13" Type="http://schemas.openxmlformats.org/officeDocument/2006/relationships/hyperlink" Target="https://www.sec.gov/Archives/edgar/data/1544227/000155837019005038/mlnd-20190331ex31b53fa83.htm" TargetMode="External"/><Relationship Id="rId14" Type="http://schemas.openxmlformats.org/officeDocument/2006/relationships/hyperlink" Target="https://www.sec.gov/Archives/edgar/data/1544227/000119312521201157/d196630dex31.htm" TargetMode="External"/><Relationship Id="rId15" Type="http://schemas.openxmlformats.org/officeDocument/2006/relationships/hyperlink" Target="https://www.sec.gov/Archives/edgar/data/1544227/000119312521201157/d196630dex32.htm" TargetMode="External"/><Relationship Id="rId16" Type="http://schemas.openxmlformats.org/officeDocument/2006/relationships/hyperlink" Target="https://www.sec.gov/Archives/edgar/data/1544227/000119312523253882/d547808dex31.htm" TargetMode="External"/><Relationship Id="rId17" Type="http://schemas.openxmlformats.org/officeDocument/2006/relationships/hyperlink" Target="https://www.sec.gov/Archives/edgar/data/1544227/000119312521281694/d222030dex31.htm" TargetMode="External"/><Relationship Id="rId18" Type="http://schemas.openxmlformats.org/officeDocument/2006/relationships/hyperlink" Target="https://www.sec.gov/Archives/edgar/data/1544227/000119312521148605/d150774dex42.htm" TargetMode="External"/><Relationship Id="rId19" Type="http://schemas.openxmlformats.org/officeDocument/2006/relationships/hyperlink" Target="https://www.sec.gov/Archives/edgar/data/1544227/000119312522135401/d212050dex41.htm" TargetMode="External"/><Relationship Id="rId20" Type="http://schemas.openxmlformats.org/officeDocument/2006/relationships/hyperlink" Target="https://www.sec.gov/Archives/edgar/data/1544227/000119312522135401/d212050dex102.htm" TargetMode="External"/><Relationship Id="rId21" Type="http://schemas.openxmlformats.org/officeDocument/2006/relationships/hyperlink" Target="https://www.sec.gov/Archives/edgar/data/1544227/000119312523253882/d547808dex41.htm" TargetMode="External"/><Relationship Id="rId22" Type="http://schemas.openxmlformats.org/officeDocument/2006/relationships/hyperlink" Target="https://www.sec.gov/Archives/edgar/data/1544227/000119312521208968/d184348dex102.htm" TargetMode="External"/><Relationship Id="rId23" Type="http://schemas.openxmlformats.org/officeDocument/2006/relationships/hyperlink" Target="https://www.sec.gov/Archives/edgar/data/1544227/000119312521208968/d184348dex101.htm" TargetMode="External"/><Relationship Id="rId24" Type="http://schemas.openxmlformats.org/officeDocument/2006/relationships/hyperlink" Target="https://www.sec.gov/Archives/edgar/data/1544227/000162828022007717/tempest-2017eipxformofst.htm" TargetMode="External"/><Relationship Id="rId25" Type="http://schemas.openxmlformats.org/officeDocument/2006/relationships/hyperlink" Target="https://www.sec.gov/Archives/edgar/data/1544227/000119312522177053/d370249dex101.htm" TargetMode="External"/><Relationship Id="rId26" Type="http://schemas.openxmlformats.org/officeDocument/2006/relationships/hyperlink" Target="https://www.sec.gov/Archives/edgar/data/1544227/000155837019007932/mlnd-20190630ex107cfce16.htm" TargetMode="External"/><Relationship Id="rId27" Type="http://schemas.openxmlformats.org/officeDocument/2006/relationships/hyperlink" Target="https://www.sec.gov/Archives/edgar/data/1544227/000155837019007932/mlnd-20190630ex108da3c00.htm" TargetMode="External"/><Relationship Id="rId28" Type="http://schemas.openxmlformats.org/officeDocument/2006/relationships/hyperlink" Target="https://www.sec.gov/Archives/edgar/data/1544227/000155837019007932/mlnd-20190630ex108da3c00.htm" TargetMode="External"/><Relationship Id="rId29" Type="http://schemas.openxmlformats.org/officeDocument/2006/relationships/hyperlink" Target="https://www.sec.gov/Archives/edgar/data/1544227/000154422720000004/mlnd-20191231xex1016.htm" TargetMode="External"/><Relationship Id="rId30" Type="http://schemas.openxmlformats.org/officeDocument/2006/relationships/hyperlink" Target="https://www.sec.gov/Archives/edgar/data/1544227/000154422720000004/mlnd-20191231xex1016.htm" TargetMode="External"/><Relationship Id="rId31" Type="http://schemas.openxmlformats.org/officeDocument/2006/relationships/hyperlink" Target="https://www.sec.gov/Archives/edgar/data/1544227/000154422720000004/mlnd-201912x31xex1017.htm" TargetMode="External"/><Relationship Id="rId32" Type="http://schemas.openxmlformats.org/officeDocument/2006/relationships/hyperlink" Target="https://www.sec.gov/Archives/edgar/data/1544227/000119312522177053/d370249dex102.htm" TargetMode="External"/><Relationship Id="rId33" Type="http://schemas.openxmlformats.org/officeDocument/2006/relationships/hyperlink" Target="https://www.sec.gov/Archives/edgar/data/1544227/000119312521148605/d150774dex103.htm" TargetMode="External"/><Relationship Id="rId34" Type="http://schemas.openxmlformats.org/officeDocument/2006/relationships/hyperlink" Target="https://www.sec.gov/Archives/edgar/data/1544227/000119312521209988/d69289dex101.htm" TargetMode="External"/><Relationship Id="rId35" Type="http://schemas.openxmlformats.org/officeDocument/2006/relationships/hyperlink" Target="https://www.sec.gov/Archives/edgar/data/1544227/000119312521209988/d69289dex101.htm" TargetMode="External"/><Relationship Id="rId36" Type="http://schemas.openxmlformats.org/officeDocument/2006/relationships/hyperlink" Target="https://www.sec.gov/Archives/edgar/data/1544227/000119312521209988/d69289dex102.htm" TargetMode="External"/><Relationship Id="rId37" Type="http://schemas.openxmlformats.org/officeDocument/2006/relationships/hyperlink" Target="https://www.sec.gov/Archives/edgar/data/1544227/000119312521209988/d69289dex103.htm" TargetMode="External"/><Relationship Id="rId38" Type="http://schemas.openxmlformats.org/officeDocument/2006/relationships/hyperlink" Target="https://www.sec.gov/Archives/edgar/data/1544227/000119312521209988/d69289dex103.htm" TargetMode="External"/><Relationship Id="rId39" Type="http://schemas.openxmlformats.org/officeDocument/2006/relationships/hyperlink" Target="https://www.sec.gov/Archives/edgar/data/1544227/000119312521209988/d69289dex104.htm" TargetMode="External"/><Relationship Id="rId40" Type="http://schemas.openxmlformats.org/officeDocument/2006/relationships/hyperlink" Target="https://www.sec.gov/Archives/edgar/data/1544227/000095017023009237/tpst-ex10_24.htm" TargetMode="External"/><Relationship Id="rId41" Type="http://schemas.openxmlformats.org/officeDocument/2006/relationships/hyperlink" Target="https://www.sec.gov/Archives/edgar/data/1544227/000095017023009237/tpst-ex10_24.htm" TargetMode="External"/><Relationship Id="rId42" Type="http://schemas.openxmlformats.org/officeDocument/2006/relationships/hyperlink" Target="https://www.sec.gov/Archives/edgar/data/1544227/000119312522314745/d411465dex101.htm" TargetMode="External"/><Relationship Id="rId43" Type="http://schemas.openxmlformats.org/officeDocument/2006/relationships/hyperlink" Target="https://www.sec.gov/Archives/edgar/data/1544227/000095017023041429/tpst-ex10_1.htm" TargetMode="External"/><Relationship Id="rId44" Type="http://schemas.openxmlformats.org/officeDocument/2006/relationships/hyperlink" Target="https://www.sec.gov/Archives/edgar/data/1544227/000095017023041429/tpst-ex10_2.htm" TargetMode="External"/><Relationship Id="rId45" Type="http://schemas.openxmlformats.org/officeDocument/2006/relationships/hyperlink" Target="https://www.sec.gov/Archives/edgar/data/1544227/000095017023041429/tpst-ex10_3.htm" TargetMode="External"/><Relationship Id="rId46" Type="http://schemas.openxmlformats.org/officeDocument/2006/relationships/hyperlink" Target="https://www.sec.gov/Archives/edgar/data/1544227/000095017023041429/tpst-ex10_4.htm" TargetMode="External"/><Relationship Id="rId47" Type="http://schemas.openxmlformats.org/officeDocument/2006/relationships/hyperlink" Target="https://www.sec.gov/Archives/edgar/data/1544227/000095017023061278/tpst-ex10_1.htm" TargetMode="External"/><Relationship Id="rId48" Type="http://schemas.openxmlformats.org/officeDocument/2006/relationships/hyperlink" Target="https://www.sec.gov/Archives/edgar/data/1544227/000119312522092417/d328059dex211.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80677</Words>
  <Characters>451078</Characters>
  <CharactersWithSpaces>530895</CharactersWithSpaces>
  <Paragraphs>5433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