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disclosure under Item 8.01 below which is hereby incorporated in this Item 3.02 by reference.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Common Warrants (as defined below) and the shares of Common Stock (as defined below) issuable upon exercise of the Common Warrants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securities laws of any state, and are being offered and sold in reliance on the exemption from registration under the Securities Act, afforded by Section 4(a)(2) and/or Rule 506 promulgated thereunder.</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On November 24, 2025, Tempest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a single institutional investor, pursuant to which the Company agreed to issue and sell (i) in a registered direct offering (the “</w:t>
      </w:r>
      <w:r>
        <w:rPr>
          <w:rFonts w:ascii="Times New Roman" w:cs="Times New Roman" w:eastAsia="Times New Roman" w:hAnsi="Times New Roman"/>
          <w:sz w:val="18"/>
          <w:szCs w:val="18"/>
          <w:b w:val="1"/>
          <w:bCs w:val="1"/>
          <w:i w:val="1"/>
          <w:iCs w:val="1"/>
          <w:color w:val="auto"/>
        </w:rPr>
        <w:t>Registered Direct Offering</w:t>
      </w:r>
      <w:r>
        <w:rPr>
          <w:rFonts w:ascii="Times New Roman" w:cs="Times New Roman" w:eastAsia="Times New Roman" w:hAnsi="Times New Roman"/>
          <w:sz w:val="18"/>
          <w:szCs w:val="18"/>
          <w:color w:val="auto"/>
        </w:rPr>
        <w:t>”) an aggregate of 487,000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p>
    <w:p>
      <w:pPr>
        <w:ind w:right="40"/>
        <w:spacing w:after="0" w:line="252" w:lineRule="auto"/>
        <w:rPr>
          <w:sz w:val="20"/>
          <w:szCs w:val="20"/>
          <w:color w:val="auto"/>
        </w:rPr>
      </w:pPr>
      <w:r>
        <w:rPr>
          <w:rFonts w:ascii="Times New Roman" w:cs="Times New Roman" w:eastAsia="Times New Roman" w:hAnsi="Times New Roman"/>
          <w:sz w:val="18"/>
          <w:szCs w:val="18"/>
          <w:color w:val="auto"/>
        </w:rPr>
        <w:t>prefunded warrants to purchase 685,414 shares of its Common Stock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pursuant to an effective shelf registration statement on Form S-3 (File No. 333-280918) and a related prospectus and prospectus supplement thereunder, and (ii) in a concurrent private placement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and together with the Registered Direct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warrants to purchase an aggregate of 1,172,414 shares of Common Stock (the “</w:t>
      </w:r>
      <w:r>
        <w:rPr>
          <w:rFonts w:ascii="Times New Roman" w:cs="Times New Roman" w:eastAsia="Times New Roman" w:hAnsi="Times New Roman"/>
          <w:sz w:val="18"/>
          <w:szCs w:val="18"/>
          <w:b w:val="1"/>
          <w:bCs w:val="1"/>
          <w:i w:val="1"/>
          <w:iCs w:val="1"/>
          <w:color w:val="auto"/>
        </w:rPr>
        <w:t>Common Warrants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combined purchase price of each Share and accompanying Common Warrant is $3.625. The combined purchase price of each Prefunded Warrant and accompanying Common Warrant is $3.624 (equal to the combined purchase price per Share and accompanying Common Warrant, minus $0.001).</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Each Prefunded Warrant will have an initial exercise price per share of $0.001, subject to certain adjustments. The Prefunded Warrants may be exercised at any time until exercised in full. The Common Warrants have an exercise price of $3.50 per share and are exercisable immediately upon issuance for an eighteen month period following the date of effectiveness of the Resale Registration Statement (as defined below).</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exercise price and the number of shares issuable upon exercise of the Pre-Funded Warrants and the Common Warrants are subject to customary adjustments in the case of stock dividends, stock splits, pro rata distributions, and similar events in respect of the Common Stock. A holder (together with its affiliates) of the Pre-Funded Warrants or Common Warrants, as the case may be, will not be entitled to exercise any portion of any Prefunded Warrant or Common Warrant, which, upon giving effect to such exercise would cause the aggregate number of shares of the Company’s Common Stock beneficially owned by the holder (together with its affiliates) to exceed 4.99% (or, upon election of the holder, 9.99%) of the number of shares of the Common Stock outstanding immediately after giving effect to the exercise, subject to such holder’s rights under the Warrants to increase or decrease such percentage to another percentage not in excess of 9.99% upon notice from such holder to the Company (at least 61 days’ prior notice in the case of an increase).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indemnification obligations of the Company, including for liabilities arising under the Securities Act,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entered into an engagement letter with H.C. Wainwright &amp; Co., LLC (the “</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pursuant to which the Placement Agent agreed to serve as the exclusive placement agent for the Company, on a reasonable best efforts basis, in connection with the Offering. The Company has agreed to pay the Placement Agent an aggregate cash fee equal to 6.0% of the gross proceeds received in the Offering and for certain expenses incurred by the Placement Agent in connection with the Offering.</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Offering is expected to close on November 26, 2025. The Company currently plans to use the net proceeds from the Offering primarily for working capital and general corporate purposes. The gross proceeds from the Offering are expected to be approximately $4.25 million, prior to deducting the Placement Agent’s fees and other offering expenses payable by the Company.</w:t>
      </w:r>
    </w:p>
    <w:p>
      <w:pPr>
        <w:sectPr>
          <w:pgSz w:w="11900" w:h="16838" w:orient="portrait"/>
          <w:cols w:equalWidth="0" w:num="1">
            <w:col w:w="11000"/>
          </w:cols>
          <w:pgMar w:left="440" w:top="293" w:right="459" w:bottom="1440" w:gutter="0" w:footer="0" w:header="0"/>
        </w:sectPr>
      </w:pPr>
    </w:p>
    <w:bookmarkStart w:id="2" w:name="page3"/>
    <w:bookmarkEnd w:id="2"/>
    <w:p>
      <w:pPr>
        <w:ind w:right="1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has agreed to file a registration statement on Form S-3 (or other appropriate form if the Company is not then S-3 eligible) providing for the resale of the shares of Common Stock issuable upon exercise of the Common Warrants (the “</w:t>
      </w:r>
      <w:r>
        <w:rPr>
          <w:rFonts w:ascii="Times New Roman" w:cs="Times New Roman" w:eastAsia="Times New Roman" w:hAnsi="Times New Roman"/>
          <w:sz w:val="17"/>
          <w:szCs w:val="17"/>
          <w:b w:val="1"/>
          <w:bCs w:val="1"/>
          <w:i w:val="1"/>
          <w:iCs w:val="1"/>
          <w:color w:val="auto"/>
        </w:rPr>
        <w:t>Resale Registration Statement</w:t>
      </w:r>
      <w:r>
        <w:rPr>
          <w:rFonts w:ascii="Times New Roman" w:cs="Times New Roman" w:eastAsia="Times New Roman" w:hAnsi="Times New Roman"/>
          <w:sz w:val="17"/>
          <w:szCs w:val="17"/>
          <w:color w:val="auto"/>
        </w:rPr>
        <w:t>”) within 15 calendar days of the date of the Purchase Agreement (the “</w:t>
      </w:r>
      <w:r>
        <w:rPr>
          <w:rFonts w:ascii="Times New Roman" w:cs="Times New Roman" w:eastAsia="Times New Roman" w:hAnsi="Times New Roman"/>
          <w:sz w:val="17"/>
          <w:szCs w:val="17"/>
          <w:b w:val="1"/>
          <w:bCs w:val="1"/>
          <w:i w:val="1"/>
          <w:iCs w:val="1"/>
          <w:color w:val="auto"/>
        </w:rPr>
        <w:t>Filing Date</w:t>
      </w:r>
      <w:r>
        <w:rPr>
          <w:rFonts w:ascii="Times New Roman" w:cs="Times New Roman" w:eastAsia="Times New Roman" w:hAnsi="Times New Roman"/>
          <w:sz w:val="17"/>
          <w:szCs w:val="17"/>
          <w:color w:val="auto"/>
        </w:rPr>
        <w:t>”), and to use commercially reasonable efforts to cause the Resale Registration Statement to be declared effective by the SEC within 45 calendar days following the closing date of the Offering and to keep the Resale Registration Statement effective at all times until the warrantholders no longer own any Common Warrants or shares of Common Stock underlying the Common Warrants.</w:t>
      </w:r>
    </w:p>
    <w:p>
      <w:pPr>
        <w:spacing w:after="0" w:line="1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Purchase Agreement, the Prefunded Warrants and the Common Warrants do not purport to be complete and are each qualified in their entirety by the full text of the form of Purchase Agreement, the form of Prefunded Warrant and the form of Common Warrant, copies of which are attached hereto as Exhibits 4.1, 4.2 and 4.3, respectively, and incorporated by reference herein</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for the Offering, the Company is filing a legal opinion of its counsel, Cooley LLP, regarding the validity of the securities being issued in the Registered Direct Offering, a copy of which is attached as Exhibit 5.1 to this Current Report.</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November 25, 2025, the Company issued a press release announcing the pricing of the Offering, a copy of which is filed as Exhibit 99.1 to this Current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including, without limitation, statements relating to the Company’s expectations regarding the use of proceeds from the Offering. These forward-looking statements are based upon the Company’s current expectations. Actual results could differ materially from these forward-looking statements as a result of certain factors, including, without limitation, risks and uncertainties related to the satisfaction of customary closing conditions related to the offering, the uncertain research and product development process, and other risks detailed in the Company’s filings with the SEC, including the Company’s Annual Report on Form 10-K for the year ended December 31, 2024, the Company’s Quarterly Report on Form 10-Q for the quarter ended September 30, 2025. You are cautioned not to place undue reliance on these forward-looking statements, which speak only as of the date of this Current Report. The Company undertakes no duty to update such information except as required under applicable law.</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20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09"/>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0" w:type="dxa"/>
            <w:vAlign w:val="bottom"/>
          </w:tcPr>
          <w:p>
            <w:pPr>
              <w:spacing w:after="0"/>
              <w:rPr>
                <w:sz w:val="24"/>
                <w:szCs w:val="24"/>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3"/>
                <w:szCs w:val="23"/>
                <w:color w:val="auto"/>
              </w:rPr>
            </w:pPr>
          </w:p>
        </w:tc>
        <w:tc>
          <w:tcPr>
            <w:tcW w:w="7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 between Tempest Therapeutics, Inc. and the purchaser party thereto</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Form of Common Warrant</w:t>
            </w:r>
          </w:p>
        </w:tc>
        <w:tc>
          <w:tcPr>
            <w:tcW w:w="60" w:type="dxa"/>
            <w:vAlign w:val="bottom"/>
            <w:tcBorders>
              <w:top w:val="single" w:sz="8" w:color="0000EE"/>
            </w:tcBorders>
          </w:tcPr>
          <w:p>
            <w:pPr>
              <w:spacing w:after="0"/>
              <w:rPr>
                <w:sz w:val="24"/>
                <w:szCs w:val="24"/>
                <w:color w:val="auto"/>
              </w:rPr>
            </w:pPr>
          </w:p>
        </w:tc>
        <w:tc>
          <w:tcPr>
            <w:tcW w:w="5800" w:type="dxa"/>
            <w:vAlign w:val="bottom"/>
            <w:gridSpan w:val="3"/>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Cooley LLP</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424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9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25, 2025</w:t>
            </w:r>
          </w:p>
        </w:tc>
        <w:tc>
          <w:tcPr>
            <w:tcW w:w="4840" w:type="dxa"/>
            <w:vAlign w:val="bottom"/>
            <w:gridSpan w:val="2"/>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November 24, 2025, between Tempest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the Prefunded Warrants and the Prefunded Warrant Shares (each as defined below) and (ii) an exemption from the registration requirements of Section 5 of the Securities Act contained in Section 4(a)(2) thereof and/or Regulation D promulgated thereunder as to the Warrants and Warrant Shares (each as defined below),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3.1(mm).</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the Prefunded Warrants and the Warrants pursuant to Section 2.1.</w:t>
      </w:r>
    </w:p>
    <w:p>
      <w:pPr>
        <w:spacing w:after="0" w:line="117" w:lineRule="exact"/>
        <w:rPr>
          <w:sz w:val="20"/>
          <w:szCs w:val="20"/>
          <w:color w:val="auto"/>
        </w:rPr>
      </w:pPr>
    </w:p>
    <w:p>
      <w:pPr>
        <w:ind w:right="20" w:firstLine="423"/>
        <w:spacing w:after="0" w:line="23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and the Prefunded Warrants, in each case, have been satisfied or waived, but in no event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date hereof (or the second (2nd) Trading Day following the date hereof if this Agreement is signed on a day that is not a Trading Day or after 4:00 p.m. (New York City time) and before midnight (New York City time) on a Trading Day).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54"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1700 Seventh Avenue, Suite 1900, Seattle, Washington 98101.</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or employee stock purchase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w:t>
      </w:r>
    </w:p>
    <w:p>
      <w:pPr>
        <w:spacing w:after="0" w:line="1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80" w:top="270" w:right="51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convertible into shares of Common Stock issued and outstanding on the date of this Agreement (including, for the avoidance of doubt, those under clause (a) or any distribution under a rights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including, those transactions contemplated by that certain Asset Purchase Agreement, dated as of November 19, 2025, as may be amended, by and among the Company, Erigen LLC and Factor Bioscience Inc. (the “Asset Purchase Agreement”) and the issuance of warrants described in the Company’s Current Report on Form 8-K filed with the Commission on November 19, 2025, approved by a majority of the disinterested directors of the Company, provided that, other than any shares issued pursuant to the Asset Purchase Agreement,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3.1(mm).</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jc w:val="both"/>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$3.625,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$0.001.</w:t>
      </w:r>
    </w:p>
    <w:p>
      <w:pPr>
        <w:spacing w:after="0" w:line="68" w:lineRule="exact"/>
        <w:rPr>
          <w:sz w:val="20"/>
          <w:szCs w:val="20"/>
          <w:color w:val="auto"/>
        </w:rPr>
      </w:pPr>
    </w:p>
    <w:p>
      <w:pPr>
        <w:jc w:val="both"/>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17"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w:t>
      </w:r>
    </w:p>
    <w:p>
      <w:pPr>
        <w:spacing w:after="0" w:line="72"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 including all information, documents and exhibits filed with or incorporated by reference into such prospectus.</w:t>
      </w:r>
    </w:p>
    <w:p>
      <w:pPr>
        <w:spacing w:after="0" w:line="54"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117" w:lineRule="exact"/>
        <w:rPr>
          <w:sz w:val="20"/>
          <w:szCs w:val="20"/>
          <w:color w:val="auto"/>
        </w:rPr>
      </w:pPr>
    </w:p>
    <w:p>
      <w:pPr>
        <w:ind w:right="3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(File No. 333-280918) filed with the Commission, including all information, documents and exhibits filed with or incorporated by reference into such registration statement, which registers the issuance and sale of the Shares, the Prefunded Warrants and the Prefunded Warrant Shares to the Purchasers.</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0"/>
          </w:cols>
          <w:pgMar w:left="880" w:top="270" w:right="519" w:bottom="1440" w:gutter="0" w:footer="0" w:header="0"/>
        </w:sectPr>
      </w:pPr>
    </w:p>
    <w:bookmarkStart w:id="8" w:name="page9"/>
    <w:bookmarkEnd w:id="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3.1(c).</w:t>
      </w:r>
    </w:p>
    <w:p>
      <w:pPr>
        <w:spacing w:after="0" w:line="117"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the Prefunded Warrant Shares, the Warrants and the Warrant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Prefunded Warrant Shares and the Warrant Shares.</w:t>
      </w:r>
    </w:p>
    <w:p>
      <w:pPr>
        <w:spacing w:after="0" w:line="54"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14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Shares and the Prefunded Warrants, if applicable, and the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spacing w:after="0" w:line="75"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ind w:left="440" w:right="26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Warrants, all exhibits and schedules thereto and hereto and any other documents or agreements executed in connection with the transactions contemplated hereunder.</w:t>
      </w:r>
    </w:p>
    <w:p>
      <w:pPr>
        <w:spacing w:after="0" w:line="54" w:lineRule="exact"/>
        <w:rPr>
          <w:sz w:val="20"/>
          <w:szCs w:val="20"/>
          <w:color w:val="auto"/>
        </w:rPr>
      </w:pPr>
    </w:p>
    <w:p>
      <w:pPr>
        <w:ind w:left="440"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Massachusetts 02021, and any successor transfer agent of the Company.</w:t>
      </w:r>
    </w:p>
    <w:p>
      <w:pPr>
        <w:spacing w:after="0" w:line="54" w:lineRule="exact"/>
        <w:rPr>
          <w:sz w:val="20"/>
          <w:szCs w:val="20"/>
          <w:color w:val="auto"/>
        </w:rPr>
      </w:pPr>
    </w:p>
    <w:p>
      <w:pPr>
        <w:ind w:left="440" w:firstLine="423"/>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69" w:lineRule="exact"/>
        <w:rPr>
          <w:sz w:val="20"/>
          <w:szCs w:val="20"/>
          <w:color w:val="auto"/>
        </w:rPr>
      </w:pPr>
    </w:p>
    <w:p>
      <w:pPr>
        <w:ind w:left="440" w:right="4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collectively, the Common Stock purchase warrants delivered to the Purchasers at the Closing in accordance with Section 2.2(a) hereof, which Warrants shall be exercisable immediately and have a term of exercise equal to eighteen months ,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up to an aggregate of approximately $4,250,000.75 of Shares and Warrants at a price per Share and accompanying Warrant equal to the Per Share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w:t>
      </w:r>
      <w:r>
        <w:rPr>
          <w:rFonts w:ascii="Times New Roman" w:cs="Times New Roman" w:eastAsia="Times New Roman" w:hAnsi="Times New Roman"/>
          <w:sz w:val="18"/>
          <w:szCs w:val="18"/>
          <w:color w:val="auto"/>
        </w:rPr>
        <w:t>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each Purchaser its respective Shares and a Warrant (and, if applicable, a Prefunded Warrant)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transmission of the Closing documentation.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4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Counsel, directed to the Placement Agent and the Purchasers, in form and substance reasonably acceptable to the Placement Agent and the Purchasers, as applicable;</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8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(minus the number of shares of Common Stock issuable upon exercise of such Purchaser’s Prefunded Warrants, if applicable), registered in the name of such Purchaser;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ind w:left="540" w:right="60" w:firstLine="408"/>
        <w:spacing w:after="0" w:line="261" w:lineRule="auto"/>
        <w:tabs>
          <w:tab w:leader="none" w:pos="11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applicable, for each Purchaser of Prefunded Warrants pursuant to Section 2.1, a Prefunded Warrant registered in the name of such Purchaser to purchase up to a number of shares of Common Stock equal to the portion of such Purchaser’s Subscription Amount applicable to Prefunded Warrants divided by the Per Share Purchase Price minus $0.001, with an exercise price equal to $0.001, subject to adjustment therein;</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registered in the name of such Purchaser to purchase up to a number of shares of Common Stock equal to 100% of such Purchaser’s Shares and Prefunded Warrant Shares, if applicable, with an exercise price equal to $3.50 per share, subject to adjustment therein; and</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20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(minus, if applicable, a Purchaser’s aggregate exercise price of the Prefunded Warrants, which amounts shall be paid as and when such Prefunded Warrants are exercised for cash), which shall be made available for DVP settlement with the Company or its designee.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540" w:right="220" w:firstLine="408"/>
        <w:spacing w:after="0" w:line="261" w:lineRule="auto"/>
        <w:tabs>
          <w:tab w:leader="none" w:pos="11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5" w:lineRule="auto"/>
        <w:tabs>
          <w:tab w:leader="none" w:pos="16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54" w:lineRule="exact"/>
        <w:rPr>
          <w:sz w:val="20"/>
          <w:szCs w:val="20"/>
          <w:color w:val="auto"/>
        </w:rPr>
      </w:pPr>
    </w:p>
    <w:p>
      <w:pPr>
        <w:ind w:left="440" w:right="80" w:firstLine="419"/>
        <w:spacing w:after="0" w:line="258" w:lineRule="auto"/>
        <w:tabs>
          <w:tab w:leader="none" w:pos="11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firstLine="419"/>
        <w:spacing w:after="0" w:line="253"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6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80" w:lineRule="exact"/>
        <w:rPr>
          <w:sz w:val="20"/>
          <w:szCs w:val="20"/>
          <w:color w:val="auto"/>
        </w:rPr>
      </w:pPr>
    </w:p>
    <w:p>
      <w:pPr>
        <w:ind w:right="140" w:firstLine="419"/>
        <w:spacing w:after="0" w:line="255" w:lineRule="auto"/>
        <w:tabs>
          <w:tab w:leader="none" w:pos="6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the Prefunded Warrant Shares and the Warrant Shares for trading thereon in the time and manner required thereby, (iv) the filing of Form D with the Commission,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40" w:firstLine="419"/>
        <w:spacing w:after="0" w:line="253"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Prefunded Warrants and the Warrants, when paid for and issued in accordance with this Agreement, will constitute valid and binding obligations of the Company, enforceable against the Company in accordance with their respective terms, except as such enforceability may be limited by bankruptcy, insolvency, reorganization or similar laws affecting the rights of creditors generally and subject to general principles of equity. The Company has prepared and filed the Registration Statement in conformity with the requirements of the Securities Act, which became effective on January 27,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w:t>
      </w:r>
    </w:p>
    <w:p>
      <w:pPr>
        <w:spacing w:after="0" w:line="86" w:lineRule="exact"/>
        <w:rPr>
          <w:sz w:val="20"/>
          <w:szCs w:val="20"/>
          <w:color w:val="auto"/>
        </w:rPr>
      </w:pPr>
    </w:p>
    <w:p>
      <w:pPr>
        <w:ind w:firstLine="419"/>
        <w:spacing w:after="0" w:line="25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hereof is as set forth in the SEC Reports. The Company has not issued any capital stock since its most recently filed periodic or current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72" w:lineRule="exact"/>
        <w:rPr>
          <w:sz w:val="20"/>
          <w:szCs w:val="20"/>
          <w:color w:val="auto"/>
        </w:rPr>
      </w:pPr>
    </w:p>
    <w:p>
      <w:pPr>
        <w:ind w:left="4" w:right="20" w:firstLine="419"/>
        <w:spacing w:after="0" w:line="252" w:lineRule="auto"/>
        <w:tabs>
          <w:tab w:leader="none" w:pos="6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86" w:lineRule="exact"/>
        <w:rPr>
          <w:rFonts w:ascii="Times New Roman" w:cs="Times New Roman" w:eastAsia="Times New Roman" w:hAnsi="Times New Roman"/>
          <w:sz w:val="18"/>
          <w:szCs w:val="18"/>
          <w:color w:val="auto"/>
        </w:rPr>
      </w:pPr>
    </w:p>
    <w:p>
      <w:pPr>
        <w:ind w:left="4" w:firstLine="419"/>
        <w:spacing w:after="0" w:line="272" w:lineRule="auto"/>
        <w:tabs>
          <w:tab w:leader="none" w:pos="64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w:t>
      </w:r>
    </w:p>
    <w:p>
      <w:pPr>
        <w:spacing w:after="0" w:line="11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4"/>
          </w:cols>
          <w:pgMar w:left="876" w:top="270" w:right="43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81" w:lineRule="exact"/>
        <w:rPr>
          <w:sz w:val="20"/>
          <w:szCs w:val="20"/>
          <w:color w:val="auto"/>
        </w:rPr>
      </w:pPr>
    </w:p>
    <w:p>
      <w:pPr>
        <w:ind w:firstLine="419"/>
        <w:spacing w:after="0" w:line="253"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 Action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86" w:lineRule="exact"/>
        <w:rPr>
          <w:rFonts w:ascii="Times New Roman" w:cs="Times New Roman" w:eastAsia="Times New Roman" w:hAnsi="Times New Roman"/>
          <w:sz w:val="18"/>
          <w:szCs w:val="18"/>
          <w:color w:val="auto"/>
        </w:rPr>
      </w:pPr>
    </w:p>
    <w:p>
      <w:pPr>
        <w:ind w:right="120" w:firstLine="419"/>
        <w:spacing w:after="0" w:line="253"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8" w:name="page19"/>
    <w:bookmarkEnd w:id="18"/>
    <w:p>
      <w:pPr>
        <w:ind w:firstLine="419"/>
        <w:spacing w:after="0" w:line="254" w:lineRule="auto"/>
        <w:tabs>
          <w:tab w:leader="none" w:pos="6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86"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71" w:lineRule="exact"/>
        <w:rPr>
          <w:rFonts w:ascii="Times New Roman" w:cs="Times New Roman" w:eastAsia="Times New Roman" w:hAnsi="Times New Roman"/>
          <w:sz w:val="18"/>
          <w:szCs w:val="18"/>
          <w:color w:val="auto"/>
        </w:rPr>
      </w:pPr>
    </w:p>
    <w:p>
      <w:pPr>
        <w:ind w:right="120" w:firstLine="419"/>
        <w:spacing w:after="0" w:line="255" w:lineRule="auto"/>
        <w:tabs>
          <w:tab w:leader="none" w:pos="6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firstLine="419"/>
        <w:spacing w:after="0" w:line="253"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0" w:name="page21"/>
    <w:bookmarkEnd w:id="20"/>
    <w:p>
      <w:pPr>
        <w:ind w:firstLine="419"/>
        <w:spacing w:after="0" w:line="268" w:lineRule="auto"/>
        <w:tabs>
          <w:tab w:leader="none" w:pos="65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Internal Accounting Controls</w:t>
      </w:r>
      <w:r>
        <w:rPr>
          <w:rFonts w:ascii="Times New Roman" w:cs="Times New Roman" w:eastAsia="Times New Roman" w:hAnsi="Times New Roman"/>
          <w:sz w:val="17"/>
          <w:szCs w:val="17"/>
          <w:color w:val="auto"/>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69" w:lineRule="exact"/>
        <w:rPr>
          <w:rFonts w:ascii="Times New Roman" w:cs="Times New Roman" w:eastAsia="Times New Roman" w:hAnsi="Times New Roman"/>
          <w:sz w:val="17"/>
          <w:szCs w:val="17"/>
          <w:color w:val="auto"/>
        </w:rPr>
      </w:pPr>
    </w:p>
    <w:p>
      <w:pPr>
        <w:ind w:firstLine="419"/>
        <w:spacing w:after="0" w:line="258"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1" w:name="page22"/>
    <w:bookmarkEnd w:id="21"/>
    <w:p>
      <w:pPr>
        <w:ind w:left="680" w:hanging="26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Company</w:t>
      </w:r>
      <w:r>
        <w:rPr>
          <w:rFonts w:ascii="Times New Roman" w:cs="Times New Roman" w:eastAsia="Times New Roman" w:hAnsi="Times New Roman"/>
          <w:sz w:val="18"/>
          <w:szCs w:val="18"/>
          <w:color w:val="auto"/>
        </w:rPr>
        <w:t>. The Company is not immediately after receipt of payment for the Securities, will not be, an “investment</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7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disclosed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86" w:lineRule="exact"/>
        <w:rPr>
          <w:rFonts w:ascii="Times New Roman" w:cs="Times New Roman" w:eastAsia="Times New Roman" w:hAnsi="Times New Roman"/>
          <w:sz w:val="18"/>
          <w:szCs w:val="18"/>
          <w:color w:val="auto"/>
        </w:rPr>
      </w:pPr>
    </w:p>
    <w:p>
      <w:pPr>
        <w:ind w:right="60" w:firstLine="419"/>
        <w:spacing w:after="0" w:line="256"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79"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72" w:lineRule="exact"/>
        <w:rPr>
          <w:sz w:val="20"/>
          <w:szCs w:val="20"/>
          <w:color w:val="auto"/>
        </w:rPr>
      </w:pPr>
    </w:p>
    <w:p>
      <w:pPr>
        <w:ind w:right="20" w:firstLine="419"/>
        <w:spacing w:after="0" w:line="256" w:lineRule="auto"/>
        <w:tabs>
          <w:tab w:leader="none" w:pos="6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the Warrant Shares under the Securities Act, or (ii) any applicable shareholder approval provisions of any Trading Market on which any of the securities of the Company are listed or designated.</w:t>
      </w:r>
    </w:p>
    <w:p>
      <w:pPr>
        <w:spacing w:after="0" w:line="79" w:lineRule="exact"/>
        <w:rPr>
          <w:sz w:val="20"/>
          <w:szCs w:val="20"/>
          <w:color w:val="auto"/>
        </w:rPr>
      </w:pPr>
    </w:p>
    <w:p>
      <w:pPr>
        <w:ind w:firstLine="419"/>
        <w:spacing w:after="0" w:line="252" w:lineRule="auto"/>
        <w:tabs>
          <w:tab w:leader="none" w:pos="7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The SEC Reports</w:t>
      </w:r>
      <w:r>
        <w:rPr>
          <w:rFonts w:ascii="Times New Roman" w:cs="Times New Roman" w:eastAsia="Times New Roman" w:hAnsi="Times New Roman"/>
          <w:sz w:val="18"/>
          <w:szCs w:val="18"/>
          <w:color w:val="auto"/>
        </w:rPr>
        <w:t xml:space="preserve">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23" w:name="page24"/>
    <w:bookmarkEnd w:id="23"/>
    <w:p>
      <w:pPr>
        <w:ind w:left="4" w:right="200" w:firstLine="419"/>
        <w:spacing w:after="0" w:line="270" w:lineRule="auto"/>
        <w:tabs>
          <w:tab w:leader="none" w:pos="77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7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left="4" w:right="260" w:firstLine="419"/>
        <w:spacing w:after="0" w:line="289" w:lineRule="auto"/>
        <w:tabs>
          <w:tab w:leader="none" w:pos="7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Accountants</w:t>
      </w:r>
      <w:r>
        <w:rPr>
          <w:rFonts w:ascii="Times New Roman" w:cs="Times New Roman" w:eastAsia="Times New Roman" w:hAnsi="Times New Roman"/>
          <w:sz w:val="17"/>
          <w:szCs w:val="17"/>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49" w:lineRule="exact"/>
        <w:rPr>
          <w:rFonts w:ascii="Times New Roman" w:cs="Times New Roman" w:eastAsia="Times New Roman" w:hAnsi="Times New Roman"/>
          <w:sz w:val="17"/>
          <w:szCs w:val="17"/>
          <w:color w:val="auto"/>
        </w:rPr>
      </w:pPr>
    </w:p>
    <w:p>
      <w:pPr>
        <w:ind w:left="4" w:right="80" w:firstLine="419"/>
        <w:spacing w:after="0" w:line="254" w:lineRule="auto"/>
        <w:tabs>
          <w:tab w:leader="none" w:pos="7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7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24" w:name="page25"/>
    <w:bookmarkEnd w:id="24"/>
    <w:p>
      <w:pPr>
        <w:ind w:left="4" w:right="1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spacing w:after="0" w:line="2" w:lineRule="exact"/>
        <w:rPr>
          <w:sz w:val="20"/>
          <w:szCs w:val="20"/>
          <w:color w:val="auto"/>
        </w:rPr>
      </w:pPr>
    </w:p>
    <w:p>
      <w:pPr>
        <w:ind w:left="4" w:right="20" w:hanging="4"/>
        <w:spacing w:after="0" w:line="251" w:lineRule="auto"/>
        <w:tabs>
          <w:tab w:leader="none" w:pos="3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5" w:lineRule="exact"/>
        <w:rPr>
          <w:rFonts w:ascii="Times New Roman" w:cs="Times New Roman" w:eastAsia="Times New Roman" w:hAnsi="Times New Roman"/>
          <w:sz w:val="18"/>
          <w:szCs w:val="18"/>
          <w:color w:val="auto"/>
        </w:rPr>
      </w:pPr>
    </w:p>
    <w:p>
      <w:pPr>
        <w:ind w:left="4" w:firstLine="419"/>
        <w:spacing w:after="0" w:line="258"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7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4"/>
          </w:cols>
          <w:pgMar w:left="876" w:top="270" w:right="479" w:bottom="1440" w:gutter="0" w:footer="0" w:header="0"/>
        </w:sectPr>
      </w:pPr>
    </w:p>
    <w:bookmarkStart w:id="25" w:name="page26"/>
    <w:bookmarkEnd w:id="25"/>
    <w:p>
      <w:pPr>
        <w:ind w:left="4" w:right="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65" w:lineRule="exact"/>
        <w:rPr>
          <w:sz w:val="20"/>
          <w:szCs w:val="20"/>
          <w:color w:val="auto"/>
        </w:rPr>
      </w:pPr>
    </w:p>
    <w:p>
      <w:pPr>
        <w:ind w:left="4" w:right="180" w:firstLine="419"/>
        <w:spacing w:after="0" w:line="256" w:lineRule="auto"/>
        <w:tabs>
          <w:tab w:leader="none" w:pos="6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79" w:lineRule="exact"/>
        <w:rPr>
          <w:rFonts w:ascii="Times New Roman" w:cs="Times New Roman" w:eastAsia="Times New Roman" w:hAnsi="Times New Roman"/>
          <w:sz w:val="18"/>
          <w:szCs w:val="18"/>
          <w:color w:val="auto"/>
        </w:rPr>
      </w:pPr>
    </w:p>
    <w:p>
      <w:pPr>
        <w:ind w:left="4" w:right="120" w:firstLine="419"/>
        <w:spacing w:after="0" w:line="272" w:lineRule="auto"/>
        <w:tabs>
          <w:tab w:leader="none" w:pos="6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Cybersecurity</w:t>
      </w:r>
      <w:r>
        <w:rPr>
          <w:rFonts w:ascii="Times New Roman" w:cs="Times New Roman" w:eastAsia="Times New Roman" w:hAnsi="Times New Roman"/>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26" w:name="page27"/>
    <w:bookmarkEnd w:id="26"/>
    <w:p>
      <w:pPr>
        <w:jc w:val="both"/>
        <w:ind w:right="320" w:firstLine="419"/>
        <w:spacing w:after="0" w:line="26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300" w:firstLine="419"/>
        <w:spacing w:after="0" w:line="282" w:lineRule="auto"/>
        <w:tabs>
          <w:tab w:leader="none" w:pos="6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right="40" w:firstLine="419"/>
        <w:spacing w:after="0" w:line="256" w:lineRule="auto"/>
        <w:tabs>
          <w:tab w:leader="none" w:pos="8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Warrants or the Warrant Shares by the Company to the Purchasers as contemplated hereby. The issuance and sale of the Securities hereunder does not contravene the rules and regulations of the Trading Market.</w:t>
      </w:r>
    </w:p>
    <w:p>
      <w:pPr>
        <w:spacing w:after="0" w:line="67"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Warrants or the Warrant Shares by any form of general solicitation or general advertising. The Company has offered the Warrants and the Warrant Shares for sale only to the Purchasers and certain other “accredited investors” within the meaning of Rule 501 under the Securities Act.</w:t>
      </w:r>
    </w:p>
    <w:p>
      <w:pPr>
        <w:spacing w:after="0" w:line="67"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7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Warrants and the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7" w:name="page28"/>
    <w:bookmarkEnd w:id="27"/>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79" w:lineRule="exact"/>
        <w:rPr>
          <w:sz w:val="20"/>
          <w:szCs w:val="20"/>
          <w:color w:val="auto"/>
        </w:rPr>
      </w:pPr>
    </w:p>
    <w:p>
      <w:pPr>
        <w:ind w:left="440" w:right="540" w:firstLine="419"/>
        <w:spacing w:after="0" w:line="266" w:lineRule="auto"/>
        <w:tabs>
          <w:tab w:leader="none" w:pos="11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firstLine="419"/>
        <w:spacing w:after="0" w:line="253"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and the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83"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6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67"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70" w:right="479" w:bottom="1440" w:gutter="0" w:footer="0" w:header="0"/>
        </w:sectPr>
      </w:pPr>
    </w:p>
    <w:bookmarkStart w:id="29" w:name="page30"/>
    <w:bookmarkEnd w:id="29"/>
    <w:p>
      <w:pPr>
        <w:ind w:left="440" w:firstLine="419"/>
        <w:spacing w:after="0" w:line="252" w:lineRule="auto"/>
        <w:tabs>
          <w:tab w:leader="none" w:pos="10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9"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0" w:name="page31"/>
    <w:bookmarkEnd w:id="30"/>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19"/>
        <w:spacing w:after="0" w:line="256" w:lineRule="auto"/>
        <w:tabs>
          <w:tab w:leader="none" w:pos="6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the Warrant Shares may only be disposed of in compliance with state and federal securities laws. In connection with any transfer of Warrants or the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79" w:lineRule="exact"/>
        <w:rPr>
          <w:rFonts w:ascii="Times New Roman" w:cs="Times New Roman" w:eastAsia="Times New Roman" w:hAnsi="Times New Roman"/>
          <w:sz w:val="18"/>
          <w:szCs w:val="18"/>
          <w:color w:val="auto"/>
        </w:rPr>
      </w:pPr>
    </w:p>
    <w:p>
      <w:pPr>
        <w:ind w:right="400" w:firstLine="419"/>
        <w:spacing w:after="0" w:line="282"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Warrants or the Warrant Shares in the following form:</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86"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Warrants or the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the Warrants and the Warrant Shares may reasonably request in connection with a pledge or transfer of the Warrants or the Warrant Shares.</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20"/>
          </w:cols>
          <w:pgMar w:left="880" w:top="266" w:right="499" w:bottom="1440" w:gutter="0" w:footer="0" w:header="0"/>
        </w:sectPr>
      </w:pPr>
    </w:p>
    <w:bookmarkStart w:id="31" w:name="page32"/>
    <w:bookmarkEnd w:id="31"/>
    <w:p>
      <w:pPr>
        <w:ind w:firstLine="419"/>
        <w:spacing w:after="0" w:line="251" w:lineRule="auto"/>
        <w:tabs>
          <w:tab w:leader="none" w:pos="6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evidencing the Warrant Shares shall not contain any legend (including the legend set forth in Section 4.1(b) hereof): (i) while a registration statement covering the resale of such security is effective under the Securities Act (subject to the Purchaser’s delivery to the Company, counsel to the Company and the Transfer Agent of a representation in form reasonably satisfactory to counsel to the Company, regarding the Purchaser’s agreement to sell the Warrant Shares pursuant to an effective registration statement under the Securities Act or pursuant to Rule 144),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Warrant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Warrant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Warrant Shares issued with a restrictive legend.</w:t>
      </w:r>
    </w:p>
    <w:p>
      <w:pPr>
        <w:spacing w:after="0" w:line="97" w:lineRule="exact"/>
        <w:rPr>
          <w:rFonts w:ascii="Times New Roman" w:cs="Times New Roman" w:eastAsia="Times New Roman" w:hAnsi="Times New Roman"/>
          <w:sz w:val="18"/>
          <w:szCs w:val="18"/>
          <w:color w:val="auto"/>
        </w:rPr>
      </w:pPr>
    </w:p>
    <w:p>
      <w:pPr>
        <w:ind w:right="40" w:firstLine="419"/>
        <w:spacing w:after="0" w:line="274" w:lineRule="auto"/>
        <w:tabs>
          <w:tab w:leader="none" w:pos="6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such Purchaser’s other available remedies, the Company shall pay to a Purchaser, in cash, (i) as partial liquidated damages and not as a penalty, for each $1,000 of Warrant Shares (based on the VWAP of the Common Stock on the date such Securities are submitted to the Transfer Agent) delivered for removal of the restrictive legend and subject to Section 4.1(c), $10 per Trading Day (increasing to $20 per Trading Day three (3)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Warrant Shares so delivered to the Company by such Purchaser that is free from all restrictive and other</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32" w:name="page33"/>
    <w:bookmarkEnd w:id="3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Warrant Shares (as the case may be) and ending on the date of such delivery and payment under this Section 4.1(d).</w:t>
      </w:r>
    </w:p>
    <w:p>
      <w:pPr>
        <w:spacing w:after="0" w:line="80" w:lineRule="exact"/>
        <w:rPr>
          <w:sz w:val="20"/>
          <w:szCs w:val="20"/>
          <w:color w:val="auto"/>
        </w:rPr>
      </w:pPr>
    </w:p>
    <w:p>
      <w:pPr>
        <w:ind w:firstLine="419"/>
        <w:spacing w:after="0" w:line="254" w:lineRule="auto"/>
        <w:tabs>
          <w:tab w:leader="none" w:pos="6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40" w:firstLine="419"/>
        <w:spacing w:after="0" w:line="266"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and (ii) the Warrants have expired, the Company covenants to timely file (or obtain extensions in respect thereof and file within the applicable grace period) all reports required to be filed by the Company after the date hereof pursuant to the Exchange Act.</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33" w:name="page34"/>
    <w:bookmarkEnd w:id="33"/>
    <w:p>
      <w:pPr>
        <w:ind w:left="440" w:right="100"/>
        <w:spacing w:after="0" w:line="23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in cash, as partial liquidated damages and not as a penalty, by reason of any such delay in or reduction of its ability to sell the Warrant Shares, an amount in cash equal to two percent (2.0%) of the aggregate Exercise Price of such Purchaser’s Warrants on the day of a Public Information Failure and on every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Warrant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Warrants or the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4" w:name="page35"/>
    <w:bookmarkEnd w:id="34"/>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w:t>
      </w:r>
    </w:p>
    <w:p>
      <w:pPr>
        <w:spacing w:after="0" w:line="5" w:lineRule="exact"/>
        <w:rPr>
          <w:sz w:val="20"/>
          <w:szCs w:val="20"/>
          <w:color w:val="auto"/>
        </w:rPr>
      </w:pPr>
    </w:p>
    <w:p>
      <w:pPr>
        <w:ind w:left="4" w:right="260" w:hanging="4"/>
        <w:spacing w:after="0" w:line="260"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35" w:name="page36"/>
    <w:bookmarkEnd w:id="35"/>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as set forth in the Prospectus Supplement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the Shares pursuant to this Agreement and the Prefunded Warrant Shares and the Warrant Shares pursuant to any exercise of the Prefunded Warrants and the Warrants, respectively.</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efforts to maintain the listing or quotation of the Common Stock on the Trading Market on which it is currently listed, and concurrently with the Closing, the Company shall apply to list or quote all of the Shares, the Prefunded Warrant Shares and the Warrant Shares on such Trading Market and promptly secure the listing of all of the Shares, the Prefunded Warrant Shares and the Warrant Shares on such Trading Market. The Company further agrees, if the Company applies to have the Common Stock traded on any other Trading Market, it will then include in such application all of the Shares, the Prefunded Warrant Shares and the Warrant Shares, and will take such other action as is necessary to cause all of the Shares, the Prefunded Warrant Shares and the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60" w:firstLine="419"/>
        <w:spacing w:after="0" w:line="255" w:lineRule="auto"/>
        <w:tabs>
          <w:tab w:leader="none" w:pos="110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the Prospectus Supplement, or filing (A) after 30 days following the date hereof, a registration statement on Form S-4 related to a merger, business acquisition or business combination involving the Company,</w:t>
      </w:r>
    </w:p>
    <w:p>
      <w:pPr>
        <w:spacing w:after="0" w:line="2"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30 days following the date hereof, a registration statement on form S-1 or S-3 as contemplated by the Asset Purchase Agreement, or</w:t>
      </w:r>
    </w:p>
    <w:p>
      <w:pPr>
        <w:spacing w:after="0" w:line="9"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S-8 in connection with any employee benefit plan.</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Prefunded Warrants and the Warrants set forth the totality of the procedures required of the Purchasers in order to exercise the Prefunded Warrants and the Warrants. No additional legal opinion, other information or instructions shall be required of the Purchasers to exercise their Prefunded Warrants or the Warrants. Without limiting the preceding sentences, no ink-original Notice of Exercise shall be required, nor shall any medallion guarantee (or other type of guarantee or notarization) of any Notice of Exercise form be required in order to exercise the Prefunded Warrants and the Warrants. The Company shall honor exercises of the Prefunded Warrants and the Warrants and shall deliver the Prefunded Warrant Shares and the Warrant Shares in accordance with the terms, conditions and time periods set forth in the Transaction Documents.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Warrant and Warrant Shares as required under Regulation D and to provide a copy thereof, promptly upon request of any Purchaser. The Company shall take such action as the Company shall reasonably determine is necessary in order to obtain an exemption for, or to qualify the Warrants and the Warrant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15 calendar days of the date of this Agreement), the Company shall file a registration statement on Form S-3 (or other appropriate form if the Company is not then S-3 eligible) providing for the resale by the Purchasers of the Warrant Shares issued and issuable upon exercise of the Warrants. The Company shall use commercially reasonable efforts to cause such registration statement to become effective within 45 days following the Closing Date and to keep such registration statement effective at all times until no Purchaser owns any Warrants or Warrant Shares issuable upon exercise thereof.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00" w:firstLine="440"/>
        <w:spacing w:after="0" w:line="23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39" w:name="page40"/>
    <w:bookmarkEnd w:id="39"/>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0" w:name="page41"/>
    <w:bookmarkEnd w:id="40"/>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the covenants of the Company in Article 4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1" w:name="page42"/>
    <w:bookmarkEnd w:id="41"/>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or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or Prefunded Warrant (including, issuance of a replacement warrant certificate evidencing such restored right).</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2" w:name="page43"/>
    <w:bookmarkEnd w:id="42"/>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3" w:name="page44"/>
    <w:bookmarkEnd w:id="43"/>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44" w:name="page45"/>
    <w:bookmarkEnd w:id="4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TEMPEST THERAPEUTICS, INC.</w:t>
            </w:r>
          </w:p>
        </w:tc>
        <w:tc>
          <w:tcPr>
            <w:tcW w:w="70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820"/>
          </w:cols>
          <w:pgMar w:left="440" w:top="270" w:right="639" w:bottom="1440" w:gutter="0" w:footer="0" w:header="0"/>
        </w:sectPr>
      </w:pPr>
    </w:p>
    <w:bookmarkStart w:id="45" w:name="page46"/>
    <w:bookmarkEnd w:id="45"/>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SIGNATURE PAGES TO TPST SECURITIES PURCHASE AGREEMENT]</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Name of Purchaser:              </w:t>
            </w:r>
          </w:p>
        </w:tc>
        <w:tc>
          <w:tcPr>
            <w:tcW w:w="10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62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w w:val="96"/>
              </w:rPr>
              <w:t>Signature of Authorized Signatory of Purchaser</w:t>
            </w:r>
            <w:r>
              <w:rPr>
                <w:rFonts w:ascii="Times New Roman" w:cs="Times New Roman" w:eastAsia="Times New Roman" w:hAnsi="Times New Roman"/>
                <w:sz w:val="18"/>
                <w:szCs w:val="18"/>
                <w:color w:val="auto"/>
                <w:w w:val="96"/>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
                <w:szCs w:val="1"/>
                <w:color w:val="auto"/>
                <w:w w:val="4294967291"/>
              </w:rPr>
              <w:t> </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3"/>
              </w:rPr>
              <w:t>Name of Authorized Signatory:  </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4"/>
                <w:szCs w:val="24"/>
                <w:color w:val="auto"/>
              </w:rPr>
            </w:pPr>
          </w:p>
        </w:tc>
      </w:tr>
      <w:tr>
        <w:trPr>
          <w:trHeight w:val="412"/>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5"/>
              </w:rPr>
              <w:t>Title of Authorized Signatory:  </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r>
      <w:tr>
        <w:trPr>
          <w:trHeight w:val="20"/>
        </w:trPr>
        <w:tc>
          <w:tcPr>
            <w:tcW w:w="2220" w:type="dxa"/>
            <w:vAlign w:val="bottom"/>
            <w:gridSpan w:val="2"/>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12"/>
        </w:trPr>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5"/>
              </w:rPr>
              <w:t>Email Address of Authorized Signatory: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r>
      <w:tr>
        <w:trPr>
          <w:trHeight w:val="412"/>
        </w:trPr>
        <w:tc>
          <w:tcPr>
            <w:tcW w:w="24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3"/>
              </w:rPr>
              <w:t>Address for Notice to Purchaser: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 notice):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w:t>
      </w:r>
    </w:p>
    <w:p>
      <w:pPr>
        <w:spacing w:after="0" w:line="63" w:lineRule="exact"/>
        <w:rPr>
          <w:sz w:val="20"/>
          <w:szCs w:val="20"/>
          <w:color w:val="auto"/>
        </w:rPr>
      </w:pPr>
    </w:p>
    <w:p>
      <w:pPr>
        <w:ind w:left="204" w:hanging="204"/>
        <w:spacing w:after="0"/>
        <w:tabs>
          <w:tab w:leader="none" w:pos="204"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9.99%</w:t>
      </w:r>
    </w:p>
    <w:p>
      <w:pPr>
        <w:spacing w:after="0" w:line="17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Warrant Shares: __________________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w:t>
      </w:r>
    </w:p>
    <w:p>
      <w:pPr>
        <w:spacing w:after="0" w:line="63" w:lineRule="exact"/>
        <w:rPr>
          <w:sz w:val="20"/>
          <w:szCs w:val="20"/>
          <w:color w:val="auto"/>
        </w:rPr>
      </w:pPr>
    </w:p>
    <w:p>
      <w:pPr>
        <w:ind w:left="204" w:hanging="204"/>
        <w:spacing w:after="0"/>
        <w:tabs>
          <w:tab w:leader="none" w:pos="204"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9.99%</w:t>
      </w: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ind w:left="4" w:hanging="4"/>
        <w:spacing w:after="0" w:line="241" w:lineRule="auto"/>
        <w:tabs>
          <w:tab w:leader="none" w:pos="211" w:val="left"/>
        </w:tabs>
        <w:numPr>
          <w:ilvl w:val="0"/>
          <w:numId w:val="3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hereof (or the second (2nd) Trading Day following the date hereof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CONTINUE]</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26, 2025</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to subscribe for and purchase from Tempest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w:t>
      </w: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Company’s Common Stock.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November 24, 2025,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3" w:lineRule="auto"/>
        <w:tabs>
          <w:tab w:leader="none" w:pos="10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48" w:name="page49"/>
    <w:bookmarkEnd w:id="4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75"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220" w:firstLine="419"/>
        <w:spacing w:after="0" w:line="282" w:lineRule="auto"/>
        <w:tabs>
          <w:tab w:leader="none" w:pos="6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 applicable: (i) the VWAP on the Trading Day immediately preceding the date of the applicable Notice of Exercise if</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such Notice of Exercise is (1) both executed and delivered pursuant to Section 2(a) hereof on a day that is not a Trading</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Day or (2) both executed and delivered pursuant to Section 2(a) hereof on a Trading Day prior to the opening of “regular</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trading hours” (as defined in Rule 600(b) of Regulation NMS promulgated under the federal securities laws) on such</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Trading Day, (ii) at the option of the Holder, either (y) the VWAP on the Trading Day immediately preceding the date of</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applicable Notice of Exercise or (z) the Bid Price of the Common Stock on the principal Trading Market as reported</w:t>
            </w:r>
          </w:p>
        </w:tc>
      </w:tr>
      <w:tr>
        <w:trPr>
          <w:trHeight w:val="194"/>
        </w:trPr>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2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by Bloomberg L.P. (“Bloomberg”) as of the time of the Holder’s execution of the applicable Notice of Exercise if such</w:t>
            </w: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Notice of Exercise is executed during “regular trading hours” on a Trading Day and is delivered within two (2) hours</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thereafter (including until two (2) hours after the close of “regular trading hours” on a Trading Day) pursuant to</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2(a) hereof or (iii) the VWAP on the date of the applicable Notice of Exercise if the date of such Notice of</w:t>
            </w: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Exercise is a Trading Day and such Notice of Exercise is both executed and delivered pursuant to Section 2(a) hereof</w:t>
            </w:r>
          </w:p>
        </w:tc>
      </w:tr>
      <w:tr>
        <w:trPr>
          <w:trHeight w:val="234"/>
        </w:trPr>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after the close of “regular trading hours” on such Trading Day;</w:t>
            </w:r>
          </w:p>
        </w:tc>
      </w:tr>
      <w:tr>
        <w:trPr>
          <w:trHeight w:val="33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Exercise Price of this Warrant, as adjusted hereunder; and</w:t>
            </w:r>
          </w:p>
        </w:tc>
      </w:tr>
      <w:tr>
        <w:trPr>
          <w:trHeight w:val="365"/>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20" w:type="dxa"/>
            <w:vAlign w:val="bottom"/>
            <w:gridSpan w:val="3"/>
          </w:tcPr>
          <w:p>
            <w:pPr>
              <w:ind w:left="32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560"/>
          </w:cols>
          <w:pgMar w:left="880" w:top="270" w:right="459" w:bottom="1440" w:gutter="0" w:footer="0" w:header="0"/>
        </w:sectPr>
      </w:pPr>
    </w:p>
    <w:bookmarkStart w:id="49" w:name="page50"/>
    <w:bookmarkEnd w:id="49"/>
    <w:p>
      <w:pPr>
        <w:ind w:left="1860" w:right="120" w:hanging="768"/>
        <w:spacing w:after="0" w:line="282" w:lineRule="auto"/>
        <w:tabs>
          <w:tab w:leader="none" w:pos="18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w:t>
        <w:tab/>
        <w:t>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right="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 xml:space="preserve">In addition, if at the time of the proposed exercise of this Warrant, there is not an effective registration statement for the sale of the Warrant Shares for cash, then this Warrant may only be exercised through a cashless exercise,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50" w:name="page51"/>
    <w:bookmarkEnd w:id="50"/>
    <w:p>
      <w:pPr>
        <w:ind w:left="201" w:hanging="201"/>
        <w:spacing w:after="0"/>
        <w:tabs>
          <w:tab w:leader="none" w:pos="2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1" w:hanging="149"/>
        <w:spacing w:after="0"/>
        <w:tabs>
          <w:tab w:leader="none" w:pos="110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561"/>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94" w:lineRule="exact"/>
        <w:rPr>
          <w:rFonts w:ascii="Times New Roman" w:cs="Times New Roman" w:eastAsia="Times New Roman" w:hAnsi="Times New Roman"/>
          <w:sz w:val="18"/>
          <w:szCs w:val="18"/>
          <w:color w:val="auto"/>
        </w:rPr>
      </w:pPr>
    </w:p>
    <w:p>
      <w:pPr>
        <w:ind w:left="561" w:firstLine="391"/>
        <w:spacing w:after="0" w:line="261" w:lineRule="auto"/>
        <w:tabs>
          <w:tab w:leader="none" w:pos="11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2"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41"/>
          </w:cols>
          <w:pgMar w:left="1299" w:top="270" w:right="459" w:bottom="1440" w:gutter="0" w:footer="0" w:header="0"/>
        </w:sectPr>
      </w:pPr>
    </w:p>
    <w:bookmarkStart w:id="51" w:name="page52"/>
    <w:bookmarkEnd w:id="51"/>
    <w:p>
      <w:pPr>
        <w:ind w:left="420" w:firstLine="391"/>
        <w:spacing w:after="0" w:line="282" w:lineRule="auto"/>
        <w:tabs>
          <w:tab w:leader="none" w:pos="10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2" w:lineRule="auto"/>
        <w:tabs>
          <w:tab w:leader="none" w:pos="102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52" w:name="page53"/>
    <w:bookmarkEnd w:id="52"/>
    <w:p>
      <w:pPr>
        <w:ind w:left="980" w:firstLine="38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980" w:right="20" w:firstLine="391"/>
        <w:spacing w:after="0" w:line="254" w:lineRule="auto"/>
        <w:tabs>
          <w:tab w:leader="none" w:pos="15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69" w:lineRule="auto"/>
        <w:tabs>
          <w:tab w:leader="none" w:pos="60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53" w:name="page54"/>
    <w:bookmarkEnd w:id="53"/>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54" w:name="page55"/>
    <w:bookmarkEnd w:id="54"/>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60" w:firstLine="419"/>
        <w:spacing w:after="0" w:line="253" w:lineRule="auto"/>
        <w:tabs>
          <w:tab w:leader="none" w:pos="6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55" w:name="page56"/>
    <w:bookmarkEnd w:id="55"/>
    <w:p>
      <w:pPr>
        <w:ind w:firstLine="419"/>
        <w:spacing w:after="0" w:line="253" w:lineRule="auto"/>
        <w:tabs>
          <w:tab w:leader="none" w:pos="6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right="20" w:firstLine="419"/>
        <w:spacing w:after="0" w:line="252" w:lineRule="auto"/>
        <w:tabs>
          <w:tab w:leader="none" w:pos="6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provided, however, that the term Fundamental Transaction shall not include any transaction contemplated by that</w:t>
      </w:r>
    </w:p>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56" w:name="page57"/>
    <w:bookmarkEnd w:id="5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Asset Purchase Agreement, dated as of November 19, 2025, as may be amended, by and among the Company, Erigen LLC and Factor Bioscience Inc.),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57" w:name="page58"/>
    <w:bookmarkEnd w:id="57"/>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56" w:lineRule="exact"/>
        <w:rPr>
          <w:sz w:val="20"/>
          <w:szCs w:val="20"/>
          <w:color w:val="auto"/>
        </w:rPr>
      </w:pPr>
    </w:p>
    <w:p>
      <w:pPr>
        <w:ind w:right="80" w:firstLine="419"/>
        <w:spacing w:after="0" w:line="266" w:lineRule="auto"/>
        <w:tabs>
          <w:tab w:leader="none" w:pos="6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08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0" w:firstLine="408"/>
        <w:spacing w:after="0" w:line="253" w:lineRule="auto"/>
        <w:tabs>
          <w:tab w:leader="none" w:pos="11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58" w:name="page59"/>
    <w:bookmarkEnd w:id="58"/>
    <w:p>
      <w:pPr>
        <w:ind w:left="540"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3" w:lineRule="exact"/>
        <w:rPr>
          <w:rFonts w:ascii="Times New Roman" w:cs="Times New Roman" w:eastAsia="Times New Roman" w:hAnsi="Times New Roman"/>
          <w:sz w:val="18"/>
          <w:szCs w:val="18"/>
          <w:color w:val="auto"/>
        </w:rPr>
      </w:pPr>
    </w:p>
    <w:p>
      <w:pPr>
        <w:ind w:right="20" w:firstLine="419"/>
        <w:spacing w:after="0" w:line="256" w:lineRule="auto"/>
        <w:tabs>
          <w:tab w:leader="none" w:pos="6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59" w:name="page60"/>
    <w:bookmarkEnd w:id="59"/>
    <w:p>
      <w:pPr>
        <w:ind w:firstLine="419"/>
        <w:spacing w:after="0" w:line="261" w:lineRule="auto"/>
        <w:tabs>
          <w:tab w:leader="none" w:pos="6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380" w:firstLine="419"/>
        <w:spacing w:after="0" w:line="312" w:lineRule="auto"/>
        <w:tabs>
          <w:tab w:leader="none" w:pos="60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60" w:name="page61"/>
    <w:bookmarkEnd w:id="60"/>
    <w:p>
      <w:pPr>
        <w:ind w:left="540"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68" w:lineRule="exact"/>
        <w:rPr>
          <w:sz w:val="20"/>
          <w:szCs w:val="20"/>
          <w:color w:val="auto"/>
        </w:rPr>
      </w:pPr>
    </w:p>
    <w:p>
      <w:pPr>
        <w:ind w:left="540" w:right="20" w:firstLine="401"/>
        <w:spacing w:after="0" w:line="269"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4" w:lineRule="exact"/>
        <w:rPr>
          <w:sz w:val="20"/>
          <w:szCs w:val="20"/>
          <w:color w:val="auto"/>
        </w:rPr>
      </w:pPr>
    </w:p>
    <w:p>
      <w:pPr>
        <w:jc w:val="both"/>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6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61" w:name="page62"/>
    <w:bookmarkEnd w:id="61"/>
    <w:p>
      <w:pPr>
        <w:ind w:right="380" w:firstLine="419"/>
        <w:spacing w:after="0" w:line="282" w:lineRule="auto"/>
        <w:tabs>
          <w:tab w:leader="none" w:pos="6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6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5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62" w:name="page63"/>
    <w:bookmarkEnd w:id="6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440" w:top="270" w:right="55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229" w:lineRule="exact"/>
        <w:rPr>
          <w:sz w:val="20"/>
          <w:szCs w:val="20"/>
          <w:color w:val="auto"/>
        </w:rPr>
      </w:pPr>
    </w:p>
    <w:p>
      <w:pPr>
        <w:ind w:right="260" w:firstLine="987"/>
        <w:spacing w:after="0" w:line="282"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960"/>
          </w:cols>
          <w:pgMar w:left="440" w:top="266" w:right="49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20"/>
            <w:col w:w="9300"/>
          </w:cols>
          <w:pgMar w:left="440" w:top="266" w:right="4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the cancellation of such number of Warrant Shares as is necessary, in accordance with the formula set forth in subsection 2(c),</w:t>
      </w:r>
    </w:p>
    <w:p>
      <w:pPr>
        <w:sectPr>
          <w:pgSz w:w="11900" w:h="16838" w:orient="portrait"/>
          <w:cols w:equalWidth="0" w:num="1">
            <w:col w:w="10960"/>
          </w:cols>
          <w:pgMar w:left="440" w:top="266" w:right="499" w:bottom="1440" w:gutter="0" w:footer="0" w:header="0"/>
          <w:type w:val="continuous"/>
        </w:sectPr>
      </w:pPr>
    </w:p>
    <w:p>
      <w:pPr>
        <w:spacing w:after="0" w:line="39" w:lineRule="exact"/>
        <w:rPr>
          <w:sz w:val="20"/>
          <w:szCs w:val="20"/>
          <w:color w:val="auto"/>
        </w:rPr>
      </w:pPr>
    </w:p>
    <w:p>
      <w:pPr>
        <w:ind w:left="1420" w:right="460"/>
        <w:spacing w:after="0" w:line="260" w:lineRule="auto"/>
        <w:rPr>
          <w:sz w:val="20"/>
          <w:szCs w:val="20"/>
          <w:color w:val="auto"/>
        </w:rPr>
      </w:pPr>
      <w:r>
        <w:rPr>
          <w:rFonts w:ascii="Times New Roman" w:cs="Times New Roman" w:eastAsia="Times New Roman" w:hAnsi="Times New Roman"/>
          <w:sz w:val="18"/>
          <w:szCs w:val="18"/>
          <w:color w:val="auto"/>
        </w:rPr>
        <w:t>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right="1920" w:firstLine="987"/>
        <w:spacing w:after="0" w:line="955"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 The Warrant Shares shall be delivered to the following DWAC Account Number: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-1667510</wp:posOffset>
            </wp:positionV>
            <wp:extent cx="27260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-1162050</wp:posOffset>
            </wp:positionV>
            <wp:extent cx="2726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-870585</wp:posOffset>
            </wp:positionV>
            <wp:extent cx="27260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-579120</wp:posOffset>
            </wp:positionV>
            <wp:extent cx="27260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 ____________________________ 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 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 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 ___________________________________</w:t>
      </w:r>
    </w:p>
    <w:p>
      <w:pPr>
        <w:sectPr>
          <w:pgSz w:w="11900" w:h="16838" w:orient="portrait"/>
          <w:cols w:equalWidth="0" w:num="1">
            <w:col w:w="10960"/>
          </w:cols>
          <w:pgMar w:left="440" w:top="266" w:right="49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440" w:right="180" w:hanging="439"/>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 __ ______</w:t>
      </w:r>
    </w:p>
    <w:p>
      <w:pPr>
        <w:sectPr>
          <w:pgSz w:w="11900" w:h="16838" w:orient="portrait"/>
          <w:cols w:equalWidth="0" w:num="1">
            <w:col w:w="11020"/>
          </w:cols>
          <w:pgMar w:left="440" w:top="266" w:right="439" w:bottom="1440" w:gutter="0" w:footer="0" w:header="0"/>
        </w:sectPr>
      </w:pPr>
    </w:p>
    <w:bookmarkStart w:id="65" w:name="page66"/>
    <w:bookmarkEnd w:id="65"/>
    <w:p>
      <w:pPr>
        <w:ind w:left="101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26, 2025</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eighteen (18) month anniversary of the Effective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Tempest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7"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November 24, 2025,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1" w:lineRule="auto"/>
        <w:tabs>
          <w:tab w:leader="none" w:pos="10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66" w:name="page67"/>
    <w:bookmarkEnd w:id="66"/>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89" w:lineRule="exact"/>
        <w:rPr>
          <w:sz w:val="20"/>
          <w:szCs w:val="20"/>
          <w:color w:val="auto"/>
        </w:rPr>
      </w:pPr>
    </w:p>
    <w:p>
      <w:pPr>
        <w:ind w:right="300" w:firstLine="419"/>
        <w:spacing w:after="0" w:line="282" w:lineRule="auto"/>
        <w:tabs>
          <w:tab w:leader="none" w:pos="6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$3.50,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120" w:firstLine="419"/>
        <w:spacing w:after="0" w:line="261" w:lineRule="auto"/>
        <w:tabs>
          <w:tab w:leader="none" w:pos="6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85" w:lineRule="exact"/>
        <w:rPr>
          <w:sz w:val="20"/>
          <w:szCs w:val="20"/>
          <w:color w:val="auto"/>
        </w:rPr>
      </w:pPr>
    </w:p>
    <w:p>
      <w:pPr>
        <w:ind w:left="1860" w:hanging="768"/>
        <w:spacing w:after="0" w:line="254" w:lineRule="auto"/>
        <w:tabs>
          <w:tab w:leader="none" w:pos="1840" w:val="left"/>
        </w:tabs>
        <w:rPr>
          <w:sz w:val="20"/>
          <w:szCs w:val="20"/>
          <w:color w:val="auto"/>
        </w:rPr>
      </w:pPr>
      <w:r>
        <w:rPr>
          <w:rFonts w:ascii="Times New Roman" w:cs="Times New Roman" w:eastAsia="Times New Roman" w:hAnsi="Times New Roman"/>
          <w:sz w:val="18"/>
          <w:szCs w:val="18"/>
          <w:color w:val="auto"/>
        </w:rPr>
        <w:t>(A)  =</w:t>
        <w:tab/>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67" w:name="page68"/>
    <w:bookmarkEnd w:id="67"/>
    <w:p>
      <w:pPr>
        <w:ind w:left="186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ectPr>
          <w:pgSz w:w="11900" w:h="16838" w:orient="portrait"/>
          <w:cols w:equalWidth="0" w:num="1">
            <w:col w:w="10540"/>
          </w:cols>
          <w:pgMar w:left="880" w:top="270" w:right="479" w:bottom="1440" w:gutter="0" w:footer="0" w:header="0"/>
        </w:sectPr>
      </w:pPr>
    </w:p>
    <w:p>
      <w:pPr>
        <w:spacing w:after="0" w:line="8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(B)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Exercise Price of this Warrant, as adjusted hereunder; and</w:t>
      </w:r>
    </w:p>
    <w:p>
      <w:pPr>
        <w:spacing w:after="0" w:line="142" w:lineRule="exact"/>
        <w:rPr>
          <w:sz w:val="20"/>
          <w:szCs w:val="20"/>
          <w:color w:val="auto"/>
        </w:rPr>
      </w:pPr>
    </w:p>
    <w:p>
      <w:pPr>
        <w:sectPr>
          <w:pgSz w:w="11900" w:h="16838" w:orient="portrait"/>
          <w:cols w:equalWidth="0" w:num="3">
            <w:col w:w="1380" w:space="140"/>
            <w:col w:w="100" w:space="240"/>
            <w:col w:w="8680"/>
          </w:cols>
          <w:pgMar w:left="880" w:top="270" w:right="47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 xml:space="preserve">(X)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sectPr>
          <w:pgSz w:w="11900" w:h="16838" w:orient="portrait"/>
          <w:cols w:equalWidth="0" w:num="3">
            <w:col w:w="1380" w:space="140"/>
            <w:col w:w="100" w:space="240"/>
            <w:col w:w="8680"/>
          </w:cols>
          <w:pgMar w:left="880" w:top="270" w:right="479" w:bottom="1440" w:gutter="0" w:footer="0" w:header="0"/>
          <w:type w:val="continuous"/>
        </w:sectPr>
      </w:pPr>
    </w:p>
    <w:p>
      <w:pPr>
        <w:ind w:right="6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86"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type w:val="continuous"/>
        </w:sectPr>
      </w:pPr>
    </w:p>
    <w:bookmarkStart w:id="68" w:name="page69"/>
    <w:bookmarkEnd w:id="68"/>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Warrant Shares are issued in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left="620" w:hanging="201"/>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46" w:lineRule="auto"/>
        <w:tabs>
          <w:tab w:leader="none" w:pos="10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the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69" w:name="page70"/>
    <w:bookmarkEnd w:id="69"/>
    <w:p>
      <w:pPr>
        <w:ind w:left="-20" w:right="60" w:firstLine="408"/>
        <w:spacing w:after="0" w:line="261" w:lineRule="auto"/>
        <w:tabs>
          <w:tab w:leader="none" w:pos="5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6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20" w:firstLine="408"/>
        <w:spacing w:after="0" w:line="252" w:lineRule="auto"/>
        <w:tabs>
          <w:tab w:leader="none" w:pos="5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w:t>
      </w:r>
    </w:p>
    <w:p>
      <w:pPr>
        <w:spacing w:after="0" w:line="1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980"/>
          </w:cols>
          <w:pgMar w:left="1440" w:top="270" w:right="479" w:bottom="1440" w:gutter="0" w:footer="0" w:header="0"/>
        </w:sectPr>
      </w:pPr>
    </w:p>
    <w:bookmarkStart w:id="70" w:name="page71"/>
    <w:bookmarkEnd w:id="70"/>
    <w:p>
      <w:pPr>
        <w:ind w:left="5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68" w:lineRule="exact"/>
        <w:rPr>
          <w:sz w:val="20"/>
          <w:szCs w:val="20"/>
          <w:color w:val="auto"/>
        </w:rPr>
      </w:pPr>
    </w:p>
    <w:p>
      <w:pPr>
        <w:ind w:left="540" w:right="40" w:firstLine="401"/>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540" w:right="20" w:firstLine="408"/>
        <w:spacing w:after="0" w:line="272" w:lineRule="auto"/>
        <w:tabs>
          <w:tab w:leader="none" w:pos="117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63" w:lineRule="exact"/>
        <w:rPr>
          <w:rFonts w:ascii="Times New Roman" w:cs="Times New Roman" w:eastAsia="Times New Roman" w:hAnsi="Times New Roman"/>
          <w:sz w:val="17"/>
          <w:szCs w:val="17"/>
          <w:color w:val="auto"/>
        </w:rPr>
      </w:pPr>
    </w:p>
    <w:p>
      <w:pPr>
        <w:ind w:left="540" w:right="620" w:firstLine="408"/>
        <w:spacing w:after="0" w:line="282" w:lineRule="auto"/>
        <w:tabs>
          <w:tab w:leader="none" w:pos="1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71" w:name="page72"/>
    <w:bookmarkEnd w:id="7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unless the Holder has duly relied on information provided by the Company or the Transfer Agent.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72" w:name="page73"/>
    <w:bookmarkEnd w:id="72"/>
    <w:p>
      <w:pPr>
        <w:ind w:right="6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Except as otherwise set forth herein, if the Warrant is unexercisable as a result of the Beneficial Ownership Limitation, no alternate consideration is owing to the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ind w:right="100" w:firstLine="419"/>
        <w:spacing w:after="0" w:line="255" w:lineRule="auto"/>
        <w:tabs>
          <w:tab w:leader="none" w:pos="6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73" w:name="page74"/>
    <w:bookmarkEnd w:id="7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79" w:lineRule="exact"/>
        <w:rPr>
          <w:sz w:val="20"/>
          <w:szCs w:val="20"/>
          <w:color w:val="auto"/>
        </w:rPr>
      </w:pPr>
    </w:p>
    <w:p>
      <w:pPr>
        <w:ind w:firstLine="419"/>
        <w:spacing w:after="0" w:line="253" w:lineRule="auto"/>
        <w:tabs>
          <w:tab w:leader="none" w:pos="6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6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74" w:name="page75"/>
    <w:bookmarkEnd w:id="7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provided, however, that the term Fundamental Transaction shall not include any transaction contemplated by that certain Asset Purchase Agreement, dated as of November 19, 2025, as may be amended, by and among the Company, Erigen LLC and Factor Bioscience Inc.),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w:t>
      </w:r>
    </w:p>
    <w:p>
      <w:pPr>
        <w:spacing w:after="0" w:line="1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75" w:name="page76"/>
    <w:bookmarkEnd w:id="75"/>
    <w:p>
      <w:pPr>
        <w:ind w:left="4"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w:t>
      </w:r>
    </w:p>
    <w:p>
      <w:pPr>
        <w:spacing w:after="0" w:line="3" w:lineRule="exact"/>
        <w:rPr>
          <w:sz w:val="20"/>
          <w:szCs w:val="20"/>
          <w:color w:val="auto"/>
        </w:rPr>
      </w:pPr>
    </w:p>
    <w:p>
      <w:pPr>
        <w:ind w:left="4" w:hanging="4"/>
        <w:spacing w:after="0" w:line="250" w:lineRule="auto"/>
        <w:tabs>
          <w:tab w:leader="none" w:pos="2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volatility equal to the volatility for the remaining exercised period as obtained from the HVT function on Bloomberg (determined utilizing a 252 day annualization factor) as of the Trading Day immediately following the consummation of the applicable contemplated Fundamental Transaction, (C) the underlying price per share used in such calculation shall be the VWAP for the 30 days prior to the Trading Day immediately preceding the consummation of the applicable contemplated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76" w:name="page77"/>
    <w:bookmarkEnd w:id="76"/>
    <w:p>
      <w:pPr>
        <w:ind w:left="4"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w:t>
      </w:r>
    </w:p>
    <w:p>
      <w:pPr>
        <w:spacing w:after="0" w:line="3" w:lineRule="exact"/>
        <w:rPr>
          <w:sz w:val="20"/>
          <w:szCs w:val="20"/>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98"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1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4" w:hanging="161"/>
        <w:spacing w:after="0"/>
        <w:tabs>
          <w:tab w:leader="none" w:pos="5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08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67" w:lineRule="exact"/>
        <w:rPr>
          <w:rFonts w:ascii="Times New Roman" w:cs="Times New Roman" w:eastAsia="Times New Roman" w:hAnsi="Times New Roman"/>
          <w:sz w:val="18"/>
          <w:szCs w:val="18"/>
          <w:color w:val="auto"/>
        </w:rPr>
      </w:pPr>
    </w:p>
    <w:p>
      <w:pPr>
        <w:ind w:left="544" w:firstLine="408"/>
        <w:spacing w:after="0" w:line="269" w:lineRule="auto"/>
        <w:tabs>
          <w:tab w:leader="none" w:pos="1134"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w:t>
      </w:r>
    </w:p>
    <w:p>
      <w:pPr>
        <w:spacing w:after="0" w:line="11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4"/>
          </w:cols>
          <w:pgMar w:left="876" w:top="270" w:right="439" w:bottom="1440" w:gutter="0" w:footer="0" w:header="0"/>
        </w:sectPr>
      </w:pPr>
    </w:p>
    <w:bookmarkStart w:id="77" w:name="page78"/>
    <w:bookmarkEnd w:id="77"/>
    <w:p>
      <w:pPr>
        <w:ind w:left="54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81" w:lineRule="exact"/>
        <w:rPr>
          <w:rFonts w:ascii="Times New Roman" w:cs="Times New Roman" w:eastAsia="Times New Roman" w:hAnsi="Times New Roman"/>
          <w:sz w:val="18"/>
          <w:szCs w:val="18"/>
          <w:color w:val="auto"/>
        </w:rPr>
      </w:pPr>
    </w:p>
    <w:p>
      <w:pPr>
        <w:ind w:right="40" w:firstLine="419"/>
        <w:spacing w:after="0" w:line="256" w:lineRule="auto"/>
        <w:tabs>
          <w:tab w:leader="none" w:pos="6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78" w:name="page79"/>
    <w:bookmarkEnd w:id="78"/>
    <w:p>
      <w:pPr>
        <w:ind w:firstLine="419"/>
        <w:spacing w:after="0" w:line="261" w:lineRule="auto"/>
        <w:tabs>
          <w:tab w:leader="none" w:pos="6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right="120" w:firstLine="419"/>
        <w:spacing w:after="0" w:line="261" w:lineRule="auto"/>
        <w:tabs>
          <w:tab w:leader="none" w:pos="6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19"/>
        <w:spacing w:after="0" w:line="258" w:lineRule="auto"/>
        <w:tabs>
          <w:tab w:leader="none" w:pos="6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160" w:firstLine="419"/>
        <w:spacing w:after="0" w:line="258" w:lineRule="auto"/>
        <w:tabs>
          <w:tab w:leader="none" w:pos="6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79" w:name="page80"/>
    <w:bookmarkEnd w:id="79"/>
    <w:p>
      <w:pPr>
        <w:ind w:right="380" w:firstLine="419"/>
        <w:spacing w:after="0" w:line="312" w:lineRule="auto"/>
        <w:tabs>
          <w:tab w:leader="none" w:pos="60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right="40" w:firstLine="902"/>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firstLine="401"/>
        <w:spacing w:after="0" w:line="269"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(it being understood that this Warrant shall not in any case prevent the Company from effecting any such amendment, reorganization, transfer, consolidation, merger, dissolution, issuance or sale).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80" w:name="page81"/>
    <w:bookmarkEnd w:id="80"/>
    <w:p>
      <w:pPr>
        <w:jc w:val="both"/>
        <w:ind w:left="540" w:right="4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81" w:name="page82"/>
    <w:bookmarkEnd w:id="81"/>
    <w:p>
      <w:pPr>
        <w:jc w:val="both"/>
        <w:ind w:firstLine="419"/>
        <w:spacing w:after="0" w:line="261" w:lineRule="auto"/>
        <w:tabs>
          <w:tab w:leader="none" w:pos="6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57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of this Warrant, on the other hand.</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6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40" w:firstLine="419"/>
        <w:spacing w:after="0" w:line="282" w:lineRule="auto"/>
        <w:tabs>
          <w:tab w:leader="none" w:pos="6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82" w:name="page83"/>
    <w:bookmarkEnd w:id="8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440" w:top="270" w:right="55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TEMPEST THERAPEUTICS, INC.</w:t>
      </w:r>
    </w:p>
    <w:p>
      <w:pPr>
        <w:spacing w:after="0" w:line="121" w:lineRule="exact"/>
        <w:rPr>
          <w:sz w:val="20"/>
          <w:szCs w:val="20"/>
          <w:color w:val="auto"/>
        </w:rPr>
      </w:pPr>
    </w:p>
    <w:p>
      <w:pPr>
        <w:ind w:right="26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960"/>
          </w:cols>
          <w:pgMar w:left="440" w:top="266" w:right="49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20"/>
            <w:col w:w="9300"/>
          </w:cols>
          <w:pgMar w:left="440" w:top="266" w:right="4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[   ] if permitted the cancellation of such number of Warrant Shares as is necessary, in accordance with the formula set forth in</w:t>
      </w:r>
    </w:p>
    <w:p>
      <w:pPr>
        <w:sectPr>
          <w:pgSz w:w="11900" w:h="16838" w:orient="portrait"/>
          <w:cols w:equalWidth="0" w:num="1">
            <w:col w:w="10960"/>
          </w:cols>
          <w:pgMar w:left="440" w:top="266" w:right="499" w:bottom="1440" w:gutter="0" w:footer="0" w:header="0"/>
          <w:type w:val="continuous"/>
        </w:sectPr>
      </w:pPr>
    </w:p>
    <w:p>
      <w:pPr>
        <w:spacing w:after="0" w:line="39" w:lineRule="exact"/>
        <w:rPr>
          <w:sz w:val="20"/>
          <w:szCs w:val="20"/>
          <w:color w:val="auto"/>
        </w:rPr>
      </w:pPr>
    </w:p>
    <w:p>
      <w:pPr>
        <w:ind w:left="1420" w:right="560"/>
        <w:spacing w:after="0" w:line="260" w:lineRule="auto"/>
        <w:rPr>
          <w:sz w:val="20"/>
          <w:szCs w:val="20"/>
          <w:color w:val="auto"/>
        </w:rPr>
      </w:pPr>
      <w:r>
        <w:rPr>
          <w:rFonts w:ascii="Times New Roman" w:cs="Times New Roman" w:eastAsia="Times New Roman" w:hAnsi="Times New Roman"/>
          <w:sz w:val="18"/>
          <w:szCs w:val="18"/>
          <w:color w:val="auto"/>
        </w:rPr>
        <w:t>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right="1920" w:firstLine="987"/>
        <w:spacing w:after="0" w:line="955"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 The Warrant Shares shall be delivered to the following DWAC Account Number: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-2088515</wp:posOffset>
            </wp:positionV>
            <wp:extent cx="27260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-1582420</wp:posOffset>
            </wp:positionV>
            <wp:extent cx="2726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-1290955</wp:posOffset>
            </wp:positionV>
            <wp:extent cx="27260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-999490</wp:posOffset>
            </wp:positionV>
            <wp:extent cx="27260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 ____________________________ 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 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 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 ___________________________________</w:t>
      </w:r>
    </w:p>
    <w:p>
      <w:pPr>
        <w:sectPr>
          <w:pgSz w:w="11900" w:h="16838" w:orient="portrait"/>
          <w:cols w:equalWidth="0" w:num="1">
            <w:col w:w="10960"/>
          </w:cols>
          <w:pgMar w:left="440" w:top="266" w:right="49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 __ ______</w:t>
      </w:r>
    </w:p>
    <w:p>
      <w:pPr>
        <w:sectPr>
          <w:pgSz w:w="11900" w:h="16838" w:orient="portrait"/>
          <w:cols w:equalWidth="0" w:num="1">
            <w:col w:w="11020"/>
          </w:cols>
          <w:pgMar w:left="440" w:top="266"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74115" cy="386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+1 202 728-7096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jchase@cooley.com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Sierra Point Parkway,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acted as counsel for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sale by the Company of (i) 487,000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 685,414 shares of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all pursuant to the Registration Statement on Form S-3 (File No. 333-280918)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related prospectus supplement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Each share of Common Stock includes a preferred share purchase right (each,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as set forth in the Rights Agreement (the “</w:t>
      </w:r>
      <w:r>
        <w:rPr>
          <w:rFonts w:ascii="Times New Roman" w:cs="Times New Roman" w:eastAsia="Times New Roman" w:hAnsi="Times New Roman"/>
          <w:sz w:val="18"/>
          <w:szCs w:val="18"/>
          <w:b w:val="1"/>
          <w:bCs w:val="1"/>
          <w:i w:val="1"/>
          <w:iCs w:val="1"/>
          <w:color w:val="auto"/>
        </w:rPr>
        <w:t>Rights Plan</w:t>
      </w:r>
      <w:r>
        <w:rPr>
          <w:rFonts w:ascii="Times New Roman" w:cs="Times New Roman" w:eastAsia="Times New Roman" w:hAnsi="Times New Roman"/>
          <w:sz w:val="18"/>
          <w:szCs w:val="18"/>
          <w:color w:val="auto"/>
        </w:rPr>
        <w:t>”), dated as of October 10, 2023, as amended. between the Company and Computershare Trust Company, N.A., as rights agent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forms of the Warrants to be filed as exhibits to a Current Report on Form 8-K, the Company’s certificate of incorporation and bylaws, each as currently in effect, the Rights Plan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opinion concerning the Rights:</w:t>
      </w:r>
    </w:p>
    <w:p>
      <w:pPr>
        <w:spacing w:after="0" w:line="117" w:lineRule="exact"/>
        <w:rPr>
          <w:sz w:val="20"/>
          <w:szCs w:val="20"/>
          <w:color w:val="auto"/>
        </w:rPr>
      </w:pPr>
    </w:p>
    <w:p>
      <w:pPr>
        <w:ind w:right="100" w:firstLine="436"/>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does not address the determination a court of competent jurisdiction may make regarding whether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be required to redeem or terminate, or take other action with respect to, the Rights or Rights Plan in the future based on the facts and circumstances then existing.</w:t>
      </w:r>
    </w:p>
    <w:p>
      <w:pPr>
        <w:spacing w:after="0" w:line="175" w:lineRule="exact"/>
        <w:rPr>
          <w:rFonts w:ascii="Times New Roman" w:cs="Times New Roman" w:eastAsia="Times New Roman" w:hAnsi="Times New Roman"/>
          <w:sz w:val="18"/>
          <w:szCs w:val="18"/>
          <w:color w:val="auto"/>
        </w:rPr>
      </w:pPr>
    </w:p>
    <w:p>
      <w:pPr>
        <w:ind w:right="80" w:firstLine="436"/>
        <w:spacing w:after="0" w:line="258" w:lineRule="auto"/>
        <w:tabs>
          <w:tab w:leader="none" w:pos="7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20"/>
          </w:cols>
          <w:pgMar w:left="440" w:top="117" w:right="439" w:bottom="1440" w:gutter="0" w:footer="0" w:header="0"/>
        </w:sectPr>
      </w:pPr>
    </w:p>
    <w:bookmarkStart w:id="86" w:name="page87"/>
    <w:bookmarkEnd w:id="8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Tempest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26,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247" w:lineRule="exact"/>
        <w:rPr>
          <w:sz w:val="20"/>
          <w:szCs w:val="20"/>
          <w:color w:val="auto"/>
        </w:rPr>
      </w:pPr>
    </w:p>
    <w:p>
      <w:pPr>
        <w:jc w:val="both"/>
        <w:ind w:left="4" w:firstLine="436"/>
        <w:spacing w:after="0" w:line="266" w:lineRule="auto"/>
        <w:tabs>
          <w:tab w:leader="none" w:pos="7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addresses corporate procedures in connection with the issuance of the Rights associated with the Shares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w:t>
      </w:r>
    </w:p>
    <w:p>
      <w:pPr>
        <w:spacing w:after="0" w:line="176"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With regard to our opinion as to the Warrants and the Warrant Shares, we express no opinion to the extent that future issuances of securities of the Company, antidilution adjustments to outstanding securities of the Company or other matters may cause the Warrants to be exercisable for more shares of Common Stock than the number then available for issuance by the Company or that the consideration paid upon exercise of the Warrants is less than the par value per share of the Common Stock.</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117" w:lineRule="exact"/>
        <w:rPr>
          <w:sz w:val="20"/>
          <w:szCs w:val="20"/>
          <w:color w:val="auto"/>
        </w:rPr>
      </w:pPr>
    </w:p>
    <w:p>
      <w:pPr>
        <w:ind w:left="4" w:right="280" w:firstLine="436"/>
        <w:spacing w:after="0" w:line="289" w:lineRule="auto"/>
        <w:tabs>
          <w:tab w:leader="none" w:pos="65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57" w:lineRule="exact"/>
        <w:rPr>
          <w:rFonts w:ascii="Times New Roman" w:cs="Times New Roman" w:eastAsia="Times New Roman" w:hAnsi="Times New Roman"/>
          <w:sz w:val="17"/>
          <w:szCs w:val="17"/>
          <w:color w:val="auto"/>
        </w:rPr>
      </w:pPr>
    </w:p>
    <w:p>
      <w:pPr>
        <w:ind w:left="4" w:right="40" w:firstLine="436"/>
        <w:spacing w:after="0" w:line="266" w:lineRule="auto"/>
        <w:tabs>
          <w:tab w:leader="none" w:pos="7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75"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7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 whole payments or other economic remedies; (e) relates to advance waivers of claims, defenses, rights granted by law, or notice, opportunity for hearing, evidentiary requirements, statutes of limitations, trial by jury, service of process or procedural rights; (f) restricts non-written</w:t>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modifications and waivers; (g) provides for the payment of legal and other professional fees where such payment is contrary to law or public policy;</w:t>
      </w:r>
    </w:p>
    <w:p>
      <w:pPr>
        <w:spacing w:after="0" w:line="9" w:lineRule="exact"/>
        <w:rPr>
          <w:sz w:val="20"/>
          <w:szCs w:val="20"/>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(i) authorizes or validates conclusive or discretionary determinations</w:t>
      </w:r>
    </w:p>
    <w:p>
      <w:pPr>
        <w:spacing w:after="0" w:line="9" w:lineRule="exact"/>
        <w:rPr>
          <w:rFonts w:ascii="Times New Roman" w:cs="Times New Roman" w:eastAsia="Times New Roman" w:hAnsi="Times New Roman"/>
          <w:sz w:val="18"/>
          <w:szCs w:val="18"/>
          <w:color w:val="auto"/>
        </w:rPr>
      </w:pPr>
    </w:p>
    <w:p>
      <w:pPr>
        <w:ind w:left="4" w:right="360" w:hanging="4"/>
        <w:spacing w:after="0" w:line="255" w:lineRule="auto"/>
        <w:tabs>
          <w:tab w:leader="none" w:pos="2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provisions of the Warrants are severable to the extent an essential part of the agreed exchange is determined to be invalid and unenforceable or (k) specifies a party’s waiver of any breach or any provision is not to be construed as a waiver by such party of any prior breach of such provision or of any other provision of the relevant agreement; 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04"/>
          </w:cols>
          <w:pgMar w:left="436" w:top="1093"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74115"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Tempest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(iv)  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the basis of the foregoing, in reliance thereon and subject to the qualifications, limitations and assumptions set forth herein, we are of the opinion that (i) the Shares and associated Rights, when sold and issued against payment therefor in accordance with the Registration Statement and the Prospectus, will be validly issued, and the Shares will be fully paid and nonassessable, (ii) the Warrants, when duly executed by the Company and delivered to the purchasers thereof against payment therefor as described in the Registration Statement and the Prospectus, will be binding obligations of the Company and (iii) the Warrant Shares and any associated Rights, when sold and issued in accordance with the terms of the Warrants, will be validly issued, and the Warrant Shares will be fully paid and nonassessable.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heading “Legal Matters” in the Prospectus and to the filing of this opinion as an exhibit to the Company’s Current Report on Form 8-K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00"/>
          </w:cols>
          <w:pgMar w:left="440" w:top="1093" w:right="4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173990</wp:posOffset>
            </wp:positionV>
            <wp:extent cx="239141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914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40" w:right="80"/>
        <w:spacing w:after="0" w:line="286" w:lineRule="auto"/>
        <w:rPr>
          <w:sz w:val="20"/>
          <w:szCs w:val="20"/>
          <w:color w:val="auto"/>
        </w:rPr>
      </w:pPr>
      <w:r>
        <w:rPr>
          <w:rFonts w:ascii="Times New Roman" w:cs="Times New Roman" w:eastAsia="Times New Roman" w:hAnsi="Times New Roman"/>
          <w:sz w:val="18"/>
          <w:szCs w:val="18"/>
          <w:b w:val="1"/>
          <w:bCs w:val="1"/>
          <w:color w:val="auto"/>
        </w:rPr>
        <w:t>Tempest Announces Up To $8.35 Million Registered Direct Offering of Common Stock and Concurrent Private Placement of Warrants Priced At-the-Market Under Nasdaq Rules</w:t>
      </w:r>
    </w:p>
    <w:p>
      <w:pPr>
        <w:spacing w:after="0" w:line="2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25" w:lineRule="exact"/>
        <w:rPr>
          <w:sz w:val="20"/>
          <w:szCs w:val="20"/>
          <w:color w:val="auto"/>
        </w:rPr>
      </w:pPr>
    </w:p>
    <w:p>
      <w:pPr>
        <w:jc w:val="center"/>
        <w:ind w:left="440" w:right="180"/>
        <w:spacing w:after="0" w:line="282" w:lineRule="auto"/>
        <w:rPr>
          <w:sz w:val="20"/>
          <w:szCs w:val="20"/>
          <w:color w:val="auto"/>
        </w:rPr>
      </w:pPr>
      <w:r>
        <w:rPr>
          <w:rFonts w:ascii="Times New Roman" w:cs="Times New Roman" w:eastAsia="Times New Roman" w:hAnsi="Times New Roman"/>
          <w:sz w:val="18"/>
          <w:szCs w:val="18"/>
          <w:color w:val="auto"/>
        </w:rPr>
        <w:t>$4.25 million upfront with up to an additional $4.1 million of potential aggregate gross proceeds upon the exercise in full of short-term unregistered warrants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Brisbane, CA</w:t>
      </w:r>
      <w:r>
        <w:rPr>
          <w:rFonts w:ascii="Times New Roman" w:cs="Times New Roman" w:eastAsia="Times New Roman" w:hAnsi="Times New Roman"/>
          <w:sz w:val="18"/>
          <w:szCs w:val="18"/>
          <w:color w:val="auto"/>
        </w:rPr>
        <w:t>, November 25, 2025</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Tempest Therapeutics, Inc. (Nasdaq: TPST), a clinical-stage biotechnology company with a pipeline of</w:t>
      </w:r>
    </w:p>
    <w:p>
      <w:pPr>
        <w:ind w:left="4"/>
        <w:spacing w:after="0" w:line="199" w:lineRule="auto"/>
        <w:rPr>
          <w:sz w:val="20"/>
          <w:szCs w:val="20"/>
          <w:color w:val="auto"/>
        </w:rPr>
      </w:pPr>
      <w:r>
        <w:rPr>
          <w:rFonts w:ascii="Times New Roman" w:cs="Times New Roman" w:eastAsia="Times New Roman" w:hAnsi="Times New Roman"/>
          <w:sz w:val="18"/>
          <w:szCs w:val="18"/>
          <w:color w:val="auto"/>
        </w:rPr>
        <w:t>first-in-class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targeted and immune-mediated therapeutics to fight cancer, today announced that it has entered into a definitive agreement with a</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single healthcare-focused institutional investor for the purchase and sale of 1,172,414 shares of its common stock (or common stock equivalents), at an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offering price of $3.625 per share of common stock (or common stock equivalent) in a registered direct offering priced at-the-market under Nasdaq</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rules. Additionally, in a concurrent private placement, the Company will issue and sell short-term unregistered warrants to purchase up to an aggregate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1,172,414 shares of common stock at an exercise price of $3.50 per share. The short-term unregistered warrants will be immediately exercisable upon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issuance and will expire eighteen months following the effective date of the registration statement registering the resale of the shares of common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issuable upon exercise of the warrants. The closing of the offering is expected to occur on or about November 25, 2025, subject to the satisfaction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customary closing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are expected to be approximately $4.25 million, before deducting the placement agent’s fees and other offering expenses payable by the Company. The potential additional gross proceeds to the Company from the short-term unregistered warrants, if fully exercised on a cash basis, will be approximately $4.1 million. No assurance can be given that any of such short-term unregistered warrants will be exercised. The Company intends to use the net proceeds from this offering primarily for working capital and general corporate purposes.</w:t>
      </w:r>
    </w:p>
    <w:p>
      <w:pPr>
        <w:spacing w:after="0" w:line="183" w:lineRule="exact"/>
        <w:rPr>
          <w:sz w:val="20"/>
          <w:szCs w:val="20"/>
          <w:color w:val="auto"/>
        </w:rPr>
      </w:pPr>
    </w:p>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t>The shares of common stock (or common stock equivalents) described above (but not the short-term unregistered warrants issued in the concurrent private placement and the shares issuable thereunder) are being offered and sold by the Company in a registered direct offering pursuant to a “shelf” registration statement on Form S-3 (File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approved by the FDA</w:t>
      </w:r>
    </w:p>
    <w:p>
      <w:pPr>
        <w:sectPr>
          <w:pgSz w:w="11900" w:h="16838" w:orient="portrait"/>
          <w:cols w:equalWidth="0" w:num="1">
            <w:col w:w="11024"/>
          </w:cols>
          <w:pgMar w:left="436" w:top="117" w:right="439" w:bottom="1440" w:gutter="0" w:footer="0" w:header="0"/>
        </w:sectPr>
      </w:pPr>
    </w:p>
    <w:bookmarkStart w:id="89" w:name="page90"/>
    <w:bookmarkEnd w:id="8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280918) that was filed with the Securities and Exchange Commission (the SEC), on July 19, 2024, as amended on January 24, 2025, which was declared effective by the SEC on January 27, 2025. The offering of the securities in the registered direct offering is being made only by means of a base prospectus and prospectus supplement that forms a part of the effective registration statement. A final prospectus supplement and the accompanying base prospectus relating to the registered direct offering will be filed with the SEC and will be available on the SEC’s website at www.sec.gov. Electronic copies of the final prospectus supplement and the accompanying base prospectus, when available, may also be obtained from H.C. Wainwright &amp; Co., LLC at 430 Park Avenue, 3rd Floor, New York, NY 10022, by phone at (212) 856-5711 or e-mail at </w:t>
      </w:r>
      <w:r>
        <w:rPr>
          <w:rFonts w:ascii="Times New Roman" w:cs="Times New Roman" w:eastAsia="Times New Roman" w:hAnsi="Times New Roman"/>
          <w:sz w:val="18"/>
          <w:szCs w:val="18"/>
          <w:u w:val="single" w:color="auto"/>
          <w:color w:val="auto"/>
        </w:rPr>
        <w:t>placements@hcwco.com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short-term unregistered warrants issued in the concurrent private placement and the shares issuable upon exercise of such warrants were offered in a private placement under Section 4(a)(2) of the Securities Act of 1933, as amended (the “Act”), and/or Regulation D promulgated thereunder, have not been registered under the Act or applicable state securities laws and may not be offered or sold in the United States absent registration or an applicable exemption from registration requirements.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Tempest Therapeutics</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Tempest Therapeutics is a clinical-stage biotechnology company advancing a diverse portfolio of small molecule product candidates containing tumor-targeted and/or immune-mediated mechanisms with the potential to treat a wide range of tumors. Tempest is headquartered in Brisbane, California.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Forward-looking statements contained in this press release include but are not limited to statements relating to: the consummation of the offering and the satisfaction of customary</w:t>
      </w:r>
    </w:p>
    <w:p>
      <w:pPr>
        <w:sectPr>
          <w:pgSz w:w="11900" w:h="16838" w:orient="portrait"/>
          <w:cols w:equalWidth="0" w:num="1">
            <w:col w:w="11000"/>
          </w:cols>
          <w:pgMar w:left="440" w:top="270" w:right="459" w:bottom="1440" w:gutter="0" w:footer="0" w:header="0"/>
        </w:sectPr>
      </w:pPr>
    </w:p>
    <w:bookmarkStart w:id="90" w:name="page91"/>
    <w:bookmarkEnd w:id="9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conditions related to the offering, the use of proceeds therefrom, and the potential exercise of the unregistered short-term warrants prior to their expiration. Any forward-looking statements in this press release are based on Tempest Therapeutics’ current expectations, estimates and beliefs as of today and are subject to a number of risks and uncertainties that could cause actual results to differ materially and adversely from those set forth in or implied by such forward-looking statements. These risks and uncertainties include, but are not limited to, market and other conditions, risks relating to volatility and uncertainty in the capital markets for biotechnology companies; Tempest Therapeutics’ ability to continue to operate as a going concern; and unexpected litigation or other disputes. These and other factors that may cause actual results to differ from those expressed or implied are discussed in greater detail in the “Risk Factors” section of the Company’s Quarterly Report on Form 10-Q for the quarter ended September 30, 2025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swheeler@wheelhouselsa.com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Aljanae Reynolds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areynolds@wheelhouselsa.com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lowerLetter"/>
      <w:start w:val="1"/>
    </w:lvl>
    <w:lvl w:ilvl="1">
      <w:lvlJc w:val="left"/>
      <w:lvlText w:val="(%2)"/>
      <w:numFmt w:val="lowerRoman"/>
      <w:start w:val="1"/>
    </w:lvl>
  </w:abstractNum>
  <w:abstractNum w:abstractNumId="2">
    <w:nsid w:val="153EA438"/>
    <w:multiLevelType w:val="hybridMultilevel"/>
    <w:lvl w:ilvl="0">
      <w:lvlJc w:val="left"/>
      <w:lvlText w:val="%1"/>
      <w:numFmt w:val="lowerLetter"/>
      <w:start w:val="1"/>
    </w:lvl>
    <w:lvl w:ilvl="1">
      <w:lvlJc w:val="left"/>
      <w:lvlText w:val="(%2)"/>
      <w:numFmt w:val="lowerRoman"/>
      <w:start w:val="5"/>
    </w:lvl>
  </w:abstractNum>
  <w:abstractNum w:abstractNumId="3">
    <w:nsid w:val="3855585C"/>
    <w:multiLevelType w:val="hybridMultilevel"/>
    <w:lvl w:ilvl="0">
      <w:lvlJc w:val="left"/>
      <w:lvlText w:val="(%1)"/>
      <w:numFmt w:val="lowerLetter"/>
      <w:start w:val="2"/>
    </w:lvl>
    <w:lvl w:ilvl="1">
      <w:lvlJc w:val="left"/>
      <w:lvlText w:val="(%2)"/>
      <w:numFmt w:val="lowerRoman"/>
      <w:start w:val="1"/>
    </w:lvl>
  </w:abstractNum>
  <w:abstractNum w:abstractNumId="4">
    <w:nsid w:val="70A64E2A"/>
    <w:multiLevelType w:val="hybridMultilevel"/>
    <w:lvl w:ilvl="0">
      <w:lvlJc w:val="left"/>
      <w:lvlText w:val="(%1)"/>
      <w:numFmt w:val="lowerLetter"/>
      <w:start w:val="1"/>
    </w:lvl>
    <w:lvl w:ilvl="1">
      <w:lvlJc w:val="left"/>
      <w:lvlText w:val="(%2)"/>
      <w:numFmt w:val="lowerRoman"/>
      <w:start w:val="1"/>
    </w:lvl>
  </w:abstractNum>
  <w:abstractNum w:abstractNumId="5">
    <w:nsid w:val="6A2342EC"/>
    <w:multiLevelType w:val="hybridMultilevel"/>
    <w:lvl w:ilvl="0">
      <w:lvlJc w:val="left"/>
      <w:lvlText w:val="(%1)"/>
      <w:numFmt w:val="lowerLetter"/>
      <w:start w:val="2"/>
    </w:lvl>
    <w:lvl w:ilvl="1">
      <w:lvlJc w:val="left"/>
      <w:lvlText w:val="(%2)"/>
      <w:numFmt w:val="lowerRoman"/>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lowerLetter"/>
      <w:start w:val="2"/>
    </w:lvl>
  </w:abstractNum>
  <w:abstractNum w:abstractNumId="8">
    <w:nsid w:val="725A06FB"/>
    <w:multiLevelType w:val="hybridMultilevel"/>
    <w:lvl w:ilvl="0">
      <w:lvlJc w:val="left"/>
      <w:lvlText w:val="(%1)"/>
      <w:numFmt w:val="lowerLetter"/>
      <w:start w:val="5"/>
    </w:lvl>
  </w:abstractNum>
  <w:abstractNum w:abstractNumId="9">
    <w:nsid w:val="2CD89A32"/>
    <w:multiLevelType w:val="hybridMultilevel"/>
    <w:lvl w:ilvl="0">
      <w:lvlJc w:val="left"/>
      <w:lvlText w:val="(%1)"/>
      <w:numFmt w:val="lowerLetter"/>
      <w:start w:val="7"/>
    </w:lvl>
  </w:abstractNum>
  <w:abstractNum w:abstractNumId="10">
    <w:nsid w:val="57E4CCAF"/>
    <w:multiLevelType w:val="hybridMultilevel"/>
    <w:lvl w:ilvl="0">
      <w:lvlJc w:val="left"/>
      <w:lvlText w:val="%1"/>
      <w:numFmt w:val="upperLetter"/>
      <w:start w:val="1"/>
    </w:lvl>
    <w:lvl w:ilvl="1">
      <w:lvlJc w:val="left"/>
      <w:lvlText w:val="(%2)"/>
      <w:numFmt w:val="lowerLetter"/>
      <w:start w:val="8"/>
    </w:lvl>
  </w:abstractNum>
  <w:abstractNum w:abstractNumId="11">
    <w:nsid w:val="7A6D8D3C"/>
    <w:multiLevelType w:val="hybridMultilevel"/>
    <w:lvl w:ilvl="0">
      <w:lvlJc w:val="left"/>
      <w:lvlText w:val="(%1)"/>
      <w:numFmt w:val="upperLetter"/>
      <w:start w:val="1"/>
    </w:lvl>
    <w:lvl w:ilvl="1">
      <w:lvlJc w:val="left"/>
      <w:lvlText w:val="%2"/>
      <w:numFmt w:val="lowerLetter"/>
      <w:start w:val="1"/>
    </w:lvl>
  </w:abstractNum>
  <w:abstractNum w:abstractNumId="12">
    <w:nsid w:val="4B588F54"/>
    <w:multiLevelType w:val="hybridMultilevel"/>
    <w:lvl w:ilvl="0">
      <w:lvlJc w:val="left"/>
      <w:lvlText w:val="(%1)"/>
      <w:numFmt w:val="lowerLetter"/>
      <w:start w:val="10"/>
    </w:lvl>
  </w:abstractNum>
  <w:abstractNum w:abstractNumId="13">
    <w:nsid w:val="542289EC"/>
    <w:multiLevelType w:val="hybridMultilevel"/>
    <w:lvl w:ilvl="0">
      <w:lvlJc w:val="left"/>
      <w:lvlText w:val="(%1)"/>
      <w:numFmt w:val="lowerLetter"/>
      <w:start w:val="12"/>
    </w:lvl>
  </w:abstractNum>
  <w:abstractNum w:abstractNumId="14">
    <w:nsid w:val="6DE91B18"/>
    <w:multiLevelType w:val="hybridMultilevel"/>
    <w:lvl w:ilvl="0">
      <w:lvlJc w:val="left"/>
      <w:lvlText w:val="(%1)"/>
      <w:numFmt w:val="lowerLetter"/>
      <w:start w:val="16"/>
    </w:lvl>
  </w:abstractNum>
  <w:abstractNum w:abstractNumId="15">
    <w:nsid w:val="38437FDB"/>
    <w:multiLevelType w:val="hybridMultilevel"/>
    <w:lvl w:ilvl="0">
      <w:lvlJc w:val="left"/>
      <w:lvlText w:val="(%1)"/>
      <w:numFmt w:val="lowerLetter"/>
      <w:start w:val="19"/>
    </w:lvl>
  </w:abstractNum>
  <w:abstractNum w:abstractNumId="16">
    <w:nsid w:val="7644A45C"/>
    <w:multiLevelType w:val="hybridMultilevel"/>
    <w:lvl w:ilvl="0">
      <w:lvlJc w:val="left"/>
      <w:lvlText w:val="(%1)"/>
      <w:numFmt w:val="lowerLetter"/>
      <w:start w:val="21"/>
    </w:lvl>
  </w:abstractNum>
  <w:abstractNum w:abstractNumId="17">
    <w:nsid w:val="32FFF902"/>
    <w:multiLevelType w:val="hybridMultilevel"/>
    <w:lvl w:ilvl="0">
      <w:lvlJc w:val="left"/>
      <w:lvlText w:val="(%1)"/>
      <w:numFmt w:val="lowerLetter"/>
      <w:start w:val="26"/>
    </w:lvl>
  </w:abstractNum>
  <w:abstractNum w:abstractNumId="18">
    <w:nsid w:val="684A481A"/>
    <w:multiLevelType w:val="hybridMultilevel"/>
    <w:lvl w:ilvl="0">
      <w:lvlJc w:val="left"/>
      <w:lvlText w:val="(%1)"/>
      <w:numFmt w:val="lowerLetter"/>
      <w:start w:val="27"/>
    </w:lvl>
  </w:abstractNum>
  <w:abstractNum w:abstractNumId="19">
    <w:nsid w:val="579478FE"/>
    <w:multiLevelType w:val="hybridMultilevel"/>
    <w:lvl w:ilvl="0">
      <w:lvlJc w:val="left"/>
      <w:lvlText w:val="%1"/>
      <w:numFmt w:val="lowerLetter"/>
      <w:start w:val="1"/>
    </w:lvl>
    <w:lvl w:ilvl="1">
      <w:lvlJc w:val="left"/>
      <w:lvlText w:val="(%2)"/>
      <w:numFmt w:val="lowerLetter"/>
      <w:start w:val="28"/>
    </w:lvl>
  </w:abstractNum>
  <w:abstractNum w:abstractNumId="20">
    <w:nsid w:val="749ABB43"/>
    <w:multiLevelType w:val="hybridMultilevel"/>
    <w:lvl w:ilvl="0">
      <w:lvlJc w:val="left"/>
      <w:lvlText w:val="(%1)"/>
      <w:numFmt w:val="lowerLetter"/>
      <w:start w:val="61"/>
    </w:lvl>
    <w:lvl w:ilvl="1">
      <w:lvlJc w:val="left"/>
      <w:lvlText w:val="(%2)"/>
      <w:numFmt w:val="lowerLetter"/>
      <w:start w:val="29"/>
    </w:lvl>
  </w:abstractNum>
  <w:abstractNum w:abstractNumId="21">
    <w:nsid w:val="3DC240FB"/>
    <w:multiLevelType w:val="hybridMultilevel"/>
    <w:lvl w:ilvl="0">
      <w:lvlJc w:val="left"/>
      <w:lvlText w:val="(%1)"/>
      <w:numFmt w:val="lowerLetter"/>
      <w:start w:val="61"/>
    </w:lvl>
    <w:lvl w:ilvl="1">
      <w:lvlJc w:val="left"/>
      <w:lvlText w:val="(%2)"/>
      <w:numFmt w:val="lowerLetter"/>
      <w:start w:val="33"/>
    </w:lvl>
  </w:abstractNum>
  <w:abstractNum w:abstractNumId="22">
    <w:nsid w:val="1BA026FA"/>
    <w:multiLevelType w:val="hybridMultilevel"/>
    <w:lvl w:ilvl="0">
      <w:lvlJc w:val="left"/>
      <w:lvlText w:val="%1"/>
      <w:numFmt w:val="lowerLetter"/>
      <w:start w:val="1"/>
    </w:lvl>
    <w:lvl w:ilvl="1">
      <w:lvlJc w:val="left"/>
      <w:lvlText w:val="(%2)"/>
      <w:numFmt w:val="lowerLetter"/>
      <w:start w:val="35"/>
    </w:lvl>
  </w:abstractNum>
  <w:abstractNum w:abstractNumId="23">
    <w:nsid w:val="79A1DEAA"/>
    <w:multiLevelType w:val="hybridMultilevel"/>
    <w:lvl w:ilvl="0">
      <w:lvlJc w:val="left"/>
      <w:lvlText w:val="(%1)"/>
      <w:numFmt w:val="lowerLetter"/>
      <w:start w:val="25"/>
    </w:lvl>
    <w:lvl w:ilvl="1">
      <w:lvlJc w:val="left"/>
      <w:lvlText w:val="%2"/>
      <w:numFmt w:val="lowerLetter"/>
      <w:start w:val="1"/>
    </w:lvl>
  </w:abstractNum>
  <w:abstractNum w:abstractNumId="24">
    <w:nsid w:val="75C6C33A"/>
    <w:multiLevelType w:val="hybridMultilevel"/>
    <w:lvl w:ilvl="0">
      <w:lvlJc w:val="left"/>
      <w:lvlText w:val="(%1)"/>
      <w:numFmt w:val="lowerLetter"/>
      <w:start w:val="37"/>
    </w:lvl>
  </w:abstractNum>
  <w:abstractNum w:abstractNumId="25">
    <w:nsid w:val="12E685FB"/>
    <w:multiLevelType w:val="hybridMultilevel"/>
    <w:lvl w:ilvl="0">
      <w:lvlJc w:val="left"/>
      <w:lvlText w:val="(%1)"/>
      <w:numFmt w:val="lowerLetter"/>
      <w:start w:val="44"/>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lowerLetter"/>
      <w:start w:val="2"/>
    </w:lvl>
  </w:abstractNum>
  <w:abstractNum w:abstractNumId="28">
    <w:nsid w:val="374A3FE6"/>
    <w:multiLevelType w:val="hybridMultilevel"/>
    <w:lvl w:ilvl="0">
      <w:lvlJc w:val="left"/>
      <w:lvlText w:val="(%1)"/>
      <w:numFmt w:val="lowerLetter"/>
      <w:start w:val="6"/>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1)"/>
      <w:numFmt w:val="lowerLetter"/>
      <w:start w:val="3"/>
    </w:lvl>
  </w:abstractNum>
  <w:abstractNum w:abstractNumId="31">
    <w:nsid w:val="649BB77C"/>
    <w:multiLevelType w:val="hybridMultilevel"/>
    <w:lvl w:ilvl="0">
      <w:lvlJc w:val="left"/>
      <w:lvlText w:val="(%1)"/>
      <w:numFmt w:val="lowerLetter"/>
      <w:start w:val="5"/>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lowerLetter"/>
      <w:start w:val="2"/>
    </w:lvl>
  </w:abstractNum>
  <w:abstractNum w:abstractNumId="34">
    <w:nsid w:val="1CF10FD8"/>
    <w:multiLevelType w:val="hybridMultilevel"/>
    <w:lvl w:ilvl="0">
      <w:lvlJc w:val="left"/>
      <w:lvlText w:val="%1"/>
      <w:numFmt w:val="upperLetter"/>
      <w:start w:val="1"/>
    </w:lvl>
    <w:lvl w:ilvl="1">
      <w:lvlJc w:val="left"/>
      <w:lvlText w:val="(%2)"/>
      <w:numFmt w:val="lowerLetter"/>
      <w:start w:val="1"/>
    </w:lvl>
  </w:abstractNum>
  <w:abstractNum w:abstractNumId="35">
    <w:nsid w:val="180115BE"/>
    <w:multiLevelType w:val="hybridMultilevel"/>
    <w:lvl w:ilvl="0">
      <w:lvlJc w:val="left"/>
      <w:lvlText w:val="(%1)"/>
      <w:numFmt w:val="upperLetter"/>
      <w:start w:val="2"/>
    </w:lvl>
    <w:lvl w:ilvl="1">
      <w:lvlJc w:val="left"/>
      <w:lvlText w:val="(%2)"/>
      <w:numFmt w:val="lowerLetter"/>
      <w:start w:val="2"/>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3"/>
    </w:lvl>
  </w:abstractNum>
  <w:abstractNum w:abstractNumId="41">
    <w:nsid w:val="D34B6A8"/>
    <w:multiLevelType w:val="hybridMultilevel"/>
    <w:lvl w:ilvl="0">
      <w:lvlJc w:val="left"/>
      <w:lvlText w:val="%1)"/>
      <w:numFmt w:val="lowerLetter"/>
      <w:start w:val="4"/>
    </w:lvl>
    <w:lvl w:ilvl="1">
      <w:lvlJc w:val="left"/>
      <w:lvlText w:val="%2."/>
      <w:numFmt w:val="lowerRoman"/>
      <w:start w:val="1"/>
    </w:lvl>
  </w:abstractNum>
  <w:abstractNum w:abstractNumId="42">
    <w:nsid w:val="10233C99"/>
    <w:multiLevelType w:val="hybridMultilevel"/>
    <w:lvl w:ilvl="0">
      <w:lvlJc w:val="left"/>
      <w:lvlText w:val="%1."/>
      <w:numFmt w:val="lowerRoman"/>
      <w:start w:val="3"/>
    </w:lvl>
  </w:abstractNum>
  <w:abstractNum w:abstractNumId="43">
    <w:nsid w:val="3F6AB60F"/>
    <w:multiLevelType w:val="hybridMultilevel"/>
    <w:lvl w:ilvl="0">
      <w:lvlJc w:val="left"/>
      <w:lvlText w:val="%1"/>
      <w:numFmt w:val="lowerLetter"/>
      <w:start w:val="1"/>
    </w:lvl>
    <w:lvl w:ilvl="1">
      <w:lvlJc w:val="left"/>
      <w:lvlText w:val="%2."/>
      <w:numFmt w:val="lowerRoman"/>
      <w:start w:val="6"/>
    </w:lvl>
  </w:abstractNum>
  <w:abstractNum w:abstractNumId="44">
    <w:nsid w:val="61574095"/>
    <w:multiLevelType w:val="hybridMultilevel"/>
    <w:lvl w:ilvl="0">
      <w:lvlJc w:val="left"/>
      <w:lvlText w:val="%1)"/>
      <w:numFmt w:val="lowerLetter"/>
      <w:start w:val="5"/>
    </w:lvl>
    <w:lvl w:ilvl="1">
      <w:lvlJc w:val="left"/>
      <w:lvlText w:val="%2"/>
      <w:numFmt w:val="lowerRoman"/>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3"/>
    </w:lvl>
  </w:abstractNum>
  <w:abstractNum w:abstractNumId="47">
    <w:nsid w:val="579BE4F1"/>
    <w:multiLevelType w:val="hybridMultilevel"/>
    <w:lvl w:ilvl="0">
      <w:lvlJc w:val="left"/>
      <w:lvlText w:val="%1)"/>
      <w:numFmt w:val="lowerLetter"/>
      <w:start w:val="5"/>
    </w:lvl>
    <w:lvl w:ilvl="1">
      <w:lvlJc w:val="left"/>
      <w:lvlText w:val="%2."/>
      <w:numFmt w:val="lowerRoman"/>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3"/>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5"/>
    </w:lvl>
  </w:abstractNum>
  <w:abstractNum w:abstractNumId="52">
    <w:nsid w:val="1DBABF00"/>
    <w:multiLevelType w:val="hybridMultilevel"/>
    <w:lvl w:ilvl="0">
      <w:lvlJc w:val="left"/>
      <w:lvlText w:val="%1)"/>
      <w:numFmt w:val="lowerLetter"/>
      <w:start w:val="8"/>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3"/>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2"/>
    </w:lvl>
  </w:abstractNum>
  <w:abstractNum w:abstractNumId="57">
    <w:nsid w:val="100F8FCA"/>
    <w:multiLevelType w:val="hybridMultilevel"/>
    <w:lvl w:ilvl="0">
      <w:lvlJc w:val="left"/>
      <w:lvlText w:val="%1)"/>
      <w:numFmt w:val="lowerLetter"/>
      <w:start w:val="4"/>
    </w:lvl>
    <w:lvl w:ilvl="1">
      <w:lvlJc w:val="left"/>
      <w:lvlText w:val="%2."/>
      <w:numFmt w:val="lowerRoman"/>
      <w:start w:val="1"/>
    </w:lvl>
  </w:abstractNum>
  <w:abstractNum w:abstractNumId="58">
    <w:nsid w:val="6590700B"/>
    <w:multiLevelType w:val="hybridMultilevel"/>
    <w:lvl w:ilvl="0">
      <w:lvlJc w:val="left"/>
      <w:lvlText w:val="%1."/>
      <w:numFmt w:val="lowerRoman"/>
      <w:start w:val="2"/>
    </w:lvl>
  </w:abstractNum>
  <w:abstractNum w:abstractNumId="59">
    <w:nsid w:val="15014ACB"/>
    <w:multiLevelType w:val="hybridMultilevel"/>
    <w:lvl w:ilvl="0">
      <w:lvlJc w:val="left"/>
      <w:lvlText w:val="%1"/>
      <w:numFmt w:val="lowerLetter"/>
      <w:start w:val="1"/>
    </w:lvl>
    <w:lvl w:ilvl="1">
      <w:lvlJc w:val="left"/>
      <w:lvlText w:val="%2."/>
      <w:numFmt w:val="lowerRoman"/>
      <w:start w:val="6"/>
    </w:lvl>
  </w:abstractNum>
  <w:abstractNum w:abstractNumId="60">
    <w:nsid w:val="5F5E7FD0"/>
    <w:multiLevelType w:val="hybridMultilevel"/>
    <w:lvl w:ilvl="0">
      <w:lvlJc w:val="left"/>
      <w:lvlText w:val="%1)"/>
      <w:numFmt w:val="lowerLetter"/>
      <w:start w:val="5"/>
    </w:lvl>
    <w:lvl w:ilvl="1">
      <w:lvlJc w:val="left"/>
      <w:lvlText w:val="%2"/>
      <w:numFmt w:val="lowerRoman"/>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3"/>
    </w:lvl>
  </w:abstractNum>
  <w:abstractNum w:abstractNumId="63">
    <w:nsid w:val="6B94764"/>
    <w:multiLevelType w:val="hybridMultilevel"/>
    <w:lvl w:ilvl="0">
      <w:lvlJc w:val="left"/>
      <w:lvlText w:val="(%1)"/>
      <w:numFmt w:val="upperLetter"/>
      <w:start w:val="2"/>
    </w:lvl>
  </w:abstractNum>
  <w:abstractNum w:abstractNumId="64">
    <w:nsid w:val="42C296BD"/>
    <w:multiLevelType w:val="hybridMultilevel"/>
    <w:lvl w:ilvl="0">
      <w:lvlJc w:val="left"/>
      <w:lvlText w:val="(%1)"/>
      <w:numFmt w:val="lowerRoman"/>
      <w:start w:val="2"/>
    </w:lvl>
    <w:lvl w:ilvl="1">
      <w:lvlJc w:val="left"/>
      <w:lvlText w:val="%2)"/>
      <w:numFmt w:val="lowerLetter"/>
      <w:start w:val="5"/>
    </w:lvl>
    <w:lvl w:ilvl="2">
      <w:lvlJc w:val="left"/>
      <w:lvlText w:val="%3."/>
      <w:numFmt w:val="lowerRoman"/>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3"/>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3"/>
    </w:lvl>
  </w:abstractNum>
  <w:abstractNum w:abstractNumId="69">
    <w:nsid w:val="540A471C"/>
    <w:multiLevelType w:val="hybridMultilevel"/>
    <w:lvl w:ilvl="0">
      <w:lvlJc w:val="left"/>
      <w:lvlText w:val="%1)"/>
      <w:numFmt w:val="lowerLetter"/>
      <w:start w:val="5"/>
    </w:lvl>
  </w:abstractNum>
  <w:abstractNum w:abstractNumId="70">
    <w:nsid w:val="7BD3EE7B"/>
    <w:multiLevelType w:val="hybridMultilevel"/>
    <w:lvl w:ilvl="0">
      <w:lvlJc w:val="left"/>
      <w:lvlText w:val="%1)"/>
      <w:numFmt w:val="lowerLetter"/>
      <w:start w:val="1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decimal"/>
      <w:start w:val="3"/>
    </w:lvl>
  </w:abstractNum>
  <w:abstractNum w:abstractNumId="73">
    <w:nsid w:val="BF72B14"/>
    <w:multiLevelType w:val="hybridMultilevel"/>
    <w:lvl w:ilvl="0">
      <w:lvlJc w:val="left"/>
      <w:lvlText w:val="(%1)"/>
      <w:numFmt w:val="lowerRoman"/>
      <w:start w:val="1"/>
    </w:lvl>
  </w:abstractNum>
  <w:abstractNum w:abstractNumId="74">
    <w:nsid w:val="11447B73"/>
    <w:multiLevelType w:val="hybridMultilevel"/>
    <w:lvl w:ilvl="0">
      <w:lvlJc w:val="left"/>
      <w:lvlText w:val="(%1)"/>
      <w:numFmt w:val="lowerRoman"/>
      <w:start w:val="3"/>
    </w:lvl>
  </w:abstractNum>
  <w:abstractNum w:abstractNumId="75">
    <w:nsid w:val="42963E5A"/>
    <w:multiLevelType w:val="hybridMultilevel"/>
    <w:lvl w:ilvl="0">
      <w:lvlJc w:val="left"/>
      <w:lvlText w:val="(%1)"/>
      <w:numFmt w:val="lowerRoman"/>
      <w:start w:val="1"/>
    </w:lvl>
  </w:abstractNum>
  <w:abstractNum w:abstractNumId="76">
    <w:nsid w:val="A0382C5"/>
    <w:multiLevelType w:val="hybridMultilevel"/>
    <w:lvl w:ilvl="0">
      <w:lvlJc w:val="left"/>
      <w:lvlText w:val="(%1)"/>
      <w:numFmt w:val="lowerLetter"/>
      <w:start w:val="8"/>
    </w:lvl>
  </w:abstractNum>
  <w:abstractNum w:abstractNumId="77">
    <w:nsid w:val="8F2B15E"/>
    <w:multiLevelType w:val="hybridMultilevel"/>
    <w:lvl w:ilvl="0">
      <w:lvlJc w:val="left"/>
      <w:lvlText w:val="(%1)"/>
      <w:numFmt w:val="lowerLetter"/>
      <w:start w:val="10"/>
    </w:lvl>
  </w:abstractNum>
  <w:abstractNum w:abstractNumId="78">
    <w:nsid w:val="1A32234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2025-11-26T09:05:51Z</dcterms:created>
  <dcterms:modified xsi:type="dcterms:W3CDTF">2025-11-26T09:05:51Z</dcterms:modified>
</cp:coreProperties>
</file>