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347345</wp:posOffset>
            </wp:positionH>
            <wp:positionV relativeFrom="page">
              <wp:posOffset>419735</wp:posOffset>
            </wp:positionV>
            <wp:extent cx="700341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6350"/>
                    </a:xfrm>
                    <a:prstGeom prst="rect">
                      <a:avLst/>
                    </a:prstGeom>
                    <a:noFill/>
                  </pic:spPr>
                </pic:pic>
              </a:graphicData>
            </a:graphic>
          </wp:anchor>
        </w:drawing>
        <w:drawing>
          <wp:anchor simplePos="0" relativeHeight="251657728" behindDoc="1" locked="0" layoutInCell="0" allowOverlap="1">
            <wp:simplePos x="0" y="0"/>
            <wp:positionH relativeFrom="page">
              <wp:posOffset>347345</wp:posOffset>
            </wp:positionH>
            <wp:positionV relativeFrom="page">
              <wp:posOffset>393700</wp:posOffset>
            </wp:positionV>
            <wp:extent cx="700341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6350"/>
                    </a:xfrm>
                    <a:prstGeom prst="rect">
                      <a:avLst/>
                    </a:prstGeom>
                    <a:noFill/>
                  </pic:spPr>
                </pic:pic>
              </a:graphicData>
            </a:graphic>
          </wp:anchor>
        </w:drawing>
        <w:t>UNITED STATES</w:t>
      </w:r>
    </w:p>
    <w:p>
      <w:pPr>
        <w:spacing w:after="0" w:line="19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2880360</wp:posOffset>
            </wp:positionH>
            <wp:positionV relativeFrom="paragraph">
              <wp:posOffset>62865</wp:posOffset>
            </wp:positionV>
            <wp:extent cx="141351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3510" cy="6350"/>
                    </a:xfrm>
                    <a:prstGeom prst="rect">
                      <a:avLst/>
                    </a:prstGeom>
                    <a:noFill/>
                  </pic:spPr>
                </pic:pic>
              </a:graphicData>
            </a:graphic>
          </wp:anchor>
        </w:drawing>
      </w:r>
    </w:p>
    <w:p>
      <w:pPr>
        <w:spacing w:after="0" w:line="30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2880360</wp:posOffset>
            </wp:positionH>
            <wp:positionV relativeFrom="paragraph">
              <wp:posOffset>60960</wp:posOffset>
            </wp:positionV>
            <wp:extent cx="141351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3510" cy="6350"/>
                    </a:xfrm>
                    <a:prstGeom prst="rect">
                      <a:avLst/>
                    </a:prstGeom>
                    <a:noFill/>
                  </pic:spPr>
                </pic:pic>
              </a:graphicData>
            </a:graphic>
          </wp:anchor>
        </w:drawing>
      </w:r>
    </w:p>
    <w:p>
      <w:pPr>
        <w:spacing w:after="0" w:line="184" w:lineRule="exact"/>
        <w:rPr>
          <w:sz w:val="24"/>
          <w:szCs w:val="24"/>
          <w:color w:val="auto"/>
        </w:rPr>
      </w:pPr>
    </w:p>
    <w:p>
      <w:pPr>
        <w:ind w:left="3640" w:hanging="401"/>
        <w:spacing w:after="0"/>
        <w:tabs>
          <w:tab w:leader="none" w:pos="36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w:t>
      </w:r>
    </w:p>
    <w:p>
      <w:pPr>
        <w:spacing w:after="0" w:line="5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2022</w:t>
      </w: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 w:lineRule="exact"/>
        <w:rPr>
          <w:sz w:val="24"/>
          <w:szCs w:val="24"/>
          <w:color w:val="auto"/>
        </w:rPr>
      </w:pPr>
    </w:p>
    <w:p>
      <w:pPr>
        <w:ind w:left="3640" w:hanging="401"/>
        <w:spacing w:after="0"/>
        <w:tabs>
          <w:tab w:leader="none" w:pos="364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w:t>
      </w:r>
    </w:p>
    <w:p>
      <w:pPr>
        <w:spacing w:after="0" w:line="8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 xml:space="preserve">For the transition period from to </w:t>
      </w:r>
      <w:r>
        <w:rPr>
          <w:rFonts w:ascii="Times New Roman" w:cs="Times New Roman" w:eastAsia="Times New Roman" w:hAnsi="Times New Roman"/>
          <w:sz w:val="12"/>
          <w:szCs w:val="12"/>
          <w:b w:val="1"/>
          <w:bCs w:val="1"/>
          <w:color w:val="FFFFFF"/>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4025265</wp:posOffset>
            </wp:positionH>
            <wp:positionV relativeFrom="paragraph">
              <wp:posOffset>-1270</wp:posOffset>
            </wp:positionV>
            <wp:extent cx="1968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685" cy="6350"/>
                    </a:xfrm>
                    <a:prstGeom prst="rect">
                      <a:avLst/>
                    </a:prstGeom>
                    <a:noFill/>
                  </pic:spPr>
                </pic:pic>
              </a:graphicData>
            </a:graphic>
          </wp:anchor>
        </w:drawing>
      </w: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Commission File No. 001-35890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52705</wp:posOffset>
            </wp:positionV>
            <wp:extent cx="137477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4775" cy="6350"/>
                    </a:xfrm>
                    <a:prstGeom prst="rect">
                      <a:avLst/>
                    </a:prstGeom>
                    <a:noFill/>
                  </pic:spPr>
                </pic:pic>
              </a:graphicData>
            </a:graphic>
          </wp:anchor>
        </w:drawing>
      </w:r>
    </w:p>
    <w:p>
      <w:pPr>
        <w:spacing w:after="0" w:line="13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3"/>
          <w:szCs w:val="33"/>
          <w:b w:val="1"/>
          <w:bCs w:val="1"/>
          <w:color w:val="auto"/>
        </w:rPr>
        <w:t>Tempest Therapeutics, Inc.</w:t>
      </w:r>
    </w:p>
    <w:p>
      <w:pPr>
        <w:spacing w:after="0" w:line="7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3074670</wp:posOffset>
            </wp:positionH>
            <wp:positionV relativeFrom="paragraph">
              <wp:posOffset>56515</wp:posOffset>
            </wp:positionV>
            <wp:extent cx="101790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17905" cy="6350"/>
                    </a:xfrm>
                    <a:prstGeom prst="rect">
                      <a:avLst/>
                    </a:prstGeom>
                    <a:noFill/>
                  </pic:spPr>
                </pic:pic>
              </a:graphicData>
            </a:graphic>
          </wp:anchor>
        </w:drawing>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3180" w:type="dxa"/>
            <w:vAlign w:val="bottom"/>
          </w:tcPr>
          <w:p>
            <w:pPr>
              <w:spacing w:after="0"/>
              <w:rPr>
                <w:sz w:val="15"/>
                <w:szCs w:val="15"/>
                <w:color w:val="auto"/>
              </w:rPr>
            </w:pPr>
          </w:p>
        </w:tc>
        <w:tc>
          <w:tcPr>
            <w:tcW w:w="3000" w:type="dxa"/>
            <w:vAlign w:val="bottom"/>
            <w:gridSpan w:val="2"/>
          </w:tcPr>
          <w:p>
            <w:pPr>
              <w:jc w:val="center"/>
              <w:ind w:right="961"/>
              <w:spacing w:after="0"/>
              <w:rPr>
                <w:sz w:val="20"/>
                <w:szCs w:val="20"/>
                <w:color w:val="auto"/>
              </w:rPr>
            </w:pPr>
            <w:r>
              <w:rPr>
                <w:rFonts w:ascii="Times New Roman" w:cs="Times New Roman" w:eastAsia="Times New Roman" w:hAnsi="Times New Roman"/>
                <w:sz w:val="14"/>
                <w:szCs w:val="14"/>
                <w:b w:val="1"/>
                <w:bCs w:val="1"/>
                <w:color w:val="auto"/>
                <w:w w:val="95"/>
              </w:rPr>
              <w:t>Delaware</w:t>
            </w:r>
          </w:p>
        </w:tc>
        <w:tc>
          <w:tcPr>
            <w:tcW w:w="3820" w:type="dxa"/>
            <w:vAlign w:val="bottom"/>
            <w:gridSpan w:val="2"/>
          </w:tcPr>
          <w:p>
            <w:pPr>
              <w:jc w:val="right"/>
              <w:ind w:right="2642"/>
              <w:spacing w:after="0"/>
              <w:rPr>
                <w:sz w:val="20"/>
                <w:szCs w:val="20"/>
                <w:color w:val="auto"/>
              </w:rPr>
            </w:pPr>
            <w:r>
              <w:rPr>
                <w:rFonts w:ascii="Times New Roman" w:cs="Times New Roman" w:eastAsia="Times New Roman" w:hAnsi="Times New Roman"/>
                <w:sz w:val="14"/>
                <w:szCs w:val="14"/>
                <w:b w:val="1"/>
                <w:bCs w:val="1"/>
                <w:color w:val="auto"/>
              </w:rPr>
              <w:t>45-1472564</w:t>
            </w:r>
          </w:p>
        </w:tc>
        <w:tc>
          <w:tcPr>
            <w:tcW w:w="0" w:type="dxa"/>
            <w:vAlign w:val="bottom"/>
          </w:tcPr>
          <w:p>
            <w:pPr>
              <w:spacing w:after="0"/>
              <w:rPr>
                <w:sz w:val="1"/>
                <w:szCs w:val="1"/>
                <w:color w:val="auto"/>
              </w:rPr>
            </w:pPr>
          </w:p>
        </w:tc>
      </w:tr>
      <w:tr>
        <w:trPr>
          <w:trHeight w:val="166"/>
        </w:trPr>
        <w:tc>
          <w:tcPr>
            <w:tcW w:w="3180" w:type="dxa"/>
            <w:vAlign w:val="bottom"/>
          </w:tcPr>
          <w:p>
            <w:pPr>
              <w:spacing w:after="0"/>
              <w:rPr>
                <w:sz w:val="14"/>
                <w:szCs w:val="14"/>
                <w:color w:val="auto"/>
              </w:rPr>
            </w:pPr>
          </w:p>
        </w:tc>
        <w:tc>
          <w:tcPr>
            <w:tcW w:w="3000" w:type="dxa"/>
            <w:vAlign w:val="bottom"/>
            <w:gridSpan w:val="2"/>
          </w:tcPr>
          <w:p>
            <w:pPr>
              <w:jc w:val="center"/>
              <w:ind w:right="961"/>
              <w:spacing w:after="0"/>
              <w:rPr>
                <w:sz w:val="20"/>
                <w:szCs w:val="20"/>
                <w:color w:val="auto"/>
              </w:rPr>
            </w:pPr>
            <w:r>
              <w:rPr>
                <w:rFonts w:ascii="Times New Roman" w:cs="Times New Roman" w:eastAsia="Times New Roman" w:hAnsi="Times New Roman"/>
                <w:sz w:val="11"/>
                <w:szCs w:val="11"/>
                <w:color w:val="auto"/>
                <w:w w:val="98"/>
              </w:rPr>
              <w:t>(State or Other Jurisdiction of</w:t>
            </w:r>
          </w:p>
        </w:tc>
        <w:tc>
          <w:tcPr>
            <w:tcW w:w="3820" w:type="dxa"/>
            <w:vAlign w:val="bottom"/>
            <w:gridSpan w:val="2"/>
          </w:tcPr>
          <w:p>
            <w:pPr>
              <w:jc w:val="center"/>
              <w:ind w:right="2182"/>
              <w:spacing w:after="0"/>
              <w:rPr>
                <w:sz w:val="20"/>
                <w:szCs w:val="20"/>
                <w:color w:val="auto"/>
              </w:rPr>
            </w:pPr>
            <w:r>
              <w:rPr>
                <w:rFonts w:ascii="Times New Roman" w:cs="Times New Roman" w:eastAsia="Times New Roman" w:hAnsi="Times New Roman"/>
                <w:sz w:val="11"/>
                <w:szCs w:val="11"/>
                <w:color w:val="auto"/>
                <w:w w:val="98"/>
              </w:rPr>
              <w:t>(I.R.S. Employer</w:t>
            </w:r>
          </w:p>
        </w:tc>
        <w:tc>
          <w:tcPr>
            <w:tcW w:w="0" w:type="dxa"/>
            <w:vAlign w:val="bottom"/>
          </w:tcPr>
          <w:p>
            <w:pPr>
              <w:spacing w:after="0"/>
              <w:rPr>
                <w:sz w:val="1"/>
                <w:szCs w:val="1"/>
                <w:color w:val="auto"/>
              </w:rPr>
            </w:pPr>
          </w:p>
        </w:tc>
      </w:tr>
      <w:tr>
        <w:trPr>
          <w:trHeight w:val="174"/>
        </w:trPr>
        <w:tc>
          <w:tcPr>
            <w:tcW w:w="3180" w:type="dxa"/>
            <w:vAlign w:val="bottom"/>
          </w:tcPr>
          <w:p>
            <w:pPr>
              <w:spacing w:after="0"/>
              <w:rPr>
                <w:sz w:val="15"/>
                <w:szCs w:val="15"/>
                <w:color w:val="auto"/>
              </w:rPr>
            </w:pPr>
          </w:p>
        </w:tc>
        <w:tc>
          <w:tcPr>
            <w:tcW w:w="3000" w:type="dxa"/>
            <w:vAlign w:val="bottom"/>
            <w:gridSpan w:val="2"/>
          </w:tcPr>
          <w:p>
            <w:pPr>
              <w:jc w:val="center"/>
              <w:ind w:right="961"/>
              <w:spacing w:after="0"/>
              <w:rPr>
                <w:sz w:val="20"/>
                <w:szCs w:val="20"/>
                <w:color w:val="auto"/>
              </w:rPr>
            </w:pPr>
            <w:r>
              <w:rPr>
                <w:rFonts w:ascii="Times New Roman" w:cs="Times New Roman" w:eastAsia="Times New Roman" w:hAnsi="Times New Roman"/>
                <w:sz w:val="11"/>
                <w:szCs w:val="11"/>
                <w:color w:val="auto"/>
                <w:w w:val="98"/>
              </w:rPr>
              <w:t>Incorporation or Organization)</w:t>
            </w:r>
          </w:p>
        </w:tc>
        <w:tc>
          <w:tcPr>
            <w:tcW w:w="3820" w:type="dxa"/>
            <w:vAlign w:val="bottom"/>
            <w:gridSpan w:val="2"/>
          </w:tcPr>
          <w:p>
            <w:pPr>
              <w:jc w:val="center"/>
              <w:ind w:right="2202"/>
              <w:spacing w:after="0"/>
              <w:rPr>
                <w:sz w:val="20"/>
                <w:szCs w:val="20"/>
                <w:color w:val="auto"/>
              </w:rPr>
            </w:pPr>
            <w:r>
              <w:rPr>
                <w:rFonts w:ascii="Times New Roman" w:cs="Times New Roman" w:eastAsia="Times New Roman" w:hAnsi="Times New Roman"/>
                <w:sz w:val="11"/>
                <w:szCs w:val="11"/>
                <w:color w:val="auto"/>
                <w:w w:val="97"/>
              </w:rPr>
              <w:t>Identification No.)</w:t>
            </w:r>
          </w:p>
        </w:tc>
        <w:tc>
          <w:tcPr>
            <w:tcW w:w="0" w:type="dxa"/>
            <w:vAlign w:val="bottom"/>
          </w:tcPr>
          <w:p>
            <w:pPr>
              <w:spacing w:after="0"/>
              <w:rPr>
                <w:sz w:val="1"/>
                <w:szCs w:val="1"/>
                <w:color w:val="auto"/>
              </w:rPr>
            </w:pPr>
          </w:p>
        </w:tc>
      </w:tr>
      <w:tr>
        <w:trPr>
          <w:trHeight w:val="212"/>
        </w:trPr>
        <w:tc>
          <w:tcPr>
            <w:tcW w:w="3180" w:type="dxa"/>
            <w:vAlign w:val="bottom"/>
          </w:tcPr>
          <w:p>
            <w:pPr>
              <w:spacing w:after="0"/>
              <w:rPr>
                <w:sz w:val="18"/>
                <w:szCs w:val="18"/>
                <w:color w:val="auto"/>
              </w:rPr>
            </w:pPr>
          </w:p>
        </w:tc>
        <w:tc>
          <w:tcPr>
            <w:tcW w:w="3000" w:type="dxa"/>
            <w:vAlign w:val="bottom"/>
            <w:gridSpan w:val="2"/>
          </w:tcPr>
          <w:p>
            <w:pPr>
              <w:jc w:val="center"/>
              <w:ind w:right="981"/>
              <w:spacing w:after="0"/>
              <w:rPr>
                <w:sz w:val="20"/>
                <w:szCs w:val="20"/>
                <w:color w:val="auto"/>
              </w:rPr>
            </w:pPr>
            <w:r>
              <w:rPr>
                <w:rFonts w:ascii="Times New Roman" w:cs="Times New Roman" w:eastAsia="Times New Roman" w:hAnsi="Times New Roman"/>
                <w:sz w:val="14"/>
                <w:szCs w:val="14"/>
                <w:b w:val="1"/>
                <w:bCs w:val="1"/>
                <w:color w:val="auto"/>
                <w:w w:val="97"/>
              </w:rPr>
              <w:t>7000 Shoreline Court, Suite 275</w:t>
            </w:r>
          </w:p>
        </w:tc>
        <w:tc>
          <w:tcPr>
            <w:tcW w:w="5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180" w:type="dxa"/>
            <w:vAlign w:val="bottom"/>
          </w:tcPr>
          <w:p>
            <w:pPr>
              <w:spacing w:after="0"/>
              <w:rPr>
                <w:sz w:val="17"/>
                <w:szCs w:val="17"/>
                <w:color w:val="auto"/>
              </w:rPr>
            </w:pPr>
          </w:p>
        </w:tc>
        <w:tc>
          <w:tcPr>
            <w:tcW w:w="3000" w:type="dxa"/>
            <w:vAlign w:val="bottom"/>
            <w:gridSpan w:val="2"/>
          </w:tcPr>
          <w:p>
            <w:pPr>
              <w:jc w:val="center"/>
              <w:ind w:right="961"/>
              <w:spacing w:after="0"/>
              <w:rPr>
                <w:sz w:val="20"/>
                <w:szCs w:val="20"/>
                <w:color w:val="auto"/>
              </w:rPr>
            </w:pPr>
            <w:r>
              <w:rPr>
                <w:rFonts w:ascii="Times New Roman" w:cs="Times New Roman" w:eastAsia="Times New Roman" w:hAnsi="Times New Roman"/>
                <w:sz w:val="14"/>
                <w:szCs w:val="14"/>
                <w:b w:val="1"/>
                <w:bCs w:val="1"/>
                <w:color w:val="auto"/>
                <w:w w:val="97"/>
              </w:rPr>
              <w:t>South San Francisco, California</w:t>
            </w:r>
          </w:p>
        </w:tc>
        <w:tc>
          <w:tcPr>
            <w:tcW w:w="3820" w:type="dxa"/>
            <w:vAlign w:val="bottom"/>
            <w:gridSpan w:val="2"/>
          </w:tcPr>
          <w:p>
            <w:pPr>
              <w:jc w:val="right"/>
              <w:ind w:right="2802"/>
              <w:spacing w:after="0"/>
              <w:rPr>
                <w:sz w:val="20"/>
                <w:szCs w:val="20"/>
                <w:color w:val="auto"/>
              </w:rPr>
            </w:pPr>
            <w:r>
              <w:rPr>
                <w:rFonts w:ascii="Times New Roman" w:cs="Times New Roman" w:eastAsia="Times New Roman" w:hAnsi="Times New Roman"/>
                <w:sz w:val="14"/>
                <w:szCs w:val="14"/>
                <w:b w:val="1"/>
                <w:bCs w:val="1"/>
                <w:color w:val="auto"/>
              </w:rPr>
              <w:t>94080</w:t>
            </w:r>
          </w:p>
        </w:tc>
        <w:tc>
          <w:tcPr>
            <w:tcW w:w="0" w:type="dxa"/>
            <w:vAlign w:val="bottom"/>
          </w:tcPr>
          <w:p>
            <w:pPr>
              <w:spacing w:after="0"/>
              <w:rPr>
                <w:sz w:val="1"/>
                <w:szCs w:val="1"/>
                <w:color w:val="auto"/>
              </w:rPr>
            </w:pPr>
          </w:p>
        </w:tc>
      </w:tr>
      <w:tr>
        <w:trPr>
          <w:trHeight w:val="166"/>
        </w:trPr>
        <w:tc>
          <w:tcPr>
            <w:tcW w:w="3180" w:type="dxa"/>
            <w:vAlign w:val="bottom"/>
          </w:tcPr>
          <w:p>
            <w:pPr>
              <w:spacing w:after="0"/>
              <w:rPr>
                <w:sz w:val="14"/>
                <w:szCs w:val="14"/>
                <w:color w:val="auto"/>
              </w:rPr>
            </w:pPr>
          </w:p>
        </w:tc>
        <w:tc>
          <w:tcPr>
            <w:tcW w:w="3000" w:type="dxa"/>
            <w:vAlign w:val="bottom"/>
            <w:gridSpan w:val="2"/>
          </w:tcPr>
          <w:p>
            <w:pPr>
              <w:jc w:val="center"/>
              <w:ind w:right="961"/>
              <w:spacing w:after="0"/>
              <w:rPr>
                <w:sz w:val="20"/>
                <w:szCs w:val="20"/>
                <w:color w:val="auto"/>
              </w:rPr>
            </w:pPr>
            <w:r>
              <w:rPr>
                <w:rFonts w:ascii="Times New Roman" w:cs="Times New Roman" w:eastAsia="Times New Roman" w:hAnsi="Times New Roman"/>
                <w:sz w:val="11"/>
                <w:szCs w:val="11"/>
                <w:color w:val="auto"/>
                <w:w w:val="99"/>
              </w:rPr>
              <w:t>(Address of Principal Executive Offices)</w:t>
            </w:r>
          </w:p>
        </w:tc>
        <w:tc>
          <w:tcPr>
            <w:tcW w:w="540" w:type="dxa"/>
            <w:vAlign w:val="bottom"/>
          </w:tcPr>
          <w:p>
            <w:pPr>
              <w:spacing w:after="0"/>
              <w:rPr>
                <w:sz w:val="14"/>
                <w:szCs w:val="14"/>
                <w:color w:val="auto"/>
              </w:rPr>
            </w:pPr>
          </w:p>
        </w:tc>
        <w:tc>
          <w:tcPr>
            <w:tcW w:w="3280" w:type="dxa"/>
            <w:vAlign w:val="bottom"/>
          </w:tcPr>
          <w:p>
            <w:pPr>
              <w:jc w:val="center"/>
              <w:ind w:right="2742"/>
              <w:spacing w:after="0"/>
              <w:rPr>
                <w:sz w:val="20"/>
                <w:szCs w:val="20"/>
                <w:color w:val="auto"/>
              </w:rPr>
            </w:pPr>
            <w:r>
              <w:rPr>
                <w:rFonts w:ascii="Times New Roman" w:cs="Times New Roman" w:eastAsia="Times New Roman" w:hAnsi="Times New Roman"/>
                <w:sz w:val="11"/>
                <w:szCs w:val="11"/>
                <w:color w:val="auto"/>
                <w:w w:val="98"/>
              </w:rPr>
              <w:t>(Zip Code)</w:t>
            </w:r>
          </w:p>
        </w:tc>
        <w:tc>
          <w:tcPr>
            <w:tcW w:w="0" w:type="dxa"/>
            <w:vAlign w:val="bottom"/>
          </w:tcPr>
          <w:p>
            <w:pPr>
              <w:spacing w:after="0"/>
              <w:rPr>
                <w:sz w:val="1"/>
                <w:szCs w:val="1"/>
                <w:color w:val="auto"/>
              </w:rPr>
            </w:pPr>
          </w:p>
        </w:tc>
      </w:tr>
      <w:tr>
        <w:trPr>
          <w:trHeight w:val="253"/>
        </w:trPr>
        <w:tc>
          <w:tcPr>
            <w:tcW w:w="3180" w:type="dxa"/>
            <w:vAlign w:val="bottom"/>
          </w:tcPr>
          <w:p>
            <w:pPr>
              <w:spacing w:after="0"/>
              <w:rPr>
                <w:sz w:val="22"/>
                <w:szCs w:val="22"/>
                <w:color w:val="auto"/>
              </w:rPr>
            </w:pPr>
          </w:p>
        </w:tc>
        <w:tc>
          <w:tcPr>
            <w:tcW w:w="6820" w:type="dxa"/>
            <w:vAlign w:val="bottom"/>
            <w:gridSpan w:val="4"/>
          </w:tcPr>
          <w:p>
            <w:pPr>
              <w:jc w:val="center"/>
              <w:ind w:right="2002"/>
              <w:spacing w:after="0"/>
              <w:rPr>
                <w:sz w:val="20"/>
                <w:szCs w:val="20"/>
                <w:color w:val="auto"/>
              </w:rPr>
            </w:pPr>
            <w:r>
              <w:rPr>
                <w:rFonts w:ascii="Times New Roman" w:cs="Times New Roman" w:eastAsia="Times New Roman" w:hAnsi="Times New Roman"/>
                <w:sz w:val="14"/>
                <w:szCs w:val="14"/>
                <w:b w:val="1"/>
                <w:bCs w:val="1"/>
                <w:color w:val="auto"/>
                <w:w w:val="96"/>
              </w:rPr>
              <w:t>Registrant’s telephone number, including area code: (415) 798-8589</w:t>
            </w:r>
          </w:p>
        </w:tc>
        <w:tc>
          <w:tcPr>
            <w:tcW w:w="0" w:type="dxa"/>
            <w:vAlign w:val="bottom"/>
          </w:tcPr>
          <w:p>
            <w:pPr>
              <w:spacing w:after="0"/>
              <w:rPr>
                <w:sz w:val="1"/>
                <w:szCs w:val="1"/>
                <w:color w:val="auto"/>
              </w:rPr>
            </w:pPr>
          </w:p>
        </w:tc>
      </w:tr>
      <w:tr>
        <w:trPr>
          <w:trHeight w:val="206"/>
        </w:trPr>
        <w:tc>
          <w:tcPr>
            <w:tcW w:w="3180" w:type="dxa"/>
            <w:vAlign w:val="bottom"/>
          </w:tcPr>
          <w:p>
            <w:pPr>
              <w:spacing w:after="0"/>
              <w:rPr>
                <w:sz w:val="17"/>
                <w:szCs w:val="17"/>
                <w:color w:val="auto"/>
              </w:rPr>
            </w:pPr>
          </w:p>
        </w:tc>
        <w:tc>
          <w:tcPr>
            <w:tcW w:w="6820" w:type="dxa"/>
            <w:vAlign w:val="bottom"/>
            <w:gridSpan w:val="4"/>
          </w:tcPr>
          <w:p>
            <w:pPr>
              <w:jc w:val="center"/>
              <w:ind w:right="1982"/>
              <w:spacing w:after="0"/>
              <w:rPr>
                <w:sz w:val="20"/>
                <w:szCs w:val="20"/>
                <w:color w:val="auto"/>
              </w:rPr>
            </w:pPr>
            <w:r>
              <w:rPr>
                <w:rFonts w:ascii="Times New Roman" w:cs="Times New Roman" w:eastAsia="Times New Roman" w:hAnsi="Times New Roman"/>
                <w:sz w:val="11"/>
                <w:szCs w:val="11"/>
                <w:b w:val="1"/>
                <w:bCs w:val="1"/>
                <w:color w:val="auto"/>
                <w:w w:val="98"/>
              </w:rPr>
              <w:t>(Former Name, Former Address and Former Fiscal Year, if Changed Since Last Report)</w:t>
            </w:r>
          </w:p>
        </w:tc>
        <w:tc>
          <w:tcPr>
            <w:tcW w:w="0" w:type="dxa"/>
            <w:vAlign w:val="bottom"/>
          </w:tcPr>
          <w:p>
            <w:pPr>
              <w:spacing w:after="0"/>
              <w:rPr>
                <w:sz w:val="1"/>
                <w:szCs w:val="1"/>
                <w:color w:val="auto"/>
              </w:rPr>
            </w:pPr>
          </w:p>
        </w:tc>
      </w:tr>
      <w:tr>
        <w:trPr>
          <w:trHeight w:val="70"/>
        </w:trPr>
        <w:tc>
          <w:tcPr>
            <w:tcW w:w="3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7"/>
              </w:rPr>
              <w:t>Securities registered pursuant to Section 12(b) of the Act:</w:t>
            </w:r>
          </w:p>
        </w:tc>
        <w:tc>
          <w:tcPr>
            <w:tcW w:w="1740" w:type="dxa"/>
            <w:vAlign w:val="bottom"/>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8"/>
        </w:trPr>
        <w:tc>
          <w:tcPr>
            <w:tcW w:w="318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Trading</w:t>
            </w:r>
          </w:p>
        </w:tc>
        <w:tc>
          <w:tcPr>
            <w:tcW w:w="540" w:type="dxa"/>
            <w:vAlign w:val="bottom"/>
          </w:tcPr>
          <w:p>
            <w:pPr>
              <w:spacing w:after="0"/>
              <w:rPr>
                <w:sz w:val="20"/>
                <w:szCs w:val="20"/>
                <w:color w:val="auto"/>
              </w:rPr>
            </w:pPr>
          </w:p>
        </w:tc>
        <w:tc>
          <w:tcPr>
            <w:tcW w:w="3280" w:type="dxa"/>
            <w:vAlign w:val="bottom"/>
          </w:tcPr>
          <w:p>
            <w:pPr>
              <w:jc w:val="center"/>
              <w:ind w:left="582"/>
              <w:spacing w:after="0"/>
              <w:rPr>
                <w:sz w:val="20"/>
                <w:szCs w:val="20"/>
                <w:color w:val="auto"/>
              </w:rPr>
            </w:pPr>
            <w:r>
              <w:rPr>
                <w:rFonts w:ascii="Times New Roman" w:cs="Times New Roman" w:eastAsia="Times New Roman" w:hAnsi="Times New Roman"/>
                <w:sz w:val="11"/>
                <w:szCs w:val="11"/>
                <w:b w:val="1"/>
                <w:bCs w:val="1"/>
                <w:color w:val="auto"/>
                <w:w w:val="98"/>
              </w:rPr>
              <w:t>Name of each exchange</w:t>
            </w:r>
          </w:p>
        </w:tc>
        <w:tc>
          <w:tcPr>
            <w:tcW w:w="0" w:type="dxa"/>
            <w:vAlign w:val="bottom"/>
          </w:tcPr>
          <w:p>
            <w:pPr>
              <w:spacing w:after="0"/>
              <w:rPr>
                <w:sz w:val="1"/>
                <w:szCs w:val="1"/>
                <w:color w:val="auto"/>
              </w:rPr>
            </w:pPr>
          </w:p>
        </w:tc>
      </w:tr>
      <w:tr>
        <w:trPr>
          <w:trHeight w:val="245"/>
        </w:trPr>
        <w:tc>
          <w:tcPr>
            <w:tcW w:w="3180" w:type="dxa"/>
            <w:vAlign w:val="bottom"/>
          </w:tcPr>
          <w:p>
            <w:pPr>
              <w:ind w:left="148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17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Symbol(s)</w:t>
            </w:r>
          </w:p>
        </w:tc>
        <w:tc>
          <w:tcPr>
            <w:tcW w:w="540" w:type="dxa"/>
            <w:vAlign w:val="bottom"/>
          </w:tcPr>
          <w:p>
            <w:pPr>
              <w:spacing w:after="0"/>
              <w:rPr>
                <w:sz w:val="21"/>
                <w:szCs w:val="21"/>
                <w:color w:val="auto"/>
              </w:rPr>
            </w:pPr>
          </w:p>
        </w:tc>
        <w:tc>
          <w:tcPr>
            <w:tcW w:w="3280" w:type="dxa"/>
            <w:vAlign w:val="bottom"/>
          </w:tcPr>
          <w:p>
            <w:pPr>
              <w:jc w:val="center"/>
              <w:ind w:left="562"/>
              <w:spacing w:after="0"/>
              <w:rPr>
                <w:sz w:val="20"/>
                <w:szCs w:val="20"/>
                <w:color w:val="auto"/>
              </w:rPr>
            </w:pPr>
            <w:r>
              <w:rPr>
                <w:rFonts w:ascii="Times New Roman" w:cs="Times New Roman" w:eastAsia="Times New Roman" w:hAnsi="Times New Roman"/>
                <w:sz w:val="11"/>
                <w:szCs w:val="11"/>
                <w:b w:val="1"/>
                <w:bCs w:val="1"/>
                <w:color w:val="auto"/>
                <w:w w:val="97"/>
              </w:rPr>
              <w:t>on which registered</w:t>
            </w:r>
          </w:p>
        </w:tc>
        <w:tc>
          <w:tcPr>
            <w:tcW w:w="0" w:type="dxa"/>
            <w:vAlign w:val="bottom"/>
          </w:tcPr>
          <w:p>
            <w:pPr>
              <w:spacing w:after="0"/>
              <w:rPr>
                <w:sz w:val="1"/>
                <w:szCs w:val="1"/>
                <w:color w:val="auto"/>
              </w:rPr>
            </w:pPr>
          </w:p>
        </w:tc>
      </w:tr>
      <w:tr>
        <w:trPr>
          <w:trHeight w:val="29"/>
        </w:trPr>
        <w:tc>
          <w:tcPr>
            <w:tcW w:w="3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1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1740" w:type="dxa"/>
            <w:vAlign w:val="bottom"/>
          </w:tcPr>
          <w:p>
            <w:pPr>
              <w:spacing w:after="0"/>
              <w:rPr>
                <w:sz w:val="15"/>
                <w:szCs w:val="15"/>
                <w:color w:val="auto"/>
              </w:rPr>
            </w:pPr>
          </w:p>
        </w:tc>
        <w:tc>
          <w:tcPr>
            <w:tcW w:w="12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TPST</w:t>
            </w:r>
          </w:p>
        </w:tc>
        <w:tc>
          <w:tcPr>
            <w:tcW w:w="540" w:type="dxa"/>
            <w:vAlign w:val="bottom"/>
          </w:tcPr>
          <w:p>
            <w:pPr>
              <w:spacing w:after="0"/>
              <w:rPr>
                <w:sz w:val="15"/>
                <w:szCs w:val="15"/>
                <w:color w:val="auto"/>
              </w:rPr>
            </w:pPr>
          </w:p>
        </w:tc>
        <w:tc>
          <w:tcPr>
            <w:tcW w:w="3280" w:type="dxa"/>
            <w:vAlign w:val="bottom"/>
          </w:tcPr>
          <w:p>
            <w:pPr>
              <w:jc w:val="center"/>
              <w:ind w:left="582"/>
              <w:spacing w:after="0"/>
              <w:rPr>
                <w:sz w:val="20"/>
                <w:szCs w:val="20"/>
                <w:color w:val="auto"/>
              </w:rPr>
            </w:pPr>
            <w:r>
              <w:rPr>
                <w:rFonts w:ascii="Times New Roman" w:cs="Times New Roman" w:eastAsia="Times New Roman" w:hAnsi="Times New Roman"/>
                <w:sz w:val="14"/>
                <w:szCs w:val="14"/>
                <w:color w:val="auto"/>
                <w:w w:val="97"/>
              </w:rPr>
              <w:t>The Nasdaq Stock Market LLC</w:t>
            </w:r>
          </w:p>
        </w:tc>
        <w:tc>
          <w:tcPr>
            <w:tcW w:w="0" w:type="dxa"/>
            <w:vAlign w:val="bottom"/>
          </w:tcPr>
          <w:p>
            <w:pPr>
              <w:spacing w:after="0"/>
              <w:rPr>
                <w:sz w:val="1"/>
                <w:szCs w:val="1"/>
                <w:color w:val="auto"/>
              </w:rPr>
            </w:pPr>
          </w:p>
        </w:tc>
      </w:tr>
    </w:tbl>
    <w:p>
      <w:pPr>
        <w:spacing w:after="0" w:line="162" w:lineRule="exact"/>
        <w:rPr>
          <w:sz w:val="24"/>
          <w:szCs w:val="24"/>
          <w:color w:val="auto"/>
        </w:rPr>
      </w:pPr>
    </w:p>
    <w:p>
      <w:pPr>
        <w:ind w:left="80" w:right="240"/>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w:t>
      </w:r>
    </w:p>
    <w:p>
      <w:pPr>
        <w:ind w:left="80"/>
        <w:spacing w:after="0" w:line="161" w:lineRule="exact"/>
        <w:rPr>
          <w:sz w:val="20"/>
          <w:szCs w:val="20"/>
          <w:color w:val="auto"/>
        </w:rPr>
      </w:pPr>
      <w:r>
        <w:rPr>
          <w:rFonts w:ascii="Times New Roman" w:cs="Times New Roman" w:eastAsia="Times New Roman" w:hAnsi="Times New Roman"/>
          <w:sz w:val="14"/>
          <w:szCs w:val="14"/>
          <w:color w:val="auto"/>
        </w:rPr>
        <w:t xml:space="preserve">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5" w:lineRule="exact"/>
        <w:rPr>
          <w:sz w:val="24"/>
          <w:szCs w:val="24"/>
          <w:color w:val="auto"/>
        </w:rPr>
      </w:pPr>
    </w:p>
    <w:p>
      <w:pPr>
        <w:ind w:left="80" w:right="320"/>
        <w:spacing w:after="0" w:line="17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left="80" w:right="300"/>
        <w:spacing w:after="0" w:line="24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10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46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4360" w:type="dxa"/>
            <w:vAlign w:val="bottom"/>
          </w:tcPr>
          <w:p>
            <w:pPr>
              <w:ind w:left="1860"/>
              <w:spacing w:after="0"/>
              <w:rPr>
                <w:sz w:val="20"/>
                <w:szCs w:val="20"/>
                <w:color w:val="auto"/>
              </w:rPr>
            </w:pPr>
            <w:r>
              <w:rPr>
                <w:rFonts w:ascii="Times New Roman" w:cs="Times New Roman" w:eastAsia="Times New Roman" w:hAnsi="Times New Roman"/>
                <w:sz w:val="14"/>
                <w:szCs w:val="14"/>
                <w:color w:val="auto"/>
              </w:rPr>
              <w:t>Accelerated filer</w:t>
            </w:r>
          </w:p>
        </w:tc>
        <w:tc>
          <w:tcPr>
            <w:tcW w:w="114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4"/>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46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4360" w:type="dxa"/>
            <w:vAlign w:val="bottom"/>
          </w:tcPr>
          <w:p>
            <w:pPr>
              <w:ind w:left="18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14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4"/>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246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4360" w:type="dxa"/>
            <w:vAlign w:val="bottom"/>
          </w:tcPr>
          <w:p>
            <w:pPr>
              <w:spacing w:after="0"/>
              <w:rPr>
                <w:sz w:val="18"/>
                <w:szCs w:val="18"/>
                <w:color w:val="auto"/>
              </w:rPr>
            </w:pPr>
          </w:p>
        </w:tc>
        <w:tc>
          <w:tcPr>
            <w:tcW w:w="1140" w:type="dxa"/>
            <w:vAlign w:val="bottom"/>
          </w:tcPr>
          <w:p>
            <w:pPr>
              <w:spacing w:after="0"/>
              <w:rPr>
                <w:sz w:val="18"/>
                <w:szCs w:val="18"/>
                <w:color w:val="auto"/>
              </w:rPr>
            </w:pPr>
          </w:p>
        </w:tc>
      </w:tr>
    </w:tbl>
    <w:p>
      <w:pPr>
        <w:spacing w:after="0" w:line="136" w:lineRule="exact"/>
        <w:rPr>
          <w:sz w:val="24"/>
          <w:szCs w:val="24"/>
          <w:color w:val="auto"/>
        </w:rPr>
      </w:pPr>
    </w:p>
    <w:p>
      <w:pPr>
        <w:ind w:left="80" w:right="240"/>
        <w:spacing w:after="0" w:line="17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1" w:lineRule="exact"/>
        <w:rPr>
          <w:sz w:val="24"/>
          <w:szCs w:val="24"/>
          <w:color w:val="auto"/>
        </w:rPr>
      </w:pPr>
    </w:p>
    <w:p>
      <w:pPr>
        <w:spacing w:after="0" w:line="161" w:lineRule="exact"/>
        <w:tabs>
          <w:tab w:leader="none" w:pos="5720" w:val="left"/>
          <w:tab w:leader="none" w:pos="62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$0.001 par value per share, outstanding as of November 2, 2022 was 10,517,099.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370840</wp:posOffset>
            </wp:positionV>
            <wp:extent cx="719137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1375"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156210</wp:posOffset>
            </wp:positionV>
            <wp:extent cx="715899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130175</wp:posOffset>
            </wp:positionV>
            <wp:extent cx="715899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6350"/>
                    </a:xfrm>
                    <a:prstGeom prst="rect">
                      <a:avLst/>
                    </a:prstGeom>
                    <a:noFill/>
                  </pic:spPr>
                </pic:pic>
              </a:graphicData>
            </a:graphic>
          </wp:anchor>
        </w:drawing>
      </w:r>
    </w:p>
    <w:p>
      <w:pPr>
        <w:sectPr>
          <w:pgSz w:w="11900" w:h="16838" w:orient="portrait"/>
          <w:cols w:equalWidth="0" w:num="1">
            <w:col w:w="11340"/>
          </w:cols>
          <w:pgMar w:left="300" w:top="716"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1020" w:type="dxa"/>
            <w:vAlign w:val="bottom"/>
            <w:gridSpan w:val="4"/>
          </w:tcPr>
          <w:p>
            <w:pPr>
              <w:spacing w:after="0"/>
              <w:rPr>
                <w:sz w:val="20"/>
                <w:szCs w:val="20"/>
                <w:color w:val="auto"/>
              </w:rPr>
            </w:pPr>
            <w:r>
              <w:rPr>
                <w:rFonts w:ascii="Times New Roman" w:cs="Times New Roman" w:eastAsia="Times New Roman" w:hAnsi="Times New Roman"/>
                <w:sz w:val="12"/>
                <w:szCs w:val="12"/>
                <w:color w:val="0000FF"/>
              </w:rPr>
              <w:t>Table of Contents</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700"/>
        </w:trPr>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00" w:type="dxa"/>
            <w:vAlign w:val="bottom"/>
            <w:gridSpan w:val="6"/>
          </w:tcPr>
          <w:p>
            <w:pPr>
              <w:ind w:left="380"/>
              <w:spacing w:after="0"/>
              <w:rPr>
                <w:sz w:val="20"/>
                <w:szCs w:val="20"/>
                <w:color w:val="auto"/>
              </w:rPr>
            </w:pPr>
            <w:r>
              <w:rPr>
                <w:rFonts w:ascii="Times New Roman" w:cs="Times New Roman" w:eastAsia="Times New Roman" w:hAnsi="Times New Roman"/>
                <w:sz w:val="12"/>
                <w:szCs w:val="12"/>
                <w:b w:val="1"/>
                <w:bCs w:val="1"/>
                <w:color w:val="auto"/>
              </w:rPr>
              <w:t>INDEX TO FORM 10-Q</w:t>
            </w:r>
          </w:p>
        </w:tc>
        <w:tc>
          <w:tcPr>
            <w:tcW w:w="260" w:type="dxa"/>
            <w:vAlign w:val="bottom"/>
          </w:tcPr>
          <w:p>
            <w:pPr>
              <w:spacing w:after="0"/>
              <w:rPr>
                <w:sz w:val="24"/>
                <w:szCs w:val="24"/>
                <w:color w:val="auto"/>
              </w:rPr>
            </w:pPr>
          </w:p>
        </w:tc>
      </w:tr>
      <w:tr>
        <w:trPr>
          <w:trHeight w:val="35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7"/>
              </w:rPr>
              <w:t>Page</w:t>
            </w:r>
          </w:p>
        </w:tc>
      </w:tr>
      <w:tr>
        <w:trPr>
          <w:trHeight w:val="164"/>
        </w:trPr>
        <w:tc>
          <w:tcPr>
            <w:tcW w:w="20" w:type="dxa"/>
            <w:vAlign w:val="bottom"/>
          </w:tcPr>
          <w:p>
            <w:pPr>
              <w:spacing w:after="0"/>
              <w:rPr>
                <w:sz w:val="14"/>
                <w:szCs w:val="14"/>
                <w:color w:val="auto"/>
              </w:rPr>
            </w:pPr>
          </w:p>
        </w:tc>
        <w:tc>
          <w:tcPr>
            <w:tcW w:w="9860" w:type="dxa"/>
            <w:vAlign w:val="bottom"/>
            <w:gridSpan w:val="22"/>
          </w:tcPr>
          <w:p>
            <w:pPr>
              <w:spacing w:after="0"/>
              <w:rPr>
                <w:sz w:val="20"/>
                <w:szCs w:val="20"/>
                <w:color w:val="auto"/>
              </w:rPr>
            </w:pPr>
            <w:r>
              <w:rPr>
                <w:rFonts w:ascii="Times New Roman" w:cs="Times New Roman" w:eastAsia="Times New Roman" w:hAnsi="Times New Roman"/>
                <w:sz w:val="12"/>
                <w:szCs w:val="12"/>
                <w:color w:val="0000FF"/>
              </w:rPr>
              <w:t>Special Note Regarding Forward-Looking Statements</w:t>
            </w: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3</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580" w:type="dxa"/>
            <w:vAlign w:val="bottom"/>
            <w:gridSpan w:val="12"/>
          </w:tcPr>
          <w:p>
            <w:pPr>
              <w:spacing w:after="0"/>
              <w:rPr>
                <w:sz w:val="20"/>
                <w:szCs w:val="20"/>
                <w:color w:val="auto"/>
              </w:rPr>
            </w:pPr>
            <w:r>
              <w:rPr>
                <w:rFonts w:ascii="Times New Roman" w:cs="Times New Roman" w:eastAsia="Times New Roman" w:hAnsi="Times New Roman"/>
                <w:sz w:val="12"/>
                <w:szCs w:val="12"/>
                <w:color w:val="0000FF"/>
              </w:rPr>
              <w:t>PART I — FINANCIAL INFORMATION</w:t>
            </w: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5</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Item 1.</w:t>
            </w:r>
          </w:p>
        </w:tc>
        <w:tc>
          <w:tcPr>
            <w:tcW w:w="8860" w:type="dxa"/>
            <w:vAlign w:val="bottom"/>
            <w:gridSpan w:val="19"/>
          </w:tcPr>
          <w:p>
            <w:pPr>
              <w:spacing w:after="0"/>
              <w:rPr>
                <w:sz w:val="20"/>
                <w:szCs w:val="20"/>
                <w:color w:val="auto"/>
              </w:rPr>
            </w:pPr>
            <w:r>
              <w:rPr>
                <w:rFonts w:ascii="Times New Roman" w:cs="Times New Roman" w:eastAsia="Times New Roman" w:hAnsi="Times New Roman"/>
                <w:sz w:val="12"/>
                <w:szCs w:val="12"/>
                <w:color w:val="0000FF"/>
              </w:rPr>
              <w:t>Financial Statements (unaudited):</w:t>
            </w: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5</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2"/>
                <w:szCs w:val="12"/>
                <w:color w:val="0000FF"/>
              </w:rPr>
              <w:t>Condensed Consolidated Balance Sheets as of September 30, 2022 and December 31, 2021</w:t>
            </w:r>
          </w:p>
        </w:tc>
        <w:tc>
          <w:tcPr>
            <w:tcW w:w="4380" w:type="dxa"/>
            <w:vAlign w:val="bottom"/>
            <w:gridSpan w:val="4"/>
          </w:tcPr>
          <w:p>
            <w:pPr>
              <w:spacing w:after="0"/>
              <w:rPr>
                <w:sz w:val="14"/>
                <w:szCs w:val="14"/>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5</w:t>
            </w:r>
          </w:p>
        </w:tc>
      </w:tr>
      <w:tr>
        <w:trPr>
          <w:trHeight w:val="164"/>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60" w:type="dxa"/>
            <w:vAlign w:val="bottom"/>
            <w:gridSpan w:val="19"/>
          </w:tcPr>
          <w:p>
            <w:pPr>
              <w:spacing w:after="0"/>
              <w:rPr>
                <w:sz w:val="20"/>
                <w:szCs w:val="20"/>
                <w:color w:val="auto"/>
              </w:rPr>
            </w:pPr>
            <w:r>
              <w:rPr>
                <w:rFonts w:ascii="Times New Roman" w:cs="Times New Roman" w:eastAsia="Times New Roman" w:hAnsi="Times New Roman"/>
                <w:sz w:val="12"/>
                <w:szCs w:val="12"/>
                <w:color w:val="0000FF"/>
              </w:rPr>
              <w:t>Condensed Consolidated Statements of Operations and Comprehensive Loss for the Three and Nine Months Ended September 30, 2022 and 2021</w:t>
            </w: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6</w:t>
            </w:r>
          </w:p>
        </w:tc>
      </w:tr>
      <w:tr>
        <w:trPr>
          <w:trHeight w:val="164"/>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38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2"/>
                <w:szCs w:val="12"/>
                <w:color w:val="0000FF"/>
              </w:rPr>
              <w:t>Condensed Consolidated Statements of Stockholders’ Equity for the Three and Nine Months Ended September 30, 2022 and 2021</w:t>
            </w:r>
          </w:p>
        </w:tc>
        <w:tc>
          <w:tcPr>
            <w:tcW w:w="760" w:type="dxa"/>
            <w:vAlign w:val="bottom"/>
            <w:tcBorders>
              <w:top w:val="single" w:sz="8" w:color="0000FF"/>
            </w:tcBorders>
          </w:tcPr>
          <w:p>
            <w:pPr>
              <w:spacing w:after="0"/>
              <w:rPr>
                <w:sz w:val="14"/>
                <w:szCs w:val="14"/>
                <w:color w:val="auto"/>
              </w:rPr>
            </w:pPr>
          </w:p>
        </w:tc>
        <w:tc>
          <w:tcPr>
            <w:tcW w:w="1720" w:type="dxa"/>
            <w:vAlign w:val="bottom"/>
          </w:tcPr>
          <w:p>
            <w:pPr>
              <w:spacing w:after="0"/>
              <w:rPr>
                <w:sz w:val="14"/>
                <w:szCs w:val="14"/>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7</w:t>
            </w:r>
          </w:p>
        </w:tc>
      </w:tr>
      <w:tr>
        <w:trPr>
          <w:trHeight w:val="164"/>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60" w:type="dxa"/>
            <w:vAlign w:val="bottom"/>
            <w:gridSpan w:val="19"/>
          </w:tcPr>
          <w:p>
            <w:pPr>
              <w:spacing w:after="0"/>
              <w:rPr>
                <w:sz w:val="20"/>
                <w:szCs w:val="20"/>
                <w:color w:val="auto"/>
              </w:rPr>
            </w:pPr>
            <w:r>
              <w:rPr>
                <w:rFonts w:ascii="Times New Roman" w:cs="Times New Roman" w:eastAsia="Times New Roman" w:hAnsi="Times New Roman"/>
                <w:sz w:val="12"/>
                <w:szCs w:val="12"/>
                <w:color w:val="0000FF"/>
              </w:rPr>
              <w:t>Condensed Consolidated Statements of Cash Flows for the Nine Months Ended September 30, 2022 and 2021</w:t>
            </w: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9</w:t>
            </w:r>
          </w:p>
        </w:tc>
      </w:tr>
      <w:tr>
        <w:trPr>
          <w:trHeight w:val="164"/>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2"/>
                <w:szCs w:val="12"/>
                <w:color w:val="0000FF"/>
              </w:rPr>
              <w:t>Notes to Condensed Consolidated Financial Statements</w:t>
            </w:r>
          </w:p>
        </w:tc>
        <w:tc>
          <w:tcPr>
            <w:tcW w:w="2660" w:type="dxa"/>
            <w:vAlign w:val="bottom"/>
            <w:tcBorders>
              <w:top w:val="single" w:sz="8" w:color="0000FF"/>
            </w:tcBorders>
            <w:gridSpan w:val="7"/>
          </w:tcPr>
          <w:p>
            <w:pPr>
              <w:spacing w:after="0"/>
              <w:rPr>
                <w:sz w:val="14"/>
                <w:szCs w:val="14"/>
                <w:color w:val="auto"/>
              </w:rPr>
            </w:pPr>
          </w:p>
        </w:tc>
        <w:tc>
          <w:tcPr>
            <w:tcW w:w="3480" w:type="dxa"/>
            <w:vAlign w:val="bottom"/>
            <w:gridSpan w:val="3"/>
          </w:tcPr>
          <w:p>
            <w:pPr>
              <w:spacing w:after="0"/>
              <w:rPr>
                <w:sz w:val="14"/>
                <w:szCs w:val="14"/>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10</w:t>
            </w:r>
          </w:p>
        </w:tc>
      </w:tr>
      <w:tr>
        <w:trPr>
          <w:trHeight w:val="164"/>
        </w:trPr>
        <w:tc>
          <w:tcPr>
            <w:tcW w:w="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Item 2.</w:t>
            </w:r>
          </w:p>
        </w:tc>
        <w:tc>
          <w:tcPr>
            <w:tcW w:w="8860" w:type="dxa"/>
            <w:vAlign w:val="bottom"/>
            <w:gridSpan w:val="19"/>
          </w:tcPr>
          <w:p>
            <w:pPr>
              <w:spacing w:after="0"/>
              <w:rPr>
                <w:sz w:val="20"/>
                <w:szCs w:val="20"/>
                <w:color w:val="auto"/>
              </w:rPr>
            </w:pPr>
            <w:r>
              <w:rPr>
                <w:rFonts w:ascii="Times New Roman" w:cs="Times New Roman" w:eastAsia="Times New Roman" w:hAnsi="Times New Roman"/>
                <w:sz w:val="12"/>
                <w:szCs w:val="12"/>
                <w:color w:val="0000FF"/>
              </w:rPr>
              <w:t>Management’s Discussion and Analysis of Financial Condition and Results of Operations</w:t>
            </w: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19</w:t>
            </w:r>
          </w:p>
        </w:tc>
      </w:tr>
      <w:tr>
        <w:trPr>
          <w:trHeight w:val="164"/>
        </w:trPr>
        <w:tc>
          <w:tcPr>
            <w:tcW w:w="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Item 3.</w:t>
            </w:r>
          </w:p>
        </w:tc>
        <w:tc>
          <w:tcPr>
            <w:tcW w:w="298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2"/>
                <w:szCs w:val="12"/>
                <w:color w:val="0000FF"/>
              </w:rPr>
              <w:t>Quantitative and Qualitative Disclosures About Market Risk</w:t>
            </w:r>
          </w:p>
        </w:tc>
        <w:tc>
          <w:tcPr>
            <w:tcW w:w="1400" w:type="dxa"/>
            <w:vAlign w:val="bottom"/>
            <w:tcBorders>
              <w:top w:val="single" w:sz="8" w:color="0000FF"/>
            </w:tcBorders>
            <w:gridSpan w:val="3"/>
          </w:tcPr>
          <w:p>
            <w:pPr>
              <w:spacing w:after="0"/>
              <w:rPr>
                <w:sz w:val="14"/>
                <w:szCs w:val="14"/>
                <w:color w:val="auto"/>
              </w:rPr>
            </w:pPr>
          </w:p>
        </w:tc>
        <w:tc>
          <w:tcPr>
            <w:tcW w:w="4480" w:type="dxa"/>
            <w:vAlign w:val="bottom"/>
            <w:gridSpan w:val="5"/>
          </w:tcPr>
          <w:p>
            <w:pPr>
              <w:spacing w:after="0"/>
              <w:rPr>
                <w:sz w:val="14"/>
                <w:szCs w:val="14"/>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25</w:t>
            </w:r>
          </w:p>
        </w:tc>
      </w:tr>
      <w:tr>
        <w:trPr>
          <w:trHeight w:val="164"/>
        </w:trPr>
        <w:tc>
          <w:tcPr>
            <w:tcW w:w="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Item 4.</w:t>
            </w:r>
          </w:p>
        </w:tc>
        <w:tc>
          <w:tcPr>
            <w:tcW w:w="8860" w:type="dxa"/>
            <w:vAlign w:val="bottom"/>
            <w:gridSpan w:val="19"/>
          </w:tcPr>
          <w:p>
            <w:pPr>
              <w:spacing w:after="0"/>
              <w:rPr>
                <w:sz w:val="20"/>
                <w:szCs w:val="20"/>
                <w:color w:val="auto"/>
              </w:rPr>
            </w:pPr>
            <w:r>
              <w:rPr>
                <w:rFonts w:ascii="Times New Roman" w:cs="Times New Roman" w:eastAsia="Times New Roman" w:hAnsi="Times New Roman"/>
                <w:sz w:val="12"/>
                <w:szCs w:val="12"/>
                <w:color w:val="0000FF"/>
              </w:rPr>
              <w:t>Controls and Procedures</w:t>
            </w: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25</w:t>
            </w:r>
          </w:p>
        </w:tc>
      </w:tr>
      <w:tr>
        <w:trPr>
          <w:trHeight w:val="205"/>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7620" w:type="dxa"/>
            <w:vAlign w:val="bottom"/>
            <w:gridSpan w:val="13"/>
          </w:tcPr>
          <w:p>
            <w:pPr>
              <w:spacing w:after="0"/>
              <w:rPr>
                <w:sz w:val="20"/>
                <w:szCs w:val="20"/>
                <w:color w:val="auto"/>
              </w:rPr>
            </w:pPr>
            <w:r>
              <w:rPr>
                <w:rFonts w:ascii="Times New Roman" w:cs="Times New Roman" w:eastAsia="Times New Roman" w:hAnsi="Times New Roman"/>
                <w:sz w:val="12"/>
                <w:szCs w:val="12"/>
                <w:color w:val="0000FF"/>
              </w:rPr>
              <w:t>PART II — OTHER INFORMATION</w:t>
            </w: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27</w:t>
            </w:r>
          </w:p>
        </w:tc>
      </w:tr>
      <w:tr>
        <w:trPr>
          <w:trHeight w:val="164"/>
        </w:trPr>
        <w:tc>
          <w:tcPr>
            <w:tcW w:w="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Item 1.</w:t>
            </w:r>
          </w:p>
        </w:tc>
        <w:tc>
          <w:tcPr>
            <w:tcW w:w="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2"/>
                <w:szCs w:val="12"/>
                <w:color w:val="0000FF"/>
                <w:w w:val="98"/>
              </w:rPr>
              <w:t>Legal Proceedings</w:t>
            </w:r>
          </w:p>
        </w:tc>
        <w:tc>
          <w:tcPr>
            <w:tcW w:w="340" w:type="dxa"/>
            <w:vAlign w:val="bottom"/>
            <w:gridSpan w:val="2"/>
          </w:tcPr>
          <w:p>
            <w:pPr>
              <w:spacing w:after="0"/>
              <w:rPr>
                <w:sz w:val="14"/>
                <w:szCs w:val="14"/>
                <w:color w:val="auto"/>
              </w:rPr>
            </w:pPr>
          </w:p>
        </w:tc>
        <w:tc>
          <w:tcPr>
            <w:tcW w:w="1880" w:type="dxa"/>
            <w:vAlign w:val="bottom"/>
            <w:tcBorders>
              <w:top w:val="single" w:sz="8" w:color="0000FF"/>
            </w:tcBorders>
            <w:gridSpan w:val="6"/>
          </w:tcPr>
          <w:p>
            <w:pPr>
              <w:spacing w:after="0"/>
              <w:rPr>
                <w:sz w:val="14"/>
                <w:szCs w:val="14"/>
                <w:color w:val="auto"/>
              </w:rPr>
            </w:pPr>
          </w:p>
        </w:tc>
        <w:tc>
          <w:tcPr>
            <w:tcW w:w="5740" w:type="dxa"/>
            <w:vAlign w:val="bottom"/>
            <w:gridSpan w:val="7"/>
          </w:tcPr>
          <w:p>
            <w:pPr>
              <w:spacing w:after="0"/>
              <w:rPr>
                <w:sz w:val="14"/>
                <w:szCs w:val="14"/>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27</w:t>
            </w:r>
          </w:p>
        </w:tc>
      </w:tr>
      <w:tr>
        <w:trPr>
          <w:trHeight w:val="164"/>
        </w:trPr>
        <w:tc>
          <w:tcPr>
            <w:tcW w:w="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Item 1A.</w:t>
            </w:r>
          </w:p>
        </w:tc>
        <w:tc>
          <w:tcPr>
            <w:tcW w:w="8860" w:type="dxa"/>
            <w:vAlign w:val="bottom"/>
            <w:gridSpan w:val="19"/>
          </w:tcPr>
          <w:p>
            <w:pPr>
              <w:spacing w:after="0"/>
              <w:rPr>
                <w:sz w:val="20"/>
                <w:szCs w:val="20"/>
                <w:color w:val="auto"/>
              </w:rPr>
            </w:pPr>
            <w:r>
              <w:rPr>
                <w:rFonts w:ascii="Times New Roman" w:cs="Times New Roman" w:eastAsia="Times New Roman" w:hAnsi="Times New Roman"/>
                <w:sz w:val="12"/>
                <w:szCs w:val="12"/>
                <w:color w:val="0000FF"/>
              </w:rPr>
              <w:t>Risk Factors</w:t>
            </w: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27</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900" w:type="dxa"/>
            <w:vAlign w:val="bottom"/>
            <w:gridSpan w:val="9"/>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Item 2.</w:t>
            </w:r>
          </w:p>
        </w:tc>
        <w:tc>
          <w:tcPr>
            <w:tcW w:w="29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2"/>
                <w:szCs w:val="12"/>
                <w:color w:val="0000FF"/>
              </w:rPr>
              <w:t>Unregistered Sales of Equity Securities and Use of Proceeds</w:t>
            </w:r>
          </w:p>
        </w:tc>
        <w:tc>
          <w:tcPr>
            <w:tcW w:w="5900" w:type="dxa"/>
            <w:vAlign w:val="bottom"/>
            <w:gridSpan w:val="9"/>
          </w:tcPr>
          <w:p>
            <w:pPr>
              <w:spacing w:after="0"/>
              <w:rPr>
                <w:sz w:val="14"/>
                <w:szCs w:val="14"/>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64</w:t>
            </w:r>
          </w:p>
        </w:tc>
      </w:tr>
      <w:tr>
        <w:trPr>
          <w:trHeight w:val="164"/>
        </w:trPr>
        <w:tc>
          <w:tcPr>
            <w:tcW w:w="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Item 3.</w:t>
            </w:r>
          </w:p>
        </w:tc>
        <w:tc>
          <w:tcPr>
            <w:tcW w:w="16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2"/>
                <w:szCs w:val="12"/>
                <w:color w:val="0000FF"/>
              </w:rPr>
              <w:t>Defaults Upon Senior Securities</w:t>
            </w:r>
          </w:p>
        </w:tc>
        <w:tc>
          <w:tcPr>
            <w:tcW w:w="7220" w:type="dxa"/>
            <w:vAlign w:val="bottom"/>
            <w:gridSpan w:val="11"/>
          </w:tcPr>
          <w:p>
            <w:pPr>
              <w:spacing w:after="0"/>
              <w:rPr>
                <w:sz w:val="14"/>
                <w:szCs w:val="14"/>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64</w:t>
            </w:r>
          </w:p>
        </w:tc>
      </w:tr>
      <w:tr>
        <w:trPr>
          <w:trHeight w:val="164"/>
        </w:trPr>
        <w:tc>
          <w:tcPr>
            <w:tcW w:w="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Item 4.</w:t>
            </w:r>
          </w:p>
        </w:tc>
        <w:tc>
          <w:tcPr>
            <w:tcW w:w="12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2"/>
                <w:szCs w:val="12"/>
                <w:color w:val="0000FF"/>
                <w:w w:val="99"/>
              </w:rPr>
              <w:t>Mine Safety Disclosures</w:t>
            </w:r>
          </w:p>
        </w:tc>
        <w:tc>
          <w:tcPr>
            <w:tcW w:w="7660" w:type="dxa"/>
            <w:vAlign w:val="bottom"/>
            <w:gridSpan w:val="14"/>
          </w:tcPr>
          <w:p>
            <w:pPr>
              <w:spacing w:after="0"/>
              <w:rPr>
                <w:sz w:val="14"/>
                <w:szCs w:val="14"/>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64</w:t>
            </w:r>
          </w:p>
        </w:tc>
      </w:tr>
      <w:tr>
        <w:trPr>
          <w:trHeight w:val="164"/>
        </w:trPr>
        <w:tc>
          <w:tcPr>
            <w:tcW w:w="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Item 5.</w:t>
            </w:r>
          </w:p>
        </w:tc>
        <w:tc>
          <w:tcPr>
            <w:tcW w:w="8860" w:type="dxa"/>
            <w:vAlign w:val="bottom"/>
            <w:gridSpan w:val="19"/>
          </w:tcPr>
          <w:p>
            <w:pPr>
              <w:spacing w:after="0"/>
              <w:rPr>
                <w:sz w:val="20"/>
                <w:szCs w:val="20"/>
                <w:color w:val="auto"/>
              </w:rPr>
            </w:pPr>
            <w:r>
              <w:rPr>
                <w:rFonts w:ascii="Times New Roman" w:cs="Times New Roman" w:eastAsia="Times New Roman" w:hAnsi="Times New Roman"/>
                <w:sz w:val="12"/>
                <w:szCs w:val="12"/>
                <w:color w:val="0000FF"/>
              </w:rPr>
              <w:t>Other Information</w:t>
            </w: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64</w:t>
            </w:r>
          </w:p>
        </w:tc>
      </w:tr>
      <w:tr>
        <w:trPr>
          <w:trHeight w:val="164"/>
        </w:trPr>
        <w:tc>
          <w:tcPr>
            <w:tcW w:w="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Item 6.</w:t>
            </w:r>
          </w:p>
        </w:tc>
        <w:tc>
          <w:tcPr>
            <w:tcW w:w="8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2"/>
                <w:szCs w:val="12"/>
                <w:color w:val="0000FF"/>
              </w:rPr>
              <w:t>Exhibits</w:t>
            </w:r>
          </w:p>
        </w:tc>
        <w:tc>
          <w:tcPr>
            <w:tcW w:w="7980" w:type="dxa"/>
            <w:vAlign w:val="bottom"/>
            <w:gridSpan w:val="16"/>
          </w:tcPr>
          <w:p>
            <w:pPr>
              <w:spacing w:after="0"/>
              <w:rPr>
                <w:sz w:val="14"/>
                <w:szCs w:val="14"/>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80</w:t>
            </w:r>
          </w:p>
        </w:tc>
      </w:tr>
      <w:tr>
        <w:trPr>
          <w:trHeight w:val="164"/>
        </w:trPr>
        <w:tc>
          <w:tcPr>
            <w:tcW w:w="20" w:type="dxa"/>
            <w:vAlign w:val="bottom"/>
          </w:tcPr>
          <w:p>
            <w:pPr>
              <w:spacing w:after="0"/>
              <w:rPr>
                <w:sz w:val="14"/>
                <w:szCs w:val="14"/>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8"/>
              </w:rPr>
              <w:t>Signatures</w:t>
            </w:r>
          </w:p>
        </w:tc>
        <w:tc>
          <w:tcPr>
            <w:tcW w:w="480" w:type="dxa"/>
            <w:vAlign w:val="bottom"/>
            <w:gridSpan w:val="2"/>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55245</wp:posOffset>
            </wp:positionV>
            <wp:extent cx="719137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140"/>
          </w:cols>
          <w:pgMar w:left="540" w:top="308" w:right="12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9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2"/>
          <w:szCs w:val="12"/>
          <w:color w:val="auto"/>
        </w:rPr>
        <w:t>This Quarterly Report on Form 10-Q contains forward-looking statements (including within the meaning of Section 21E of the Securities Exchange Act of 1934, as amended, and Section 27A of the Securities Act of 1933, as amended (the “Securities Act”)) about us and our industry that involve substantial risks and uncertainties. These statements may discuss goals, intentions and expectations as to future plans, trends, events, results of operations or financial condition, or otherwise, based on current beliefs of our management, as well as assumptions made by, and information currently available to, our management. Forward-looking statements generally include statements that are predictive in nature and depend upon or refer to future events or conditions, and include words such as “may,” “will,” “should,” “would,” “could”, “expect,” “anticipate,” “plan,” “likely,” “believe,” “estimate,” “intend,” and other similar expressions.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our strategies, prospects, plans, expectations or objectives for future operations; the progress, scope or timing of the development of our product candidates; the benefits that may be derived from any future products or the commercial or market opportunity with respect to any of our future products; our ability to protect our intellectual property rights; our anticipated operations, financial position, ability to raise capital to fund operations, revenues, costs or expenses; statements regarding future economic conditions or performance; statements of belief and any statement of assumptions underlying any of the foregoing. These risks and uncertainties include, but are not limited to, the risks included in this Quarterly Report on Form 10-Q under Part II, Item 1A, “Risk Factors.” Other sections of this Quarterly Report on Form 10-Q, as well as our other disclosures and filings,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update or revise any forward-looking statements contained in this report, whether as a result of new information, future events or otherwise.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Forward-looking statements contained in this Quarterly Report on Form 10-Q include, but are not limited to, statements about:</w:t>
      </w:r>
    </w:p>
    <w:p>
      <w:pPr>
        <w:spacing w:after="0" w:line="186" w:lineRule="exact"/>
        <w:rPr>
          <w:sz w:val="20"/>
          <w:szCs w:val="20"/>
          <w:color w:val="auto"/>
        </w:rPr>
      </w:pPr>
    </w:p>
    <w:p>
      <w:pPr>
        <w:ind w:left="740" w:hanging="243"/>
        <w:spacing w:after="0"/>
        <w:tabs>
          <w:tab w:leader="none" w:pos="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expected future growth and our ability to manage such growth;</w:t>
      </w:r>
    </w:p>
    <w:p>
      <w:pPr>
        <w:spacing w:after="0" w:line="186" w:lineRule="exact"/>
        <w:rPr>
          <w:rFonts w:ascii="Times New Roman" w:cs="Times New Roman" w:eastAsia="Times New Roman" w:hAnsi="Times New Roman"/>
          <w:sz w:val="14"/>
          <w:szCs w:val="14"/>
          <w:color w:val="auto"/>
        </w:rPr>
      </w:pPr>
    </w:p>
    <w:p>
      <w:pPr>
        <w:ind w:left="740" w:hanging="243"/>
        <w:spacing w:after="0"/>
        <w:tabs>
          <w:tab w:leader="none" w:pos="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obtain regulatory approval for and commercialize TPST-1495 and TPST-1120 and our future product candidates;</w:t>
      </w:r>
    </w:p>
    <w:p>
      <w:pPr>
        <w:spacing w:after="0" w:line="186" w:lineRule="exact"/>
        <w:rPr>
          <w:rFonts w:ascii="Times New Roman" w:cs="Times New Roman" w:eastAsia="Times New Roman" w:hAnsi="Times New Roman"/>
          <w:sz w:val="14"/>
          <w:szCs w:val="14"/>
          <w:color w:val="auto"/>
        </w:rPr>
      </w:pPr>
    </w:p>
    <w:p>
      <w:pPr>
        <w:ind w:left="740" w:hanging="243"/>
        <w:spacing w:after="0"/>
        <w:tabs>
          <w:tab w:leader="none" w:pos="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and growth potential of the markets for our product candidates, and our ability to serve those markets;</w:t>
      </w:r>
    </w:p>
    <w:p>
      <w:pPr>
        <w:spacing w:after="0" w:line="186" w:lineRule="exact"/>
        <w:rPr>
          <w:rFonts w:ascii="Times New Roman" w:cs="Times New Roman" w:eastAsia="Times New Roman" w:hAnsi="Times New Roman"/>
          <w:sz w:val="14"/>
          <w:szCs w:val="14"/>
          <w:color w:val="auto"/>
        </w:rPr>
      </w:pPr>
    </w:p>
    <w:p>
      <w:pPr>
        <w:ind w:left="740" w:hanging="243"/>
        <w:spacing w:after="0"/>
        <w:tabs>
          <w:tab w:leader="none" w:pos="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regulatory approval, efficacy and commercialization of competing products;</w:t>
      </w:r>
    </w:p>
    <w:p>
      <w:pPr>
        <w:spacing w:after="0" w:line="186" w:lineRule="exact"/>
        <w:rPr>
          <w:rFonts w:ascii="Times New Roman" w:cs="Times New Roman" w:eastAsia="Times New Roman" w:hAnsi="Times New Roman"/>
          <w:sz w:val="14"/>
          <w:szCs w:val="14"/>
          <w:color w:val="auto"/>
        </w:rPr>
      </w:pPr>
    </w:p>
    <w:p>
      <w:pPr>
        <w:ind w:left="740" w:hanging="243"/>
        <w:spacing w:after="0"/>
        <w:tabs>
          <w:tab w:leader="none" w:pos="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sales and marketing capabilities or enter into agreements with third parties to market and sell our product candidates;</w:t>
      </w:r>
    </w:p>
    <w:p>
      <w:pPr>
        <w:spacing w:after="0" w:line="186" w:lineRule="exact"/>
        <w:rPr>
          <w:rFonts w:ascii="Times New Roman" w:cs="Times New Roman" w:eastAsia="Times New Roman" w:hAnsi="Times New Roman"/>
          <w:sz w:val="14"/>
          <w:szCs w:val="14"/>
          <w:color w:val="auto"/>
        </w:rPr>
      </w:pPr>
    </w:p>
    <w:p>
      <w:pPr>
        <w:ind w:left="740" w:hanging="243"/>
        <w:spacing w:after="0"/>
        <w:tabs>
          <w:tab w:leader="none" w:pos="7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retain regulatory approval for our product candidates or future product candidates in the United States and in any foreign countries in which we make seek to do business;</w:t>
      </w:r>
    </w:p>
    <w:p>
      <w:pPr>
        <w:spacing w:after="0" w:line="209" w:lineRule="exact"/>
        <w:rPr>
          <w:rFonts w:ascii="Times New Roman" w:cs="Times New Roman" w:eastAsia="Times New Roman" w:hAnsi="Times New Roman"/>
          <w:sz w:val="12"/>
          <w:szCs w:val="12"/>
          <w:color w:val="auto"/>
        </w:rPr>
      </w:pPr>
    </w:p>
    <w:p>
      <w:pPr>
        <w:ind w:left="740" w:hanging="243"/>
        <w:spacing w:after="0"/>
        <w:tabs>
          <w:tab w:leader="none" w:pos="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and hire our board of directors, senior management, or operational personnel;</w:t>
      </w:r>
    </w:p>
    <w:p>
      <w:pPr>
        <w:spacing w:after="0" w:line="186" w:lineRule="exact"/>
        <w:rPr>
          <w:rFonts w:ascii="Times New Roman" w:cs="Times New Roman" w:eastAsia="Times New Roman" w:hAnsi="Times New Roman"/>
          <w:sz w:val="14"/>
          <w:szCs w:val="14"/>
          <w:color w:val="auto"/>
        </w:rPr>
      </w:pPr>
    </w:p>
    <w:p>
      <w:pPr>
        <w:ind w:left="740" w:hanging="243"/>
        <w:spacing w:after="0"/>
        <w:tabs>
          <w:tab w:leader="none" w:pos="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 regarding the period during which we will qualify as a smaller reporting company under the federal securities laws;</w:t>
      </w:r>
    </w:p>
    <w:p>
      <w:pPr>
        <w:spacing w:after="0" w:line="186" w:lineRule="exact"/>
        <w:rPr>
          <w:rFonts w:ascii="Times New Roman" w:cs="Times New Roman" w:eastAsia="Times New Roman" w:hAnsi="Times New Roman"/>
          <w:sz w:val="14"/>
          <w:szCs w:val="14"/>
          <w:color w:val="auto"/>
        </w:rPr>
      </w:pPr>
    </w:p>
    <w:p>
      <w:pPr>
        <w:ind w:left="740" w:hanging="243"/>
        <w:spacing w:after="0" w:line="264" w:lineRule="auto"/>
        <w:tabs>
          <w:tab w:leader="none" w:pos="737"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and maintain our corporate infrastructure, including our ability to remediate our existing material weakness and to design and maintain an effective system of internal controls;</w:t>
      </w:r>
    </w:p>
    <w:p>
      <w:pPr>
        <w:spacing w:after="0" w:line="156" w:lineRule="exact"/>
        <w:rPr>
          <w:rFonts w:ascii="Times New Roman" w:cs="Times New Roman" w:eastAsia="Times New Roman" w:hAnsi="Times New Roman"/>
          <w:sz w:val="14"/>
          <w:szCs w:val="14"/>
          <w:color w:val="auto"/>
        </w:rPr>
      </w:pPr>
    </w:p>
    <w:p>
      <w:pPr>
        <w:ind w:left="740" w:hanging="243"/>
        <w:spacing w:after="0"/>
        <w:tabs>
          <w:tab w:leader="none" w:pos="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performance and capital requirements; and</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55245</wp:posOffset>
            </wp:positionV>
            <wp:extent cx="719137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1" w:lineRule="exact"/>
        <w:rPr>
          <w:sz w:val="20"/>
          <w:szCs w:val="20"/>
          <w:color w:val="auto"/>
        </w:rPr>
      </w:pPr>
    </w:p>
    <w:p>
      <w:pPr>
        <w:ind w:left="740" w:hanging="243"/>
        <w:spacing w:after="0" w:line="264" w:lineRule="auto"/>
        <w:tabs>
          <w:tab w:leader="none" w:pos="73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ability to obtain, maintain and enforce intellectual property protection for our products and technology, as well as our ability to operate our business without infringing, misappropriating or otherwise violating the intellectual property rights of others.</w:t>
      </w:r>
    </w:p>
    <w:p>
      <w:pPr>
        <w:spacing w:after="0" w:line="15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You should read this Quarterly Report on Form 10-Q as well as the documents that we reference in,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15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Unless the context suggests otherwise, references in this Quarterly Report on Form 10-Q to “Tempest,” “the Company,” “we,” “us,” and “our” refer to Tempest Therapeutics, Inc. and, where appropriate, its subsidiaries.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55245</wp:posOffset>
            </wp:positionV>
            <wp:extent cx="719137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Item 1 – Financial Statements</w:t>
      </w:r>
    </w:p>
    <w:p>
      <w:pPr>
        <w:spacing w:after="0" w:line="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2"/>
          <w:szCs w:val="12"/>
          <w:b w:val="1"/>
          <w:bCs w:val="1"/>
          <w:color w:val="auto"/>
        </w:rPr>
        <w:t>TEMPEST THERAPEUTICS, INC.</w:t>
      </w:r>
    </w:p>
    <w:p>
      <w:pPr>
        <w:spacing w:after="0" w:line="1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amounts)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3"/>
        </w:trPr>
        <w:tc>
          <w:tcPr>
            <w:tcW w:w="7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9"/>
        </w:trPr>
        <w:tc>
          <w:tcPr>
            <w:tcW w:w="7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(Unaudited)</w:t>
            </w:r>
          </w:p>
        </w:tc>
        <w:tc>
          <w:tcPr>
            <w:tcW w:w="160" w:type="dxa"/>
            <w:vAlign w:val="bottom"/>
          </w:tcPr>
          <w:p>
            <w:pPr>
              <w:spacing w:after="0"/>
              <w:rPr>
                <w:sz w:val="15"/>
                <w:szCs w:val="15"/>
                <w:color w:val="auto"/>
              </w:rPr>
            </w:pPr>
          </w:p>
        </w:tc>
        <w:tc>
          <w:tcPr>
            <w:tcW w:w="13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
        </w:trPr>
        <w:tc>
          <w:tcPr>
            <w:tcW w:w="7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64"/>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r>
      <w:tr>
        <w:trPr>
          <w:trHeight w:val="18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1"/>
        </w:trPr>
        <w:tc>
          <w:tcPr>
            <w:tcW w:w="7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4"/>
        </w:trPr>
        <w:tc>
          <w:tcPr>
            <w:tcW w:w="7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42,791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51,829</w:t>
            </w:r>
          </w:p>
        </w:tc>
      </w:tr>
      <w:tr>
        <w:trPr>
          <w:trHeight w:val="183"/>
        </w:trPr>
        <w:tc>
          <w:tcPr>
            <w:tcW w:w="7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Insurance recovery of legal settlement</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r>
      <w:tr>
        <w:trPr>
          <w:trHeight w:val="21"/>
        </w:trPr>
        <w:tc>
          <w:tcPr>
            <w:tcW w:w="7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04"/>
        </w:trPr>
        <w:tc>
          <w:tcPr>
            <w:tcW w:w="7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2,134</w:t>
            </w:r>
          </w:p>
        </w:tc>
      </w:tr>
      <w:tr>
        <w:trPr>
          <w:trHeight w:val="173"/>
        </w:trPr>
        <w:tc>
          <w:tcPr>
            <w:tcW w:w="7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60,257</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68,963</w:t>
            </w:r>
          </w:p>
        </w:tc>
      </w:tr>
      <w:tr>
        <w:trPr>
          <w:trHeight w:val="21"/>
        </w:trPr>
        <w:tc>
          <w:tcPr>
            <w:tcW w:w="7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4"/>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w:t>
            </w:r>
          </w:p>
        </w:tc>
      </w:tr>
      <w:tr>
        <w:trPr>
          <w:trHeight w:val="18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3,051</w:t>
            </w:r>
          </w:p>
        </w:tc>
      </w:tr>
      <w:tr>
        <w:trPr>
          <w:trHeight w:val="21"/>
        </w:trPr>
        <w:tc>
          <w:tcPr>
            <w:tcW w:w="7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04"/>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1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194"/>
        </w:trPr>
        <w:tc>
          <w:tcPr>
            <w:tcW w:w="7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63,171</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73,238</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45"/>
        </w:trPr>
        <w:tc>
          <w:tcPr>
            <w:tcW w:w="7720" w:type="dxa"/>
            <w:vAlign w:val="bottom"/>
            <w:tcBorders>
              <w:bottom w:val="single" w:sz="8" w:color="CCEEFF"/>
            </w:tcBorders>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shd w:val="clear" w:color="auto" w:fill="CCEEFF"/>
          </w:tcPr>
          <w:p>
            <w:pPr>
              <w:spacing w:after="0"/>
              <w:rPr>
                <w:sz w:val="12"/>
                <w:szCs w:val="12"/>
                <w:color w:val="auto"/>
              </w:rPr>
            </w:pPr>
          </w:p>
        </w:tc>
      </w:tr>
      <w:tr>
        <w:trPr>
          <w:trHeight w:val="18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1"/>
        </w:trPr>
        <w:tc>
          <w:tcPr>
            <w:tcW w:w="7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4"/>
        </w:trPr>
        <w:tc>
          <w:tcPr>
            <w:tcW w:w="7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w:t>
            </w:r>
          </w:p>
        </w:tc>
      </w:tr>
      <w:tr>
        <w:trPr>
          <w:trHeight w:val="183"/>
        </w:trPr>
        <w:tc>
          <w:tcPr>
            <w:tcW w:w="7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legal settlement</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r>
      <w:tr>
        <w:trPr>
          <w:trHeight w:val="21"/>
        </w:trPr>
        <w:tc>
          <w:tcPr>
            <w:tcW w:w="7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4"/>
        </w:trPr>
        <w:tc>
          <w:tcPr>
            <w:tcW w:w="7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1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2,585</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w:t>
            </w:r>
          </w:p>
        </w:tc>
      </w:tr>
      <w:tr>
        <w:trPr>
          <w:trHeight w:val="183"/>
        </w:trPr>
        <w:tc>
          <w:tcPr>
            <w:tcW w:w="7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loan payable</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
        </w:trPr>
        <w:tc>
          <w:tcPr>
            <w:tcW w:w="7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4"/>
        </w:trPr>
        <w:tc>
          <w:tcPr>
            <w:tcW w:w="7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1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1,442</w:t>
            </w:r>
          </w:p>
        </w:tc>
      </w:tr>
      <w:tr>
        <w:trPr>
          <w:trHeight w:val="183"/>
        </w:trPr>
        <w:tc>
          <w:tcPr>
            <w:tcW w:w="7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compensation</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w:t>
            </w:r>
          </w:p>
        </w:tc>
      </w:tr>
      <w:tr>
        <w:trPr>
          <w:trHeight w:val="21"/>
        </w:trPr>
        <w:tc>
          <w:tcPr>
            <w:tcW w:w="7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04"/>
        </w:trPr>
        <w:tc>
          <w:tcPr>
            <w:tcW w:w="7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payable</w:t>
            </w:r>
          </w:p>
        </w:tc>
        <w:tc>
          <w:tcPr>
            <w:tcW w:w="1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173"/>
        </w:trPr>
        <w:tc>
          <w:tcPr>
            <w:tcW w:w="7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24,059</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20,026</w:t>
            </w:r>
          </w:p>
        </w:tc>
      </w:tr>
      <w:tr>
        <w:trPr>
          <w:trHeight w:val="21"/>
        </w:trPr>
        <w:tc>
          <w:tcPr>
            <w:tcW w:w="7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4"/>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 payable (net of discount and issuance costs of $489 and $756, respectively)</w:t>
            </w:r>
          </w:p>
        </w:tc>
        <w:tc>
          <w:tcPr>
            <w:tcW w:w="1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11,836</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15,069</w:t>
            </w:r>
          </w:p>
        </w:tc>
      </w:tr>
      <w:tr>
        <w:trPr>
          <w:trHeight w:val="18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 less current portion</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w:t>
            </w:r>
          </w:p>
        </w:tc>
      </w:tr>
      <w:tr>
        <w:trPr>
          <w:trHeight w:val="21"/>
        </w:trPr>
        <w:tc>
          <w:tcPr>
            <w:tcW w:w="7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4"/>
        </w:trPr>
        <w:tc>
          <w:tcPr>
            <w:tcW w:w="7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36,398</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37,121</w:t>
            </w:r>
          </w:p>
        </w:tc>
      </w:tr>
      <w:tr>
        <w:trPr>
          <w:trHeight w:val="16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6)</w:t>
            </w:r>
          </w:p>
        </w:tc>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r>
      <w:tr>
        <w:trPr>
          <w:trHeight w:val="21"/>
        </w:trPr>
        <w:tc>
          <w:tcPr>
            <w:tcW w:w="7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4"/>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1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r>
      <w:tr>
        <w:trPr>
          <w:trHeight w:val="171"/>
        </w:trPr>
        <w:tc>
          <w:tcPr>
            <w:tcW w:w="772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9"/>
              </w:rPr>
              <w:t>Common stock, $0.001 par value per share; 100,000,000 shares authorized at September 30, 2022 and December 31, 2021; 10,517,099</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5"/>
        </w:trPr>
        <w:tc>
          <w:tcPr>
            <w:tcW w:w="7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and 6,910,324 shares issued and outstanding at September 30, 2022 and December 31, 2021, respectively</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1"/>
        </w:trPr>
        <w:tc>
          <w:tcPr>
            <w:tcW w:w="7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4"/>
        </w:trPr>
        <w:tc>
          <w:tcPr>
            <w:tcW w:w="7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153,432</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136,173</w:t>
            </w:r>
          </w:p>
        </w:tc>
      </w:tr>
      <w:tr>
        <w:trPr>
          <w:trHeight w:val="183"/>
        </w:trPr>
        <w:tc>
          <w:tcPr>
            <w:tcW w:w="7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(126,669)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(100,063)</w:t>
            </w:r>
          </w:p>
        </w:tc>
      </w:tr>
      <w:tr>
        <w:trPr>
          <w:trHeight w:val="21"/>
        </w:trPr>
        <w:tc>
          <w:tcPr>
            <w:tcW w:w="7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4"/>
        </w:trPr>
        <w:tc>
          <w:tcPr>
            <w:tcW w:w="7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26,773</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36,117</w:t>
            </w:r>
          </w:p>
        </w:tc>
      </w:tr>
      <w:tr>
        <w:trPr>
          <w:trHeight w:val="194"/>
        </w:trPr>
        <w:tc>
          <w:tcPr>
            <w:tcW w:w="7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63,171</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73,238</w:t>
            </w: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55245</wp:posOffset>
            </wp:positionV>
            <wp:extent cx="719137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38"/>
        </w:trPr>
        <w:tc>
          <w:tcPr>
            <w:tcW w:w="404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Table of Contents</w:t>
            </w: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692"/>
        </w:trPr>
        <w:tc>
          <w:tcPr>
            <w:tcW w:w="880" w:type="dxa"/>
            <w:vAlign w:val="bottom"/>
            <w:tcBorders>
              <w:top w:val="single" w:sz="8" w:color="0000FF"/>
            </w:tcBorders>
          </w:tcPr>
          <w:p>
            <w:pPr>
              <w:spacing w:after="0"/>
              <w:rPr>
                <w:sz w:val="24"/>
                <w:szCs w:val="24"/>
                <w:color w:val="auto"/>
              </w:rPr>
            </w:pPr>
          </w:p>
        </w:tc>
        <w:tc>
          <w:tcPr>
            <w:tcW w:w="3160" w:type="dxa"/>
            <w:vAlign w:val="bottom"/>
          </w:tcPr>
          <w:p>
            <w:pPr>
              <w:spacing w:after="0"/>
              <w:rPr>
                <w:sz w:val="24"/>
                <w:szCs w:val="24"/>
                <w:color w:val="auto"/>
              </w:rPr>
            </w:pPr>
          </w:p>
        </w:tc>
        <w:tc>
          <w:tcPr>
            <w:tcW w:w="2380" w:type="dxa"/>
            <w:vAlign w:val="bottom"/>
            <w:gridSpan w:val="2"/>
          </w:tcPr>
          <w:p>
            <w:pPr>
              <w:jc w:val="center"/>
              <w:ind w:left="295"/>
              <w:spacing w:after="0"/>
              <w:rPr>
                <w:sz w:val="20"/>
                <w:szCs w:val="20"/>
                <w:color w:val="auto"/>
              </w:rPr>
            </w:pPr>
            <w:r>
              <w:rPr>
                <w:rFonts w:ascii="Times New Roman" w:cs="Times New Roman" w:eastAsia="Times New Roman" w:hAnsi="Times New Roman"/>
                <w:sz w:val="12"/>
                <w:szCs w:val="12"/>
                <w:b w:val="1"/>
                <w:bCs w:val="1"/>
                <w:color w:val="auto"/>
              </w:rPr>
              <w:t>TEMPEST THERAPEUTICS, INC.</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43"/>
        </w:trPr>
        <w:tc>
          <w:tcPr>
            <w:tcW w:w="880" w:type="dxa"/>
            <w:vAlign w:val="bottom"/>
          </w:tcPr>
          <w:p>
            <w:pPr>
              <w:spacing w:after="0"/>
              <w:rPr>
                <w:sz w:val="12"/>
                <w:szCs w:val="12"/>
                <w:color w:val="auto"/>
              </w:rPr>
            </w:pPr>
          </w:p>
        </w:tc>
        <w:tc>
          <w:tcPr>
            <w:tcW w:w="6560" w:type="dxa"/>
            <w:vAlign w:val="bottom"/>
            <w:gridSpan w:val="5"/>
          </w:tcPr>
          <w:p>
            <w:pPr>
              <w:jc w:val="center"/>
              <w:ind w:left="2419"/>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 and Comprehensive Loss</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53"/>
        </w:trPr>
        <w:tc>
          <w:tcPr>
            <w:tcW w:w="8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380" w:type="dxa"/>
            <w:vAlign w:val="bottom"/>
            <w:gridSpan w:val="2"/>
          </w:tcPr>
          <w:p>
            <w:pPr>
              <w:jc w:val="center"/>
              <w:ind w:left="275"/>
              <w:spacing w:after="0"/>
              <w:rPr>
                <w:sz w:val="20"/>
                <w:szCs w:val="20"/>
                <w:color w:val="auto"/>
              </w:rPr>
            </w:pPr>
            <w:r>
              <w:rPr>
                <w:rFonts w:ascii="Times New Roman" w:cs="Times New Roman" w:eastAsia="Times New Roman" w:hAnsi="Times New Roman"/>
                <w:sz w:val="12"/>
                <w:szCs w:val="12"/>
                <w:b w:val="1"/>
                <w:bCs w:val="1"/>
                <w:color w:val="auto"/>
              </w:rPr>
              <w:t>(Unaudited)</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61"/>
        </w:trPr>
        <w:tc>
          <w:tcPr>
            <w:tcW w:w="8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400" w:type="dxa"/>
            <w:vAlign w:val="bottom"/>
            <w:gridSpan w:val="4"/>
          </w:tcPr>
          <w:p>
            <w:pPr>
              <w:jc w:val="center"/>
              <w:ind w:right="680"/>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amounts)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49"/>
        </w:trPr>
        <w:tc>
          <w:tcPr>
            <w:tcW w:w="8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gridSpan w:val="4"/>
          </w:tcPr>
          <w:p>
            <w:pPr>
              <w:jc w:val="right"/>
              <w:ind w:right="472"/>
              <w:spacing w:after="0"/>
              <w:rPr>
                <w:sz w:val="20"/>
                <w:szCs w:val="20"/>
                <w:color w:val="auto"/>
              </w:rPr>
            </w:pPr>
            <w:r>
              <w:rPr>
                <w:rFonts w:ascii="Times New Roman" w:cs="Times New Roman" w:eastAsia="Times New Roman" w:hAnsi="Times New Roman"/>
                <w:sz w:val="12"/>
                <w:szCs w:val="12"/>
                <w:b w:val="1"/>
                <w:bCs w:val="1"/>
                <w:color w:val="auto"/>
              </w:rPr>
              <w:t>Nine Months Ended</w:t>
            </w:r>
          </w:p>
        </w:tc>
      </w:tr>
      <w:tr>
        <w:trPr>
          <w:trHeight w:val="179"/>
        </w:trPr>
        <w:tc>
          <w:tcPr>
            <w:tcW w:w="8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5"/>
          </w:tcPr>
          <w:p>
            <w:pPr>
              <w:ind w:left="2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22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660" w:type="dxa"/>
            <w:vAlign w:val="bottom"/>
          </w:tcPr>
          <w:p>
            <w:pPr>
              <w:spacing w:after="0"/>
              <w:rPr>
                <w:sz w:val="15"/>
                <w:szCs w:val="15"/>
                <w:color w:val="auto"/>
              </w:rPr>
            </w:pPr>
          </w:p>
        </w:tc>
      </w:tr>
      <w:tr>
        <w:trPr>
          <w:trHeight w:val="174"/>
        </w:trPr>
        <w:tc>
          <w:tcPr>
            <w:tcW w:w="880" w:type="dxa"/>
            <w:vAlign w:val="bottom"/>
            <w:tcBorders>
              <w:bottom w:val="single" w:sz="8" w:color="CCEEFF"/>
            </w:tcBorders>
          </w:tcPr>
          <w:p>
            <w:pPr>
              <w:spacing w:after="0"/>
              <w:rPr>
                <w:sz w:val="15"/>
                <w:szCs w:val="15"/>
                <w:color w:val="auto"/>
              </w:rPr>
            </w:pPr>
          </w:p>
        </w:tc>
        <w:tc>
          <w:tcPr>
            <w:tcW w:w="3160" w:type="dxa"/>
            <w:vAlign w:val="bottom"/>
            <w:tcBorders>
              <w:bottom w:val="single" w:sz="8" w:color="CCEEFF"/>
            </w:tcBorders>
          </w:tcPr>
          <w:p>
            <w:pPr>
              <w:spacing w:after="0"/>
              <w:rPr>
                <w:sz w:val="15"/>
                <w:szCs w:val="15"/>
                <w:color w:val="auto"/>
              </w:rPr>
            </w:pPr>
          </w:p>
        </w:tc>
        <w:tc>
          <w:tcPr>
            <w:tcW w:w="22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2"/>
                <w:szCs w:val="12"/>
                <w:b w:val="1"/>
                <w:bCs w:val="1"/>
                <w:color w:val="auto"/>
              </w:rPr>
              <w:t>2021</w:t>
            </w:r>
          </w:p>
        </w:tc>
        <w:tc>
          <w:tcPr>
            <w:tcW w:w="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172"/>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2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r>
      <w:tr>
        <w:trPr>
          <w:trHeight w:val="183"/>
        </w:trPr>
        <w:tc>
          <w:tcPr>
            <w:tcW w:w="4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5,973</w:t>
            </w:r>
          </w:p>
        </w:tc>
        <w:tc>
          <w:tcPr>
            <w:tcW w:w="100" w:type="dxa"/>
            <w:vAlign w:val="bottom"/>
          </w:tcPr>
          <w:p>
            <w:pPr>
              <w:spacing w:after="0"/>
              <w:rPr>
                <w:sz w:val="15"/>
                <w:szCs w:val="15"/>
                <w:color w:val="auto"/>
              </w:rPr>
            </w:pPr>
          </w:p>
        </w:tc>
        <w:tc>
          <w:tcPr>
            <w:tcW w:w="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4,630</w:t>
            </w:r>
          </w:p>
        </w:tc>
        <w:tc>
          <w:tcPr>
            <w:tcW w:w="80" w:type="dxa"/>
            <w:vAlign w:val="bottom"/>
          </w:tcPr>
          <w:p>
            <w:pPr>
              <w:spacing w:after="0"/>
              <w:rPr>
                <w:sz w:val="15"/>
                <w:szCs w:val="15"/>
                <w:color w:val="auto"/>
              </w:rPr>
            </w:pPr>
          </w:p>
        </w:tc>
        <w:tc>
          <w:tcPr>
            <w:tcW w:w="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16,733</w:t>
            </w:r>
          </w:p>
        </w:tc>
        <w:tc>
          <w:tcPr>
            <w:tcW w:w="80" w:type="dxa"/>
            <w:vAlign w:val="bottom"/>
          </w:tcPr>
          <w:p>
            <w:pPr>
              <w:spacing w:after="0"/>
              <w:rPr>
                <w:sz w:val="15"/>
                <w:szCs w:val="15"/>
                <w:color w:val="auto"/>
              </w:rPr>
            </w:pPr>
          </w:p>
        </w:tc>
        <w:tc>
          <w:tcPr>
            <w:tcW w:w="36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12,451</w:t>
            </w:r>
          </w:p>
        </w:tc>
      </w:tr>
      <w:tr>
        <w:trPr>
          <w:trHeight w:val="21"/>
        </w:trPr>
        <w:tc>
          <w:tcPr>
            <w:tcW w:w="40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4"/>
        </w:trPr>
        <w:tc>
          <w:tcPr>
            <w:tcW w:w="40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8,973</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7,197</w:t>
            </w:r>
          </w:p>
        </w:tc>
      </w:tr>
      <w:tr>
        <w:trPr>
          <w:trHeight w:val="173"/>
        </w:trPr>
        <w:tc>
          <w:tcPr>
            <w:tcW w:w="40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Loss from operations</w:t>
            </w:r>
          </w:p>
        </w:tc>
        <w:tc>
          <w:tcPr>
            <w:tcW w:w="2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(8,771)</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(7,736)</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(25,706)</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(19,648)</w:t>
            </w:r>
          </w:p>
        </w:tc>
      </w:tr>
      <w:tr>
        <w:trPr>
          <w:trHeight w:val="21"/>
        </w:trPr>
        <w:tc>
          <w:tcPr>
            <w:tcW w:w="40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4"/>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(expense) income, net:</w:t>
            </w:r>
          </w:p>
        </w:tc>
        <w:tc>
          <w:tcPr>
            <w:tcW w:w="2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r>
      <w:tr>
        <w:trPr>
          <w:trHeight w:val="183"/>
        </w:trPr>
        <w:tc>
          <w:tcPr>
            <w:tcW w:w="4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Interest expense</w:t>
            </w:r>
          </w:p>
        </w:tc>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w:t>
            </w:r>
          </w:p>
        </w:tc>
      </w:tr>
      <w:tr>
        <w:trPr>
          <w:trHeight w:val="21"/>
        </w:trPr>
        <w:tc>
          <w:tcPr>
            <w:tcW w:w="40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4"/>
        </w:trPr>
        <w:tc>
          <w:tcPr>
            <w:tcW w:w="40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 and other (expense) income, net</w:t>
            </w:r>
          </w:p>
        </w:tc>
        <w:tc>
          <w:tcPr>
            <w:tcW w:w="2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73"/>
        </w:trPr>
        <w:tc>
          <w:tcPr>
            <w:tcW w:w="40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Total other (expense) income, net</w:t>
            </w:r>
          </w:p>
        </w:tc>
        <w:tc>
          <w:tcPr>
            <w:tcW w:w="2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(875)</w:t>
            </w:r>
          </w:p>
        </w:tc>
      </w:tr>
      <w:tr>
        <w:trPr>
          <w:trHeight w:val="21"/>
        </w:trPr>
        <w:tc>
          <w:tcPr>
            <w:tcW w:w="4040" w:type="dxa"/>
            <w:vAlign w:val="bottom"/>
            <w:tcBorders>
              <w:bottom w:val="single" w:sz="8" w:color="CCEEFF"/>
            </w:tcBorders>
            <w:gridSpan w:val="2"/>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94"/>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26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(8,947)</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(8,110)</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(26,606)</w:t>
            </w:r>
          </w:p>
        </w:tc>
        <w:tc>
          <w:tcPr>
            <w:tcW w:w="8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(20,523)</w:t>
            </w:r>
          </w:p>
        </w:tc>
      </w:tr>
      <w:tr>
        <w:trPr>
          <w:trHeight w:val="20"/>
        </w:trPr>
        <w:tc>
          <w:tcPr>
            <w:tcW w:w="88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05"/>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per share of common stock, basic and diluted</w:t>
            </w: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w:t>
            </w:r>
          </w:p>
        </w:tc>
      </w:tr>
      <w:tr>
        <w:trPr>
          <w:trHeight w:val="20"/>
        </w:trPr>
        <w:tc>
          <w:tcPr>
            <w:tcW w:w="4040" w:type="dxa"/>
            <w:vAlign w:val="bottom"/>
            <w:tcBorders>
              <w:top w:val="single" w:sz="8" w:color="CCEEFF"/>
            </w:tcBorders>
            <w:gridSpan w:val="2"/>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165"/>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6"/>
              </w:rPr>
              <w:t>Weighted-average shares of common stock outstanding, basic and diluted</w:t>
            </w:r>
          </w:p>
        </w:tc>
        <w:tc>
          <w:tcPr>
            <w:tcW w:w="2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13,635,927</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6,717,655</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10,815,900</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2,739,602</w:t>
            </w:r>
          </w:p>
        </w:tc>
      </w:tr>
      <w:tr>
        <w:trPr>
          <w:trHeight w:val="20"/>
        </w:trPr>
        <w:tc>
          <w:tcPr>
            <w:tcW w:w="88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45"/>
        </w:trPr>
        <w:tc>
          <w:tcPr>
            <w:tcW w:w="404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2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r>
      <w:tr>
        <w:trPr>
          <w:trHeight w:val="18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21"/>
        </w:trPr>
        <w:tc>
          <w:tcPr>
            <w:tcW w:w="4040" w:type="dxa"/>
            <w:vAlign w:val="bottom"/>
            <w:tcBorders>
              <w:bottom w:val="single" w:sz="8" w:color="CCEEFF"/>
            </w:tcBorders>
            <w:gridSpan w:val="2"/>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14"/>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(26,606)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(20,612)</w:t>
            </w:r>
          </w:p>
        </w:tc>
      </w:tr>
      <w:tr>
        <w:trPr>
          <w:trHeight w:val="20"/>
        </w:trPr>
        <w:tc>
          <w:tcPr>
            <w:tcW w:w="88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61595</wp:posOffset>
            </wp:positionV>
            <wp:extent cx="719137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660"/>
          </w:cols>
          <w:pgMar w:left="540" w:top="308" w:right="6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2"/>
          <w:szCs w:val="12"/>
          <w:b w:val="1"/>
          <w:bCs w:val="1"/>
          <w:color w:val="auto"/>
        </w:rPr>
        <w:t>TEMPEST THERAPEUTICS, INC.</w:t>
      </w:r>
    </w:p>
    <w:p>
      <w:pPr>
        <w:spacing w:after="0" w:line="5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Stockholders’ Equity</w:t>
      </w:r>
    </w:p>
    <w:p>
      <w:pPr>
        <w:spacing w:after="0" w:line="2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2"/>
          <w:szCs w:val="12"/>
          <w:b w:val="1"/>
          <w:b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Three and Nine Months Ended September 30, 2022</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22"/>
        </w:trPr>
        <w:tc>
          <w:tcPr>
            <w:tcW w:w="3760" w:type="dxa"/>
            <w:vAlign w:val="bottom"/>
          </w:tcPr>
          <w:p>
            <w:pPr>
              <w:spacing w:after="0"/>
              <w:rPr>
                <w:sz w:val="24"/>
                <w:szCs w:val="24"/>
                <w:color w:val="auto"/>
              </w:rPr>
            </w:pPr>
          </w:p>
        </w:tc>
        <w:tc>
          <w:tcPr>
            <w:tcW w:w="1920" w:type="dxa"/>
            <w:vAlign w:val="bottom"/>
            <w:gridSpan w:val="4"/>
          </w:tcPr>
          <w:p>
            <w:pPr>
              <w:ind w:left="5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30"/>
        </w:trPr>
        <w:tc>
          <w:tcPr>
            <w:tcW w:w="376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173"/>
              <w:spacing w:after="0" w:line="130"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11"/>
                <w:szCs w:val="11"/>
                <w:color w:val="auto"/>
              </w:rPr>
            </w:pPr>
          </w:p>
        </w:tc>
        <w:tc>
          <w:tcPr>
            <w:tcW w:w="1360" w:type="dxa"/>
            <w:vAlign w:val="bottom"/>
          </w:tcPr>
          <w:p>
            <w:pPr>
              <w:ind w:left="40"/>
              <w:spacing w:after="0" w:line="130" w:lineRule="exact"/>
              <w:rPr>
                <w:sz w:val="20"/>
                <w:szCs w:val="20"/>
                <w:color w:val="auto"/>
              </w:rPr>
            </w:pPr>
            <w:r>
              <w:rPr>
                <w:rFonts w:ascii="Times New Roman" w:cs="Times New Roman" w:eastAsia="Times New Roman" w:hAnsi="Times New Roman"/>
                <w:sz w:val="12"/>
                <w:szCs w:val="12"/>
                <w:b w:val="1"/>
                <w:bCs w:val="1"/>
                <w:color w:val="auto"/>
              </w:rPr>
              <w:t>Accumulated Other</w:t>
            </w:r>
          </w:p>
        </w:tc>
        <w:tc>
          <w:tcPr>
            <w:tcW w:w="980" w:type="dxa"/>
            <w:vAlign w:val="bottom"/>
          </w:tcPr>
          <w:p>
            <w:pPr>
              <w:jc w:val="right"/>
              <w:ind w:right="153"/>
              <w:spacing w:after="0" w:line="130"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160" w:type="dxa"/>
            <w:vAlign w:val="bottom"/>
            <w:gridSpan w:val="2"/>
          </w:tcPr>
          <w:p>
            <w:pPr>
              <w:jc w:val="right"/>
              <w:ind w:right="12"/>
              <w:spacing w:after="0" w:line="130" w:lineRule="exact"/>
              <w:rPr>
                <w:sz w:val="20"/>
                <w:szCs w:val="20"/>
                <w:color w:val="auto"/>
              </w:rPr>
            </w:pPr>
            <w:r>
              <w:rPr>
                <w:rFonts w:ascii="Times New Roman" w:cs="Times New Roman" w:eastAsia="Times New Roman" w:hAnsi="Times New Roman"/>
                <w:sz w:val="12"/>
                <w:szCs w:val="12"/>
                <w:b w:val="1"/>
                <w:bCs w:val="1"/>
                <w:color w:val="auto"/>
              </w:rPr>
              <w:t>Total Stockholders'</w:t>
            </w:r>
          </w:p>
        </w:tc>
      </w:tr>
      <w:tr>
        <w:trPr>
          <w:trHeight w:val="169"/>
        </w:trPr>
        <w:tc>
          <w:tcPr>
            <w:tcW w:w="3760" w:type="dxa"/>
            <w:vAlign w:val="bottom"/>
          </w:tcPr>
          <w:p>
            <w:pPr>
              <w:spacing w:after="0"/>
              <w:rPr>
                <w:sz w:val="14"/>
                <w:szCs w:val="14"/>
                <w:color w:val="auto"/>
              </w:rPr>
            </w:pPr>
          </w:p>
        </w:tc>
        <w:tc>
          <w:tcPr>
            <w:tcW w:w="940" w:type="dxa"/>
            <w:vAlign w:val="bottom"/>
          </w:tcPr>
          <w:p>
            <w:pPr>
              <w:jc w:val="right"/>
              <w:ind w:right="213"/>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14"/>
                <w:szCs w:val="14"/>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2"/>
                <w:szCs w:val="12"/>
                <w:b w:val="1"/>
                <w:bCs w:val="1"/>
                <w:color w:val="auto"/>
              </w:rPr>
              <w:t>Paid-In Capital</w:t>
            </w:r>
          </w:p>
        </w:tc>
        <w:tc>
          <w:tcPr>
            <w:tcW w:w="120" w:type="dxa"/>
            <w:vAlign w:val="bottom"/>
          </w:tcPr>
          <w:p>
            <w:pPr>
              <w:spacing w:after="0"/>
              <w:rPr>
                <w:sz w:val="14"/>
                <w:szCs w:val="1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Comprehensive Loss</w:t>
            </w:r>
          </w:p>
        </w:tc>
        <w:tc>
          <w:tcPr>
            <w:tcW w:w="980" w:type="dxa"/>
            <w:vAlign w:val="bottom"/>
          </w:tcPr>
          <w:p>
            <w:pPr>
              <w:jc w:val="right"/>
              <w:ind w:right="313"/>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240" w:type="dxa"/>
            <w:vAlign w:val="bottom"/>
          </w:tcPr>
          <w:p>
            <w:pPr>
              <w:spacing w:after="0"/>
              <w:rPr>
                <w:sz w:val="14"/>
                <w:szCs w:val="14"/>
                <w:color w:val="auto"/>
              </w:rPr>
            </w:pPr>
          </w:p>
        </w:tc>
        <w:tc>
          <w:tcPr>
            <w:tcW w:w="920" w:type="dxa"/>
            <w:vAlign w:val="bottom"/>
          </w:tcPr>
          <w:p>
            <w:pPr>
              <w:jc w:val="right"/>
              <w:ind w:right="332"/>
              <w:spacing w:after="0"/>
              <w:rPr>
                <w:sz w:val="20"/>
                <w:szCs w:val="20"/>
                <w:color w:val="auto"/>
              </w:rPr>
            </w:pPr>
            <w:r>
              <w:rPr>
                <w:rFonts w:ascii="Times New Roman" w:cs="Times New Roman" w:eastAsia="Times New Roman" w:hAnsi="Times New Roman"/>
                <w:sz w:val="12"/>
                <w:szCs w:val="12"/>
                <w:b w:val="1"/>
                <w:bCs w:val="1"/>
                <w:color w:val="auto"/>
              </w:rPr>
              <w:t>Equity</w:t>
            </w:r>
          </w:p>
        </w:tc>
      </w:tr>
      <w:tr>
        <w:trPr>
          <w:trHeight w:val="182"/>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 December 31, 2021</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6,910,324</w:t>
            </w:r>
          </w:p>
        </w:tc>
        <w:tc>
          <w:tcPr>
            <w:tcW w:w="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136,173</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(100,063)</w:t>
            </w:r>
          </w:p>
        </w:tc>
        <w:tc>
          <w:tcPr>
            <w:tcW w:w="24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36,117</w:t>
            </w:r>
          </w:p>
        </w:tc>
      </w:tr>
      <w:tr>
        <w:trPr>
          <w:trHeight w:val="183"/>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cash, net of issuance cost of $44</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262,770</w:t>
            </w:r>
          </w:p>
        </w:tc>
        <w:tc>
          <w:tcPr>
            <w:tcW w:w="1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120" w:type="dxa"/>
            <w:vAlign w:val="bottom"/>
          </w:tcPr>
          <w:p>
            <w:pPr>
              <w:spacing w:after="0"/>
              <w:rPr>
                <w:sz w:val="15"/>
                <w:szCs w:val="15"/>
                <w:color w:val="auto"/>
              </w:rPr>
            </w:pPr>
          </w:p>
        </w:tc>
        <w:tc>
          <w:tcPr>
            <w:tcW w:w="136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w:t>
            </w:r>
          </w:p>
        </w:tc>
      </w:tr>
      <w:tr>
        <w:trPr>
          <w:trHeight w:val="21"/>
        </w:trPr>
        <w:tc>
          <w:tcPr>
            <w:tcW w:w="3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4"/>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r>
      <w:tr>
        <w:trPr>
          <w:trHeight w:val="183"/>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6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(8,491)</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(8,491)</w:t>
            </w:r>
          </w:p>
        </w:tc>
      </w:tr>
      <w:tr>
        <w:trPr>
          <w:trHeight w:val="21"/>
        </w:trPr>
        <w:tc>
          <w:tcPr>
            <w:tcW w:w="37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4"/>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 March 31, 2022</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7,173,094</w:t>
            </w: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137,904</w:t>
            </w: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(108,554)</w:t>
            </w:r>
          </w:p>
        </w:tc>
        <w:tc>
          <w:tcPr>
            <w:tcW w:w="2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29,357</w:t>
            </w:r>
          </w:p>
        </w:tc>
      </w:tr>
      <w:tr>
        <w:trPr>
          <w:trHeight w:val="183"/>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cash, net of issuance cost of $343</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3,152,265</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7,092</w:t>
            </w:r>
          </w:p>
        </w:tc>
        <w:tc>
          <w:tcPr>
            <w:tcW w:w="120" w:type="dxa"/>
            <w:vAlign w:val="bottom"/>
          </w:tcPr>
          <w:p>
            <w:pPr>
              <w:spacing w:after="0"/>
              <w:rPr>
                <w:sz w:val="15"/>
                <w:szCs w:val="15"/>
                <w:color w:val="auto"/>
              </w:rPr>
            </w:pPr>
          </w:p>
        </w:tc>
        <w:tc>
          <w:tcPr>
            <w:tcW w:w="136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7,095</w:t>
            </w:r>
          </w:p>
        </w:tc>
      </w:tr>
      <w:tr>
        <w:trPr>
          <w:trHeight w:val="21"/>
        </w:trPr>
        <w:tc>
          <w:tcPr>
            <w:tcW w:w="3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4"/>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r>
      <w:tr>
        <w:trPr>
          <w:trHeight w:val="183"/>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pre-funded warrants, net of issuance cost of $283</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7,281</w:t>
            </w:r>
          </w:p>
        </w:tc>
        <w:tc>
          <w:tcPr>
            <w:tcW w:w="120" w:type="dxa"/>
            <w:vAlign w:val="bottom"/>
          </w:tcPr>
          <w:p>
            <w:pPr>
              <w:spacing w:after="0"/>
              <w:rPr>
                <w:sz w:val="15"/>
                <w:szCs w:val="15"/>
                <w:color w:val="auto"/>
              </w:rPr>
            </w:pPr>
          </w:p>
        </w:tc>
        <w:tc>
          <w:tcPr>
            <w:tcW w:w="136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7,281</w:t>
            </w:r>
          </w:p>
        </w:tc>
      </w:tr>
      <w:tr>
        <w:trPr>
          <w:trHeight w:val="21"/>
        </w:trPr>
        <w:tc>
          <w:tcPr>
            <w:tcW w:w="3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4"/>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(9,168)</w:t>
            </w: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(9,168)</w:t>
            </w:r>
          </w:p>
        </w:tc>
      </w:tr>
      <w:tr>
        <w:trPr>
          <w:trHeight w:val="173"/>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 June 30, 2022</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10,325,359</w:t>
            </w: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152,644</w:t>
            </w: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(117,722)</w:t>
            </w: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34,932</w:t>
            </w:r>
          </w:p>
        </w:tc>
      </w:tr>
      <w:tr>
        <w:trPr>
          <w:trHeight w:val="21"/>
        </w:trPr>
        <w:tc>
          <w:tcPr>
            <w:tcW w:w="3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4"/>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cash, net of issuance cost of $111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191,740</w:t>
            </w: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r>
      <w:tr>
        <w:trPr>
          <w:trHeight w:val="183"/>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20" w:type="dxa"/>
            <w:vAlign w:val="bottom"/>
          </w:tcPr>
          <w:p>
            <w:pPr>
              <w:spacing w:after="0"/>
              <w:rPr>
                <w:sz w:val="15"/>
                <w:szCs w:val="15"/>
                <w:color w:val="auto"/>
              </w:rPr>
            </w:pPr>
          </w:p>
        </w:tc>
        <w:tc>
          <w:tcPr>
            <w:tcW w:w="136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r>
      <w:tr>
        <w:trPr>
          <w:trHeight w:val="21"/>
        </w:trPr>
        <w:tc>
          <w:tcPr>
            <w:tcW w:w="3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4"/>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(8,947)</w:t>
            </w: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(8,947)</w:t>
            </w:r>
          </w:p>
        </w:tc>
      </w:tr>
      <w:tr>
        <w:trPr>
          <w:trHeight w:val="194"/>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 September 30, 2022</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10,517,099</w:t>
            </w:r>
          </w:p>
        </w:tc>
        <w:tc>
          <w:tcPr>
            <w:tcW w:w="1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6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153,432</w:t>
            </w:r>
          </w:p>
        </w:tc>
        <w:tc>
          <w:tcPr>
            <w:tcW w:w="12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(126,669)</w:t>
            </w:r>
          </w:p>
        </w:tc>
        <w:tc>
          <w:tcPr>
            <w:tcW w:w="2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26,773</w:t>
            </w:r>
          </w:p>
        </w:tc>
      </w:tr>
      <w:tr>
        <w:trPr>
          <w:trHeight w:val="20"/>
        </w:trPr>
        <w:tc>
          <w:tcPr>
            <w:tcW w:w="3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61595</wp:posOffset>
            </wp:positionV>
            <wp:extent cx="719137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380"/>
          </w:cols>
          <w:pgMar w:left="540" w:top="312" w:right="9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2"/>
          <w:szCs w:val="12"/>
          <w:b w:val="1"/>
          <w:bCs w:val="1"/>
          <w:color w:val="auto"/>
        </w:rPr>
        <w:t>TEMPEST THERAPEUTICS, INC.</w:t>
      </w:r>
    </w:p>
    <w:p>
      <w:pPr>
        <w:spacing w:after="0" w:line="5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Stockholders’ Equity</w:t>
      </w:r>
    </w:p>
    <w:p>
      <w:pPr>
        <w:spacing w:after="0" w:line="2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2"/>
          <w:szCs w:val="12"/>
          <w:b w:val="1"/>
          <w:b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Three and Nine Months Ended September 30, 2021</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38"/>
        </w:trPr>
        <w:tc>
          <w:tcPr>
            <w:tcW w:w="3740" w:type="dxa"/>
            <w:vAlign w:val="bottom"/>
          </w:tcPr>
          <w:p>
            <w:pPr>
              <w:spacing w:after="0"/>
              <w:rPr>
                <w:sz w:val="24"/>
                <w:szCs w:val="24"/>
                <w:color w:val="auto"/>
              </w:rPr>
            </w:pPr>
          </w:p>
        </w:tc>
        <w:tc>
          <w:tcPr>
            <w:tcW w:w="1800" w:type="dxa"/>
            <w:vAlign w:val="bottom"/>
            <w:tcBorders>
              <w:bottom w:val="single" w:sz="8" w:color="auto"/>
            </w:tcBorders>
            <w:gridSpan w:val="3"/>
          </w:tcPr>
          <w:p>
            <w:pPr>
              <w:jc w:val="right"/>
              <w:ind w:right="432"/>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16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Total Stockholders'</w:t>
            </w:r>
          </w:p>
        </w:tc>
      </w:tr>
      <w:tr>
        <w:trPr>
          <w:trHeight w:val="167"/>
        </w:trPr>
        <w:tc>
          <w:tcPr>
            <w:tcW w:w="3740" w:type="dxa"/>
            <w:vAlign w:val="bottom"/>
          </w:tcPr>
          <w:p>
            <w:pPr>
              <w:spacing w:after="0"/>
              <w:rPr>
                <w:sz w:val="14"/>
                <w:szCs w:val="14"/>
                <w:color w:val="auto"/>
              </w:rPr>
            </w:pPr>
          </w:p>
        </w:tc>
        <w:tc>
          <w:tcPr>
            <w:tcW w:w="880" w:type="dxa"/>
            <w:vAlign w:val="bottom"/>
          </w:tcPr>
          <w:p>
            <w:pPr>
              <w:jc w:val="right"/>
              <w:ind w:right="19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4"/>
                <w:szCs w:val="14"/>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2"/>
                <w:szCs w:val="12"/>
                <w:b w:val="1"/>
                <w:bCs w:val="1"/>
                <w:color w:val="auto"/>
              </w:rPr>
              <w:t>Paid-In Capital</w:t>
            </w:r>
          </w:p>
        </w:tc>
        <w:tc>
          <w:tcPr>
            <w:tcW w:w="100" w:type="dxa"/>
            <w:vAlign w:val="bottom"/>
          </w:tcPr>
          <w:p>
            <w:pPr>
              <w:spacing w:after="0"/>
              <w:rPr>
                <w:sz w:val="14"/>
                <w:szCs w:val="1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Comprehensive Loss</w:t>
            </w:r>
          </w:p>
        </w:tc>
        <w:tc>
          <w:tcPr>
            <w:tcW w:w="160" w:type="dxa"/>
            <w:vAlign w:val="bottom"/>
          </w:tcPr>
          <w:p>
            <w:pPr>
              <w:spacing w:after="0"/>
              <w:rPr>
                <w:sz w:val="14"/>
                <w:szCs w:val="14"/>
                <w:color w:val="auto"/>
              </w:rPr>
            </w:pPr>
          </w:p>
        </w:tc>
        <w:tc>
          <w:tcPr>
            <w:tcW w:w="960" w:type="dxa"/>
            <w:vAlign w:val="bottom"/>
          </w:tcPr>
          <w:p>
            <w:pPr>
              <w:jc w:val="right"/>
              <w:ind w:right="312"/>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240" w:type="dxa"/>
            <w:vAlign w:val="bottom"/>
          </w:tcPr>
          <w:p>
            <w:pPr>
              <w:spacing w:after="0"/>
              <w:rPr>
                <w:sz w:val="14"/>
                <w:szCs w:val="14"/>
                <w:color w:val="auto"/>
              </w:rPr>
            </w:pPr>
          </w:p>
        </w:tc>
        <w:tc>
          <w:tcPr>
            <w:tcW w:w="920" w:type="dxa"/>
            <w:vAlign w:val="bottom"/>
          </w:tcPr>
          <w:p>
            <w:pPr>
              <w:jc w:val="right"/>
              <w:ind w:right="332"/>
              <w:spacing w:after="0"/>
              <w:rPr>
                <w:sz w:val="20"/>
                <w:szCs w:val="20"/>
                <w:color w:val="auto"/>
              </w:rPr>
            </w:pPr>
            <w:r>
              <w:rPr>
                <w:rFonts w:ascii="Times New Roman" w:cs="Times New Roman" w:eastAsia="Times New Roman" w:hAnsi="Times New Roman"/>
                <w:sz w:val="12"/>
                <w:szCs w:val="12"/>
                <w:b w:val="1"/>
                <w:bCs w:val="1"/>
                <w:color w:val="auto"/>
              </w:rPr>
              <w:t>Equity</w:t>
            </w:r>
          </w:p>
        </w:tc>
      </w:tr>
      <w:tr>
        <w:trPr>
          <w:trHeight w:val="182"/>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 December 31, 2020</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498,224</w:t>
            </w:r>
          </w:p>
        </w:tc>
        <w:tc>
          <w:tcPr>
            <w:tcW w:w="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2,967</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(71,761)</w:t>
            </w:r>
          </w:p>
        </w:tc>
        <w:tc>
          <w:tcPr>
            <w:tcW w:w="24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(68,793)</w:t>
            </w:r>
          </w:p>
        </w:tc>
      </w:tr>
      <w:tr>
        <w:trPr>
          <w:trHeight w:val="183"/>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4,368</w:t>
            </w:r>
          </w:p>
        </w:tc>
        <w:tc>
          <w:tcPr>
            <w:tcW w:w="1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5"/>
                <w:szCs w:val="15"/>
                <w:color w:val="auto"/>
              </w:rPr>
            </w:pPr>
          </w:p>
        </w:tc>
        <w:tc>
          <w:tcPr>
            <w:tcW w:w="12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1"/>
        </w:trPr>
        <w:tc>
          <w:tcPr>
            <w:tcW w:w="3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4"/>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early exercised stock options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11,916</w:t>
            </w: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83"/>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5"/>
                <w:szCs w:val="15"/>
                <w:color w:val="auto"/>
              </w:rPr>
            </w:pPr>
          </w:p>
        </w:tc>
        <w:tc>
          <w:tcPr>
            <w:tcW w:w="12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21"/>
        </w:trPr>
        <w:tc>
          <w:tcPr>
            <w:tcW w:w="3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4"/>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(5,355)</w:t>
            </w: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(5,355)</w:t>
            </w:r>
          </w:p>
        </w:tc>
      </w:tr>
      <w:tr>
        <w:trPr>
          <w:trHeight w:val="173"/>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 March 31, 2021</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514,508</w:t>
            </w:r>
          </w:p>
        </w:tc>
        <w:tc>
          <w:tcPr>
            <w:tcW w:w="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3,164</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gridSpan w:val="2"/>
          </w:tcPr>
          <w:p>
            <w:pPr>
              <w:ind w:left="104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(77,116)</w:t>
            </w:r>
          </w:p>
        </w:tc>
        <w:tc>
          <w:tcPr>
            <w:tcW w:w="24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(73,951)</w:t>
            </w:r>
          </w:p>
        </w:tc>
      </w:tr>
      <w:tr>
        <w:trPr>
          <w:trHeight w:val="21"/>
        </w:trPr>
        <w:tc>
          <w:tcPr>
            <w:tcW w:w="3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4"/>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6,285</w:t>
            </w: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83"/>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early exercised 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8,314</w:t>
            </w:r>
          </w:p>
        </w:tc>
        <w:tc>
          <w:tcPr>
            <w:tcW w:w="1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5"/>
                <w:szCs w:val="15"/>
                <w:color w:val="auto"/>
              </w:rPr>
            </w:pPr>
          </w:p>
        </w:tc>
        <w:tc>
          <w:tcPr>
            <w:tcW w:w="12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1"/>
        </w:trPr>
        <w:tc>
          <w:tcPr>
            <w:tcW w:w="3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4"/>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Conversion of preferred stock to common stock</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3,692,912</w:t>
            </w: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86,703</w:t>
            </w: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86,707</w:t>
            </w:r>
          </w:p>
        </w:tc>
      </w:tr>
      <w:tr>
        <w:trPr>
          <w:trHeight w:val="183"/>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cash</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1,136,849</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30,009</w:t>
            </w:r>
          </w:p>
        </w:tc>
        <w:tc>
          <w:tcPr>
            <w:tcW w:w="100" w:type="dxa"/>
            <w:vAlign w:val="bottom"/>
          </w:tcPr>
          <w:p>
            <w:pPr>
              <w:spacing w:after="0"/>
              <w:rPr>
                <w:sz w:val="15"/>
                <w:szCs w:val="15"/>
                <w:color w:val="auto"/>
              </w:rPr>
            </w:pPr>
          </w:p>
        </w:tc>
        <w:tc>
          <w:tcPr>
            <w:tcW w:w="12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30,010</w:t>
            </w:r>
          </w:p>
        </w:tc>
      </w:tr>
      <w:tr>
        <w:trPr>
          <w:trHeight w:val="21"/>
        </w:trPr>
        <w:tc>
          <w:tcPr>
            <w:tcW w:w="3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4"/>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w:t>
            </w:r>
          </w:p>
        </w:tc>
      </w:tr>
      <w:tr>
        <w:trPr>
          <w:trHeight w:val="183"/>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Reverse capitalization transaction costs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(6,074)</w:t>
            </w:r>
          </w:p>
        </w:tc>
        <w:tc>
          <w:tcPr>
            <w:tcW w:w="100" w:type="dxa"/>
            <w:vAlign w:val="bottom"/>
          </w:tcPr>
          <w:p>
            <w:pPr>
              <w:spacing w:after="0"/>
              <w:rPr>
                <w:sz w:val="15"/>
                <w:szCs w:val="15"/>
                <w:color w:val="auto"/>
              </w:rPr>
            </w:pPr>
          </w:p>
        </w:tc>
        <w:tc>
          <w:tcPr>
            <w:tcW w:w="12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(6,074)</w:t>
            </w:r>
          </w:p>
        </w:tc>
      </w:tr>
      <w:tr>
        <w:trPr>
          <w:trHeight w:val="21"/>
        </w:trPr>
        <w:tc>
          <w:tcPr>
            <w:tcW w:w="3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71"/>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Record pre-merger Millendo stockholders' equity and elimination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1,269,446</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18,001</w:t>
            </w:r>
          </w:p>
        </w:tc>
      </w:tr>
      <w:tr>
        <w:trPr>
          <w:trHeight w:val="177"/>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 Millendo historical accumulated deficit</w:t>
            </w:r>
          </w:p>
        </w:tc>
        <w:tc>
          <w:tcPr>
            <w:tcW w:w="8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r>
      <w:tr>
        <w:trPr>
          <w:trHeight w:val="183"/>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(7,058)</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(7,058)</w:t>
            </w:r>
          </w:p>
        </w:tc>
      </w:tr>
      <w:tr>
        <w:trPr>
          <w:trHeight w:val="21"/>
        </w:trPr>
        <w:tc>
          <w:tcPr>
            <w:tcW w:w="37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4"/>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 June 30, 2021</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6,628,314</w:t>
            </w:r>
          </w:p>
        </w:tc>
        <w:tc>
          <w:tcPr>
            <w:tcW w:w="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132,281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(84,174)</w:t>
            </w:r>
          </w:p>
        </w:tc>
        <w:tc>
          <w:tcPr>
            <w:tcW w:w="2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48,114</w:t>
            </w:r>
          </w:p>
        </w:tc>
      </w:tr>
      <w:tr>
        <w:trPr>
          <w:trHeight w:val="183"/>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20" w:type="dxa"/>
            <w:vAlign w:val="bottom"/>
          </w:tcPr>
          <w:p>
            <w:pPr>
              <w:ind w:left="980"/>
              <w:spacing w:after="0"/>
              <w:rPr>
                <w:sz w:val="20"/>
                <w:szCs w:val="20"/>
                <w:color w:val="auto"/>
              </w:rPr>
            </w:pPr>
            <w:r>
              <w:rPr>
                <w:rFonts w:ascii="Times New Roman" w:cs="Times New Roman" w:eastAsia="Times New Roman" w:hAnsi="Times New Roman"/>
                <w:sz w:val="14"/>
                <w:szCs w:val="14"/>
                <w:color w:val="auto"/>
                <w:w w:val="94"/>
              </w:rPr>
              <w:t>(89)</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21"/>
        </w:trPr>
        <w:tc>
          <w:tcPr>
            <w:tcW w:w="3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4"/>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15,226</w:t>
            </w: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83"/>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early exercised 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8,631</w:t>
            </w:r>
          </w:p>
        </w:tc>
        <w:tc>
          <w:tcPr>
            <w:tcW w:w="1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5"/>
                <w:szCs w:val="15"/>
                <w:color w:val="auto"/>
              </w:rPr>
            </w:pPr>
          </w:p>
        </w:tc>
        <w:tc>
          <w:tcPr>
            <w:tcW w:w="12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1"/>
        </w:trPr>
        <w:tc>
          <w:tcPr>
            <w:tcW w:w="3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4"/>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cash, net of issuance cost of $349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248,424</w:t>
            </w: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3,513</w:t>
            </w: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3,513</w:t>
            </w:r>
          </w:p>
        </w:tc>
      </w:tr>
      <w:tr>
        <w:trPr>
          <w:trHeight w:val="183"/>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Pr>
          <w:p>
            <w:pPr>
              <w:spacing w:after="0"/>
              <w:rPr>
                <w:sz w:val="15"/>
                <w:szCs w:val="15"/>
                <w:color w:val="auto"/>
              </w:rPr>
            </w:pPr>
          </w:p>
        </w:tc>
        <w:tc>
          <w:tcPr>
            <w:tcW w:w="12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r>
      <w:tr>
        <w:trPr>
          <w:trHeight w:val="21"/>
        </w:trPr>
        <w:tc>
          <w:tcPr>
            <w:tcW w:w="3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4"/>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Reverse recapitalization transaction costs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r>
      <w:tr>
        <w:trPr>
          <w:trHeight w:val="183"/>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warrants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5"/>
                <w:szCs w:val="15"/>
                <w:color w:val="auto"/>
              </w:rPr>
            </w:pPr>
          </w:p>
        </w:tc>
        <w:tc>
          <w:tcPr>
            <w:tcW w:w="12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21"/>
        </w:trPr>
        <w:tc>
          <w:tcPr>
            <w:tcW w:w="3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4"/>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(8,110)</w:t>
            </w: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(8,110)</w:t>
            </w:r>
          </w:p>
        </w:tc>
      </w:tr>
      <w:tr>
        <w:trPr>
          <w:trHeight w:val="194"/>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 September 30, 2021</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6,900,595</w:t>
            </w:r>
          </w:p>
        </w:tc>
        <w:tc>
          <w:tcPr>
            <w:tcW w:w="1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135,902</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w w:val="94"/>
              </w:rPr>
              <w:t>(89)</w:t>
            </w: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(92,284)</w:t>
            </w: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(43,536)</w:t>
            </w:r>
          </w:p>
        </w:tc>
      </w:tr>
      <w:tr>
        <w:trPr>
          <w:trHeight w:val="20"/>
        </w:trPr>
        <w:tc>
          <w:tcPr>
            <w:tcW w:w="3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61595</wp:posOffset>
            </wp:positionV>
            <wp:extent cx="719137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320"/>
          </w:cols>
          <w:pgMar w:left="540" w:top="312" w:right="10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2"/>
          <w:szCs w:val="12"/>
          <w:b w:val="1"/>
          <w:bCs w:val="1"/>
          <w:color w:val="auto"/>
        </w:rPr>
        <w:t>TEMPEST THERAPEUTICS, INC.</w:t>
      </w:r>
    </w:p>
    <w:p>
      <w:pPr>
        <w:spacing w:after="0" w:line="2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spacing w:after="0" w:line="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32"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1"/>
          <w:szCs w:val="11"/>
          <w:b w:val="1"/>
          <w:bCs w:val="1"/>
          <w:color w:val="auto"/>
        </w:rPr>
        <w:t>For The Nine Months</w:t>
      </w:r>
    </w:p>
    <w:p>
      <w:pPr>
        <w:spacing w:after="0" w:line="17"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1"/>
          <w:szCs w:val="11"/>
          <w:b w:val="1"/>
          <w:bCs w:val="1"/>
          <w:color w:val="auto"/>
        </w:rPr>
        <w:t>Ended September 30,</w:t>
      </w:r>
    </w:p>
    <w:p>
      <w:pPr>
        <w:spacing w:after="0" w:line="16" w:lineRule="exact"/>
        <w:rPr>
          <w:sz w:val="20"/>
          <w:szCs w:val="20"/>
          <w:color w:val="auto"/>
        </w:rPr>
      </w:pPr>
    </w:p>
    <w:tbl>
      <w:tblPr>
        <w:tblLayout w:type="fixed"/>
        <w:tblInd w:w="140" w:type="dxa"/>
        <w:tblCellMar>
          <w:top w:w="0" w:type="dxa"/>
          <w:left w:w="0" w:type="dxa"/>
          <w:bottom w:w="0" w:type="dxa"/>
          <w:right w:w="0" w:type="dxa"/>
        </w:tblCellMar>
      </w:tblPr>
      <w:tr>
        <w:trPr>
          <w:trHeight w:val="155"/>
        </w:trPr>
        <w:tc>
          <w:tcPr>
            <w:tcW w:w="7320" w:type="dxa"/>
            <w:vAlign w:val="bottom"/>
          </w:tcPr>
          <w:p>
            <w:pPr>
              <w:spacing w:after="0"/>
              <w:rPr>
                <w:sz w:val="13"/>
                <w:szCs w:val="13"/>
                <w:color w:val="auto"/>
              </w:rPr>
            </w:pPr>
          </w:p>
        </w:tc>
        <w:tc>
          <w:tcPr>
            <w:tcW w:w="9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2022</w:t>
            </w: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29"/>
        </w:trPr>
        <w:tc>
          <w:tcPr>
            <w:tcW w:w="73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9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(26,606)</w:t>
            </w:r>
          </w:p>
        </w:tc>
        <w:tc>
          <w:tcPr>
            <w:tcW w:w="120" w:type="dxa"/>
            <w:vAlign w:val="bottom"/>
          </w:tcPr>
          <w:p>
            <w:pPr>
              <w:spacing w:after="0"/>
              <w:rPr>
                <w:sz w:val="15"/>
                <w:szCs w:val="15"/>
                <w:color w:val="auto"/>
              </w:rPr>
            </w:pPr>
          </w:p>
        </w:tc>
        <w:tc>
          <w:tcPr>
            <w:tcW w:w="36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(20,523)</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expense</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0" w:type="dxa"/>
            <w:vAlign w:val="bottom"/>
          </w:tcPr>
          <w:p>
            <w:pPr>
              <w:spacing w:after="0"/>
              <w:rPr>
                <w:sz w:val="1"/>
                <w:szCs w:val="1"/>
                <w:color w:val="auto"/>
              </w:rPr>
            </w:pPr>
          </w:p>
        </w:tc>
      </w:tr>
      <w:tr>
        <w:trPr>
          <w:trHeight w:val="183"/>
        </w:trPr>
        <w:tc>
          <w:tcPr>
            <w:tcW w:w="7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Non-cash lease expense</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Non-cash interest and other expense, net</w:t>
            </w: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0" w:type="dxa"/>
            <w:vAlign w:val="bottom"/>
          </w:tcPr>
          <w:p>
            <w:pPr>
              <w:spacing w:after="0"/>
              <w:rPr>
                <w:sz w:val="1"/>
                <w:szCs w:val="1"/>
                <w:color w:val="auto"/>
              </w:rPr>
            </w:pPr>
          </w:p>
        </w:tc>
      </w:tr>
      <w:tr>
        <w:trPr>
          <w:trHeight w:val="183"/>
        </w:trPr>
        <w:tc>
          <w:tcPr>
            <w:tcW w:w="7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3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183"/>
        </w:trPr>
        <w:tc>
          <w:tcPr>
            <w:tcW w:w="7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Accounts payable</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3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0" w:type="dxa"/>
            <w:vAlign w:val="bottom"/>
          </w:tcPr>
          <w:p>
            <w:pPr>
              <w:spacing w:after="0"/>
              <w:rPr>
                <w:sz w:val="1"/>
                <w:szCs w:val="1"/>
                <w:color w:val="auto"/>
              </w:rPr>
            </w:pPr>
          </w:p>
        </w:tc>
      </w:tr>
      <w:tr>
        <w:trPr>
          <w:trHeight w:val="183"/>
        </w:trPr>
        <w:tc>
          <w:tcPr>
            <w:tcW w:w="7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Interest payable</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3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9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0" w:type="dxa"/>
            <w:vAlign w:val="bottom"/>
          </w:tcPr>
          <w:p>
            <w:pPr>
              <w:spacing w:after="0"/>
              <w:rPr>
                <w:sz w:val="1"/>
                <w:szCs w:val="1"/>
                <w:color w:val="auto"/>
              </w:rPr>
            </w:pPr>
          </w:p>
        </w:tc>
      </w:tr>
      <w:tr>
        <w:trPr>
          <w:trHeight w:val="173"/>
        </w:trPr>
        <w:tc>
          <w:tcPr>
            <w:tcW w:w="732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Cash used in operating activities</w:t>
            </w:r>
          </w:p>
        </w:tc>
        <w:tc>
          <w:tcPr>
            <w:tcW w:w="9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(24,593)</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(17,972)</w:t>
            </w:r>
          </w:p>
        </w:tc>
        <w:tc>
          <w:tcPr>
            <w:tcW w:w="0" w:type="dxa"/>
            <w:vAlign w:val="bottom"/>
          </w:tcPr>
          <w:p>
            <w:pPr>
              <w:spacing w:after="0"/>
              <w:rPr>
                <w:sz w:val="1"/>
                <w:szCs w:val="1"/>
                <w:color w:val="auto"/>
              </w:rPr>
            </w:pPr>
          </w:p>
        </w:tc>
      </w:tr>
      <w:tr>
        <w:trPr>
          <w:trHeight w:val="21"/>
        </w:trPr>
        <w:tc>
          <w:tcPr>
            <w:tcW w:w="73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9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 of note receivable</w:t>
            </w:r>
          </w:p>
        </w:tc>
        <w:tc>
          <w:tcPr>
            <w:tcW w:w="9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73"/>
        </w:trPr>
        <w:tc>
          <w:tcPr>
            <w:tcW w:w="732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Cash used in investing activities</w:t>
            </w:r>
          </w:p>
        </w:tc>
        <w:tc>
          <w:tcPr>
            <w:tcW w:w="9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1"/>
        </w:trPr>
        <w:tc>
          <w:tcPr>
            <w:tcW w:w="73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9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the issuance of common stock, net of issuance costs</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33,474</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issuance of pre-funded warrants, net of issuance costs</w:t>
            </w: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7,280</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Borrowings on loan payable</w:t>
            </w:r>
          </w:p>
        </w:tc>
        <w:tc>
          <w:tcPr>
            <w:tcW w:w="96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of loan issuance costs</w:t>
            </w:r>
          </w:p>
        </w:tc>
        <w:tc>
          <w:tcPr>
            <w:tcW w:w="9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83"/>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acquired in connection with reverse recapitalization</w:t>
            </w:r>
          </w:p>
        </w:tc>
        <w:tc>
          <w:tcPr>
            <w:tcW w:w="96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17,045</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of reverse recapitalization transaction costs</w:t>
            </w:r>
          </w:p>
        </w:tc>
        <w:tc>
          <w:tcPr>
            <w:tcW w:w="9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(6,420)</w:t>
            </w:r>
          </w:p>
        </w:tc>
        <w:tc>
          <w:tcPr>
            <w:tcW w:w="0" w:type="dxa"/>
            <w:vAlign w:val="bottom"/>
          </w:tcPr>
          <w:p>
            <w:pPr>
              <w:spacing w:after="0"/>
              <w:rPr>
                <w:sz w:val="1"/>
                <w:szCs w:val="1"/>
                <w:color w:val="auto"/>
              </w:rPr>
            </w:pPr>
          </w:p>
        </w:tc>
      </w:tr>
      <w:tr>
        <w:trPr>
          <w:trHeight w:val="183"/>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option exercises</w:t>
            </w:r>
          </w:p>
        </w:tc>
        <w:tc>
          <w:tcPr>
            <w:tcW w:w="96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1"/>
        </w:trPr>
        <w:tc>
          <w:tcPr>
            <w:tcW w:w="73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732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Cash provided by financing activities</w:t>
            </w: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16,129</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59,072</w:t>
            </w:r>
          </w:p>
        </w:tc>
        <w:tc>
          <w:tcPr>
            <w:tcW w:w="0" w:type="dxa"/>
            <w:vAlign w:val="bottom"/>
          </w:tcPr>
          <w:p>
            <w:pPr>
              <w:spacing w:after="0"/>
              <w:rPr>
                <w:sz w:val="1"/>
                <w:szCs w:val="1"/>
                <w:color w:val="auto"/>
              </w:rPr>
            </w:pPr>
          </w:p>
        </w:tc>
      </w:tr>
      <w:tr>
        <w:trPr>
          <w:trHeight w:val="173"/>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9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21"/>
        </w:trPr>
        <w:tc>
          <w:tcPr>
            <w:tcW w:w="73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9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(8,670)</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40,941</w:t>
            </w:r>
          </w:p>
        </w:tc>
        <w:tc>
          <w:tcPr>
            <w:tcW w:w="0" w:type="dxa"/>
            <w:vAlign w:val="bottom"/>
          </w:tcPr>
          <w:p>
            <w:pPr>
              <w:spacing w:after="0"/>
              <w:rPr>
                <w:sz w:val="1"/>
                <w:szCs w:val="1"/>
                <w:color w:val="auto"/>
              </w:rPr>
            </w:pPr>
          </w:p>
        </w:tc>
      </w:tr>
      <w:tr>
        <w:trPr>
          <w:trHeight w:val="183"/>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51,829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18,820</w:t>
            </w:r>
          </w:p>
        </w:tc>
        <w:tc>
          <w:tcPr>
            <w:tcW w:w="0" w:type="dxa"/>
            <w:vAlign w:val="bottom"/>
          </w:tcPr>
          <w:p>
            <w:pPr>
              <w:spacing w:after="0"/>
              <w:rPr>
                <w:sz w:val="1"/>
                <w:szCs w:val="1"/>
                <w:color w:val="auto"/>
              </w:rPr>
            </w:pPr>
          </w:p>
        </w:tc>
      </w:tr>
      <w:tr>
        <w:trPr>
          <w:trHeight w:val="21"/>
        </w:trPr>
        <w:tc>
          <w:tcPr>
            <w:tcW w:w="73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9"/>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43,159</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59,761</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32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paid for interest</w:t>
            </w:r>
          </w:p>
        </w:tc>
        <w:tc>
          <w:tcPr>
            <w:tcW w:w="960" w:type="dxa"/>
            <w:vAlign w:val="bottom"/>
            <w:tcBorders>
              <w:bottom w:val="single" w:sz="8" w:color="CCEEFF"/>
            </w:tcBorders>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0" w:type="dxa"/>
            <w:vAlign w:val="bottom"/>
          </w:tcPr>
          <w:p>
            <w:pPr>
              <w:spacing w:after="0"/>
              <w:rPr>
                <w:sz w:val="1"/>
                <w:szCs w:val="1"/>
                <w:color w:val="auto"/>
              </w:rPr>
            </w:pPr>
          </w:p>
        </w:tc>
      </w:tr>
      <w:tr>
        <w:trPr>
          <w:trHeight w:val="173"/>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Non-cash operating activities: </w:t>
            </w:r>
            <w:r>
              <w:rPr>
                <w:rFonts w:ascii="Times New Roman" w:cs="Times New Roman" w:eastAsia="Times New Roman" w:hAnsi="Times New Roman"/>
                <w:sz w:val="14"/>
                <w:szCs w:val="14"/>
                <w:color w:val="auto"/>
              </w:rPr>
              <w:t>Lease modification</w:t>
            </w:r>
          </w:p>
        </w:tc>
        <w:tc>
          <w:tcPr>
            <w:tcW w:w="960" w:type="dxa"/>
            <w:vAlign w:val="bottom"/>
            <w:tcBorders>
              <w:top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120" w:type="dxa"/>
            <w:vAlign w:val="bottom"/>
          </w:tcPr>
          <w:p>
            <w:pPr>
              <w:spacing w:after="0"/>
              <w:rPr>
                <w:sz w:val="15"/>
                <w:szCs w:val="15"/>
                <w:color w:val="auto"/>
              </w:rPr>
            </w:pPr>
          </w:p>
        </w:tc>
        <w:tc>
          <w:tcPr>
            <w:tcW w:w="36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73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9"/>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Non-cash investing activities: </w:t>
            </w:r>
            <w:r>
              <w:rPr>
                <w:rFonts w:ascii="Times New Roman" w:cs="Times New Roman" w:eastAsia="Times New Roman" w:hAnsi="Times New Roman"/>
                <w:sz w:val="14"/>
                <w:szCs w:val="14"/>
                <w:color w:val="auto"/>
              </w:rPr>
              <w:t>Property and equipment in accounts payable</w:t>
            </w: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Non-cash financing activities: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32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Vesting of early exercise stock options</w:t>
            </w:r>
          </w:p>
        </w:tc>
        <w:tc>
          <w:tcPr>
            <w:tcW w:w="96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color w:val="auto"/>
        </w:rPr>
        <w:t>See accompanying Notes to the Condensed Consolidated Financial Statements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61595</wp:posOffset>
            </wp:positionV>
            <wp:extent cx="719137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660"/>
          </w:cols>
          <w:pgMar w:left="540" w:top="312" w:right="6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TEMPEST THERAPEUTICS, INC.</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Condensed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(Amounts are in thousands, except share and per share data)</w:t>
      </w:r>
    </w:p>
    <w:p>
      <w:pPr>
        <w:spacing w:after="0" w:line="169" w:lineRule="exact"/>
        <w:rPr>
          <w:sz w:val="20"/>
          <w:szCs w:val="20"/>
          <w:color w:val="auto"/>
        </w:rPr>
      </w:pPr>
    </w:p>
    <w:p>
      <w:pPr>
        <w:ind w:left="260" w:hanging="253"/>
        <w:spacing w:after="0"/>
        <w:tabs>
          <w:tab w:leader="none" w:pos="260"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ORGANIZATION AND DESCRIPTION OF THE BUSINESS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b w:val="1"/>
          <w:bCs w:val="1"/>
          <w:color w:val="auto"/>
        </w:rPr>
        <w:t>Description of Business</w:t>
      </w:r>
      <w:r>
        <w:rPr>
          <w:rFonts w:ascii="Times New Roman" w:cs="Times New Roman" w:eastAsia="Times New Roman" w:hAnsi="Times New Roman"/>
          <w:sz w:val="14"/>
          <w:szCs w:val="14"/>
          <w:color w:val="auto"/>
        </w:rPr>
        <w:t>—Tempest Therapeutics, Inc. (“Tempest” or the “Company”) is a clinical-stage oncology company advancing small molecules that combine both tumor-targeted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immune-mediated mechanisms with the potential to treat a wide range of tumors. The Company’s two novel clinical programs are TPST-1120 and TPST-1495, antagonists of PPARα and EP2/EP4, respectively. Both programs are advancing through clinical trials designed to study the agents as monotherapies and in combination with other approved agents. Tempest is also developing an orally available inhibitor of TREX-1, a target that controls activation of the the cGAS/STING pathway. Tempest is headquartered in South San Francisco, California.</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Merger with Millendo</w:t>
      </w:r>
      <w:r>
        <w:rPr>
          <w:rFonts w:ascii="Times New Roman" w:cs="Times New Roman" w:eastAsia="Times New Roman" w:hAnsi="Times New Roman"/>
          <w:sz w:val="14"/>
          <w:szCs w:val="14"/>
          <w:color w:val="auto"/>
        </w:rPr>
        <w:t>—On March 29, 2021, TempestTx, Inc. (“Private Tempest”) entered into an Agreement and Plan of Merger (the “Merger Agreement”) with Millendo Therapeutics,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(“Millendo”).</w:t>
      </w:r>
    </w:p>
    <w:p>
      <w:pPr>
        <w:spacing w:after="0" w:line="1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Concurrent with the execution and delivery of the Merger Agreement, Private Tempest entered into funding agreements with certain investors named therein, pursuant to which the investors agreed to purchase, in the aggregate, $30.0 million of common stock of Private Tempest, convertible into securities of Millendo.</w:t>
      </w:r>
    </w:p>
    <w:p>
      <w:pPr>
        <w:spacing w:after="0" w:line="1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2"/>
          <w:szCs w:val="12"/>
          <w:color w:val="auto"/>
        </w:rPr>
        <w:t>On June 25, 2021, Private Tempest completed the merger with Millendo in accordance with the Merger Agreement. Prior to the effective time of the merger, Millendo effected a 1-for-15 reverse stock split, and right after the merger, Millendo changed its name to Tempest Therapeutics, Inc. Under the terms of the Merger Agreement, immediately prior to the effective time of the merger, each share of Private Tempest’s preferred stock was converted into a share of Private Tempest’s common stock. At closing of the merger, the Company issued an aggregate of approximately 5,365,899 shares of its common stock to Private Tempest stockholders, based on an exchange ratio of 0.0322 shares of the Company’s common stock for each share of Private Tempest common stock outstanding immediately prior to the merger, including those shares of common stock issued upon conversion of the Private Tempest preferred stock, resulting in approximately 6,635,345 shares of the Company’s common stock being issued and outstanding immediately following the effective time of the merger. The Company also assumed all of the outstanding and unexercised stock options and warrants to purchase shares of Private Tempest capital stock. The assumed options continue to be governed by the terms of the 2011 and 2017 Equity Incentive Plans (as discussed more in Note</w:t>
      </w:r>
    </w:p>
    <w:p>
      <w:pPr>
        <w:spacing w:after="0" w:line="1" w:lineRule="exact"/>
        <w:rPr>
          <w:sz w:val="20"/>
          <w:szCs w:val="20"/>
          <w:color w:val="auto"/>
        </w:rPr>
      </w:pPr>
    </w:p>
    <w:p>
      <w:pPr>
        <w:ind w:firstLine="7"/>
        <w:spacing w:after="0" w:line="247" w:lineRule="auto"/>
        <w:tabs>
          <w:tab w:leader="none" w:pos="151"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which the options were originally granted, with such options hence forth representing the right to purchase a number of shares of the Company’s common stock equal to 0.0322 multiplied by the number of shares of Private Tempest common stock previously represented by such options.</w:t>
      </w:r>
    </w:p>
    <w:p>
      <w:pPr>
        <w:spacing w:after="0" w:line="16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The merger was accounted for as a reverse recapitalization in accordance with U.S. generally accepted accounting principles (“GAAP”). Under this method of accounting, Private Tempest was be deemed to be the accounting acquirer for financial reporting purposes. This determination was primarily based on the expectation that, immediately following the merger: (i) Private Tempest stockholders would own a substantial majority of the voting rights; (ii) Private Tempest would designate a substantial majority of the initial members of the board of directors of the combined company; (iii) Private Tempest’s executive management team would become the management of the combined company; and (iv) the combined company would be named Tempest Therapeutics, Inc. Accordingly, for accounting purposes, the merger was treated as the equivalent of Tempest issuing stock to acquire the net assets of Millendo. As a result of the merger, the net assets of Millendo were recorded at their acquisition-date fair value in the financial statements of Private Tempest and the reported operating results prior to the merger will be those of Private Tempest. Historical per share figures of Private Tempest have been retroactively restated based on the exchange ratio of 0.0322.</w:t>
      </w:r>
    </w:p>
    <w:p>
      <w:pPr>
        <w:spacing w:after="0" w:line="16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2"/>
          <w:szCs w:val="12"/>
          <w:b w:val="1"/>
          <w:bCs w:val="1"/>
          <w:color w:val="auto"/>
        </w:rPr>
        <w:t>Liquidity and Management Plans</w:t>
      </w:r>
      <w:r>
        <w:rPr>
          <w:rFonts w:ascii="Times New Roman" w:cs="Times New Roman" w:eastAsia="Times New Roman" w:hAnsi="Times New Roman"/>
          <w:sz w:val="12"/>
          <w:szCs w:val="12"/>
          <w:color w:val="auto"/>
        </w:rPr>
        <w:t>—The accompanying financial statements have been prepared assuming the Company will continue as a going concern. The Company has incurred operating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losses since inception. The Company’s ultimate success depends on the outcome of the ongoing research and development activities. The Company has not yet generated product sales and as a result has experienced operating losses since inception. The Company expects to incur additional losses in the future to conduct research and development and will need to raise additional capital to fully implement management’s business plan. The Company intends to raise such capital through the issuance of additional equity and potentially through borrowings, strategic alliances with partner companies and other licensing transactions. However, if such financing is not available at adequate levels, the Company may need to reevaluate its operating plans. Management believes</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61595</wp:posOffset>
            </wp:positionV>
            <wp:extent cx="719137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that its cash and cash equivalents as of September 30, 2022 will be sufficient to fund the Company’s cash requirements for the next 12 months following the issuance of these financial statements.</w:t>
      </w:r>
    </w:p>
    <w:p>
      <w:pPr>
        <w:spacing w:after="0" w:line="20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On April 29, 2022, the Company completed a private investment in public equity (“PIPE”) financing from the sale of 3,149,912 shares of its common stock at a price per share of $2.36 and, and in lieu of shares of common stock, pre-funded warrants to purchase up to 3,206,020 shares of its common stock at a price per pre-funded warrant of $2.359 to EcoR1 Capital, LLC and Versant Venture Capital (the “PIPE Investors”). Net proceeds from the PIPE financings totaled approximately $14.5 million, after deducting offering expenses. The Company entered into a registration rights agreement (the “Registration Rights Agreement”) with the PIPE Investors pursuant to which the Company filed a registration statement with the SEC registering the resale of the 3,149,912 shares common stock and the 3,206,020 shares of common stock underlying the pre-funded warrants issued in the PIPE financing.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Significant Accounting Policies -- </w:t>
      </w:r>
      <w:r>
        <w:rPr>
          <w:rFonts w:ascii="Times New Roman" w:cs="Times New Roman" w:eastAsia="Times New Roman" w:hAnsi="Times New Roman"/>
          <w:sz w:val="14"/>
          <w:szCs w:val="14"/>
          <w:color w:val="auto"/>
        </w:rPr>
        <w:t>The Company’s significant accounting policies are described in Note 2, “Summary of Significant Accounting Policies,” in the Company’s Annual Report 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Form 10-K filed with the U.S. Securities and Exchange Commission (“SEC”) on March 29, 2022. There have been no material changes to the significant accounting policies during the period ended September 30, 2022.</w:t>
      </w:r>
    </w:p>
    <w:p>
      <w:pPr>
        <w:spacing w:after="0" w:line="1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b w:val="1"/>
          <w:bCs w:val="1"/>
          <w:color w:val="auto"/>
        </w:rPr>
        <w:t>Basis of Presentation</w:t>
      </w:r>
      <w:r>
        <w:rPr>
          <w:rFonts w:ascii="Times New Roman" w:cs="Times New Roman" w:eastAsia="Times New Roman" w:hAnsi="Times New Roman"/>
          <w:sz w:val="14"/>
          <w:szCs w:val="14"/>
          <w:color w:val="auto"/>
        </w:rPr>
        <w:t>—The unaudited interim Condensed Consolidated Financial Statements have been prepared pursuant to the rules and regulations of the U.S. Securities and Exchange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Commission. Accordingly, certain information and footnote disclosures normally included in annual financial statements prepared in accordance with GAAP have been omitted. These unaudited interim Condensed Consolidated Financial Statements should be read in conjunction with the Company’s audited consolidated financial statements and notes included in the company’s Annual Report on Form 10-K for the year ended December 31, 2021.</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Company has prepared the accompanying Condensed Consolidated Financial Statements on the same basis as the audited financial statements, and the unaudited interim financial statements include, in the Company’s opinion, all adjustments, consisting only of normal recurring adjustments that the Company considers necessary for a fair presentation of its financial position and results of operations for these periods.</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b w:val="1"/>
          <w:bCs w:val="1"/>
          <w:color w:val="auto"/>
        </w:rPr>
        <w:t>Use of Estimates</w:t>
      </w:r>
      <w:r>
        <w:rPr>
          <w:rFonts w:ascii="Times New Roman" w:cs="Times New Roman" w:eastAsia="Times New Roman" w:hAnsi="Times New Roman"/>
          <w:sz w:val="14"/>
          <w:szCs w:val="14"/>
          <w:color w:val="auto"/>
        </w:rPr>
        <w:t>—The preparation of financial statements in conformity with GAAP requires management to make estimates and assumptions that affect the reported amounts of assets, liabilities,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the disclosure of contingent assets and liabilities at the date of the financial statements and the reported amounts of expenses during the reporting period. On an ongoing basis, the Company evaluates its estimates and assumptions, including those related to research and development accruals, recoverability of long-lived assets, right-of-use assets, lease obligations, stock-based compensation and income taxes uncertainties and valuation allowances.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those estimates.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MILLENDO MERGER</w:t>
      </w:r>
    </w:p>
    <w:p>
      <w:pPr>
        <w:spacing w:after="0" w:line="19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As described in Note 1, Private Tempest merged with the Company on June 25, 2021. The merger was accounted for as a reverse recapitalization with Private Tempest as the accounting acquirer. The primary pre-combination assets of Millendo were cash, cash equivalents and restricted cash. Under reverse recapitalization accounting, the assets and liabilities of Millendo were recorded at their fair value which approximated book value due to the short-term nature of the instruments. No goodwill or intangible assets were recognized. Consequently, the Condensed Consolidated Financial Statements of Tempest reflect the operations of Millendo for accounting purposes together with a deemed issuance of shares, equivalent to the shares held by the former stockholders of the legal acquirer and a recapitalization of the equity of the accounting acquirer.</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As part of the reverse recapitalization, the Company obtained approximately $17.0 million of cash, cash equivalents and restricted cash. The Company also obtained prepaids and other assets of approximately $1.4 million and assumed payables and accruals of approximately $0.5 million. The Company also acquired the operating lease right-of-use asset of $2.1 million and the related operating lease liability of $2.1 million. All of the development programs and associated collaboration arrangements were terminated prior to the merger and were deemed to have no value at the transaction date and the Company has since wound down the legacy Millendo operations.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55245</wp:posOffset>
            </wp:positionV>
            <wp:extent cx="719137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 incurred transaction costs of approximately $6.4 million and this amount is recorded in additional paid-in capital in the Condensed Consolidated Statements of Stockholders’ Equity for the year ended December 31, 2021.</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FAIR VALUE MEASUREMENTS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the Company’s fair value hierarchy for assets measured at fair value on a recurring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6"/>
          </w:tcPr>
          <w:p>
            <w:pPr>
              <w:jc w:val="right"/>
              <w:ind w:right="416"/>
              <w:spacing w:after="0"/>
              <w:rPr>
                <w:sz w:val="20"/>
                <w:szCs w:val="20"/>
                <w:color w:val="auto"/>
              </w:rPr>
            </w:pPr>
            <w:r>
              <w:rPr>
                <w:rFonts w:ascii="Times New Roman" w:cs="Times New Roman" w:eastAsia="Times New Roman" w:hAnsi="Times New Roman"/>
                <w:sz w:val="11"/>
                <w:szCs w:val="11"/>
                <w:b w:val="1"/>
                <w:bCs w:val="1"/>
                <w:color w:val="auto"/>
              </w:rPr>
              <w:t>September 30, 2022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6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0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29"/>
        </w:trPr>
        <w:tc>
          <w:tcPr>
            <w:tcW w:w="6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42,791</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42,791</w:t>
            </w:r>
          </w:p>
        </w:tc>
        <w:tc>
          <w:tcPr>
            <w:tcW w:w="0" w:type="dxa"/>
            <w:vAlign w:val="bottom"/>
          </w:tcPr>
          <w:p>
            <w:pPr>
              <w:spacing w:after="0"/>
              <w:rPr>
                <w:sz w:val="1"/>
                <w:szCs w:val="1"/>
                <w:color w:val="auto"/>
              </w:rPr>
            </w:pPr>
          </w:p>
        </w:tc>
      </w:tr>
      <w:tr>
        <w:trPr>
          <w:trHeight w:val="194"/>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42,791</w:t>
            </w:r>
          </w:p>
        </w:tc>
        <w:tc>
          <w:tcPr>
            <w:tcW w:w="14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42,791</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6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6"/>
          </w:tcPr>
          <w:p>
            <w:pPr>
              <w:jc w:val="right"/>
              <w:ind w:right="436"/>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6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3"/>
          </w:tcPr>
          <w:p>
            <w:pPr>
              <w:ind w:left="40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00" w:type="dxa"/>
            <w:vAlign w:val="bottom"/>
          </w:tcPr>
          <w:p>
            <w:pPr>
              <w:spacing w:after="0"/>
              <w:rPr>
                <w:sz w:val="11"/>
                <w:szCs w:val="11"/>
                <w:color w:val="auto"/>
              </w:rPr>
            </w:pPr>
          </w:p>
        </w:tc>
        <w:tc>
          <w:tcPr>
            <w:tcW w:w="1080" w:type="dxa"/>
            <w:vAlign w:val="bottom"/>
            <w:gridSpan w:val="5"/>
          </w:tcPr>
          <w:p>
            <w:pPr>
              <w:ind w:left="38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100" w:type="dxa"/>
            <w:vAlign w:val="bottom"/>
            <w:gridSpan w:val="4"/>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29"/>
        </w:trPr>
        <w:tc>
          <w:tcPr>
            <w:tcW w:w="6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51,829</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51,829</w:t>
            </w:r>
          </w:p>
        </w:tc>
        <w:tc>
          <w:tcPr>
            <w:tcW w:w="0" w:type="dxa"/>
            <w:vAlign w:val="bottom"/>
          </w:tcPr>
          <w:p>
            <w:pPr>
              <w:spacing w:after="0"/>
              <w:rPr>
                <w:sz w:val="1"/>
                <w:szCs w:val="1"/>
                <w:color w:val="auto"/>
              </w:rPr>
            </w:pPr>
          </w:p>
        </w:tc>
      </w:tr>
      <w:tr>
        <w:trPr>
          <w:trHeight w:val="194"/>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51,829</w:t>
            </w:r>
          </w:p>
        </w:tc>
        <w:tc>
          <w:tcPr>
            <w:tcW w:w="14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51,829</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5. BALANCE SHEET COMPONENTS</w:t>
            </w: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6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6080" w:type="dxa"/>
            <w:vAlign w:val="bottom"/>
          </w:tcPr>
          <w:p>
            <w:pPr>
              <w:spacing w:after="0"/>
              <w:rPr>
                <w:sz w:val="20"/>
                <w:szCs w:val="20"/>
                <w:color w:val="auto"/>
              </w:rPr>
            </w:pPr>
            <w:r>
              <w:rPr>
                <w:rFonts w:ascii="Times New Roman" w:cs="Times New Roman" w:eastAsia="Times New Roman" w:hAnsi="Times New Roman"/>
                <w:sz w:val="14"/>
                <w:szCs w:val="14"/>
                <w:color w:val="auto"/>
              </w:rPr>
              <w:t>Prepaid expenses and other current assets consist of the following:</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6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September 30,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4"/>
          </w:tcPr>
          <w:p>
            <w:pPr>
              <w:jc w:val="center"/>
              <w:ind w:left="336"/>
              <w:spacing w:after="0"/>
              <w:rPr>
                <w:sz w:val="20"/>
                <w:szCs w:val="20"/>
                <w:color w:val="auto"/>
              </w:rPr>
            </w:pPr>
            <w:r>
              <w:rPr>
                <w:rFonts w:ascii="Times New Roman" w:cs="Times New Roman" w:eastAsia="Times New Roman" w:hAnsi="Times New Roman"/>
                <w:sz w:val="11"/>
                <w:szCs w:val="11"/>
                <w:b w:val="1"/>
                <w:bCs w:val="1"/>
                <w:color w:val="auto"/>
                <w:w w:val="96"/>
              </w:rPr>
              <w:t>December 31,</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center"/>
              <w:ind w:right="198"/>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gridSpan w:val="3"/>
          </w:tcPr>
          <w:p>
            <w:pPr>
              <w:jc w:val="center"/>
              <w:ind w:right="172"/>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60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w:t>
            </w: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998</w:t>
            </w: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496"/>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research and development costs</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5"/>
              </w:rPr>
              <w:t>333</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c>
          <w:tcPr>
            <w:tcW w:w="1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935</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2,266</w:t>
            </w:r>
          </w:p>
        </w:tc>
        <w:tc>
          <w:tcPr>
            <w:tcW w:w="12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2,134</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Property and equipment, net, consists of the following:</w:t>
            </w: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6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6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September 30,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4"/>
          </w:tcPr>
          <w:p>
            <w:pPr>
              <w:jc w:val="center"/>
              <w:ind w:left="336"/>
              <w:spacing w:after="0"/>
              <w:rPr>
                <w:sz w:val="20"/>
                <w:szCs w:val="20"/>
                <w:color w:val="auto"/>
              </w:rPr>
            </w:pPr>
            <w:r>
              <w:rPr>
                <w:rFonts w:ascii="Times New Roman" w:cs="Times New Roman" w:eastAsia="Times New Roman" w:hAnsi="Times New Roman"/>
                <w:sz w:val="11"/>
                <w:szCs w:val="11"/>
                <w:b w:val="1"/>
                <w:bCs w:val="1"/>
                <w:color w:val="auto"/>
                <w:w w:val="96"/>
              </w:rPr>
              <w:t>December 31,</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center"/>
              <w:ind w:right="198"/>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gridSpan w:val="3"/>
          </w:tcPr>
          <w:p>
            <w:pPr>
              <w:jc w:val="center"/>
              <w:ind w:right="172"/>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60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equipment and software</w:t>
            </w: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184</w:t>
            </w: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496"/>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5"/>
              </w:rPr>
              <w:t>203</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Lab equipment</w:t>
            </w:r>
          </w:p>
        </w:tc>
        <w:tc>
          <w:tcPr>
            <w:tcW w:w="1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937</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5"/>
              </w:rPr>
              <w:t>840</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6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Property and equipment</w:t>
            </w: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2,164</w:t>
            </w: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4"/>
          </w:tcPr>
          <w:p>
            <w:pPr>
              <w:ind w:left="540"/>
              <w:spacing w:after="0"/>
              <w:rPr>
                <w:sz w:val="20"/>
                <w:szCs w:val="20"/>
                <w:color w:val="auto"/>
              </w:rPr>
            </w:pPr>
            <w:r>
              <w:rPr>
                <w:rFonts w:ascii="Times New Roman" w:cs="Times New Roman" w:eastAsia="Times New Roman" w:hAnsi="Times New Roman"/>
                <w:sz w:val="14"/>
                <w:szCs w:val="14"/>
                <w:color w:val="auto"/>
                <w:w w:val="97"/>
              </w:rPr>
              <w:t>(1,245)</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919</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Depreciation expense for the three and nine months ended September 30, 2022 was $201 and $421, respectively. Depreciation expense for the three and nine months ended September 30, 2021 was $107 and $272,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Accrued liabilities consist of the following:</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55245</wp:posOffset>
            </wp:positionV>
            <wp:extent cx="719137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8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74"/>
        </w:trPr>
        <w:tc>
          <w:tcPr>
            <w:tcW w:w="6820" w:type="dxa"/>
            <w:vAlign w:val="bottom"/>
          </w:tcPr>
          <w:p>
            <w:pPr>
              <w:spacing w:after="0"/>
              <w:rPr>
                <w:sz w:val="15"/>
                <w:szCs w:val="15"/>
                <w:color w:val="auto"/>
              </w:rPr>
            </w:pP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1"/>
                <w:szCs w:val="11"/>
                <w:b w:val="1"/>
                <w:bCs w:val="1"/>
                <w:color w:val="auto"/>
              </w:rPr>
              <w:t>2022</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ind w:right="577"/>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29"/>
        </w:trPr>
        <w:tc>
          <w:tcPr>
            <w:tcW w:w="68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74"/>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other liabilities</w:t>
            </w:r>
          </w:p>
        </w:tc>
        <w:tc>
          <w:tcPr>
            <w:tcW w:w="1120" w:type="dxa"/>
            <w:vAlign w:val="bottom"/>
            <w:tcBorders>
              <w:bottom w:val="single" w:sz="8" w:color="CCEEFF"/>
            </w:tcBorders>
            <w:shd w:val="clear" w:color="auto" w:fill="CCEEFF"/>
          </w:tcPr>
          <w:p>
            <w:pPr>
              <w:jc w:val="right"/>
              <w:ind w:right="97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1,314</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w:t>
            </w:r>
          </w:p>
        </w:tc>
      </w:tr>
      <w:tr>
        <w:trPr>
          <w:trHeight w:val="183"/>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clinical trial liabilities</w:t>
            </w:r>
          </w:p>
        </w:tc>
        <w:tc>
          <w:tcPr>
            <w:tcW w:w="1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1,271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w:t>
            </w:r>
          </w:p>
        </w:tc>
      </w:tr>
      <w:tr>
        <w:trPr>
          <w:trHeight w:val="21"/>
        </w:trPr>
        <w:tc>
          <w:tcPr>
            <w:tcW w:w="68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9"/>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12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2,585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COMMITMENTS AND CONTINGENCIES</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b w:val="1"/>
          <w:bCs w:val="1"/>
          <w:color w:val="auto"/>
        </w:rPr>
        <w:t>Facilities Lease Agreements</w:t>
      </w:r>
      <w:r>
        <w:rPr>
          <w:rFonts w:ascii="Times New Roman" w:cs="Times New Roman" w:eastAsia="Times New Roman" w:hAnsi="Times New Roman"/>
          <w:sz w:val="14"/>
          <w:szCs w:val="14"/>
          <w:color w:val="auto"/>
        </w:rPr>
        <w:t>—In February 2019, the Company entered into a 5-year office lease agreement for a 9,780 square feet facility in South San Francisco, California (“SSF Lease”).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original lease term expires on February 29, 2024. In June 2022, the lease was amended to terminate early on January 31, 2023. The amendment was not accounted for as a separate contract and the lease liability and the right-of-use asset were remeasured on the lease modification date.</w:t>
      </w:r>
    </w:p>
    <w:p>
      <w:pPr>
        <w:spacing w:after="0" w:line="1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As a result of the merger with Millendo, the Company assumed Millendo’s noncancelable operating leases for office space which have remaining lease terms of approximately 1.5 years. In February 2019 and October 2018, Millendo entered into two noncancellable operating leases for office space in Ann Arbor, Michigan (“Ann Arbor Leases”) of which one that Millendo took possession of in April 2019 and the other that Millendo took possession of in July 2019, respectively. One of its leases in Ann Arbor, Michigan expires in June 2024 and the other expires in March 2024. There were no other leases assumed by the Company as of September 30, 2022.</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September 30, 2022 and December 31, 2021, the balance of the operating lease right-of-use assets were $1,312 and $3,051, respectively, and the related operating lease liabilities were $1,374 and $3,468 respectively, as shown in the accompanying Condensed Consolidated Balance Sheets.</w:t>
      </w:r>
    </w:p>
    <w:p>
      <w:pPr>
        <w:spacing w:after="0" w:line="1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Rent expense was $274 and $978 for the three and nine months ended September 30, 2022, respectively. Rent expense was $358 and $680 for the three and nine months ended September 30, 2021,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September 30, 2022, future minimum lease payments under the SSF Lease and Ann Arbor Leases were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85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Year Ending</w:t>
            </w:r>
          </w:p>
        </w:tc>
        <w:tc>
          <w:tcPr>
            <w:tcW w:w="200" w:type="dxa"/>
            <w:vAlign w:val="bottom"/>
          </w:tcPr>
          <w:p>
            <w:pPr>
              <w:spacing w:after="0"/>
              <w:rPr>
                <w:sz w:val="12"/>
                <w:szCs w:val="12"/>
                <w:color w:val="auto"/>
              </w:rPr>
            </w:pPr>
          </w:p>
        </w:tc>
        <w:tc>
          <w:tcPr>
            <w:tcW w:w="1300" w:type="dxa"/>
            <w:vAlign w:val="bottom"/>
          </w:tcPr>
          <w:p>
            <w:pPr>
              <w:jc w:val="right"/>
              <w:ind w:right="233"/>
              <w:spacing w:after="0"/>
              <w:rPr>
                <w:sz w:val="20"/>
                <w:szCs w:val="20"/>
                <w:color w:val="auto"/>
              </w:rPr>
            </w:pPr>
            <w:r>
              <w:rPr>
                <w:rFonts w:ascii="Times New Roman" w:cs="Times New Roman" w:eastAsia="Times New Roman" w:hAnsi="Times New Roman"/>
                <w:sz w:val="11"/>
                <w:szCs w:val="11"/>
                <w:b w:val="1"/>
                <w:bCs w:val="1"/>
                <w:color w:val="auto"/>
              </w:rPr>
              <w:t>Total Commitment</w:t>
            </w:r>
          </w:p>
        </w:tc>
      </w:tr>
      <w:tr>
        <w:trPr>
          <w:trHeight w:val="29"/>
        </w:trPr>
        <w:tc>
          <w:tcPr>
            <w:tcW w:w="8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74"/>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 (excluding the nine months ended September 30, 2022)</w:t>
            </w:r>
          </w:p>
        </w:tc>
        <w:tc>
          <w:tcPr>
            <w:tcW w:w="2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r>
      <w:tr>
        <w:trPr>
          <w:trHeight w:val="183"/>
        </w:trPr>
        <w:tc>
          <w:tcPr>
            <w:tcW w:w="8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w:t>
            </w:r>
          </w:p>
        </w:tc>
      </w:tr>
      <w:tr>
        <w:trPr>
          <w:trHeight w:val="21"/>
        </w:trPr>
        <w:tc>
          <w:tcPr>
            <w:tcW w:w="8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4"/>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r>
      <w:tr>
        <w:trPr>
          <w:trHeight w:val="173"/>
        </w:trPr>
        <w:tc>
          <w:tcPr>
            <w:tcW w:w="8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minimum lease payments</w:t>
            </w:r>
          </w:p>
        </w:tc>
        <w:tc>
          <w:tcPr>
            <w:tcW w:w="2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1,446</w:t>
            </w:r>
          </w:p>
        </w:tc>
      </w:tr>
      <w:tr>
        <w:trPr>
          <w:trHeight w:val="21"/>
        </w:trPr>
        <w:tc>
          <w:tcPr>
            <w:tcW w:w="8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4"/>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73"/>
        </w:trPr>
        <w:tc>
          <w:tcPr>
            <w:tcW w:w="8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Present value of operating lease obligations</w:t>
            </w:r>
          </w:p>
        </w:tc>
        <w:tc>
          <w:tcPr>
            <w:tcW w:w="2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1,374</w:t>
            </w:r>
          </w:p>
        </w:tc>
      </w:tr>
      <w:tr>
        <w:trPr>
          <w:trHeight w:val="21"/>
        </w:trPr>
        <w:tc>
          <w:tcPr>
            <w:tcW w:w="8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4"/>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current portion</w:t>
            </w: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w:t>
            </w:r>
          </w:p>
        </w:tc>
      </w:tr>
      <w:tr>
        <w:trPr>
          <w:trHeight w:val="194"/>
        </w:trPr>
        <w:tc>
          <w:tcPr>
            <w:tcW w:w="8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operating lease obligations</w:t>
            </w: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w:t>
            </w:r>
          </w:p>
        </w:tc>
      </w:tr>
      <w:tr>
        <w:trPr>
          <w:trHeight w:val="20"/>
        </w:trPr>
        <w:tc>
          <w:tcPr>
            <w:tcW w:w="8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January 2022, the Company entered into a new 8-year office lease agreement for a 20,116 square feet facility in Brisbane, California ("Brisbane Lease"). The lease is scheduled to commence in January 2023. Future minimum lease payments for the Brisbane Lease as of September 30, 2022 are as follows: nil (2022), $1,738 (2023), $1,798 (2024), $1,861 (2025) and $10,331 (2026 and beyond).</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Related to this Brisbane Lease agreement, the Company entered into a letter of credit with a bank to deposit $368 in a separate account that is restricted cash to serve as security rent deposit. This amount is included in other non-current assets in the accompanying Condensed Consolidated Balance Sheets as of September 30, 2022.</w:t>
      </w:r>
    </w:p>
    <w:p>
      <w:pPr>
        <w:spacing w:after="0" w:line="1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b w:val="1"/>
          <w:bCs w:val="1"/>
          <w:color w:val="auto"/>
        </w:rPr>
        <w:t>Guarantees and Indemnifications</w:t>
      </w:r>
      <w:r>
        <w:rPr>
          <w:rFonts w:ascii="Times New Roman" w:cs="Times New Roman" w:eastAsia="Times New Roman" w:hAnsi="Times New Roman"/>
          <w:sz w:val="14"/>
          <w:szCs w:val="14"/>
          <w:color w:val="auto"/>
        </w:rPr>
        <w:t>—In the normal course of business, the Company enters into agreements that contain a variety of representations and provide for general indemnification.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Company’s exposure under these agreements is unknown because it involves claims that may be made against the Company in the future. To date, the Company has not paid any claims or been required to defend any action related to its indemnification obligations. As of September 30, 2022 and December 31, 2021, the Company does not have any material indemnification claims that were probable or reasonably possible and consequently has not recorded related liabilities.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55245</wp:posOffset>
            </wp:positionV>
            <wp:extent cx="719137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b w:val="1"/>
          <w:bCs w:val="1"/>
          <w:color w:val="auto"/>
        </w:rPr>
        <w:t>Legal Proceedings—</w:t>
      </w:r>
      <w:r>
        <w:rPr>
          <w:rFonts w:ascii="Times New Roman" w:cs="Times New Roman" w:eastAsia="Times New Roman" w:hAnsi="Times New Roman"/>
          <w:sz w:val="14"/>
          <w:szCs w:val="14"/>
          <w:color w:val="auto"/>
        </w:rPr>
        <w:t>Liabilities for loss contingencies arising from claims, assessments, litigation, fines, penalties, and other sources are recorded when it is probable that a liability has been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incurred and the amount can be reasonably estimated. As a result of the merger with Millendo, the Company is party to various litigation matters given Millendo’s role as successor to OvaScience, Inc. (“OvaScience”). OvaScience merged with Millendo in 2018. Prior to the merger with Millendo, OvaScience was sued in three matters that are disclosed below.</w:t>
      </w:r>
    </w:p>
    <w:p>
      <w:pPr>
        <w:spacing w:after="0" w:line="16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2"/>
          <w:szCs w:val="12"/>
          <w:color w:val="auto"/>
        </w:rPr>
        <w:t>On November 9, 2016, a purported shareholder derivative action was filed in Massachusetts State court (Cima v. Dipp) against OvaScience and certain former officers and directors of OvaScience and OvaScience alleging breach of fiduciary duties, unjust enrichment, abuse of control, gross mismanagement and waste of corporate assets for purported actions related to OvaScience’s January 2015 follow-on public offering. As of September 12, 2022, the parties have reached an agreement in principle and have executed a term sheet in connection with a settlement. On September 13, 2022, the parties filed a joint motion to stay the case pending settlement. On September 15, 2022, the court issued a 90 day nisi order. The parties are in discussions regarding a potential attorney fee award. If the parties cannot reach a resolution regarding a fee award, any potential award will be determined by the Court. Any final settlement is subject to Court approval.</w:t>
      </w:r>
    </w:p>
    <w:p>
      <w:pPr>
        <w:spacing w:after="0" w:line="13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On March 24, 2017, a purported shareholder class action lawsuit was filed in Massachusetts Federal court (Dahhan v. OvaScience, Inc.) against OvaScience and certain former officers of OvaScience alleging violations of Sections 10(b) and 20(a) of the Exchange Act (the “Dahhan Action”). On March 4, 2022, the parties filed a motion to preliminarily approve a settlement of the action. The settlement amount of $15 million will be funded entirely by insurance. All defendants expressly deny liability. On April 1, 2022, the Court preliminarily approved the settlement. The settlement remains subject to final approval. The amount of $15 million was recorded as accrued legal settlement with the offsetting insurance recovery of legal settlement in the accompanying Condensed Consolidated Balance Sheets as of September 30, 2022 and December 31, 2021.</w:t>
      </w:r>
    </w:p>
    <w:p>
      <w:pPr>
        <w:spacing w:after="0" w:line="16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2"/>
          <w:szCs w:val="12"/>
          <w:color w:val="auto"/>
        </w:rPr>
        <w:t>On July 27, 2017, a purported shareholder derivative complaint was filed in Massachusetts Federal court (Chiu v. Dipp) against OvaScience and certain former officers and directors of OvaScience alleging breach of fiduciary duties, unjust enrichment and violations of Section 14(a) of the Exchange Act. related to OvaScience’s January 2015 follow-on public offering and other public statements concerning OvaScience’s AUGMENT treatment. Following the Court’s dismissal of an amended complaint, the parties agreed that plaintiffs could file a second amended complaint and that the case would be stayed pending the resolution of the Dahhan Action. In May 2018, the court entered an order staying this case pending the resolution of the Dahhan Action. As of September 12, 2022, the parties have reached an agreement in principle and have executed a term sheet in connection with the settlement. The parties are in discussions regarding a potential attorney fee award. If the parties cannot reach a resolution regarding a fee award, any potential award will be determined by the Court. Any final settlement is subject to Court approval.</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LOAN PAYABLE</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On January 15, 2021, the Company entered into a loan agreement with a lender to borrow a term loan amount of $35,000 to be funded in three tranches. Tranche A of $15,000 was wired to the Company on January 15, 2021. Tranche B of $10,000 expired on March 31, 2022. Tranche C of $10,000 is available at lender’s option. The term loan matures on August 1, 2025 and has an annual floating interest rate of 7.15% which is an Index Rate plus 7%. Index Rate is the greater of (i) 30-day US LIBOR or (ii) 0.15%. Monthly principal payments of $500 will begin on March 1, 2023. Related to this borrowing, the Company recorded loan discounts totaling $898 and paid $95 of debt issuance costs. These amounts would be amortized as additional interest expense over the life of the loan. As of September 30, 2022, the balance of the loan payable (net of debt issuance costs) was $15,336, of which $3,500 was classified as current and $11,836 was classified as non-current. The carrying value of the loan approximates fair value (Level 2).</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For the three and nine months ended September 30, 2022, total interest expense was $389 and $1,186, respectively. For the three and nine months ended September 30, 2021, total interest expense was $437 and $944, respectively.</w:t>
      </w:r>
    </w:p>
    <w:p>
      <w:pPr>
        <w:spacing w:after="0" w:line="152" w:lineRule="exact"/>
        <w:rPr>
          <w:sz w:val="20"/>
          <w:szCs w:val="20"/>
          <w:color w:val="auto"/>
        </w:rPr>
      </w:pPr>
    </w:p>
    <w:p>
      <w:pPr>
        <w:ind w:right="8900" w:firstLine="7"/>
        <w:spacing w:after="0" w:line="607" w:lineRule="auto"/>
        <w:tabs>
          <w:tab w:leader="none" w:pos="136" w:val="left"/>
        </w:tabs>
        <w:numPr>
          <w:ilvl w:val="0"/>
          <w:numId w:val="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STOCKHOLDERS' EQUITY Convertible Preferred Stock</w:t>
      </w:r>
    </w:p>
    <w:p>
      <w:pPr>
        <w:spacing w:after="0" w:line="264" w:lineRule="auto"/>
        <w:rPr>
          <w:sz w:val="20"/>
          <w:szCs w:val="20"/>
          <w:color w:val="auto"/>
        </w:rPr>
      </w:pPr>
      <w:r>
        <w:rPr>
          <w:rFonts w:ascii="Times New Roman" w:cs="Times New Roman" w:eastAsia="Times New Roman" w:hAnsi="Times New Roman"/>
          <w:sz w:val="14"/>
          <w:szCs w:val="14"/>
          <w:color w:val="auto"/>
        </w:rPr>
        <w:t>Prior to the merger with Millendo on June 25, 2021, Private Tempest had issued and outstanding convertible preferred stock. The authorized, issued and outstanding shares of the convertible preferred stock and liquidation preferences of Private Tempest as of December 31, 2020 and June 24, 2021 were as follows: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Shares Issued and</w:t>
            </w:r>
          </w:p>
        </w:tc>
        <w:tc>
          <w:tcPr>
            <w:tcW w:w="1300" w:type="dxa"/>
            <w:vAlign w:val="bottom"/>
            <w:gridSpan w:val="2"/>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rPr>
              <w:t>Per Share Liquidation</w:t>
            </w:r>
          </w:p>
        </w:tc>
        <w:tc>
          <w:tcPr>
            <w:tcW w:w="122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Aggregate Liquidation</w:t>
            </w:r>
          </w:p>
        </w:tc>
        <w:tc>
          <w:tcPr>
            <w:tcW w:w="160" w:type="dxa"/>
            <w:vAlign w:val="bottom"/>
          </w:tcPr>
          <w:p>
            <w:pPr>
              <w:spacing w:after="0"/>
              <w:rPr>
                <w:sz w:val="11"/>
                <w:szCs w:val="1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Proceeds Net of</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43"/>
        </w:trPr>
        <w:tc>
          <w:tcPr>
            <w:tcW w:w="28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Series</w:t>
            </w: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Shares Authorized</w:t>
            </w:r>
          </w:p>
        </w:tc>
        <w:tc>
          <w:tcPr>
            <w:tcW w:w="1140" w:type="dxa"/>
            <w:vAlign w:val="bottom"/>
          </w:tcPr>
          <w:p>
            <w:pPr>
              <w:jc w:val="right"/>
              <w:ind w:right="216"/>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280" w:type="dxa"/>
            <w:vAlign w:val="bottom"/>
          </w:tcPr>
          <w:p>
            <w:pPr>
              <w:spacing w:after="0"/>
              <w:rPr>
                <w:sz w:val="12"/>
                <w:szCs w:val="12"/>
                <w:color w:val="auto"/>
              </w:rPr>
            </w:pPr>
          </w:p>
        </w:tc>
        <w:tc>
          <w:tcPr>
            <w:tcW w:w="1020" w:type="dxa"/>
            <w:vAlign w:val="bottom"/>
          </w:tcPr>
          <w:p>
            <w:pPr>
              <w:jc w:val="right"/>
              <w:ind w:right="335"/>
              <w:spacing w:after="0"/>
              <w:rPr>
                <w:sz w:val="20"/>
                <w:szCs w:val="20"/>
                <w:color w:val="auto"/>
              </w:rPr>
            </w:pPr>
            <w:r>
              <w:rPr>
                <w:rFonts w:ascii="Times New Roman" w:cs="Times New Roman" w:eastAsia="Times New Roman" w:hAnsi="Times New Roman"/>
                <w:sz w:val="11"/>
                <w:szCs w:val="11"/>
                <w:b w:val="1"/>
                <w:bCs w:val="1"/>
                <w:color w:val="auto"/>
              </w:rPr>
              <w:t>Preference</w:t>
            </w:r>
          </w:p>
        </w:tc>
        <w:tc>
          <w:tcPr>
            <w:tcW w:w="240" w:type="dxa"/>
            <w:vAlign w:val="bottom"/>
          </w:tcPr>
          <w:p>
            <w:pPr>
              <w:spacing w:after="0"/>
              <w:rPr>
                <w:sz w:val="12"/>
                <w:szCs w:val="12"/>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6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Issuance Cost</w:t>
            </w:r>
          </w:p>
        </w:tc>
        <w:tc>
          <w:tcPr>
            <w:tcW w:w="100" w:type="dxa"/>
            <w:vAlign w:val="bottom"/>
          </w:tcPr>
          <w:p>
            <w:pPr>
              <w:spacing w:after="0"/>
              <w:rPr>
                <w:sz w:val="12"/>
                <w:szCs w:val="12"/>
                <w:color w:val="auto"/>
              </w:rPr>
            </w:pPr>
          </w:p>
        </w:tc>
        <w:tc>
          <w:tcPr>
            <w:tcW w:w="1040" w:type="dxa"/>
            <w:vAlign w:val="bottom"/>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w w:val="96"/>
              </w:rPr>
              <w:t>Net Carrying Value</w:t>
            </w:r>
          </w:p>
        </w:tc>
      </w:tr>
      <w:tr>
        <w:trPr>
          <w:trHeight w:val="29"/>
        </w:trPr>
        <w:tc>
          <w:tcPr>
            <w:tcW w:w="28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4"/>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A</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17,000,000</w:t>
            </w:r>
          </w:p>
        </w:tc>
        <w:tc>
          <w:tcPr>
            <w:tcW w:w="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17,000,000</w:t>
            </w:r>
          </w:p>
        </w:tc>
        <w:tc>
          <w:tcPr>
            <w:tcW w:w="2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17,000</w:t>
            </w: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16,982</w:t>
            </w:r>
          </w:p>
        </w:tc>
      </w:tr>
      <w:tr>
        <w:trPr>
          <w:trHeight w:val="183"/>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B</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25,186,738</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25,186,738</w:t>
            </w:r>
          </w:p>
        </w:tc>
        <w:tc>
          <w:tcPr>
            <w:tcW w:w="280" w:type="dxa"/>
            <w:vAlign w:val="bottom"/>
          </w:tcPr>
          <w:p>
            <w:pPr>
              <w:spacing w:after="0"/>
              <w:rPr>
                <w:sz w:val="15"/>
                <w:szCs w:val="15"/>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25,187</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24,943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12,235</w:t>
            </w:r>
          </w:p>
        </w:tc>
      </w:tr>
      <w:tr>
        <w:trPr>
          <w:trHeight w:val="21"/>
        </w:trPr>
        <w:tc>
          <w:tcPr>
            <w:tcW w:w="2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4"/>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B-1</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93,749,993</w:t>
            </w:r>
          </w:p>
        </w:tc>
        <w:tc>
          <w:tcPr>
            <w:tcW w:w="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72,499,993</w:t>
            </w:r>
          </w:p>
        </w:tc>
        <w:tc>
          <w:tcPr>
            <w:tcW w:w="2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0.80</w:t>
            </w: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58,000</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57,489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57,489</w:t>
            </w:r>
          </w:p>
        </w:tc>
      </w:tr>
      <w:tr>
        <w:trPr>
          <w:trHeight w:val="173"/>
        </w:trPr>
        <w:tc>
          <w:tcPr>
            <w:tcW w:w="2800" w:type="dxa"/>
            <w:vAlign w:val="bottom"/>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135,936,731</w:t>
            </w:r>
          </w:p>
        </w:tc>
        <w:tc>
          <w:tcPr>
            <w:tcW w:w="80" w:type="dxa"/>
            <w:vAlign w:val="bottom"/>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114,686,731</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100,187</w:t>
            </w:r>
          </w:p>
        </w:tc>
        <w:tc>
          <w:tcPr>
            <w:tcW w:w="60" w:type="dxa"/>
            <w:vAlign w:val="bottom"/>
          </w:tcPr>
          <w:p>
            <w:pPr>
              <w:spacing w:after="0"/>
              <w:rPr>
                <w:sz w:val="15"/>
                <w:szCs w:val="15"/>
                <w:color w:val="auto"/>
              </w:rPr>
            </w:pPr>
          </w:p>
        </w:tc>
        <w:tc>
          <w:tcPr>
            <w:tcW w:w="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99,414</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86,706</w:t>
            </w:r>
          </w:p>
        </w:tc>
      </w:tr>
      <w:tr>
        <w:trPr>
          <w:trHeight w:val="21"/>
        </w:trPr>
        <w:tc>
          <w:tcPr>
            <w:tcW w:w="28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was no convertible preferred stock issued nor outstanding as of September 30, 2022 and December 31, 2021.</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Upon completion of the merger on June 25, 2021, the Company issued an aggregate of approximately 5,365,899 shares of its common stock to Private Tempest stockholders, based on an exchange ratio of 0.0322 shares of the Company’s common stock for each share of Private Tempest common stock outstanding immediately prior to the merger, including those shares of common stock issued upon conversion of the Private Tempest preferred stock (3,692,912 common shares) and those shares of common stock issued with its pre-merger financing of $30.0 million (1,136,849 common shares).</w:t>
      </w:r>
    </w:p>
    <w:p>
      <w:pPr>
        <w:spacing w:after="0" w:line="1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As of September 30, 2022 and December 31, 2021, the Company authorized to issue 100,000,000 shares of common stock and 5,000,000 shares of preferred stock, each with a par value of $0.001 per share. Of the common stock shares, authorized, 10,517,099 and 6,910,324 were issued and outstanding at September 30, 2022 and December 31, 2021, respectively. There were no shares subject to repurchase due to remaining vesting requirements. Common stockholders are entitled to dividends as declared by the Board of Directors, subject to rights of holders of all classes of stock outstanding having priority rights as to dividends. There was no preferred stock issued nor outstanding as of September 30, 2022 and December 31, 2021.</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Common stockholders are entitled to dividends as declared by the Board of Directors, subject to rights of holders of all classes of stock outstanding having priority rights as to dividends. There have been no dividends declared to date. The holders of each share of common stock are entitled to one vote. Except for effecting or validating certain specific actions intended to protect the preferred stockholders, the holders of common stock vote together with preferred stockholders and have the right to elect one member of the Company’s Board of Directors.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ATM Program</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July 23, 2021, the Company entered into a sales agreement with Jefferies LLC, pursuant to which the Company may sell, from time to time, up to an aggregate sales price of $100,000,000 of its common stock through Jefferies LLC (the "ATM Program").</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Pre-Funded Warrants</w:t>
      </w:r>
    </w:p>
    <w:p>
      <w:pPr>
        <w:spacing w:after="0" w:line="19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April 2022, the Company completed a PIPE financing, which included the issuance of pre-funded warrants to purchase up to 3,206,020 shares of its common stock at a price per pre-funded warrant of $2.359 to the PIPE Investors. The pre-funded warrants provide that the holder will not have the right to exercise any portion of its warrants if such holder, together with its affiliates, would beneficially own in excess of 9.99% of the number of shares of the Company’s common stock outstanding immediately after giving effect to such exercise (the “Beneficial Ownership Limitation”); provided, however, that the holder may increase or decrease the Beneficial Ownership Limitation by giving 61 days’ notice to the Company, but not to any percentage in excess of 19.99%.</w:t>
      </w:r>
    </w:p>
    <w:p>
      <w:pPr>
        <w:spacing w:after="0" w:line="165" w:lineRule="exact"/>
        <w:rPr>
          <w:sz w:val="20"/>
          <w:szCs w:val="20"/>
          <w:color w:val="auto"/>
        </w:rPr>
      </w:pPr>
    </w:p>
    <w:p>
      <w:pPr>
        <w:ind w:right="8540" w:firstLine="7"/>
        <w:spacing w:after="0" w:line="520" w:lineRule="auto"/>
        <w:tabs>
          <w:tab w:leader="none" w:pos="136"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STOCK-BASED COMPENSATION Equity Plans</w:t>
      </w:r>
    </w:p>
    <w:p>
      <w:pPr>
        <w:spacing w:after="0" w:line="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2011, Private Tempest adopted the 2011 Equity Incentive Plan (the “2011 Plan), and in 2017, Private Tempest adopted the 2017 Equity Incentive Plan (the “2017 Plan”), and together with the 2011 Plan, “the Tempest Equity Plans”. Upon adoption of the 2017 Plan, the 2011 Plan was terminated.</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ind w:right="240"/>
        <w:spacing w:after="0" w:line="248" w:lineRule="auto"/>
        <w:rPr>
          <w:sz w:val="20"/>
          <w:szCs w:val="20"/>
          <w:color w:val="auto"/>
        </w:rPr>
      </w:pPr>
      <w:r>
        <w:rPr>
          <w:rFonts w:ascii="Times New Roman" w:cs="Times New Roman" w:eastAsia="Times New Roman" w:hAnsi="Times New Roman"/>
          <w:sz w:val="14"/>
          <w:szCs w:val="14"/>
          <w:color w:val="auto"/>
        </w:rPr>
        <w:t>The Board of Millendo adopted the 2019 Equity Incentive Plan (the “2019 Plan”) on April 29, 2019, subject to approval by the Company’s stockholders, and became effective with such stockholder approval on June 11, 2019. As a result of the merger, the Tempest Equity Plans were assumed by the Company. The number of shares of the Company's common stock reserved for issuance under the 2019 Plan will automatically increase on January 1st of each year, for a period of 10 years, from January 1, 2020 continuing through January 1, 2029, by 4% of the total number of shares of the Company's common stock outstanding on December 31 of the preceding calendar year, or a lesser number of shares as may be determined by the Board of Directors. On January 1, 2022, the common stock reserved for issuance was increased by 276,412 shares.</w:t>
      </w:r>
    </w:p>
    <w:p>
      <w:pPr>
        <w:spacing w:after="0" w:line="169" w:lineRule="exact"/>
        <w:rPr>
          <w:sz w:val="20"/>
          <w:szCs w:val="20"/>
          <w:color w:val="auto"/>
        </w:rPr>
      </w:pPr>
    </w:p>
    <w:p>
      <w:pPr>
        <w:jc w:val="both"/>
        <w:ind w:right="240"/>
        <w:spacing w:after="0" w:line="248" w:lineRule="auto"/>
        <w:rPr>
          <w:sz w:val="20"/>
          <w:szCs w:val="20"/>
          <w:color w:val="auto"/>
        </w:rPr>
      </w:pPr>
      <w:r>
        <w:rPr>
          <w:rFonts w:ascii="Times New Roman" w:cs="Times New Roman" w:eastAsia="Times New Roman" w:hAnsi="Times New Roman"/>
          <w:sz w:val="14"/>
          <w:szCs w:val="14"/>
          <w:color w:val="auto"/>
        </w:rPr>
        <w:t>On June 17, 2022, the Company’s stockholders approved the Amended and Restated 2019 Equity Incentive Plan (the “A&amp;R 2019 Plan”), which amends and restates the 2019 Plan and will be a successor to, and replacement of, the 2019 Plan. The A&amp;R 2019 Plan had been adopted by the Company’s Board of Directors and one of the material changes was to increase the number of shares available for issuance by 1,132,252. The A&amp;R 2019 Plan still includes the annual evergreen provision of automatically increasing on January 1st of each year the number of option shares available for issuance by 4% of the total number of shares of the Company's common stock outstanding on December 31 of the preceding calendar year, or a lesser number of shares as may be determined by the Board of Directors.</w:t>
      </w:r>
    </w:p>
    <w:p>
      <w:pPr>
        <w:spacing w:after="0" w:line="169" w:lineRule="exact"/>
        <w:rPr>
          <w:sz w:val="20"/>
          <w:szCs w:val="20"/>
          <w:color w:val="auto"/>
        </w:rPr>
      </w:pPr>
    </w:p>
    <w:p>
      <w:pPr>
        <w:jc w:val="both"/>
        <w:ind w:right="240"/>
        <w:spacing w:after="0" w:line="254" w:lineRule="auto"/>
        <w:rPr>
          <w:sz w:val="20"/>
          <w:szCs w:val="20"/>
          <w:color w:val="auto"/>
        </w:rPr>
      </w:pPr>
      <w:r>
        <w:rPr>
          <w:rFonts w:ascii="Times New Roman" w:cs="Times New Roman" w:eastAsia="Times New Roman" w:hAnsi="Times New Roman"/>
          <w:sz w:val="14"/>
          <w:szCs w:val="14"/>
          <w:color w:val="auto"/>
        </w:rPr>
        <w:t>Both the 2017 Plan and the A&amp;R 2019 Plan allow the Company to grant stock awards to employees, directors and consultants of the Company, including incentive stock options (“ISOs”), nonqualified stock options (“NSOs”), stock appreciation rights, restricted stock awards, restricted stock unit awards and other stock awards. The Company measures employee and non-employee stock-based awards at grant date fair value and records compensation expense on a straight-line basis over the vesting period of the award.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September 30, 2022, a total of 954,122 shares are available for future grant under the 2017 Plan and A&amp;R 2019 Plan.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 Stock Ownership Plan</w:t>
      </w:r>
    </w:p>
    <w:p>
      <w:pPr>
        <w:spacing w:after="0" w:line="190" w:lineRule="exact"/>
        <w:rPr>
          <w:sz w:val="20"/>
          <w:szCs w:val="20"/>
          <w:color w:val="auto"/>
        </w:rPr>
      </w:pPr>
    </w:p>
    <w:p>
      <w:pPr>
        <w:jc w:val="both"/>
        <w:ind w:right="240"/>
        <w:spacing w:after="0" w:line="254" w:lineRule="auto"/>
        <w:rPr>
          <w:sz w:val="20"/>
          <w:szCs w:val="20"/>
          <w:color w:val="auto"/>
        </w:rPr>
      </w:pPr>
      <w:r>
        <w:rPr>
          <w:rFonts w:ascii="Times New Roman" w:cs="Times New Roman" w:eastAsia="Times New Roman" w:hAnsi="Times New Roman"/>
          <w:sz w:val="14"/>
          <w:szCs w:val="14"/>
          <w:color w:val="auto"/>
        </w:rPr>
        <w:t>The Board of Millendo adopted the 2019 Employee Stock Purchase Plan on April 29, 2019, which became effective upon such stockholder approval on June 11, 2019. On June 17, 2022, the Company’s stockholders approved the Amended and Restated 2019 Employee Stock Purchase Plan (the “2019 ESPP”). The 2019 ESPP enables employees to purchase shares of the Company's common stock through offerings of rights to purchase the Company's common stock to all eligible employees.</w:t>
      </w:r>
    </w:p>
    <w:p>
      <w:pPr>
        <w:spacing w:after="0" w:line="16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The 2019 ESPP provides that the number of shares of common stock reserved for issuance under the 2019 ESPP will automatically increase on January 1, 2023 and continuing through (and including) January 1, 2029, by the lesser of 1.5% of the total number of shares of Common Stock outstanding on December 31st of the preceding calendar year, (ii) 500,000 shares of Common Stock, or (iii) such lesser number of shares of Common Stock as determined by the Board of Directors (which may be zero).</w:t>
      </w:r>
    </w:p>
    <w:p>
      <w:pPr>
        <w:spacing w:after="0" w:line="1" w:lineRule="exact"/>
        <w:rPr>
          <w:sz w:val="20"/>
          <w:szCs w:val="20"/>
          <w:color w:val="auto"/>
        </w:rPr>
      </w:pPr>
    </w:p>
    <w:p>
      <w:pPr>
        <w:jc w:val="both"/>
        <w:ind w:right="240"/>
        <w:spacing w:after="0" w:line="247" w:lineRule="auto"/>
        <w:rPr>
          <w:sz w:val="20"/>
          <w:szCs w:val="20"/>
          <w:color w:val="auto"/>
        </w:rPr>
      </w:pPr>
      <w:r>
        <w:rPr>
          <w:rFonts w:ascii="Times New Roman" w:cs="Times New Roman" w:eastAsia="Times New Roman" w:hAnsi="Times New Roman"/>
          <w:sz w:val="14"/>
          <w:szCs w:val="14"/>
          <w:color w:val="auto"/>
        </w:rPr>
        <w:t>As of September 30, 2022, 137,097 shares of common stock remained available for future issuance under the 2019 ESPP. As of September 30, 2022, 6,120 shares of common stock had been issued under the 2019 ESPP during the three and nine months ended September 30, 2022.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Options</w:t>
      </w:r>
    </w:p>
    <w:p>
      <w:pPr>
        <w:spacing w:after="0" w:line="190" w:lineRule="exact"/>
        <w:rPr>
          <w:sz w:val="20"/>
          <w:szCs w:val="20"/>
          <w:color w:val="auto"/>
        </w:rPr>
      </w:pPr>
    </w:p>
    <w:p>
      <w:pPr>
        <w:jc w:val="both"/>
        <w:ind w:right="240"/>
        <w:spacing w:after="0" w:line="254" w:lineRule="auto"/>
        <w:rPr>
          <w:sz w:val="20"/>
          <w:szCs w:val="20"/>
          <w:color w:val="auto"/>
        </w:rPr>
      </w:pPr>
      <w:r>
        <w:rPr>
          <w:rFonts w:ascii="Times New Roman" w:cs="Times New Roman" w:eastAsia="Times New Roman" w:hAnsi="Times New Roman"/>
          <w:sz w:val="14"/>
          <w:szCs w:val="14"/>
          <w:color w:val="auto"/>
        </w:rPr>
        <w:t>Options to purchase the Company’s common stock may be granted at a price not less than the fair market value in the case of both NSOs and ISOs, except for an options holder who owns more than 10% of the voting power of all classes of stock of the Company, in which case the exercise price shall be no less than 110% of the fair market value per share on the grant date. Stock options granted under the Plans generally vest over four years and expire no later than ten (10) years from the date of grant. Vested options can be exercised at any time.</w:t>
      </w:r>
    </w:p>
    <w:p>
      <w:pPr>
        <w:spacing w:after="0" w:line="163" w:lineRule="exact"/>
        <w:rPr>
          <w:sz w:val="20"/>
          <w:szCs w:val="20"/>
          <w:color w:val="auto"/>
        </w:rPr>
      </w:pPr>
    </w:p>
    <w:p>
      <w:pPr>
        <w:jc w:val="both"/>
        <w:ind w:right="240"/>
        <w:spacing w:after="0" w:line="248" w:lineRule="auto"/>
        <w:rPr>
          <w:sz w:val="20"/>
          <w:szCs w:val="20"/>
          <w:color w:val="auto"/>
        </w:rPr>
      </w:pPr>
      <w:r>
        <w:rPr>
          <w:rFonts w:ascii="Times New Roman" w:cs="Times New Roman" w:eastAsia="Times New Roman" w:hAnsi="Times New Roman"/>
          <w:sz w:val="14"/>
          <w:szCs w:val="14"/>
          <w:color w:val="auto"/>
        </w:rPr>
        <w:t>Prior to the merger, the grant date fair market value of the shares of common stock underlying stock options has historically been determined by the Company’s Board of Directors. Up until the merger, there had been no public market for the Company’s common stock, and therefore the Board of Directors exercised reasonable judgment and considered a number of objective and subjective factors to determine the best estimate of the fair market value, which included valuations performed by an independent third-party, important developments in the Company’s operations, sales of convertible preferred stock, actual operating results, financial performance, the conditions in the life sciences industry, the economy in general, the stock price performance and volatility of comparable public companies, and the lack of liquidity of the Company’s common stock.</w:t>
      </w:r>
    </w:p>
    <w:p>
      <w:pPr>
        <w:spacing w:after="0" w:line="200" w:lineRule="exact"/>
        <w:rPr>
          <w:sz w:val="20"/>
          <w:szCs w:val="20"/>
          <w:color w:val="auto"/>
        </w:rPr>
      </w:pPr>
    </w:p>
    <w:p>
      <w:pPr>
        <w:spacing w:after="0" w:line="29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540" w:top="312" w:right="3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38"/>
        </w:trPr>
        <w:tc>
          <w:tcPr>
            <w:tcW w:w="8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9"/>
              </w:rPr>
              <w:t>Table of Contents</w:t>
            </w:r>
          </w:p>
        </w:tc>
        <w:tc>
          <w:tcPr>
            <w:tcW w:w="4660" w:type="dxa"/>
            <w:vAlign w:val="bottom"/>
            <w:gridSpan w:val="2"/>
          </w:tcPr>
          <w:p>
            <w:pPr>
              <w:spacing w:after="0"/>
              <w:rPr>
                <w:sz w:val="12"/>
                <w:szCs w:val="12"/>
                <w:color w:val="auto"/>
              </w:rPr>
            </w:pPr>
          </w:p>
        </w:tc>
        <w:tc>
          <w:tcPr>
            <w:tcW w:w="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7"/>
        </w:trPr>
        <w:tc>
          <w:tcPr>
            <w:tcW w:w="63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following shows the stock option activities for the nine months ended September 30, 2022 and 2021:</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8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 Options</w:t>
            </w:r>
          </w:p>
        </w:tc>
        <w:tc>
          <w:tcPr>
            <w:tcW w:w="8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0" w:type="dxa"/>
            <w:vAlign w:val="bottom"/>
          </w:tcPr>
          <w:p>
            <w:pPr>
              <w:spacing w:after="0"/>
              <w:rPr>
                <w:sz w:val="1"/>
                <w:szCs w:val="1"/>
                <w:color w:val="auto"/>
              </w:rPr>
            </w:pPr>
          </w:p>
        </w:tc>
      </w:tr>
      <w:tr>
        <w:trPr>
          <w:trHeight w:val="179"/>
        </w:trPr>
        <w:tc>
          <w:tcPr>
            <w:tcW w:w="88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6"/>
              </w:rPr>
              <w:t>Exercise Price</w:t>
            </w:r>
          </w:p>
        </w:tc>
        <w:tc>
          <w:tcPr>
            <w:tcW w:w="0" w:type="dxa"/>
            <w:vAlign w:val="bottom"/>
          </w:tcPr>
          <w:p>
            <w:pPr>
              <w:spacing w:after="0"/>
              <w:rPr>
                <w:sz w:val="1"/>
                <w:szCs w:val="1"/>
                <w:color w:val="auto"/>
              </w:rPr>
            </w:pPr>
          </w:p>
        </w:tc>
      </w:tr>
      <w:tr>
        <w:trPr>
          <w:trHeight w:val="21"/>
        </w:trPr>
        <w:tc>
          <w:tcPr>
            <w:tcW w:w="5260" w:type="dxa"/>
            <w:vAlign w:val="bottom"/>
            <w:tcBorders>
              <w:bottom w:val="single" w:sz="8" w:color="CCEEFF"/>
            </w:tcBorders>
            <w:gridSpan w:val="2"/>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55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Balance—December 31, 2021</w:t>
            </w:r>
          </w:p>
        </w:tc>
        <w:tc>
          <w:tcPr>
            <w:tcW w:w="7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790,637</w:t>
            </w: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32.82</w:t>
            </w:r>
          </w:p>
        </w:tc>
        <w:tc>
          <w:tcPr>
            <w:tcW w:w="0" w:type="dxa"/>
            <w:vAlign w:val="bottom"/>
          </w:tcPr>
          <w:p>
            <w:pPr>
              <w:spacing w:after="0"/>
              <w:rPr>
                <w:sz w:val="1"/>
                <w:szCs w:val="1"/>
                <w:color w:val="auto"/>
              </w:rPr>
            </w:pPr>
          </w:p>
        </w:tc>
      </w:tr>
      <w:tr>
        <w:trPr>
          <w:trHeight w:val="183"/>
        </w:trPr>
        <w:tc>
          <w:tcPr>
            <w:tcW w:w="55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Granted</w:t>
            </w: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903,527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0" w:type="dxa"/>
            <w:vAlign w:val="bottom"/>
          </w:tcPr>
          <w:p>
            <w:pPr>
              <w:spacing w:after="0"/>
              <w:rPr>
                <w:sz w:val="1"/>
                <w:szCs w:val="1"/>
                <w:color w:val="auto"/>
              </w:rPr>
            </w:pPr>
          </w:p>
        </w:tc>
      </w:tr>
      <w:tr>
        <w:trPr>
          <w:trHeight w:val="21"/>
        </w:trPr>
        <w:tc>
          <w:tcPr>
            <w:tcW w:w="5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54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Exercised</w:t>
            </w:r>
          </w:p>
        </w:tc>
        <w:tc>
          <w:tcPr>
            <w:tcW w:w="7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55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Cancelled and forfeited</w:t>
            </w: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(56,235)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266.80</w:t>
            </w:r>
          </w:p>
        </w:tc>
        <w:tc>
          <w:tcPr>
            <w:tcW w:w="0" w:type="dxa"/>
            <w:vAlign w:val="bottom"/>
          </w:tcPr>
          <w:p>
            <w:pPr>
              <w:spacing w:after="0"/>
              <w:rPr>
                <w:sz w:val="1"/>
                <w:szCs w:val="1"/>
                <w:color w:val="auto"/>
              </w:rPr>
            </w:pPr>
          </w:p>
        </w:tc>
      </w:tr>
      <w:tr>
        <w:trPr>
          <w:trHeight w:val="21"/>
        </w:trPr>
        <w:tc>
          <w:tcPr>
            <w:tcW w:w="5260" w:type="dxa"/>
            <w:vAlign w:val="bottom"/>
            <w:tcBorders>
              <w:bottom w:val="single" w:sz="8" w:color="CCEEFF"/>
            </w:tcBorders>
            <w:gridSpan w:val="2"/>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9"/>
        </w:trPr>
        <w:tc>
          <w:tcPr>
            <w:tcW w:w="55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Balance—September 30, 2022</w:t>
            </w:r>
          </w:p>
        </w:tc>
        <w:tc>
          <w:tcPr>
            <w:tcW w:w="7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1,637,929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880" w:type="dxa"/>
            <w:vAlign w:val="bottom"/>
          </w:tcPr>
          <w:p>
            <w:pPr>
              <w:spacing w:after="0"/>
              <w:rPr>
                <w:sz w:val="9"/>
                <w:szCs w:val="9"/>
                <w:color w:val="auto"/>
              </w:rPr>
            </w:pPr>
          </w:p>
        </w:tc>
        <w:tc>
          <w:tcPr>
            <w:tcW w:w="4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55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Balance—December 31, 2020</w:t>
            </w:r>
          </w:p>
        </w:tc>
        <w:tc>
          <w:tcPr>
            <w:tcW w:w="7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452,165</w:t>
            </w: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0" w:type="dxa"/>
            <w:vAlign w:val="bottom"/>
          </w:tcPr>
          <w:p>
            <w:pPr>
              <w:spacing w:after="0"/>
              <w:rPr>
                <w:sz w:val="1"/>
                <w:szCs w:val="1"/>
                <w:color w:val="auto"/>
              </w:rPr>
            </w:pPr>
          </w:p>
        </w:tc>
      </w:tr>
      <w:tr>
        <w:trPr>
          <w:trHeight w:val="183"/>
        </w:trPr>
        <w:tc>
          <w:tcPr>
            <w:tcW w:w="55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Assumed in reverse recapitalization</w:t>
            </w: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177,591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179.79</w:t>
            </w:r>
          </w:p>
        </w:tc>
        <w:tc>
          <w:tcPr>
            <w:tcW w:w="0" w:type="dxa"/>
            <w:vAlign w:val="bottom"/>
          </w:tcPr>
          <w:p>
            <w:pPr>
              <w:spacing w:after="0"/>
              <w:rPr>
                <w:sz w:val="1"/>
                <w:szCs w:val="1"/>
                <w:color w:val="auto"/>
              </w:rPr>
            </w:pPr>
          </w:p>
        </w:tc>
      </w:tr>
      <w:tr>
        <w:trPr>
          <w:trHeight w:val="21"/>
        </w:trPr>
        <w:tc>
          <w:tcPr>
            <w:tcW w:w="5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54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Granted</w:t>
            </w:r>
          </w:p>
        </w:tc>
        <w:tc>
          <w:tcPr>
            <w:tcW w:w="7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232,669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19.09</w:t>
            </w:r>
          </w:p>
        </w:tc>
        <w:tc>
          <w:tcPr>
            <w:tcW w:w="0" w:type="dxa"/>
            <w:vAlign w:val="bottom"/>
          </w:tcPr>
          <w:p>
            <w:pPr>
              <w:spacing w:after="0"/>
              <w:rPr>
                <w:sz w:val="1"/>
                <w:szCs w:val="1"/>
                <w:color w:val="auto"/>
              </w:rPr>
            </w:pPr>
          </w:p>
        </w:tc>
      </w:tr>
      <w:tr>
        <w:trPr>
          <w:trHeight w:val="183"/>
        </w:trPr>
        <w:tc>
          <w:tcPr>
            <w:tcW w:w="55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Exercised</w:t>
            </w: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(25,871)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0" w:type="dxa"/>
            <w:vAlign w:val="bottom"/>
          </w:tcPr>
          <w:p>
            <w:pPr>
              <w:spacing w:after="0"/>
              <w:rPr>
                <w:sz w:val="1"/>
                <w:szCs w:val="1"/>
                <w:color w:val="auto"/>
              </w:rPr>
            </w:pPr>
          </w:p>
        </w:tc>
      </w:tr>
      <w:tr>
        <w:trPr>
          <w:trHeight w:val="21"/>
        </w:trPr>
        <w:tc>
          <w:tcPr>
            <w:tcW w:w="5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4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Cancelled and forfeited</w:t>
            </w:r>
          </w:p>
        </w:tc>
        <w:tc>
          <w:tcPr>
            <w:tcW w:w="7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(100,459)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107.77</w:t>
            </w:r>
          </w:p>
        </w:tc>
        <w:tc>
          <w:tcPr>
            <w:tcW w:w="0" w:type="dxa"/>
            <w:vAlign w:val="bottom"/>
          </w:tcPr>
          <w:p>
            <w:pPr>
              <w:spacing w:after="0"/>
              <w:rPr>
                <w:sz w:val="1"/>
                <w:szCs w:val="1"/>
                <w:color w:val="auto"/>
              </w:rPr>
            </w:pPr>
          </w:p>
        </w:tc>
      </w:tr>
      <w:tr>
        <w:trPr>
          <w:trHeight w:val="194"/>
        </w:trPr>
        <w:tc>
          <w:tcPr>
            <w:tcW w:w="55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Balance—September 30, 2021</w:t>
            </w:r>
          </w:p>
        </w:tc>
        <w:tc>
          <w:tcPr>
            <w:tcW w:w="7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736,095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37.47</w:t>
            </w:r>
          </w:p>
        </w:tc>
        <w:tc>
          <w:tcPr>
            <w:tcW w:w="0" w:type="dxa"/>
            <w:vAlign w:val="bottom"/>
          </w:tcPr>
          <w:p>
            <w:pPr>
              <w:spacing w:after="0"/>
              <w:rPr>
                <w:sz w:val="1"/>
                <w:szCs w:val="1"/>
                <w:color w:val="auto"/>
              </w:rPr>
            </w:pPr>
          </w:p>
        </w:tc>
      </w:tr>
      <w:tr>
        <w:trPr>
          <w:trHeight w:val="20"/>
        </w:trPr>
        <w:tc>
          <w:tcPr>
            <w:tcW w:w="5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w w:val="97"/>
              </w:rPr>
              <w:t>The following table summarizes information about stock options outstanding at September 30, 2022:</w:t>
            </w: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5540" w:type="dxa"/>
            <w:vAlign w:val="bottom"/>
            <w:gridSpan w:val="3"/>
            <w:vMerge w:val="continue"/>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Weighted Average</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8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Remaining</w:t>
            </w:r>
          </w:p>
        </w:tc>
        <w:tc>
          <w:tcPr>
            <w:tcW w:w="240" w:type="dxa"/>
            <w:vAlign w:val="bottom"/>
          </w:tcPr>
          <w:p>
            <w:pPr>
              <w:spacing w:after="0"/>
              <w:rPr>
                <w:sz w:val="14"/>
                <w:szCs w:val="14"/>
                <w:color w:val="auto"/>
              </w:rPr>
            </w:pP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8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Contractual Life (In</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w w:val="94"/>
              </w:rPr>
              <w:t>Average Exercise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79"/>
        </w:trPr>
        <w:tc>
          <w:tcPr>
            <w:tcW w:w="88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Years)</w:t>
            </w:r>
          </w:p>
        </w:tc>
        <w:tc>
          <w:tcPr>
            <w:tcW w:w="240" w:type="dxa"/>
            <w:vAlign w:val="bottom"/>
          </w:tcPr>
          <w:p>
            <w:pPr>
              <w:spacing w:after="0"/>
              <w:rPr>
                <w:sz w:val="15"/>
                <w:szCs w:val="15"/>
                <w:color w:val="auto"/>
              </w:rPr>
            </w:pPr>
          </w:p>
        </w:tc>
        <w:tc>
          <w:tcPr>
            <w:tcW w:w="8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5"/>
              </w:rPr>
              <w:t>Intrinsic Value</w:t>
            </w:r>
          </w:p>
        </w:tc>
        <w:tc>
          <w:tcPr>
            <w:tcW w:w="0" w:type="dxa"/>
            <w:vAlign w:val="bottom"/>
          </w:tcPr>
          <w:p>
            <w:pPr>
              <w:spacing w:after="0"/>
              <w:rPr>
                <w:sz w:val="1"/>
                <w:szCs w:val="1"/>
                <w:color w:val="auto"/>
              </w:rPr>
            </w:pPr>
          </w:p>
        </w:tc>
      </w:tr>
      <w:tr>
        <w:trPr>
          <w:trHeight w:val="21"/>
        </w:trPr>
        <w:tc>
          <w:tcPr>
            <w:tcW w:w="5260" w:type="dxa"/>
            <w:vAlign w:val="bottom"/>
            <w:tcBorders>
              <w:bottom w:val="single" w:sz="8" w:color="CCEEFF"/>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55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outstanding</w:t>
            </w:r>
          </w:p>
        </w:tc>
        <w:tc>
          <w:tcPr>
            <w:tcW w:w="7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1,637,929</w:t>
            </w:r>
          </w:p>
        </w:tc>
        <w:tc>
          <w:tcPr>
            <w:tcW w:w="1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8.78</w:t>
            </w:r>
          </w:p>
        </w:tc>
        <w:tc>
          <w:tcPr>
            <w:tcW w:w="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8.72</w:t>
            </w:r>
          </w:p>
        </w:tc>
        <w:tc>
          <w:tcPr>
            <w:tcW w:w="1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55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Vested and expected to vest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1,637,929</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8.78</w:t>
            </w:r>
          </w:p>
        </w:tc>
        <w:tc>
          <w:tcPr>
            <w:tcW w:w="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8.72</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5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Exercisable</w:t>
            </w:r>
          </w:p>
        </w:tc>
        <w:tc>
          <w:tcPr>
            <w:tcW w:w="7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486,089</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7.71</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15.22</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880" w:type="dxa"/>
            <w:vAlign w:val="bottom"/>
            <w:shd w:val="clear" w:color="auto" w:fill="CCEEFF"/>
          </w:tcPr>
          <w:p>
            <w:pPr>
              <w:spacing w:after="0" w:line="20" w:lineRule="exact"/>
              <w:rPr>
                <w:sz w:val="1"/>
                <w:szCs w:val="1"/>
                <w:color w:val="auto"/>
              </w:rPr>
            </w:pPr>
          </w:p>
        </w:tc>
        <w:tc>
          <w:tcPr>
            <w:tcW w:w="43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During the nine months ended September 30, 2022 and 2021, the Company granted employees and non-employees stock options to purchase 903,527 and 232,669 shares of common stock with a weighted-average grant date fair value of $2.83 and $11.83 per share, respectively. As of September 30, 2022 and 2021, total unrecognized compensation costs related to unvested employee stock options were $4,443 and $2,935, respectively. These costs are expected to be recognized over a weighted-average period of approximately 2.8 years and 1.4 years, respectively.</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estimated the fair value of stock options using the Black-Scholes option pricing valuation model. The fair value of employee stock options is being amortized on the straight-line basis over the requisite service period of the awards. The fair value of stock options was estimated using the following assumptions for the nine months ended September 30, 2022 and 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960" w:type="dxa"/>
            <w:vAlign w:val="bottom"/>
          </w:tcPr>
          <w:p>
            <w:pPr>
              <w:spacing w:after="0"/>
              <w:rPr>
                <w:sz w:val="15"/>
                <w:szCs w:val="15"/>
                <w:color w:val="auto"/>
              </w:rPr>
            </w:pPr>
          </w:p>
        </w:tc>
        <w:tc>
          <w:tcPr>
            <w:tcW w:w="148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11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5"/>
                <w:szCs w:val="15"/>
                <w:color w:val="auto"/>
              </w:rPr>
            </w:pPr>
          </w:p>
        </w:tc>
      </w:tr>
      <w:tr>
        <w:trPr>
          <w:trHeight w:val="21"/>
        </w:trPr>
        <w:tc>
          <w:tcPr>
            <w:tcW w:w="69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174"/>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(in years)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5.5 - 6.1</w:t>
            </w:r>
          </w:p>
        </w:tc>
        <w:tc>
          <w:tcPr>
            <w:tcW w:w="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- 6.1</w:t>
            </w:r>
          </w:p>
        </w:tc>
      </w:tr>
      <w:tr>
        <w:trPr>
          <w:trHeight w:val="183"/>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 - 112%</w:t>
            </w:r>
          </w:p>
        </w:tc>
        <w:tc>
          <w:tcPr>
            <w:tcW w:w="8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 - 68%</w:t>
            </w:r>
          </w:p>
        </w:tc>
      </w:tr>
      <w:tr>
        <w:trPr>
          <w:trHeight w:val="21"/>
        </w:trPr>
        <w:tc>
          <w:tcPr>
            <w:tcW w:w="69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84"/>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- 3.4%</w:t>
            </w:r>
          </w:p>
        </w:tc>
        <w:tc>
          <w:tcPr>
            <w:tcW w:w="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 - 1.1%</w:t>
            </w:r>
          </w:p>
        </w:tc>
      </w:tr>
      <w:tr>
        <w:trPr>
          <w:trHeight w:val="183"/>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w:t>
            </w:r>
          </w:p>
        </w:tc>
      </w:tr>
    </w:tbl>
    <w:p>
      <w:pPr>
        <w:spacing w:after="0" w:line="14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Expected Term</w:t>
      </w:r>
      <w:r>
        <w:rPr>
          <w:rFonts w:ascii="Times New Roman" w:cs="Times New Roman" w:eastAsia="Times New Roman" w:hAnsi="Times New Roman"/>
          <w:sz w:val="14"/>
          <w:szCs w:val="14"/>
          <w:color w:val="auto"/>
        </w:rPr>
        <w:t>—The expected term of options granted represents the period of time that the options are expected to be outstanding. Due to the lack of historical exercise history, the expected term</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the Company’s employee stock options has been determined utilizing the simplified method for awards that qualify as plain-vanilla options.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Expected Volatility</w:t>
      </w:r>
      <w:r>
        <w:rPr>
          <w:rFonts w:ascii="Times New Roman" w:cs="Times New Roman" w:eastAsia="Times New Roman" w:hAnsi="Times New Roman"/>
          <w:sz w:val="14"/>
          <w:szCs w:val="14"/>
          <w:color w:val="auto"/>
        </w:rPr>
        <w:t>—The expected stock price volatility assumption was determined by examining the historical volatilities for industry peers.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Risk-Free Interest Rate</w:t>
      </w:r>
      <w:r>
        <w:rPr>
          <w:rFonts w:ascii="Times New Roman" w:cs="Times New Roman" w:eastAsia="Times New Roman" w:hAnsi="Times New Roman"/>
          <w:sz w:val="14"/>
          <w:szCs w:val="14"/>
          <w:color w:val="auto"/>
        </w:rPr>
        <w:t>—The risk-free interest rate assumption is based on the U.S. Treasury instruments whose term was consistent with the expected term of the Company’s stock options.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08" w:right="559" w:bottom="1440" w:gutter="0" w:footer="0" w:header="0"/>
        </w:sectPr>
      </w:pPr>
    </w:p>
    <w:bookmarkStart w:id="17" w:name="page18"/>
    <w:bookmarkEnd w:id="17"/>
    <w:p>
      <w:pPr>
        <w:ind w:left="240"/>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3" w:lineRule="exact"/>
        <w:rPr>
          <w:sz w:val="20"/>
          <w:szCs w:val="20"/>
          <w:color w:val="auto"/>
        </w:rPr>
      </w:pPr>
    </w:p>
    <w:p>
      <w:pPr>
        <w:jc w:val="both"/>
        <w:ind w:left="240" w:right="240"/>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Dividends</w:t>
      </w:r>
      <w:r>
        <w:rPr>
          <w:rFonts w:ascii="Times New Roman" w:cs="Times New Roman" w:eastAsia="Times New Roman" w:hAnsi="Times New Roman"/>
          <w:sz w:val="14"/>
          <w:szCs w:val="14"/>
          <w:color w:val="auto"/>
        </w:rPr>
        <w:t>—The Company has not paid any cash dividends on common stock since inception and does not anticipate paying any dividends in the foreseeable future. Consequently, an expected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dividend yield of zero was used.</w:t>
      </w:r>
    </w:p>
    <w:p>
      <w:pPr>
        <w:spacing w:after="0" w:line="1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Stock-Based Compensation Expense</w:t>
      </w:r>
    </w:p>
    <w:p>
      <w:pPr>
        <w:spacing w:after="0" w:line="190" w:lineRule="exact"/>
        <w:rPr>
          <w:sz w:val="20"/>
          <w:szCs w:val="20"/>
          <w:color w:val="auto"/>
        </w:rPr>
      </w:pPr>
    </w:p>
    <w:p>
      <w:pPr>
        <w:jc w:val="both"/>
        <w:ind w:left="240" w:right="240"/>
        <w:spacing w:after="0" w:line="264" w:lineRule="auto"/>
        <w:rPr>
          <w:sz w:val="20"/>
          <w:szCs w:val="20"/>
          <w:color w:val="auto"/>
        </w:rPr>
      </w:pPr>
      <w:r>
        <w:rPr>
          <w:rFonts w:ascii="Times New Roman" w:cs="Times New Roman" w:eastAsia="Times New Roman" w:hAnsi="Times New Roman"/>
          <w:sz w:val="14"/>
          <w:szCs w:val="14"/>
          <w:color w:val="auto"/>
        </w:rPr>
        <w:t>The following table summarizes the components of stock-based compensation expense recognized in the Company’s Condensed Consolidated Statement of Operations for the three and nine months ended September 30, 2022:</w:t>
      </w:r>
    </w:p>
    <w:p>
      <w:pPr>
        <w:spacing w:after="0" w:line="191" w:lineRule="exact"/>
        <w:rPr>
          <w:sz w:val="20"/>
          <w:szCs w:val="20"/>
          <w:color w:val="auto"/>
        </w:rPr>
      </w:pPr>
    </w:p>
    <w:tbl>
      <w:tblPr>
        <w:tblLayout w:type="fixed"/>
        <w:tblInd w:w="240" w:type="dxa"/>
        <w:tblCellMar>
          <w:top w:w="0" w:type="dxa"/>
          <w:left w:w="0" w:type="dxa"/>
          <w:bottom w:w="0" w:type="dxa"/>
          <w:right w:w="0" w:type="dxa"/>
        </w:tblCellMar>
      </w:tblPr>
      <w:tr>
        <w:trPr>
          <w:trHeight w:val="143"/>
        </w:trPr>
        <w:tc>
          <w:tcPr>
            <w:tcW w:w="6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80" w:type="dxa"/>
            <w:vAlign w:val="bottom"/>
          </w:tcPr>
          <w:p>
            <w:pPr>
              <w:spacing w:after="0"/>
              <w:rPr>
                <w:sz w:val="12"/>
                <w:szCs w:val="12"/>
                <w:color w:val="auto"/>
              </w:rPr>
            </w:pPr>
          </w:p>
        </w:tc>
        <w:tc>
          <w:tcPr>
            <w:tcW w:w="1740" w:type="dxa"/>
            <w:vAlign w:val="bottom"/>
            <w:gridSpan w:val="4"/>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98"/>
              </w:rPr>
              <w:t>Nine Months Ended September 30,</w:t>
            </w:r>
          </w:p>
        </w:tc>
      </w:tr>
      <w:tr>
        <w:trPr>
          <w:trHeight w:val="29"/>
        </w:trPr>
        <w:tc>
          <w:tcPr>
            <w:tcW w:w="62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35"/>
        </w:trPr>
        <w:tc>
          <w:tcPr>
            <w:tcW w:w="6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11"/>
                <w:szCs w:val="11"/>
                <w:b w:val="1"/>
                <w:bCs w:val="1"/>
                <w:color w:val="auto"/>
              </w:rPr>
              <w:t>2022</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11"/>
                <w:szCs w:val="11"/>
                <w:b w:val="1"/>
                <w:bCs w:val="1"/>
                <w:color w:val="auto"/>
              </w:rPr>
              <w:t>2022</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29"/>
        </w:trPr>
        <w:tc>
          <w:tcPr>
            <w:tcW w:w="62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4"/>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148</w:t>
            </w: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375</w:t>
            </w: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w:t>
            </w:r>
          </w:p>
        </w:tc>
      </w:tr>
      <w:tr>
        <w:trPr>
          <w:trHeight w:val="197"/>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290</w:t>
            </w:r>
          </w:p>
        </w:tc>
        <w:tc>
          <w:tcPr>
            <w:tcW w:w="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191</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758</w:t>
            </w:r>
          </w:p>
        </w:tc>
        <w:tc>
          <w:tcPr>
            <w:tcW w:w="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600</w:t>
            </w:r>
          </w:p>
        </w:tc>
      </w:tr>
      <w:tr>
        <w:trPr>
          <w:trHeight w:val="206"/>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438</w:t>
            </w:r>
          </w:p>
        </w:tc>
        <w:tc>
          <w:tcPr>
            <w:tcW w:w="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1,133</w:t>
            </w:r>
          </w:p>
        </w:tc>
        <w:tc>
          <w:tcPr>
            <w:tcW w:w="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827</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10. RETIREMENT PLAN</w:t>
      </w:r>
    </w:p>
    <w:p>
      <w:pPr>
        <w:spacing w:after="0" w:line="190" w:lineRule="exact"/>
        <w:rPr>
          <w:sz w:val="20"/>
          <w:szCs w:val="20"/>
          <w:color w:val="auto"/>
        </w:rPr>
      </w:pPr>
    </w:p>
    <w:p>
      <w:pPr>
        <w:jc w:val="both"/>
        <w:ind w:left="240" w:right="240"/>
        <w:spacing w:after="0" w:line="316" w:lineRule="auto"/>
        <w:rPr>
          <w:sz w:val="20"/>
          <w:szCs w:val="20"/>
          <w:color w:val="auto"/>
        </w:rPr>
      </w:pPr>
      <w:r>
        <w:rPr>
          <w:rFonts w:ascii="Times New Roman" w:cs="Times New Roman" w:eastAsia="Times New Roman" w:hAnsi="Times New Roman"/>
          <w:sz w:val="12"/>
          <w:szCs w:val="12"/>
          <w:color w:val="auto"/>
        </w:rPr>
        <w:t>The Company participates in a qualified 401(k) Plan sponsored by its professional service organization. The retirement plan is a defined contribution plan covering eligible employees. Participants may contribute a portion of their annual compensation limited to a maximum annual amount set by the Internal Revenue Service. During the three and nine months ended September 30, 2022, the Company contributed $39 and $100, respectively, to the 401(k) Plan. There was no contribution from the Company for the three and nine months ended September 30, 2021.</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11. NET LOSS PER SHARE</w:t>
      </w:r>
    </w:p>
    <w:p>
      <w:pPr>
        <w:spacing w:after="0" w:line="190" w:lineRule="exact"/>
        <w:rPr>
          <w:sz w:val="20"/>
          <w:szCs w:val="20"/>
          <w:color w:val="auto"/>
        </w:rPr>
      </w:pPr>
    </w:p>
    <w:p>
      <w:pPr>
        <w:jc w:val="both"/>
        <w:ind w:left="240" w:right="240"/>
        <w:spacing w:after="0" w:line="264" w:lineRule="auto"/>
        <w:rPr>
          <w:sz w:val="20"/>
          <w:szCs w:val="20"/>
          <w:color w:val="auto"/>
        </w:rPr>
      </w:pPr>
      <w:r>
        <w:rPr>
          <w:rFonts w:ascii="Times New Roman" w:cs="Times New Roman" w:eastAsia="Times New Roman" w:hAnsi="Times New Roman"/>
          <w:sz w:val="14"/>
          <w:szCs w:val="14"/>
          <w:color w:val="auto"/>
        </w:rPr>
        <w:t>The following table sets forth the computation of the Company’s basis in diluted net loss per share for the three and nine months ended September 30, 2022 and 2021 (in thousands, except share and per share amounts):</w:t>
      </w:r>
    </w:p>
    <w:p>
      <w:pPr>
        <w:spacing w:after="0" w:line="191" w:lineRule="exact"/>
        <w:rPr>
          <w:sz w:val="20"/>
          <w:szCs w:val="20"/>
          <w:color w:val="auto"/>
        </w:rPr>
      </w:pPr>
    </w:p>
    <w:tbl>
      <w:tblPr>
        <w:tblLayout w:type="fixed"/>
        <w:tblInd w:w="240" w:type="dxa"/>
        <w:tblCellMar>
          <w:top w:w="0" w:type="dxa"/>
          <w:left w:w="0" w:type="dxa"/>
          <w:bottom w:w="0" w:type="dxa"/>
          <w:right w:w="0" w:type="dxa"/>
        </w:tblCellMar>
      </w:tblPr>
      <w:tr>
        <w:trPr>
          <w:trHeight w:val="143"/>
        </w:trPr>
        <w:tc>
          <w:tcPr>
            <w:tcW w:w="5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gridSpan w:val="5"/>
          </w:tcPr>
          <w:p>
            <w:pPr>
              <w:ind w:left="10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160" w:type="dxa"/>
            <w:vAlign w:val="bottom"/>
          </w:tcPr>
          <w:p>
            <w:pPr>
              <w:spacing w:after="0"/>
              <w:rPr>
                <w:sz w:val="12"/>
                <w:szCs w:val="12"/>
                <w:color w:val="auto"/>
              </w:rPr>
            </w:pPr>
          </w:p>
        </w:tc>
        <w:tc>
          <w:tcPr>
            <w:tcW w:w="1920" w:type="dxa"/>
            <w:vAlign w:val="bottom"/>
            <w:gridSpan w:val="4"/>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r>
      <w:tr>
        <w:trPr>
          <w:trHeight w:val="29"/>
        </w:trPr>
        <w:tc>
          <w:tcPr>
            <w:tcW w:w="5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73"/>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160" w:type="dxa"/>
            <w:vAlign w:val="bottom"/>
          </w:tcPr>
          <w:p>
            <w:pPr>
              <w:spacing w:after="0"/>
              <w:rPr>
                <w:sz w:val="15"/>
                <w:szCs w:val="15"/>
                <w:color w:val="auto"/>
              </w:rPr>
            </w:pPr>
          </w:p>
        </w:tc>
        <w:tc>
          <w:tcPr>
            <w:tcW w:w="1000" w:type="dxa"/>
            <w:vAlign w:val="bottom"/>
          </w:tcPr>
          <w:p>
            <w:pPr>
              <w:jc w:val="right"/>
              <w:ind w:right="396"/>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2021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1"/>
                <w:szCs w:val="11"/>
                <w:b w:val="1"/>
                <w:bCs w:val="1"/>
                <w:color w:val="auto"/>
              </w:rPr>
              <w:t>2022</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21"/>
        </w:trPr>
        <w:tc>
          <w:tcPr>
            <w:tcW w:w="5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74"/>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(8,947)</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(8,110)</w:t>
            </w: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(26,606)</w:t>
            </w:r>
          </w:p>
        </w:tc>
        <w:tc>
          <w:tcPr>
            <w:tcW w:w="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(20,523)</w:t>
            </w:r>
          </w:p>
        </w:tc>
      </w:tr>
      <w:tr>
        <w:trPr>
          <w:trHeight w:val="183"/>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1"/>
        </w:trPr>
        <w:tc>
          <w:tcPr>
            <w:tcW w:w="5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4"/>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common shares outstanding</w:t>
            </w: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13,635,927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6,721,400</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10,815,900</w:t>
            </w: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2,751,519</w:t>
            </w:r>
          </w:p>
        </w:tc>
      </w:tr>
      <w:tr>
        <w:trPr>
          <w:trHeight w:val="183"/>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Weighted-average unvested restricted shares and shares subject to repurchase</w:t>
            </w:r>
          </w:p>
        </w:tc>
        <w:tc>
          <w:tcPr>
            <w:tcW w:w="16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(3,745)</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(11,917)</w:t>
            </w:r>
          </w:p>
        </w:tc>
      </w:tr>
      <w:tr>
        <w:trPr>
          <w:trHeight w:val="21"/>
        </w:trPr>
        <w:tc>
          <w:tcPr>
            <w:tcW w:w="5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9"/>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shares used in computing basic and diluted net loss per share</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13,635,927</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6,717,655</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10,815,900</w:t>
            </w: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2,739,602</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per share attributable to common stockholders—basic and diluted</w:t>
            </w:r>
          </w:p>
        </w:tc>
        <w:tc>
          <w:tcPr>
            <w:tcW w:w="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(0.66)</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(1.21)</w:t>
            </w:r>
          </w:p>
        </w:tc>
        <w:tc>
          <w:tcPr>
            <w:tcW w:w="60" w:type="dxa"/>
            <w:vAlign w:val="bottom"/>
          </w:tcPr>
          <w:p>
            <w:pPr>
              <w:spacing w:after="0"/>
              <w:rPr>
                <w:sz w:val="14"/>
                <w:szCs w:val="14"/>
                <w:color w:val="auto"/>
              </w:rPr>
            </w:pPr>
          </w:p>
        </w:tc>
        <w:tc>
          <w:tcPr>
            <w:tcW w:w="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(2.46)</w:t>
            </w:r>
          </w:p>
        </w:tc>
        <w:tc>
          <w:tcPr>
            <w:tcW w:w="60" w:type="dxa"/>
            <w:vAlign w:val="bottom"/>
          </w:tcPr>
          <w:p>
            <w:pPr>
              <w:spacing w:after="0"/>
              <w:rPr>
                <w:sz w:val="14"/>
                <w:szCs w:val="14"/>
                <w:color w:val="auto"/>
              </w:rPr>
            </w:pPr>
          </w:p>
        </w:tc>
        <w:tc>
          <w:tcPr>
            <w:tcW w:w="2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(7.49)</w:t>
            </w: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jc w:val="both"/>
        <w:ind w:left="240" w:right="240"/>
        <w:spacing w:after="0" w:line="248" w:lineRule="auto"/>
        <w:rPr>
          <w:sz w:val="20"/>
          <w:szCs w:val="20"/>
          <w:color w:val="auto"/>
        </w:rPr>
      </w:pPr>
      <w:r>
        <w:rPr>
          <w:rFonts w:ascii="Times New Roman" w:cs="Times New Roman" w:eastAsia="Times New Roman" w:hAnsi="Times New Roman"/>
          <w:sz w:val="14"/>
          <w:szCs w:val="14"/>
          <w:color w:val="auto"/>
        </w:rPr>
        <w:t>As of September 30, 2022 and 2021, the Company’s potentially dilutive securities included outstanding convertible preferred stock, stock options, unvested restricted stock and stock warrants, which have been excluded from the computation of diluted net loss per share attributable to common stockholders as the effect would be anti-dilutive. The issuance of pre-funded warrants have been included in the computation of basic and diluted net loss per share attributable to common stockholders. Based on the amounts outstanding as of September 30, 2022 and 2021, the Company excluded the following potential common shares from the computation of diluted net loss per share attributable to common stockholders because including them would have had an anti-dilutive effect: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840" w:type="dxa"/>
            <w:vAlign w:val="bottom"/>
            <w:gridSpan w:val="3"/>
          </w:tcPr>
          <w:p>
            <w:pPr>
              <w:ind w:left="860"/>
              <w:spacing w:after="0"/>
              <w:rPr>
                <w:sz w:val="20"/>
                <w:szCs w:val="20"/>
                <w:color w:val="auto"/>
              </w:rPr>
            </w:pPr>
            <w:r>
              <w:rPr>
                <w:rFonts w:ascii="Times New Roman" w:cs="Times New Roman" w:eastAsia="Times New Roman" w:hAnsi="Times New Roman"/>
                <w:sz w:val="11"/>
                <w:szCs w:val="11"/>
                <w:b w:val="1"/>
                <w:bCs w:val="1"/>
                <w:color w:val="auto"/>
              </w:rPr>
              <w:t>As of September 30,</w:t>
            </w:r>
          </w:p>
        </w:tc>
        <w:tc>
          <w:tcPr>
            <w:tcW w:w="7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2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24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4700" w:type="dxa"/>
            <w:vAlign w:val="bottom"/>
            <w:gridSpan w:val="2"/>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jc w:val="right"/>
              <w:ind w:right="455"/>
              <w:spacing w:after="0"/>
              <w:rPr>
                <w:sz w:val="20"/>
                <w:szCs w:val="20"/>
                <w:color w:val="auto"/>
              </w:rPr>
            </w:pPr>
            <w:r>
              <w:rPr>
                <w:rFonts w:ascii="Times New Roman" w:cs="Times New Roman" w:eastAsia="Times New Roman" w:hAnsi="Times New Roman"/>
                <w:sz w:val="11"/>
                <w:szCs w:val="11"/>
                <w:b w:val="1"/>
                <w:bCs w:val="1"/>
                <w:color w:val="auto"/>
              </w:rPr>
              <w:t>2021</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40" w:type="dxa"/>
            <w:vAlign w:val="bottom"/>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40" w:type="dxa"/>
            <w:vAlign w:val="bottom"/>
          </w:tcPr>
          <w:p>
            <w:pPr>
              <w:spacing w:after="0"/>
              <w:rPr>
                <w:sz w:val="15"/>
                <w:szCs w:val="15"/>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to purchase common stock</w:t>
            </w:r>
          </w:p>
        </w:tc>
        <w:tc>
          <w:tcPr>
            <w:tcW w:w="4700" w:type="dxa"/>
            <w:vAlign w:val="bottom"/>
            <w:tcBorders>
              <w:bottom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1,637,929</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736,095</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warrants</w:t>
            </w:r>
          </w:p>
        </w:tc>
        <w:tc>
          <w:tcPr>
            <w:tcW w:w="4700" w:type="dxa"/>
            <w:vAlign w:val="bottom"/>
            <w:gridSpan w:val="2"/>
          </w:tcPr>
          <w:p>
            <w:pPr>
              <w:jc w:val="right"/>
              <w:ind w:right="6"/>
              <w:spacing w:after="0"/>
              <w:rPr>
                <w:sz w:val="20"/>
                <w:szCs w:val="20"/>
                <w:color w:val="auto"/>
              </w:rPr>
            </w:pPr>
            <w:r>
              <w:rPr>
                <w:rFonts w:ascii="Times New Roman" w:cs="Times New Roman" w:eastAsia="Times New Roman" w:hAnsi="Times New Roman"/>
                <w:sz w:val="14"/>
                <w:szCs w:val="14"/>
                <w:color w:val="auto"/>
              </w:rPr>
              <w:t>6,036</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6,036</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70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1,643,965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742,131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bottom w:val="single" w:sz="8" w:color="CCEEFF"/>
            </w:tcBorders>
            <w:vMerge w:val="restart"/>
          </w:tcPr>
          <w:p>
            <w:pPr>
              <w:jc w:val="right"/>
              <w:ind w:right="1515"/>
              <w:spacing w:after="0"/>
              <w:rPr>
                <w:sz w:val="20"/>
                <w:szCs w:val="20"/>
                <w:color w:val="auto"/>
              </w:rPr>
            </w:pPr>
            <w:r>
              <w:rPr>
                <w:rFonts w:ascii="Times New Roman" w:cs="Times New Roman" w:eastAsia="Times New Roman" w:hAnsi="Times New Roman"/>
                <w:sz w:val="14"/>
                <w:szCs w:val="14"/>
                <w:color w:val="auto"/>
              </w:rPr>
              <w:t>18</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2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40" w:type="dxa"/>
            <w:vAlign w:val="bottom"/>
            <w:tcBorders>
              <w:bottom w:val="single" w:sz="8" w:color="9A9A9A"/>
            </w:tcBorders>
          </w:tcPr>
          <w:p>
            <w:pPr>
              <w:spacing w:after="0"/>
              <w:rPr>
                <w:sz w:val="7"/>
                <w:szCs w:val="7"/>
                <w:color w:val="auto"/>
              </w:rPr>
            </w:pPr>
          </w:p>
        </w:tc>
        <w:tc>
          <w:tcPr>
            <w:tcW w:w="3640" w:type="dxa"/>
            <w:vAlign w:val="bottom"/>
            <w:tcBorders>
              <w:bottom w:val="single" w:sz="8" w:color="9A9A9A"/>
            </w:tcBorders>
          </w:tcPr>
          <w:p>
            <w:pPr>
              <w:spacing w:after="0"/>
              <w:rPr>
                <w:sz w:val="7"/>
                <w:szCs w:val="7"/>
                <w:color w:val="auto"/>
              </w:rPr>
            </w:pPr>
          </w:p>
        </w:tc>
        <w:tc>
          <w:tcPr>
            <w:tcW w:w="342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-24765</wp:posOffset>
            </wp:positionV>
            <wp:extent cx="3175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-24765</wp:posOffset>
            </wp:positionV>
            <wp:extent cx="3175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312"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2. </w:t>
      </w:r>
      <w:r>
        <w:rPr>
          <w:rFonts w:ascii="Times New Roman" w:cs="Times New Roman" w:eastAsia="Times New Roman" w:hAnsi="Times New Roman"/>
          <w:sz w:val="14"/>
          <w:szCs w:val="14"/>
          <w:b w:val="1"/>
          <w:bCs w:val="1"/>
          <w:i w:val="1"/>
          <w:iCs w:val="1"/>
          <w:color w:val="auto"/>
        </w:rPr>
        <w:t>Management’s Discussion and Analysis of Financial Condition and Results of Operations</w:t>
      </w:r>
    </w:p>
    <w:p>
      <w:pPr>
        <w:spacing w:after="0" w:line="18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i w:val="1"/>
          <w:iCs w:val="1"/>
          <w:color w:val="auto"/>
        </w:rPr>
        <w:t>You should read the following discussion of our financial condition and results of operations in conjunction with our unaudited condensed financial statements and the notes thereto included elsewhere in this Quarterly Report on Form 10-Q, and our audited consolidated financial statements and related notes for the year ended December 31, 2021, filed with the U.S. Securities and Exchange Commission ("SEC") on March 29, 2022. This discussion and other parts of this report contains forward-looking statements that involve risks and uncertainties, such as our plans, objectives, expectations, intentions, and beliefs, as well as assumptions made by, and information currently available to, our management. Our actual results could differ materially from those discussed in these forward-looking statements. Factors that could cause or contribute to such differences include, but are not limited to, those discussed in the section of this report entitled “Risk Factors,” under Part II, Item 1A of this report and those discussed in our other disclosures and filings with the SEC.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are a clinical-stage oncology company focused on leveraging a deep scientific understanding of cancer biology and medicinal chemistry to develop and advance novel, orally available therapies for the treatment of solid tumors. Our philosophy is to build a company based upon not only creative science and thoughtful management, but also upon the efficient translation of those ideas into therapies that will improve patient’s lives. To this end, we currently are advancing four novel programs, two of which are in the clinic. The Company's two clinical programs, TPST-1120 and TPST-1495, are advancing through clinical trials designed to study the agents as monotherapies and in combination with other approved agents. TPST-1120 is a selective antagonist of PPARα and we recently presented data from the dose and scheduling finding Phase 1 trial in oral presentation at ASCO 2022 and are continuing development in a first-line, randomized global Phase 1b/2 study in patients with hepatocellular carcinoma under a collaboration with F. Hoffman La Roche. TPST-1495 is a dual antagonist of EP2 and EP4 prostaglandin E2 receptors and is also in a Phase 1 trial in solid tumors. Like TPST-1120, we believe TPST-1495 is the only dual EP2/4 antagonist in clinical development. We also have a third program in preclinical studies that could be the first to target TREX-1, a cellular enzyme that regulates the innate immune response in tumors. Finally, the Company has a fourth preclinical program focused on an undisclosed target that we believe may be a novel oncology target.</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no products approved for commercial sale and have not generated any revenue from product sales. From inception to September 30, 2022, we have raised $164.4 million, through the sale of our capital securities.</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have never been profitable and have incurred operating losses in each period since inception. Our net losses were $26.6 million and $20.5 million for the nine months ended September 30, 2022 and 2021, respectively. As of September 30, 2022, we had an accumulated deficit of $126.7 million. Substantially all of the operating losses resulted from expenses incurred in connection with our research and development programs and from general and administrative costs associated with our operations.</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expect to incur significant expenses and increasing operating losses for at least the next several years as we initiate and continue the clinical development of, and seek regulatory approval for, our product candidates and add personnel necessary to advance our pipeline of clinical-stage product candidates. In addition, operating as a publicly traded company will involve the hiring of additional financial and other personnel, upgrading our financial information and other systems, and incurring substantial costs associated with operating as a public company. We expect our operating losses will fluctuate significantly from quarter to quarter and year to year due to timing of clinical development programs and efforts to achieve regulatory approval.</w:t>
      </w:r>
    </w:p>
    <w:p>
      <w:pPr>
        <w:spacing w:after="0" w:line="1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As of September 30, 2022, we had cash and cash equivalents of $42.8 million. Our ability to fund continued development will require additional capital, and we intend to raise such capital through the issuance of additional debt or equity including in connection with potential merger opportunities, or through business development activities. Our ability to continue as a going concern is dependent upon our ability to successfully accomplish these plans and secure sources of financing and ultimately attain profitable operations. If we are unable to obtain adequate capital, we could be forced to cease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Research and development expenses represent costs incurred to conduct research and development, such as the development of our product candidates.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recognize all research and development costs as they are incurred. Research and development expenses consist primarily of the following:</w:t>
      </w:r>
    </w:p>
    <w:p>
      <w:pPr>
        <w:spacing w:after="0" w:line="186" w:lineRule="exact"/>
        <w:rPr>
          <w:sz w:val="20"/>
          <w:szCs w:val="20"/>
          <w:color w:val="auto"/>
        </w:rPr>
      </w:pPr>
    </w:p>
    <w:p>
      <w:pPr>
        <w:ind w:left="740" w:hanging="243"/>
        <w:spacing w:after="0"/>
        <w:tabs>
          <w:tab w:leader="none" w:pos="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salaries, benefits and stock-based compensation;</w:t>
      </w:r>
    </w:p>
    <w:p>
      <w:pPr>
        <w:spacing w:after="0" w:line="186" w:lineRule="exact"/>
        <w:rPr>
          <w:rFonts w:ascii="Times New Roman" w:cs="Times New Roman" w:eastAsia="Times New Roman" w:hAnsi="Times New Roman"/>
          <w:sz w:val="14"/>
          <w:szCs w:val="14"/>
          <w:color w:val="auto"/>
        </w:rPr>
      </w:pPr>
    </w:p>
    <w:p>
      <w:pPr>
        <w:ind w:left="740" w:hanging="243"/>
        <w:spacing w:after="0"/>
        <w:tabs>
          <w:tab w:leader="none" w:pos="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licensing costs;</w:t>
      </w:r>
    </w:p>
    <w:p>
      <w:pPr>
        <w:spacing w:after="0" w:line="186" w:lineRule="exact"/>
        <w:rPr>
          <w:rFonts w:ascii="Times New Roman" w:cs="Times New Roman" w:eastAsia="Times New Roman" w:hAnsi="Times New Roman"/>
          <w:sz w:val="14"/>
          <w:szCs w:val="14"/>
          <w:color w:val="auto"/>
        </w:rPr>
      </w:pPr>
    </w:p>
    <w:p>
      <w:pPr>
        <w:ind w:left="740" w:hanging="243"/>
        <w:spacing w:after="0"/>
        <w:tabs>
          <w:tab w:leader="none" w:pos="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allocated occupancy;</w:t>
      </w:r>
    </w:p>
    <w:p>
      <w:pPr>
        <w:spacing w:after="0" w:line="186" w:lineRule="exact"/>
        <w:rPr>
          <w:rFonts w:ascii="Times New Roman" w:cs="Times New Roman" w:eastAsia="Times New Roman" w:hAnsi="Times New Roman"/>
          <w:sz w:val="14"/>
          <w:szCs w:val="14"/>
          <w:color w:val="auto"/>
        </w:rPr>
      </w:pPr>
    </w:p>
    <w:p>
      <w:pPr>
        <w:ind w:left="740" w:hanging="243"/>
        <w:spacing w:after="0"/>
        <w:tabs>
          <w:tab w:leader="none" w:pos="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materials and supplies;</w:t>
      </w:r>
    </w:p>
    <w:p>
      <w:pPr>
        <w:spacing w:after="0" w:line="186" w:lineRule="exact"/>
        <w:rPr>
          <w:rFonts w:ascii="Times New Roman" w:cs="Times New Roman" w:eastAsia="Times New Roman" w:hAnsi="Times New Roman"/>
          <w:sz w:val="14"/>
          <w:szCs w:val="14"/>
          <w:color w:val="auto"/>
        </w:rPr>
      </w:pPr>
    </w:p>
    <w:p>
      <w:pPr>
        <w:ind w:left="740" w:hanging="243"/>
        <w:spacing w:after="0"/>
        <w:tabs>
          <w:tab w:leader="none" w:pos="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contracted research and manufacturing;</w:t>
      </w:r>
    </w:p>
    <w:p>
      <w:pPr>
        <w:spacing w:after="0" w:line="186" w:lineRule="exact"/>
        <w:rPr>
          <w:rFonts w:ascii="Times New Roman" w:cs="Times New Roman" w:eastAsia="Times New Roman" w:hAnsi="Times New Roman"/>
          <w:sz w:val="14"/>
          <w:szCs w:val="14"/>
          <w:color w:val="auto"/>
        </w:rPr>
      </w:pPr>
    </w:p>
    <w:p>
      <w:pPr>
        <w:ind w:left="740" w:hanging="243"/>
        <w:spacing w:after="0"/>
        <w:tabs>
          <w:tab w:leader="none" w:pos="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consulting arrangements; and</w:t>
      </w:r>
    </w:p>
    <w:p>
      <w:pPr>
        <w:spacing w:after="0" w:line="186" w:lineRule="exact"/>
        <w:rPr>
          <w:rFonts w:ascii="Times New Roman" w:cs="Times New Roman" w:eastAsia="Times New Roman" w:hAnsi="Times New Roman"/>
          <w:sz w:val="14"/>
          <w:szCs w:val="14"/>
          <w:color w:val="auto"/>
        </w:rPr>
      </w:pPr>
    </w:p>
    <w:p>
      <w:pPr>
        <w:ind w:left="740" w:hanging="243"/>
        <w:spacing w:after="0"/>
        <w:tabs>
          <w:tab w:leader="none" w:pos="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expenses incurred to advance our research and development activities.</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largest component of our operating expenses has historically been the investment in research and development activities. We expect research and development expenses will increase in the future as we advance our product candidates into and through clinical trials and pursues regulatory approvals, which will require a significant investment in costs of clinical trials, regulatory support and contract manufacturing and inventory build-up. In addition, we continue to evaluate opportunities to acquire or in-license other product candidates and technologies, which may result in higher research and development expenses due to license fee and/or milestone payments, as well as added clinical development costs.</w:t>
      </w:r>
    </w:p>
    <w:p>
      <w:pPr>
        <w:spacing w:after="0" w:line="1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process of conducting clinical trials necessary to obtain regulatory approval is costly and time consuming. We may never succeed in timely developing and achieving regulatory approval for our product candidates. The probability of success of our product candidates may be affected by numerous factors, including clinical data, competition, manufacturing capability and commercial viability. As a result, we are unable to determine the duration and completion costs of our development projects or when and to what extent we will generate revenue from the commercialization and sale of any of our product candidates.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Expenses</w:t>
      </w:r>
    </w:p>
    <w:p>
      <w:pPr>
        <w:spacing w:after="0" w:line="190"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2"/>
          <w:szCs w:val="12"/>
          <w:color w:val="auto"/>
        </w:rPr>
        <w:t>General and administrative expenses consist of employee-related expenses, including salaries, benefits, travel and non-cash stock-based compensation, for our personnel in executive, finance and accounting, and other administrative functions, as well as fees paid for legal, accounting and tax services, consulting fees and facilities costs not otherwise included in research and development expense. Legal costs include general corporate legal fees and patent costs. We expect to incur additional expenses as a result of becoming a public company following completion of the merger, including expenses related to compliance with the rules and regulations of the SEC and Nasdaq, additional insurance, investor relations and other administrative expenses and professional services.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(Expense) Income, Net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(expense) income, net consists primarily of interest expense, interest income, and various income or expense items of a non-recurring nature.</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Comparison of the three months ended </w:t>
      </w:r>
      <w:r>
        <w:rPr>
          <w:rFonts w:ascii="Times New Roman" w:cs="Times New Roman" w:eastAsia="Times New Roman" w:hAnsi="Times New Roman"/>
          <w:sz w:val="14"/>
          <w:szCs w:val="14"/>
          <w:b w:val="1"/>
          <w:bCs w:val="1"/>
          <w:color w:val="auto"/>
        </w:rPr>
        <w:t>September</w:t>
      </w:r>
      <w:r>
        <w:rPr>
          <w:rFonts w:ascii="Times New Roman" w:cs="Times New Roman" w:eastAsia="Times New Roman" w:hAnsi="Times New Roman"/>
          <w:sz w:val="14"/>
          <w:szCs w:val="14"/>
          <w:b w:val="1"/>
          <w:bCs w:val="1"/>
          <w:i w:val="1"/>
          <w:iCs w:val="1"/>
          <w:color w:val="auto"/>
        </w:rPr>
        <w:t xml:space="preserve"> 30, 2022 and 2021</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operating results for the three months ended September 30, 2022 and 2021:</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21"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17"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1"/>
          <w:szCs w:val="11"/>
          <w:b w:val="1"/>
          <w:bCs w:val="1"/>
          <w:color w:val="auto"/>
        </w:rPr>
        <w:t>September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00" w:type="dxa"/>
            <w:vAlign w:val="bottom"/>
          </w:tcPr>
          <w:p>
            <w:pPr>
              <w:spacing w:after="0"/>
              <w:rPr>
                <w:sz w:val="13"/>
                <w:szCs w:val="13"/>
                <w:color w:val="auto"/>
              </w:rPr>
            </w:pPr>
          </w:p>
        </w:tc>
        <w:tc>
          <w:tcPr>
            <w:tcW w:w="8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2022</w:t>
            </w:r>
          </w:p>
        </w:tc>
        <w:tc>
          <w:tcPr>
            <w:tcW w:w="5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513"/>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29"/>
        </w:trPr>
        <w:tc>
          <w:tcPr>
            <w:tcW w:w="72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35"/>
        </w:trPr>
        <w:tc>
          <w:tcPr>
            <w:tcW w:w="7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gridSpan w:val="3"/>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40" w:type="dxa"/>
            <w:vAlign w:val="bottom"/>
          </w:tcPr>
          <w:p>
            <w:pPr>
              <w:spacing w:after="0"/>
              <w:rPr>
                <w:sz w:val="11"/>
                <w:szCs w:val="11"/>
                <w:color w:val="auto"/>
              </w:rPr>
            </w:pPr>
          </w:p>
        </w:tc>
      </w:tr>
      <w:tr>
        <w:trPr>
          <w:trHeight w:val="29"/>
        </w:trPr>
        <w:tc>
          <w:tcPr>
            <w:tcW w:w="7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4"/>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8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r>
      <w:tr>
        <w:trPr>
          <w:trHeight w:val="183"/>
        </w:trPr>
        <w:tc>
          <w:tcPr>
            <w:tcW w:w="7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80" w:type="dxa"/>
            <w:vAlign w:val="bottom"/>
          </w:tcPr>
          <w:p>
            <w:pPr>
              <w:jc w:val="right"/>
              <w:ind w:right="73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5,973</w:t>
            </w:r>
          </w:p>
        </w:tc>
        <w:tc>
          <w:tcPr>
            <w:tcW w:w="80" w:type="dxa"/>
            <w:vAlign w:val="bottom"/>
          </w:tcPr>
          <w:p>
            <w:pPr>
              <w:spacing w:after="0"/>
              <w:rPr>
                <w:sz w:val="15"/>
                <w:szCs w:val="15"/>
                <w:color w:val="auto"/>
              </w:rPr>
            </w:pPr>
          </w:p>
        </w:tc>
        <w:tc>
          <w:tcPr>
            <w:tcW w:w="44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4,630</w:t>
            </w:r>
          </w:p>
        </w:tc>
      </w:tr>
      <w:tr>
        <w:trPr>
          <w:trHeight w:val="21"/>
        </w:trPr>
        <w:tc>
          <w:tcPr>
            <w:tcW w:w="7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72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w:t>
            </w: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3,106</w:t>
            </w:r>
          </w:p>
        </w:tc>
      </w:tr>
      <w:tr>
        <w:trPr>
          <w:trHeight w:val="173"/>
        </w:trPr>
        <w:tc>
          <w:tcPr>
            <w:tcW w:w="72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expenses</w:t>
            </w:r>
          </w:p>
        </w:tc>
        <w:tc>
          <w:tcPr>
            <w:tcW w:w="8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8,771</w:t>
            </w:r>
          </w:p>
        </w:tc>
        <w:tc>
          <w:tcPr>
            <w:tcW w:w="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7,736</w:t>
            </w:r>
          </w:p>
        </w:tc>
      </w:tr>
      <w:tr>
        <w:trPr>
          <w:trHeight w:val="21"/>
        </w:trPr>
        <w:tc>
          <w:tcPr>
            <w:tcW w:w="7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4"/>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8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(8,771)</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(7,736)</w:t>
            </w:r>
          </w:p>
        </w:tc>
      </w:tr>
      <w:tr>
        <w:trPr>
          <w:trHeight w:val="183"/>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w:t>
            </w:r>
          </w:p>
        </w:tc>
      </w:tr>
      <w:tr>
        <w:trPr>
          <w:trHeight w:val="21"/>
        </w:trPr>
        <w:tc>
          <w:tcPr>
            <w:tcW w:w="7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4"/>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other (expense) income, net</w:t>
            </w:r>
          </w:p>
        </w:tc>
        <w:tc>
          <w:tcPr>
            <w:tcW w:w="8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83"/>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88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
        </w:trPr>
        <w:tc>
          <w:tcPr>
            <w:tcW w:w="7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9"/>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(8,947)</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(8,110)</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18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Our research and development expenses for the three months ended September 30, 2022 and 2021 were primarily incurred in connection with our most advanced product candidates, TPST-1120 and TPST-1495. We have not historically tracked research and development expense by program other than direct external expenses in conducting clinical trials for TPST-1120 and TPST-1495. We typically have various early-stage research and drug discovery projects, as well as various potential product candidates undergoing clinical trials. Our internal resources, employees and infrastructure are not directly tied to any one research and drug discovery project and our resources are typically deployed across multiple projects. As such, we do not maintain information regarding these costs incurred for these early-stage research and drug discovery programs on a project specific basis.</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Research and development expense increased by $1.4 million to $6.0 million for the three months ended September 30, 2022, compared to the prior year period, which was primarily attributable to expanded research and development efforts incurred from contract research organizations and third-party vendors, as well as compensation expenses due to an increase in employee headcount. The following table summarizes our research and development expenses for the three months ended September 30, 2022 and 2021: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180" w:type="dxa"/>
            <w:vAlign w:val="bottom"/>
          </w:tcPr>
          <w:p>
            <w:pPr>
              <w:spacing w:after="0"/>
              <w:rPr>
                <w:sz w:val="12"/>
                <w:szCs w:val="12"/>
                <w:color w:val="auto"/>
              </w:rPr>
            </w:pPr>
          </w:p>
        </w:tc>
        <w:tc>
          <w:tcPr>
            <w:tcW w:w="2300" w:type="dxa"/>
            <w:vAlign w:val="bottom"/>
            <w:gridSpan w:val="4"/>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440" w:type="dxa"/>
            <w:vAlign w:val="bottom"/>
          </w:tcPr>
          <w:p>
            <w:pPr>
              <w:spacing w:after="0"/>
              <w:rPr>
                <w:sz w:val="12"/>
                <w:szCs w:val="12"/>
                <w:color w:val="auto"/>
              </w:rPr>
            </w:pPr>
          </w:p>
        </w:tc>
      </w:tr>
      <w:tr>
        <w:trPr>
          <w:trHeight w:val="29"/>
        </w:trPr>
        <w:tc>
          <w:tcPr>
            <w:tcW w:w="71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35"/>
        </w:trPr>
        <w:tc>
          <w:tcPr>
            <w:tcW w:w="7180" w:type="dxa"/>
            <w:vAlign w:val="bottom"/>
          </w:tcPr>
          <w:p>
            <w:pPr>
              <w:spacing w:after="0"/>
              <w:rPr>
                <w:sz w:val="11"/>
                <w:szCs w:val="11"/>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2022</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2021</w:t>
            </w:r>
          </w:p>
        </w:tc>
        <w:tc>
          <w:tcPr>
            <w:tcW w:w="440" w:type="dxa"/>
            <w:vAlign w:val="bottom"/>
          </w:tcPr>
          <w:p>
            <w:pPr>
              <w:spacing w:after="0"/>
              <w:rPr>
                <w:sz w:val="11"/>
                <w:szCs w:val="11"/>
                <w:color w:val="auto"/>
              </w:rPr>
            </w:pPr>
          </w:p>
        </w:tc>
      </w:tr>
      <w:tr>
        <w:trPr>
          <w:trHeight w:val="29"/>
        </w:trPr>
        <w:tc>
          <w:tcPr>
            <w:tcW w:w="71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35"/>
        </w:trPr>
        <w:tc>
          <w:tcPr>
            <w:tcW w:w="7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80" w:type="dxa"/>
            <w:vAlign w:val="bottom"/>
            <w:gridSpan w:val="3"/>
          </w:tcPr>
          <w:p>
            <w:pPr>
              <w:jc w:val="right"/>
              <w:ind w:right="536"/>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40" w:type="dxa"/>
            <w:vAlign w:val="bottom"/>
          </w:tcPr>
          <w:p>
            <w:pPr>
              <w:spacing w:after="0"/>
              <w:rPr>
                <w:sz w:val="11"/>
                <w:szCs w:val="11"/>
                <w:color w:val="auto"/>
              </w:rPr>
            </w:pPr>
          </w:p>
        </w:tc>
      </w:tr>
      <w:tr>
        <w:trPr>
          <w:trHeight w:val="29"/>
        </w:trPr>
        <w:tc>
          <w:tcPr>
            <w:tcW w:w="7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84"/>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outside services</w:t>
            </w:r>
          </w:p>
        </w:tc>
        <w:tc>
          <w:tcPr>
            <w:tcW w:w="82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4,054</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81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3,207</w:t>
            </w:r>
          </w:p>
        </w:tc>
      </w:tr>
      <w:tr>
        <w:trPr>
          <w:trHeight w:val="183"/>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expense</w:t>
            </w:r>
          </w:p>
        </w:tc>
        <w:tc>
          <w:tcPr>
            <w:tcW w:w="8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w:t>
            </w:r>
          </w:p>
        </w:tc>
      </w:tr>
      <w:tr>
        <w:trPr>
          <w:trHeight w:val="21"/>
        </w:trPr>
        <w:tc>
          <w:tcPr>
            <w:tcW w:w="7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4"/>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183"/>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Consulting and professional services</w:t>
            </w:r>
          </w:p>
        </w:tc>
        <w:tc>
          <w:tcPr>
            <w:tcW w:w="8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r>
      <w:tr>
        <w:trPr>
          <w:trHeight w:val="21"/>
        </w:trPr>
        <w:tc>
          <w:tcPr>
            <w:tcW w:w="7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4"/>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8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r>
      <w:tr>
        <w:trPr>
          <w:trHeight w:val="194"/>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research and development expense</w:t>
            </w:r>
          </w:p>
        </w:tc>
        <w:tc>
          <w:tcPr>
            <w:tcW w:w="82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5,973</w:t>
            </w:r>
          </w:p>
        </w:tc>
        <w:tc>
          <w:tcPr>
            <w:tcW w:w="8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ind w:right="81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4,630</w:t>
            </w:r>
          </w:p>
        </w:tc>
      </w:tr>
      <w:tr>
        <w:trPr>
          <w:trHeight w:val="20"/>
        </w:trPr>
        <w:tc>
          <w:tcPr>
            <w:tcW w:w="7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18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 xml:space="preserve">General and administrative expenses decreased by $0.3 million to $2.8 million for the three months ended September 30, 2022, compared to the prior year period. </w:t>
      </w:r>
      <w:r>
        <w:rPr>
          <w:rFonts w:ascii="Times New Roman" w:cs="Times New Roman" w:eastAsia="Times New Roman" w:hAnsi="Times New Roman"/>
          <w:sz w:val="12"/>
          <w:szCs w:val="12"/>
          <w:color w:val="auto"/>
        </w:rPr>
        <w:t>T</w:t>
      </w:r>
      <w:r>
        <w:rPr>
          <w:rFonts w:ascii="Times New Roman" w:cs="Times New Roman" w:eastAsia="Times New Roman" w:hAnsi="Times New Roman"/>
          <w:sz w:val="14"/>
          <w:szCs w:val="14"/>
          <w:color w:val="auto"/>
        </w:rPr>
        <w:t>he decrease was primarily due to a decrease of $0.3 million in consulting and professional services.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(expense) income, net</w:t>
      </w:r>
    </w:p>
    <w:p>
      <w:pPr>
        <w:spacing w:after="0" w:line="18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For the three months ended September 30, 2022 and 2021, other (expense) income, net consisted of total interest expense of $389 thousand and $437 thousand, respectively, related to the Oxford Loan, and interest income of $213 thousand and $63 thousand, respectively.</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nine months ended September 30, 2022 and 2021</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operating results for the nine months ended September 30, 2022 and 2021:</w:t>
      </w:r>
    </w:p>
    <w:p>
      <w:pPr>
        <w:spacing w:after="0" w:line="221"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1"/>
          <w:szCs w:val="11"/>
          <w:b w:val="1"/>
          <w:bCs w:val="1"/>
          <w:color w:val="auto"/>
        </w:rPr>
        <w:t>Nine Months Ended</w:t>
      </w:r>
    </w:p>
    <w:p>
      <w:pPr>
        <w:spacing w:after="0" w:line="17"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1"/>
          <w:szCs w:val="11"/>
          <w:b w:val="1"/>
          <w:bCs w:val="1"/>
          <w:color w:val="auto"/>
        </w:rPr>
        <w:t>September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140" w:type="dxa"/>
            <w:vAlign w:val="bottom"/>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5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513"/>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29"/>
        </w:trPr>
        <w:tc>
          <w:tcPr>
            <w:tcW w:w="71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35"/>
        </w:trPr>
        <w:tc>
          <w:tcPr>
            <w:tcW w:w="7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gridSpan w:val="3"/>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40" w:type="dxa"/>
            <w:vAlign w:val="bottom"/>
          </w:tcPr>
          <w:p>
            <w:pPr>
              <w:spacing w:after="0"/>
              <w:rPr>
                <w:sz w:val="11"/>
                <w:szCs w:val="11"/>
                <w:color w:val="auto"/>
              </w:rPr>
            </w:pPr>
          </w:p>
        </w:tc>
      </w:tr>
      <w:tr>
        <w:trPr>
          <w:trHeight w:val="29"/>
        </w:trPr>
        <w:tc>
          <w:tcPr>
            <w:tcW w:w="7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4"/>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8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r>
      <w:tr>
        <w:trPr>
          <w:trHeight w:val="183"/>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60" w:type="dxa"/>
            <w:vAlign w:val="bottom"/>
          </w:tcPr>
          <w:p>
            <w:pPr>
              <w:jc w:val="right"/>
              <w:ind w:right="71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16,733</w:t>
            </w:r>
          </w:p>
        </w:tc>
        <w:tc>
          <w:tcPr>
            <w:tcW w:w="80" w:type="dxa"/>
            <w:vAlign w:val="bottom"/>
          </w:tcPr>
          <w:p>
            <w:pPr>
              <w:spacing w:after="0"/>
              <w:rPr>
                <w:sz w:val="15"/>
                <w:szCs w:val="15"/>
                <w:color w:val="auto"/>
              </w:rPr>
            </w:pPr>
          </w:p>
        </w:tc>
        <w:tc>
          <w:tcPr>
            <w:tcW w:w="44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12,451</w:t>
            </w:r>
          </w:p>
        </w:tc>
      </w:tr>
      <w:tr>
        <w:trPr>
          <w:trHeight w:val="21"/>
        </w:trPr>
        <w:tc>
          <w:tcPr>
            <w:tcW w:w="7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71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8,973</w:t>
            </w: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7,197</w:t>
            </w:r>
          </w:p>
        </w:tc>
      </w:tr>
      <w:tr>
        <w:trPr>
          <w:trHeight w:val="173"/>
        </w:trPr>
        <w:tc>
          <w:tcPr>
            <w:tcW w:w="71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expenses</w:t>
            </w:r>
          </w:p>
        </w:tc>
        <w:tc>
          <w:tcPr>
            <w:tcW w:w="8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25,706</w:t>
            </w:r>
          </w:p>
        </w:tc>
        <w:tc>
          <w:tcPr>
            <w:tcW w:w="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19,648</w:t>
            </w:r>
          </w:p>
        </w:tc>
      </w:tr>
      <w:tr>
        <w:trPr>
          <w:trHeight w:val="21"/>
        </w:trPr>
        <w:tc>
          <w:tcPr>
            <w:tcW w:w="7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4"/>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8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(25,706)</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(19,648)</w:t>
            </w:r>
          </w:p>
        </w:tc>
      </w:tr>
      <w:tr>
        <w:trPr>
          <w:trHeight w:val="183"/>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8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w:t>
            </w:r>
          </w:p>
        </w:tc>
      </w:tr>
      <w:tr>
        <w:trPr>
          <w:trHeight w:val="21"/>
        </w:trPr>
        <w:tc>
          <w:tcPr>
            <w:tcW w:w="7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4"/>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other (expense) income, net</w:t>
            </w:r>
          </w:p>
        </w:tc>
        <w:tc>
          <w:tcPr>
            <w:tcW w:w="8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83"/>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86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
        </w:trPr>
        <w:tc>
          <w:tcPr>
            <w:tcW w:w="7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9"/>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(26,606)</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(20,523)</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18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Our research and development expenses for the nine months ended September 30, 2022 and 2021 were primarily incurred in connection with our most advanced product candidates, TPST-1120 and TPST-1495. We have not historically tracked research and development expense by program other than direct external expenses in conducting clinical trials for TPST-1120 and TPST-1495. We typically have various early-stage research and drug discovery projects, as well as various potential product candidates undergoing clinical trials. Our internal resources, employees and infrastructure are not directly tied to any one research and drug discovery project and our resources are typically deployed across multiple projects. As such, we do not maintain information regarding these costs incurred for these early-stage research and drug discovery programs on a project specific basis.</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Research and development expense increased by $4.2 million to $16.7 million for the nine months ended September 30, 2022, which was primarily attributable to expanded research and development efforts incurred from contract research organizations and third-party vendors, as well as compensation expenses due to an increase in employee headcount. The following table summarizes our research and development expenses for the nine months ended September 30, 2022 and 2021: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8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4"/>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w w:val="99"/>
              </w:rPr>
              <w:t>Nine Months Ended September 30,</w:t>
            </w:r>
          </w:p>
        </w:tc>
      </w:tr>
      <w:tr>
        <w:trPr>
          <w:trHeight w:val="29"/>
        </w:trPr>
        <w:tc>
          <w:tcPr>
            <w:tcW w:w="8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35"/>
        </w:trPr>
        <w:tc>
          <w:tcPr>
            <w:tcW w:w="8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276"/>
              <w:spacing w:after="0"/>
              <w:rPr>
                <w:sz w:val="20"/>
                <w:szCs w:val="20"/>
                <w:color w:val="auto"/>
              </w:rPr>
            </w:pPr>
            <w:r>
              <w:rPr>
                <w:rFonts w:ascii="Times New Roman" w:cs="Times New Roman" w:eastAsia="Times New Roman" w:hAnsi="Times New Roman"/>
                <w:sz w:val="11"/>
                <w:szCs w:val="11"/>
                <w:b w:val="1"/>
                <w:bCs w:val="1"/>
                <w:color w:val="auto"/>
              </w:rPr>
              <w:t>2022</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w w:val="99"/>
              </w:rPr>
              <w:t>2021</w:t>
            </w:r>
          </w:p>
        </w:tc>
      </w:tr>
      <w:tr>
        <w:trPr>
          <w:trHeight w:val="29"/>
        </w:trPr>
        <w:tc>
          <w:tcPr>
            <w:tcW w:w="8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35"/>
        </w:trPr>
        <w:tc>
          <w:tcPr>
            <w:tcW w:w="8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600" w:type="dxa"/>
            <w:vAlign w:val="bottom"/>
          </w:tcPr>
          <w:p>
            <w:pPr>
              <w:spacing w:after="0"/>
              <w:rPr>
                <w:sz w:val="11"/>
                <w:szCs w:val="11"/>
                <w:color w:val="auto"/>
              </w:rPr>
            </w:pPr>
          </w:p>
        </w:tc>
      </w:tr>
      <w:tr>
        <w:trPr>
          <w:trHeight w:val="29"/>
        </w:trPr>
        <w:tc>
          <w:tcPr>
            <w:tcW w:w="8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8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outside services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10,954</w:t>
            </w: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8,170</w:t>
            </w:r>
          </w:p>
        </w:tc>
      </w:tr>
      <w:tr>
        <w:trPr>
          <w:trHeight w:val="183"/>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expense</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3,054</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2,016</w:t>
            </w:r>
          </w:p>
        </w:tc>
      </w:tr>
      <w:tr>
        <w:trPr>
          <w:trHeight w:val="21"/>
        </w:trPr>
        <w:tc>
          <w:tcPr>
            <w:tcW w:w="8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r>
      <w:tr>
        <w:trPr>
          <w:trHeight w:val="183"/>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Consulting and professional services</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w:t>
            </w:r>
          </w:p>
        </w:tc>
      </w:tr>
      <w:tr>
        <w:trPr>
          <w:trHeight w:val="21"/>
        </w:trPr>
        <w:tc>
          <w:tcPr>
            <w:tcW w:w="8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w:t>
            </w:r>
          </w:p>
        </w:tc>
      </w:tr>
      <w:tr>
        <w:trPr>
          <w:trHeight w:val="194"/>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research and development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16,733</w:t>
            </w:r>
          </w:p>
        </w:tc>
        <w:tc>
          <w:tcPr>
            <w:tcW w:w="6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12,451</w:t>
            </w:r>
          </w:p>
        </w:tc>
      </w:tr>
      <w:tr>
        <w:trPr>
          <w:trHeight w:val="20"/>
        </w:trPr>
        <w:tc>
          <w:tcPr>
            <w:tcW w:w="8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18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 xml:space="preserve">General and administrative expenses increased by $1.8 million to $9.0 million for the nine months ended September 30, 2022, compared to the prior year period. </w:t>
      </w:r>
      <w:r>
        <w:rPr>
          <w:rFonts w:ascii="Times New Roman" w:cs="Times New Roman" w:eastAsia="Times New Roman" w:hAnsi="Times New Roman"/>
          <w:sz w:val="12"/>
          <w:szCs w:val="12"/>
          <w:color w:val="auto"/>
        </w:rPr>
        <w:t>T</w:t>
      </w:r>
      <w:r>
        <w:rPr>
          <w:rFonts w:ascii="Times New Roman" w:cs="Times New Roman" w:eastAsia="Times New Roman" w:hAnsi="Times New Roman"/>
          <w:sz w:val="14"/>
          <w:szCs w:val="14"/>
          <w:color w:val="auto"/>
        </w:rPr>
        <w:t>he increase was primarily due to an increase of $1.2 million in professional and consulting fees and an increase of $0.6 million in insurance expense, as a result of operating as a publicly traded company.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(expense) income, net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For the nine months ended September 30, 2022 and 2021, other (expense) income, net consisted of total interest expense of $1.2 million and $0.9 million, respectively, related to the Oxford Loan, and interest income of $0.3 million and $0.1 million,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Sources of Liquidity</w:t>
      </w:r>
    </w:p>
    <w:p>
      <w:pPr>
        <w:spacing w:after="0" w:line="190"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2"/>
          <w:szCs w:val="12"/>
          <w:color w:val="auto"/>
        </w:rPr>
        <w:t>Since inception through September 30, 2022, our operations have been financed primarily by net cash proceeds from the sale of our capital stock, including common stock, pre-funded warrants to purchase common stock, and convertible preferred stock. As of September 30, 2022, we had $42.8 million in cash and cash equivalents and an accumulated deficit of $126.7 million. We expect that our research and development and general and administrative expenses will increase, and, as a result, we anticipate that we will continue to incur increasing losses in the foreseeable future.</w:t>
      </w:r>
    </w:p>
    <w:p>
      <w:pPr>
        <w:spacing w:after="0" w:line="1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believe our cash and cash equivalents as of September 30, 2022 and continued access to our term loan will fund our ongoing working capital, investing, and financing requirements for at least the next 12 months.</w:t>
      </w:r>
    </w:p>
    <w:p>
      <w:pPr>
        <w:spacing w:after="0" w:line="1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On January 15, 2021, we entered into a loan and security agreement with Oxford to borrow a term loan amount of $35.0 million to be funded in three tranches. Tranche A of $15.0 million was funded on January 15, 2021. Tranche B of $10.0 million expired on March 31, 2022. Tranche C of $10.0 million is available at lender’s option. The term loan matures on August 1, 2025 and has an annual floating interest rate of 7.15% which is an index rate plus 7%. The index rate is the greater of (i) 30-day US LIBOR or (ii) 0.15%. As of September 30, 2022, the balance of the loan payable (net of debt issuance costs) was $15.3 million, of which $3.5 million was classified as current and $11.8 million was classified as non-current.</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July 23, 2021, we entered into a sales agreement with Jefferies LLC, pursuant to which we may sell, from time to time, up to an aggregate sales price of $100.0 million of our common stock through the Agent in a series of one or more ATM equity offerings (the “ATM Program”).</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April 2022, we completed a PIPE financing, in which we sold 3,149,912 shares of our common stock at a price per share of $2.36 and, in lieu of shares of common stock, pre-funded warrants to purchase up to 3,206,020 shares of its common stock at a price per pre-funded warrant of $2.359 to the PIPE Investors. Net proceeds from the PIPE financings totaled approximately $14.5 million, after deducting offering expenses.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cash flows for the nine months ended September 30,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420" w:type="dxa"/>
            <w:vAlign w:val="bottom"/>
          </w:tcPr>
          <w:p>
            <w:pPr>
              <w:spacing w:after="0"/>
              <w:rPr>
                <w:sz w:val="12"/>
                <w:szCs w:val="12"/>
                <w:color w:val="auto"/>
              </w:rPr>
            </w:pPr>
          </w:p>
        </w:tc>
        <w:tc>
          <w:tcPr>
            <w:tcW w:w="216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500" w:type="dxa"/>
            <w:vAlign w:val="bottom"/>
          </w:tcPr>
          <w:p>
            <w:pPr>
              <w:spacing w:after="0"/>
              <w:rPr>
                <w:sz w:val="12"/>
                <w:szCs w:val="12"/>
                <w:color w:val="auto"/>
              </w:rPr>
            </w:pPr>
          </w:p>
        </w:tc>
      </w:tr>
      <w:tr>
        <w:trPr>
          <w:trHeight w:val="29"/>
        </w:trPr>
        <w:tc>
          <w:tcPr>
            <w:tcW w:w="74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35"/>
        </w:trPr>
        <w:tc>
          <w:tcPr>
            <w:tcW w:w="74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ind w:right="255"/>
              <w:spacing w:after="0"/>
              <w:rPr>
                <w:sz w:val="20"/>
                <w:szCs w:val="20"/>
                <w:color w:val="auto"/>
              </w:rPr>
            </w:pPr>
            <w:r>
              <w:rPr>
                <w:rFonts w:ascii="Times New Roman" w:cs="Times New Roman" w:eastAsia="Times New Roman" w:hAnsi="Times New Roman"/>
                <w:sz w:val="11"/>
                <w:szCs w:val="11"/>
                <w:b w:val="1"/>
                <w:bCs w:val="1"/>
                <w:color w:val="auto"/>
              </w:rPr>
              <w:t>2021</w:t>
            </w:r>
          </w:p>
        </w:tc>
        <w:tc>
          <w:tcPr>
            <w:tcW w:w="500" w:type="dxa"/>
            <w:vAlign w:val="bottom"/>
          </w:tcPr>
          <w:p>
            <w:pPr>
              <w:spacing w:after="0"/>
              <w:rPr>
                <w:sz w:val="11"/>
                <w:szCs w:val="11"/>
                <w:color w:val="auto"/>
              </w:rPr>
            </w:pPr>
          </w:p>
        </w:tc>
      </w:tr>
      <w:tr>
        <w:trPr>
          <w:trHeight w:val="29"/>
        </w:trPr>
        <w:tc>
          <w:tcPr>
            <w:tcW w:w="74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67"/>
        </w:trPr>
        <w:tc>
          <w:tcPr>
            <w:tcW w:w="7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gridSpan w:val="3"/>
          </w:tcPr>
          <w:p>
            <w:pPr>
              <w:jc w:val="right"/>
              <w:ind w:right="395"/>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500" w:type="dxa"/>
            <w:vAlign w:val="bottom"/>
          </w:tcPr>
          <w:p>
            <w:pPr>
              <w:spacing w:after="0"/>
              <w:rPr>
                <w:sz w:val="14"/>
                <w:szCs w:val="14"/>
                <w:color w:val="auto"/>
              </w:rPr>
            </w:pPr>
          </w:p>
        </w:tc>
      </w:tr>
      <w:tr>
        <w:trPr>
          <w:trHeight w:val="192"/>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used in operating activities</w:t>
            </w:r>
          </w:p>
        </w:tc>
        <w:tc>
          <w:tcPr>
            <w:tcW w:w="780" w:type="dxa"/>
            <w:vAlign w:val="bottom"/>
            <w:tcBorders>
              <w:bottom w:val="single" w:sz="8" w:color="CCEEFF"/>
            </w:tcBorders>
            <w:shd w:val="clear" w:color="auto" w:fill="CCEEFF"/>
          </w:tcPr>
          <w:p>
            <w:pPr>
              <w:jc w:val="right"/>
              <w:ind w:right="637"/>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(24,593)</w:t>
            </w:r>
          </w:p>
        </w:tc>
        <w:tc>
          <w:tcPr>
            <w:tcW w:w="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635"/>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(17,972)</w:t>
            </w:r>
          </w:p>
        </w:tc>
      </w:tr>
      <w:tr>
        <w:trPr>
          <w:trHeight w:val="183"/>
        </w:trPr>
        <w:tc>
          <w:tcPr>
            <w:tcW w:w="7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used in investing activities</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21"/>
        </w:trPr>
        <w:tc>
          <w:tcPr>
            <w:tcW w:w="7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04"/>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provided by financing activities</w:t>
            </w:r>
          </w:p>
        </w:tc>
        <w:tc>
          <w:tcPr>
            <w:tcW w:w="7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16,129</w:t>
            </w: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59,072</w:t>
            </w:r>
          </w:p>
        </w:tc>
      </w:tr>
      <w:tr>
        <w:trPr>
          <w:trHeight w:val="173"/>
        </w:trPr>
        <w:tc>
          <w:tcPr>
            <w:tcW w:w="7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780" w:type="dxa"/>
            <w:vAlign w:val="bottom"/>
            <w:tcBorders>
              <w:top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800" w:type="dxa"/>
            <w:vAlign w:val="bottom"/>
            <w:tcBorders>
              <w:top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21"/>
        </w:trPr>
        <w:tc>
          <w:tcPr>
            <w:tcW w:w="74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19"/>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780" w:type="dxa"/>
            <w:vAlign w:val="bottom"/>
            <w:tcBorders>
              <w:bottom w:val="single" w:sz="8" w:color="auto"/>
            </w:tcBorders>
            <w:shd w:val="clear" w:color="auto" w:fill="CCEEFF"/>
          </w:tcPr>
          <w:p>
            <w:pPr>
              <w:jc w:val="right"/>
              <w:ind w:right="637"/>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(8,670)</w:t>
            </w:r>
          </w:p>
        </w:tc>
        <w:tc>
          <w:tcPr>
            <w:tcW w:w="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40,941</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used in operating activities</w:t>
      </w:r>
    </w:p>
    <w:p>
      <w:pPr>
        <w:spacing w:after="0" w:line="19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Cash used in operating activities for the nine months ended September 30, 2022 was $24.6 million, consisting of a net loss of $26.6 million, add back of non-cash adjustments for depreciation, stock-based compensation, non-cash operating lease expense and other non-cash items totaling $2.7 million, plus changes in operating assets and liabilities of $0.6 million.</w:t>
      </w:r>
    </w:p>
    <w:p>
      <w:pPr>
        <w:spacing w:after="0" w:line="15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Cash used in operating activities for the nine months ended September 30, 2021 was $18.0 million consisting of a net loss of $20.5 million, add back of non-cash adjustments for depreciation, stock-based compensation, non-cash operating lease expense and other non-cash items totaling $2.2 million, plus changes in operating assets and liabilities of $0.3 million.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used in investing activities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Cash used in investing activities for the nine months ended September 30, 2022 and 2021 was related to purchases of property and equipment, primarily related to office, laboratory and computer equipment.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provided by financing activities</w:t>
      </w:r>
    </w:p>
    <w:p>
      <w:pPr>
        <w:spacing w:after="0" w:line="19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Cash provided by financing activities for the nine months ended September 30, 2022 was $16.1 million, primarily related to proceeds from the issuance of common stock of $8.8 million and pre-funded warrants of $7.3 million.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Cash provided by financing activities for the nine months period ended September 30, 2021 was $59.1 million consisting of (i) proceeds from Oxford Loan of $14.9 million (net of issuance costs),</w:t>
      </w:r>
    </w:p>
    <w:p>
      <w:pPr>
        <w:spacing w:after="0" w:line="37" w:lineRule="exact"/>
        <w:rPr>
          <w:sz w:val="20"/>
          <w:szCs w:val="20"/>
          <w:color w:val="auto"/>
        </w:rPr>
      </w:pPr>
    </w:p>
    <w:p>
      <w:pPr>
        <w:ind w:firstLine="7"/>
        <w:spacing w:after="0" w:line="247" w:lineRule="auto"/>
        <w:tabs>
          <w:tab w:leader="none" w:pos="211"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issuance of common stock of $30.0 million concurrent with closing of the merger with Millendo and (iii) cash of $17.0 million brought over by Millendo as a result of the merger, offset by payment of reverse recapitalization costs of $6.4 million.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Material Cash Requirements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expect our expenses to increase in connection with our ongoing development activities, particularly as we continue the research, development and clinical trials of, and seek regulatory approval for, our product candidates. In addition, subject to obtaining regulatory approval for our product candidates, we anticipate that we will need substantial additional funding in connection with our continuing operations.</w:t>
      </w:r>
    </w:p>
    <w:p>
      <w:pPr>
        <w:spacing w:after="0" w:line="163"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4"/>
          <w:szCs w:val="14"/>
          <w:color w:val="auto"/>
        </w:rPr>
        <w:t>Our material cash requirements as of September 30, 2022 primarily relate to the maturities of the principal obligations under our long term debt, operating leases for office space, trade payables, and accrued expenses. As of September 30, 2022, we have $23.9 million payable within 12 months.</w:t>
      </w:r>
    </w:p>
    <w:p>
      <w:pPr>
        <w:spacing w:after="0" w:line="12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Until we can generate a sufficient amount of product revenue to finance our cash requirements, we expect to finance our future cash needs primarily through the issuance of additional equity, borrowings and strategic alliances with partner companies. To the extent that we raise additional capital through the issuance of additional equity or convertible debt securities, the ownership interest of our stockholders will be diluted, and the terms of these securities may include liquidation or other preferences that adversely affect the rights of existing stockholders. Debt financing, if available, may involve agreements that include covenants limiting or restricting our ability to take specific actions, such as incurring additional debt, making capital expenditures or declaring dividends. If we raise additional funds through marketing and distribution arrangements or other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commercialization efforts or grant rights to develop and market product candidates to third parties that we would otherwise prefer to develop and market ourself.</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2 to our Condensed Consolidated Financial Statements for a description of recent accounting pronouncements applicable to our Condensed Consolidated Financial Statements.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There have been no significant changes to our critical accounting policies since December 31, 2021. For a description of critical accounting policies that affect our significant judgments and estimates used in the preparation of our unaudited condensed consolidated financial statements, refer to Item 7 "Management's Discussion and Analysis of Financial Condition and Results of Operations" contained in our Annual Report on Form 10-K.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Smaller Reporting Company Status</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are a smaller reporting company as defined in the Securities Exchange Act of 1934, as amended. We may take advantage of certain of the scaled disclosures available to smaller reporting companies and will be able to take advantage of these scaled disclosures for so long as (i) our voting and non-voting common stock held by nonaffiliates is less than $250.0 million measured on the last business day of our second fiscal quarter or (ii)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24" w:name="page25"/>
    <w:bookmarkEnd w:id="24"/>
    <w:p>
      <w:pPr>
        <w:ind w:left="240"/>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3. </w:t>
      </w:r>
      <w:r>
        <w:rPr>
          <w:rFonts w:ascii="Times New Roman" w:cs="Times New Roman" w:eastAsia="Times New Roman" w:hAnsi="Times New Roman"/>
          <w:sz w:val="14"/>
          <w:szCs w:val="14"/>
          <w:b w:val="1"/>
          <w:bCs w:val="1"/>
          <w:i w:val="1"/>
          <w:iCs w:val="1"/>
          <w:color w:val="auto"/>
        </w:rPr>
        <w:t>Quantitative and Qualitative Disclosures about Market Risk</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Not required for smaller reporting companies.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4. </w:t>
      </w:r>
      <w:r>
        <w:rPr>
          <w:rFonts w:ascii="Times New Roman" w:cs="Times New Roman" w:eastAsia="Times New Roman" w:hAnsi="Times New Roman"/>
          <w:sz w:val="14"/>
          <w:szCs w:val="14"/>
          <w:b w:val="1"/>
          <w:bCs w:val="1"/>
          <w:i w:val="1"/>
          <w:iCs w:val="1"/>
          <w:color w:val="auto"/>
        </w:rPr>
        <w:t>Controls and Procedures</w:t>
      </w:r>
    </w:p>
    <w:p>
      <w:pPr>
        <w:spacing w:after="0" w:line="1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90" w:lineRule="exact"/>
        <w:rPr>
          <w:sz w:val="20"/>
          <w:szCs w:val="20"/>
          <w:color w:val="auto"/>
        </w:rPr>
      </w:pPr>
    </w:p>
    <w:p>
      <w:pPr>
        <w:jc w:val="both"/>
        <w:ind w:left="240"/>
        <w:spacing w:after="0" w:line="300" w:lineRule="auto"/>
        <w:rPr>
          <w:sz w:val="20"/>
          <w:szCs w:val="20"/>
          <w:color w:val="auto"/>
        </w:rPr>
      </w:pPr>
      <w:r>
        <w:rPr>
          <w:rFonts w:ascii="Times New Roman" w:cs="Times New Roman" w:eastAsia="Times New Roman" w:hAnsi="Times New Roman"/>
          <w:sz w:val="12"/>
          <w:szCs w:val="12"/>
          <w:color w:val="auto"/>
        </w:rPr>
        <w:t>Our management, with the participation of our Chief Executive Officer (principal executive officer) and Vice-President, Strategy and Finance (principal financial officer), evaluated the effectiveness of our disclosure controls and procedures (as defined in the Securities Exchange Act of 1934 Rules 13a-15(e) or 15d-15(e)) as required by paragraph (b) of Exchange Act Rules 13a-15 or 15d-15, as of September 30, 2022. Based on the evaluation of our disclosure controls and procedures as of September 30, 2022, our Chief Executive Officer and Vice-President, Strategy and Finance concluded that, as of such date, our disclosure controls and procedures were not effective at a reasonable assurance level because of the material weaknesses in internal control over financial reporting set forth below; provided, however, that we have made improvements with respect to addressing such material weaknesses and will continue to execute on an existing plan to remedy them.</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Internal Control Over Financial Reporting</w:t>
      </w:r>
    </w:p>
    <w:p>
      <w:pPr>
        <w:spacing w:after="0" w:line="190" w:lineRule="exact"/>
        <w:rPr>
          <w:sz w:val="20"/>
          <w:szCs w:val="20"/>
          <w:color w:val="auto"/>
        </w:rPr>
      </w:pPr>
    </w:p>
    <w:p>
      <w:pPr>
        <w:jc w:val="both"/>
        <w:ind w:left="240"/>
        <w:spacing w:after="0" w:line="248"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defined in Rules 13a-15(f) and 15d (f) under the Exchange Act). Internal control over financial reporting is a process designed to provide reasonable assurance regarding the reliability of financial reporting and the preparation of financial statements for external reporting purposes in accordance with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9" w:lineRule="exact"/>
        <w:rPr>
          <w:sz w:val="20"/>
          <w:szCs w:val="20"/>
          <w:color w:val="auto"/>
        </w:rPr>
      </w:pPr>
    </w:p>
    <w:p>
      <w:pPr>
        <w:jc w:val="both"/>
        <w:ind w:left="240"/>
        <w:spacing w:after="0" w:line="305" w:lineRule="auto"/>
        <w:rPr>
          <w:sz w:val="20"/>
          <w:szCs w:val="20"/>
          <w:color w:val="auto"/>
        </w:rPr>
      </w:pPr>
      <w:r>
        <w:rPr>
          <w:rFonts w:ascii="Times New Roman" w:cs="Times New Roman" w:eastAsia="Times New Roman" w:hAnsi="Times New Roman"/>
          <w:sz w:val="12"/>
          <w:szCs w:val="12"/>
          <w:color w:val="auto"/>
        </w:rPr>
        <w:t>A company’s internal control over financial reporting is a process designed by, or under the supervision of, a company’s principal executive and principal financial officers, or persons performing similar functions, and effected by a company’s board of directors, management and other personnel to provide reasonable assurance regarding the reliability of financial reporting and the preparation of financial statements in accordance with generally accepted accounting principles. A material weakness is a deficiency or combination of deficiencies in internal control over financial reporting, such that there is a reasonable possibility that a material misstatement of our annual or interim financial statements will not be prevented or detected and corrected on a timely basis.</w:t>
      </w:r>
    </w:p>
    <w:p>
      <w:pPr>
        <w:spacing w:after="0" w:line="136" w:lineRule="exact"/>
        <w:rPr>
          <w:sz w:val="20"/>
          <w:szCs w:val="20"/>
          <w:color w:val="auto"/>
        </w:rPr>
      </w:pPr>
    </w:p>
    <w:p>
      <w:pPr>
        <w:jc w:val="both"/>
        <w:ind w:left="240"/>
        <w:spacing w:after="0" w:line="264" w:lineRule="auto"/>
        <w:rPr>
          <w:sz w:val="20"/>
          <w:szCs w:val="20"/>
          <w:color w:val="auto"/>
        </w:rPr>
      </w:pPr>
      <w:r>
        <w:rPr>
          <w:rFonts w:ascii="Times New Roman" w:cs="Times New Roman" w:eastAsia="Times New Roman" w:hAnsi="Times New Roman"/>
          <w:sz w:val="14"/>
          <w:szCs w:val="14"/>
          <w:color w:val="auto"/>
        </w:rPr>
        <w:t>In preparing the financial statements as of and for the year ended December 31, 2020, our management identified material weaknesses in its internal control over financial reporting. The material weaknesses identified were as follows:</w:t>
      </w:r>
    </w:p>
    <w:p>
      <w:pPr>
        <w:spacing w:after="0" w:line="156" w:lineRule="exact"/>
        <w:rPr>
          <w:sz w:val="20"/>
          <w:szCs w:val="20"/>
          <w:color w:val="auto"/>
        </w:rPr>
      </w:pPr>
    </w:p>
    <w:p>
      <w:pPr>
        <w:ind w:left="500" w:hanging="8"/>
        <w:spacing w:after="0" w:line="264" w:lineRule="auto"/>
        <w:tabs>
          <w:tab w:leader="none" w:pos="68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was a material weakness in our internal control environment over financial reporting as a result of insufficient resources with appropriate knowledge and expertise to design, implement, document and operate effective internal controls over financial reporting.</w:t>
      </w:r>
    </w:p>
    <w:p>
      <w:pPr>
        <w:spacing w:after="0" w:line="156" w:lineRule="exact"/>
        <w:rPr>
          <w:sz w:val="20"/>
          <w:szCs w:val="20"/>
          <w:color w:val="auto"/>
        </w:rPr>
      </w:pPr>
    </w:p>
    <w:p>
      <w:pPr>
        <w:jc w:val="both"/>
        <w:ind w:left="500"/>
        <w:spacing w:after="0" w:line="254" w:lineRule="auto"/>
        <w:rPr>
          <w:sz w:val="20"/>
          <w:szCs w:val="20"/>
          <w:color w:val="auto"/>
        </w:rPr>
      </w:pPr>
      <w:r>
        <w:rPr>
          <w:rFonts w:ascii="Times New Roman" w:cs="Times New Roman" w:eastAsia="Times New Roman" w:hAnsi="Times New Roman"/>
          <w:sz w:val="14"/>
          <w:szCs w:val="14"/>
          <w:color w:val="auto"/>
        </w:rPr>
        <w:t>(ii) There was a material weakness in our internal control activities due to a failure in design and implementation of controls to review clinical trial expenses, including the evaluation of the terms of clinical trial contracts. Specifically, Tempest failed to properly review and evaluate progress of expense incurred in clinical trial contracts which resulted in the inaccurate accrual of our clinical trial expenses.</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Remediation of Material Weaknesses in Internal Control over Financial Reporting</w:t>
      </w:r>
    </w:p>
    <w:p>
      <w:pPr>
        <w:spacing w:after="0" w:line="190" w:lineRule="exact"/>
        <w:rPr>
          <w:sz w:val="20"/>
          <w:szCs w:val="20"/>
          <w:color w:val="auto"/>
        </w:rPr>
      </w:pPr>
    </w:p>
    <w:p>
      <w:pPr>
        <w:jc w:val="both"/>
        <w:ind w:left="240"/>
        <w:spacing w:after="0" w:line="254" w:lineRule="auto"/>
        <w:rPr>
          <w:sz w:val="20"/>
          <w:szCs w:val="20"/>
          <w:color w:val="auto"/>
        </w:rPr>
      </w:pPr>
      <w:r>
        <w:rPr>
          <w:rFonts w:ascii="Times New Roman" w:cs="Times New Roman" w:eastAsia="Times New Roman" w:hAnsi="Times New Roman"/>
          <w:sz w:val="14"/>
          <w:szCs w:val="14"/>
          <w:color w:val="auto"/>
        </w:rPr>
        <w:t>Our management, under the supervision of our Chief Executive Officer, has undertaken a plan to remediate the material weaknesses identified above, including adjustment to the methodology used to reflect clinical trial expenses in our financial statements and leveraging additional accounting resources. The additional efforts summarized below are intended to finalize the remediation. Significant progress has been made towards implementing these initiatives and our management expects to complete these efforts by the end of 2022.</w:t>
      </w:r>
    </w:p>
    <w:p>
      <w:pPr>
        <w:spacing w:after="0" w:line="163" w:lineRule="exact"/>
        <w:rPr>
          <w:sz w:val="20"/>
          <w:szCs w:val="20"/>
          <w:color w:val="auto"/>
        </w:rPr>
      </w:pPr>
    </w:p>
    <w:p>
      <w:pPr>
        <w:ind w:left="500" w:hanging="8"/>
        <w:spacing w:after="0" w:line="264" w:lineRule="auto"/>
        <w:tabs>
          <w:tab w:leader="none" w:pos="66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hired additional accounting personnel with appropriate experience, certification, education and training to help design, implement, document and operate effective internal controls over financial reporting; and</w:t>
      </w:r>
    </w:p>
    <w:p>
      <w:pPr>
        <w:spacing w:after="0" w:line="29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137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2" w:right="5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1" w:lineRule="exact"/>
        <w:rPr>
          <w:sz w:val="20"/>
          <w:szCs w:val="20"/>
          <w:color w:val="auto"/>
        </w:rPr>
      </w:pPr>
    </w:p>
    <w:p>
      <w:pPr>
        <w:ind w:left="260" w:hanging="8"/>
        <w:spacing w:after="0" w:line="264" w:lineRule="auto"/>
        <w:tabs>
          <w:tab w:leader="none" w:pos="47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finalized our internal control design, and implemented management review controls to review clinical trial expenses and the completeness of our reserves based on the status of clinical development and the progress of expense incurred.</w:t>
      </w:r>
    </w:p>
    <w:p>
      <w:pPr>
        <w:spacing w:after="0" w:line="1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management cannot assure you that the material weaknesses identified will be remediated on the timelines currently anticipated by us, or at all, or that there will not be additional material weaknesses or significant deficiencies in the future.</w:t>
      </w:r>
    </w:p>
    <w:p>
      <w:pPr>
        <w:spacing w:after="0" w:line="1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Notwithstanding the existence of the material weaknesses as described above, we believe that the Consolidated Financial Statements in this Quarterly Report fairly present, in all material respects, our financial position, results of operations and cash flows as of the dates, and for the periods, presented, in conformity with GAAP.</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Other than remediation measures associated with the material weaknesses discussed above, there were no changes in internal control over financial reporting during the quarter ended September 30, 2022 that have materially affected, or are reasonably likely to materially affect, our internal control over financial reporting.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Inherent Limitations on Effectiveness of Controls</w:t>
      </w:r>
    </w:p>
    <w:p>
      <w:pPr>
        <w:spacing w:after="0" w:line="1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Our management, including our Chief Executive Officer and our Vice-President, Strategy and Finance, believe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 </w:t>
      </w:r>
      <w:r>
        <w:rPr>
          <w:rFonts w:ascii="Times New Roman" w:cs="Times New Roman" w:eastAsia="Times New Roman" w:hAnsi="Times New Roman"/>
          <w:sz w:val="14"/>
          <w:szCs w:val="14"/>
          <w:b w:val="1"/>
          <w:bCs w:val="1"/>
          <w:i w:val="1"/>
          <w:iCs w:val="1"/>
          <w:color w:val="auto"/>
        </w:rPr>
        <w:t>Legal Proceedings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pertaining to legal proceedings is provided in Note 6 to the Condensed Consolidated Financial Statements contained in this report and is incorporated by reference herein.</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1A. </w:t>
      </w:r>
      <w:r>
        <w:rPr>
          <w:rFonts w:ascii="Times New Roman" w:cs="Times New Roman" w:eastAsia="Times New Roman" w:hAnsi="Times New Roman"/>
          <w:sz w:val="14"/>
          <w:szCs w:val="14"/>
          <w:b w:val="1"/>
          <w:bCs w:val="1"/>
          <w:i w:val="1"/>
          <w:iCs w:val="1"/>
          <w:color w:val="auto"/>
        </w:rPr>
        <w:t>Risk Factors</w:t>
      </w:r>
    </w:p>
    <w:p>
      <w:pPr>
        <w:spacing w:after="0" w:line="18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i w:val="1"/>
          <w:iCs w:val="1"/>
          <w:color w:val="auto"/>
        </w:rPr>
        <w:t>Our business involves significant risks, some of which are described below. You should carefully consider the risks described below, together with all of the other information contained in this Quarterly Report on Form 10-Q, including the section entitled “Management’s Discussion and Analysis of Financial Condition and Results of Operations” and the financial statements and the related notes. Any of these events could cause the trading price of our common stock to decline, which would cause you to lose all or part of your investment.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or may make from time to time. Such risks may be amplified by the COVID-19 pandemic and its potential impact on our business and the global economy.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Summary of Selected Risks Associated with Our Business</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business is subject to numerous risks and uncertainties. If any of the following risks are realized, our business, financial condition and results of operations could be materially and adversely affected. Some of the more significant risks we face include the following:</w:t>
      </w:r>
    </w:p>
    <w:p>
      <w:pPr>
        <w:spacing w:after="0" w:line="156" w:lineRule="exact"/>
        <w:rPr>
          <w:sz w:val="20"/>
          <w:szCs w:val="20"/>
          <w:color w:val="auto"/>
        </w:rPr>
      </w:pPr>
    </w:p>
    <w:p>
      <w:pPr>
        <w:ind w:firstLine="7"/>
        <w:spacing w:after="0" w:line="349" w:lineRule="auto"/>
        <w:tabs>
          <w:tab w:leader="none" w:pos="242"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a history of operating losses, and we may not achieve or sustain profitability. We anticipate that we will continue to incur losses for the foreseeable future. If we fail to obtain additional funding to conduct our planned research and development efforts, we could be forced to delay, reduce or eliminate our product development programs or commercial development efforts.</w:t>
      </w:r>
    </w:p>
    <w:p>
      <w:pPr>
        <w:spacing w:after="0" w:line="109" w:lineRule="exact"/>
        <w:rPr>
          <w:rFonts w:ascii="Times New Roman" w:cs="Times New Roman" w:eastAsia="Times New Roman" w:hAnsi="Times New Roman"/>
          <w:sz w:val="12"/>
          <w:szCs w:val="12"/>
          <w:color w:val="auto"/>
        </w:rPr>
      </w:pPr>
    </w:p>
    <w:p>
      <w:pPr>
        <w:ind w:firstLine="7"/>
        <w:spacing w:after="0" w:line="264" w:lineRule="auto"/>
        <w:tabs>
          <w:tab w:leader="none" w:pos="24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expect that we will need to raise additional funding to finance our operations. This additional financing may not be available on acceptable terms or at all. Failure to obtain this necessary capital when needed may force us to delay, limit or terminate our product development efforts or other operations.</w:t>
      </w:r>
    </w:p>
    <w:p>
      <w:pPr>
        <w:spacing w:after="0" w:line="156" w:lineRule="exact"/>
        <w:rPr>
          <w:rFonts w:ascii="Times New Roman" w:cs="Times New Roman" w:eastAsia="Times New Roman" w:hAnsi="Times New Roman"/>
          <w:sz w:val="14"/>
          <w:szCs w:val="14"/>
          <w:color w:val="auto"/>
        </w:rPr>
      </w:pPr>
    </w:p>
    <w:p>
      <w:pPr>
        <w:ind w:firstLine="7"/>
        <w:spacing w:after="0" w:line="264" w:lineRule="auto"/>
        <w:tabs>
          <w:tab w:leader="none" w:pos="24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identified material weaknesses in our internal control over financial reporting. Failure to achieve and maintain effective internal control over financial reporting could harm our business and negatively impact the value of our common stock.</w:t>
      </w:r>
    </w:p>
    <w:p>
      <w:pPr>
        <w:spacing w:after="0" w:line="156"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health threats could have an adverse effect on our clinical trials and financial results.</w:t>
      </w:r>
    </w:p>
    <w:p>
      <w:pPr>
        <w:spacing w:after="0" w:line="186"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expect to expand our development and regulatory capabilities, and as a result, we may encounter difficulties in managing our growth, which could disrupt our operations.</w:t>
      </w:r>
    </w:p>
    <w:p>
      <w:pPr>
        <w:spacing w:after="0" w:line="186" w:lineRule="exact"/>
        <w:rPr>
          <w:rFonts w:ascii="Times New Roman" w:cs="Times New Roman" w:eastAsia="Times New Roman" w:hAnsi="Times New Roman"/>
          <w:sz w:val="14"/>
          <w:szCs w:val="14"/>
          <w:color w:val="auto"/>
        </w:rPr>
      </w:pPr>
    </w:p>
    <w:p>
      <w:pPr>
        <w:ind w:firstLine="7"/>
        <w:spacing w:after="0" w:line="264" w:lineRule="auto"/>
        <w:tabs>
          <w:tab w:leader="none" w:pos="24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develop, obtain regulatory approval for and commercialize TPST-1495 and TPST-1120 and its future product candidates, or if we experience significant delays in doing so, our business will be materially harmed.</w:t>
      </w:r>
    </w:p>
    <w:p>
      <w:pPr>
        <w:spacing w:after="0" w:line="156" w:lineRule="exact"/>
        <w:rPr>
          <w:rFonts w:ascii="Times New Roman" w:cs="Times New Roman" w:eastAsia="Times New Roman" w:hAnsi="Times New Roman"/>
          <w:sz w:val="14"/>
          <w:szCs w:val="14"/>
          <w:color w:val="auto"/>
        </w:rPr>
      </w:pPr>
    </w:p>
    <w:p>
      <w:pPr>
        <w:ind w:firstLine="7"/>
        <w:spacing w:after="0" w:line="264" w:lineRule="auto"/>
        <w:tabs>
          <w:tab w:leader="none" w:pos="24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 in preclinical studies and earlier clinical trials for our product candidates may not be indicative of the results that may be obtained in later clinical trials, which may delay or prevent obtaining regulatory approval.</w:t>
      </w:r>
    </w:p>
    <w:p>
      <w:pPr>
        <w:spacing w:after="0" w:line="156"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successful in our efforts to expand our pipeline of product candidates and develop marketable products.</w:t>
      </w:r>
    </w:p>
    <w:p>
      <w:pPr>
        <w:spacing w:after="0" w:line="186" w:lineRule="exact"/>
        <w:rPr>
          <w:rFonts w:ascii="Times New Roman" w:cs="Times New Roman" w:eastAsia="Times New Roman" w:hAnsi="Times New Roman"/>
          <w:sz w:val="14"/>
          <w:szCs w:val="14"/>
          <w:color w:val="auto"/>
        </w:rPr>
      </w:pPr>
    </w:p>
    <w:p>
      <w:pPr>
        <w:ind w:firstLine="7"/>
        <w:spacing w:after="0" w:line="264" w:lineRule="auto"/>
        <w:tabs>
          <w:tab w:leader="none" w:pos="24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commercial success of our product candidates, including TPST-1495 and TPST-1120, will depend upon their degree of market acceptance by providers, patients, patient advocacy groups, third-party payors and the general medical community.</w:t>
      </w:r>
    </w:p>
    <w:p>
      <w:pPr>
        <w:spacing w:after="0" w:line="156"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rely on third parties to manufacture our clinical product supplies, and we may have to rely on third parties to produce and process our product candidates, if approved.</w:t>
      </w:r>
    </w:p>
    <w:p>
      <w:pPr>
        <w:spacing w:after="0" w:line="186" w:lineRule="exact"/>
        <w:rPr>
          <w:rFonts w:ascii="Times New Roman" w:cs="Times New Roman" w:eastAsia="Times New Roman" w:hAnsi="Times New Roman"/>
          <w:sz w:val="14"/>
          <w:szCs w:val="14"/>
          <w:color w:val="auto"/>
        </w:rPr>
      </w:pPr>
    </w:p>
    <w:p>
      <w:pPr>
        <w:ind w:firstLine="7"/>
        <w:spacing w:after="0" w:line="264" w:lineRule="auto"/>
        <w:tabs>
          <w:tab w:leader="none" w:pos="24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significant competition in an environment of rapid technological change, and it is possible that our competitors may achieve regulatory approval before us or develop therapies that are more advanced or effective than ours, which may</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harm our business, financial condition and ability to successfully market or commercialize TPST-1495, TPST-1120, and our other product candidates.</w:t>
      </w:r>
    </w:p>
    <w:p>
      <w:pPr>
        <w:spacing w:after="0" w:line="186" w:lineRule="exact"/>
        <w:rPr>
          <w:sz w:val="20"/>
          <w:szCs w:val="20"/>
          <w:color w:val="auto"/>
        </w:rPr>
      </w:pPr>
    </w:p>
    <w:p>
      <w:pPr>
        <w:ind w:left="240" w:hanging="233"/>
        <w:spacing w:after="0"/>
        <w:tabs>
          <w:tab w:leader="none" w:pos="2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we are unable to establish sales and marketing capabilities or enter into agreements with third parties to market and sell our product candidates, we may be unable to generate any revenues.</w:t>
      </w:r>
    </w:p>
    <w:p>
      <w:pPr>
        <w:spacing w:after="0" w:line="209" w:lineRule="exact"/>
        <w:rPr>
          <w:rFonts w:ascii="Times New Roman" w:cs="Times New Roman" w:eastAsia="Times New Roman" w:hAnsi="Times New Roman"/>
          <w:sz w:val="12"/>
          <w:szCs w:val="12"/>
          <w:color w:val="auto"/>
        </w:rPr>
      </w:pPr>
    </w:p>
    <w:p>
      <w:pPr>
        <w:ind w:firstLine="7"/>
        <w:spacing w:after="0" w:line="264" w:lineRule="auto"/>
        <w:tabs>
          <w:tab w:leader="none" w:pos="24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successful in finding strategic collaborators for continuing development of certain of our future product candidates or successfully commercializing or competing in the market for certain indications.</w:t>
      </w:r>
    </w:p>
    <w:p>
      <w:pPr>
        <w:spacing w:after="0" w:line="156" w:lineRule="exact"/>
        <w:rPr>
          <w:rFonts w:ascii="Times New Roman" w:cs="Times New Roman" w:eastAsia="Times New Roman" w:hAnsi="Times New Roman"/>
          <w:sz w:val="14"/>
          <w:szCs w:val="14"/>
          <w:color w:val="auto"/>
        </w:rPr>
      </w:pPr>
    </w:p>
    <w:p>
      <w:pPr>
        <w:ind w:firstLine="7"/>
        <w:spacing w:after="0" w:line="264" w:lineRule="auto"/>
        <w:tabs>
          <w:tab w:leader="none" w:pos="24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Food and Drug Administration (“FDA”) regulatory approval process is lengthy and time-consuming, and we may experience significant delays in the clinical development and regulatory approval of our product candidates.</w:t>
      </w:r>
    </w:p>
    <w:p>
      <w:pPr>
        <w:spacing w:after="0" w:line="156" w:lineRule="exact"/>
        <w:rPr>
          <w:rFonts w:ascii="Times New Roman" w:cs="Times New Roman" w:eastAsia="Times New Roman" w:hAnsi="Times New Roman"/>
          <w:sz w:val="14"/>
          <w:szCs w:val="14"/>
          <w:color w:val="auto"/>
        </w:rPr>
      </w:pPr>
    </w:p>
    <w:p>
      <w:pPr>
        <w:ind w:firstLine="7"/>
        <w:spacing w:after="0" w:line="264" w:lineRule="auto"/>
        <w:tabs>
          <w:tab w:leader="none" w:pos="24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success depends in part on our ability to obtain, maintain and protect our intellectual property. It is difficult and costly to protect our proprietary rights and technology, and we may not be able to ensure their protection.</w:t>
      </w:r>
    </w:p>
    <w:p>
      <w:pPr>
        <w:spacing w:after="0" w:line="156"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owned and in-licensed patents and patent applications may not provide sufficient protection of our product candidates or result in any competitive advantage.</w:t>
      </w:r>
    </w:p>
    <w:p>
      <w:pPr>
        <w:spacing w:after="0" w:line="186"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trading price of the shares of our common stock has been and is likely to continue to be volatile, and purchasers of our common stock could incur substantial losses.</w:t>
      </w:r>
    </w:p>
    <w:p>
      <w:pPr>
        <w:spacing w:after="0" w:line="186"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executive officers, directors and principal stockholders have the ability to control or significantly influence all matters submitted to our stockholders for approval.</w:t>
      </w:r>
    </w:p>
    <w:p>
      <w:pPr>
        <w:spacing w:after="0" w:line="186"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maintain proper and effective internal controls, our ability to produce accurate financial statements on a timely basis could be impaired.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Financial Position and Capital Needs</w:t>
      </w:r>
    </w:p>
    <w:p>
      <w:pPr>
        <w:spacing w:after="0" w:line="186" w:lineRule="exact"/>
        <w:rPr>
          <w:sz w:val="20"/>
          <w:szCs w:val="20"/>
          <w:color w:val="auto"/>
        </w:rPr>
      </w:pPr>
    </w:p>
    <w:p>
      <w:pPr>
        <w:jc w:val="both"/>
        <w:spacing w:after="0" w:line="356" w:lineRule="auto"/>
        <w:rPr>
          <w:sz w:val="20"/>
          <w:szCs w:val="20"/>
          <w:color w:val="auto"/>
        </w:rPr>
      </w:pPr>
      <w:r>
        <w:rPr>
          <w:rFonts w:ascii="Times New Roman" w:cs="Times New Roman" w:eastAsia="Times New Roman" w:hAnsi="Times New Roman"/>
          <w:sz w:val="12"/>
          <w:szCs w:val="12"/>
          <w:b w:val="1"/>
          <w:bCs w:val="1"/>
          <w:i w:val="1"/>
          <w:iCs w:val="1"/>
          <w:color w:val="auto"/>
        </w:rPr>
        <w:t>We have a history of operating losses, and we may not achieve or sustain profitability. We anticipate that we will continue to incur losses for the foreseeable future. If we fail to obtain additional funding to conduct our planned research and development efforts, we could be forced to delay, reduce or eliminate our product development programs or commercial development efforts.</w:t>
      </w:r>
    </w:p>
    <w:p>
      <w:pPr>
        <w:spacing w:after="0" w:line="10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are a clinical-stage biotechnology company with a limited operating history. Biotechnology product development is a highly speculative undertaking and involves a substantial degree of risk. Our operations to date have been limited primarily to organizing and staffing, business planning, raising capital, acquiring and developing product and technology rights, manufacturing, and conducting research and development activities for our product candidates. We have never generated any revenue from product sales and we have not obtained regulatory approvals for any of our product candidates.</w:t>
      </w:r>
    </w:p>
    <w:p>
      <w:pPr>
        <w:spacing w:after="0" w:line="16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incurred net losses of $26.6 million for the nine months ended September 30, 2022. As of September 30, 2022, we had an accumulated deficit of $126.7 million.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several years and for the foreseeable future as we continue to conduct research and development, clinical testing, regulatory compliance activities, manufacturing activities, and, if any of our product candidates is approved, sales and marketing activities. Our prior losses, combined with our expected future losses, have had and will continue to have an adverse effect on our stockholders’ equity and working capital.</w:t>
      </w:r>
    </w:p>
    <w:p>
      <w:pPr>
        <w:spacing w:after="0" w:line="1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expect that we will need to raise additional funding to finance our operations. This additional financing may not be available on acceptable terms or at all. Failure to obtain this necessary capital when needed may force us to delay, limit or terminate our product development efforts or other operations.</w:t>
      </w:r>
    </w:p>
    <w:p>
      <w:pPr>
        <w:spacing w:after="0" w:line="15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will require substantial future capital in order to complete planned and future preclinical and clinical development for our product candidates and potentially commercialize these product candidates. We expect our spending levels to increase in connection with our preclinical studies and clinical trials of our product candidates. In addition, if we obtain marketing approval for any of our product candidates, we expect to incur significant expenses related to commercial launch, product sales, medical affairs, marketing, manufacturing and distribution. Furthermore, we expect to incur additional costs associated with operating as a public company. Accordingly, we will need to obtain substantial additional funding in connection with our continuing operations before any commercial revenue may occur.</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Additional capital might not be available when we need it and our actual cash requirements might be greater than anticipated. If we require additional capital at a time when investment in our industry or in the marketplace in general is limited, we might not be able to raise funding on favorable terms, if at all. If we are not able to obtain financing when needed or on terms favorable to us, we may need to delay, reduce or eliminate certain research and development programs or other operations, sell some or all of our assets or merge with another entity.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operations have consumed significant amounts of cash since inception. Our future capital requirements will depend on many factors, including:</w:t>
      </w:r>
    </w:p>
    <w:p>
      <w:pPr>
        <w:spacing w:after="0" w:line="186" w:lineRule="exact"/>
        <w:rPr>
          <w:sz w:val="20"/>
          <w:szCs w:val="20"/>
          <w:color w:val="auto"/>
        </w:rPr>
      </w:pPr>
    </w:p>
    <w:p>
      <w:pPr>
        <w:ind w:left="240" w:hanging="233"/>
        <w:spacing w:after="0"/>
        <w:tabs>
          <w:tab w:leader="none" w:pos="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the scope, progress and results of discovery, preclinical development, laboratory testing and clinical trials for our product candidates;</w:t>
      </w:r>
    </w:p>
    <w:p>
      <w:pPr>
        <w:spacing w:after="0" w:line="14"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the manufacturing of our product candidates;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related to the extent to which we enter into partnerships or other arrangements with third parties to further develop our product candidates;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fees associated with the discovery, acquisition or in-license of product candidates or technologies;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collaborations on favorable terms, if at all;</w:t>
      </w:r>
    </w:p>
    <w:p>
      <w:pPr>
        <w:spacing w:after="0" w:line="2" w:lineRule="exact"/>
        <w:rPr>
          <w:rFonts w:ascii="Times New Roman" w:cs="Times New Roman" w:eastAsia="Times New Roman" w:hAnsi="Times New Roman"/>
          <w:sz w:val="14"/>
          <w:szCs w:val="14"/>
          <w:color w:val="auto"/>
        </w:rPr>
      </w:pPr>
    </w:p>
    <w:p>
      <w:pPr>
        <w:ind w:left="260" w:hanging="253"/>
        <w:spacing w:after="0" w:line="243" w:lineRule="auto"/>
        <w:tabs>
          <w:tab w:leader="none" w:pos="257"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future commercialization activities, if any, including product sales, marketing, manufacturing and distribution, for any of our product candidates for which we receive marketing approval;</w:t>
      </w:r>
    </w:p>
    <w:p>
      <w:pPr>
        <w:ind w:left="240" w:hanging="233"/>
        <w:spacing w:after="0"/>
        <w:tabs>
          <w:tab w:leader="none" w:pos="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if any, received from commercial sales of our product candidates, should any of our product candidates receive marketing approval; and</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preparing, filing and prosecuting patent applications, maintaining and enforcing our intellectual property rights and defending intellectual property-related claims.</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product candidates, if approved, may not achieve commercial success. Our commercial revenues, if any, will be derived from sales of product candidates that we do not expect to be commercially available for many years, if at all. Accordingly, we will need to continue to rely on additional financing to achieve our business objectives, which may not be available to us on acceptable terms, or at all.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limited operating history may make it difficult for you to evaluate the success of our business to date and to assess our future viability.</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Our operations to date have been limited to organizing and staffing, business planning, raising capital, acquiring our technology, identifying potential product candidates, undertaking research and preclinical studies of our product candidates, manufacturing, and establishing licensing arrangements. We have not yet demonstrated the ability to complete clinical trials of our product candidates, obtain marketing approvals, manufacture a commercial scale product or conduct sales and marketing activities necessary for successful commercialization. Consequently, any predictions you make about our future success or viability may not be as accurate as they could be if we had a longer operating history.</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as a new business, we may encounter unforeseen expenses, difficulties, complications, delays and other known and unknown factors. We will need to transition from a company with a licensing and research focus to a company that is also capable of supporting clinical development and commercial activities. We may not be successful in such a transition.</w:t>
      </w:r>
    </w:p>
    <w:p>
      <w:pPr>
        <w:spacing w:after="0" w:line="1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have identified material weaknesses in our internal control over financial reporting. Failure to achieve and maintain effective internal control over financial reporting could harm our business and negatively impact the value of our common stock.</w:t>
      </w:r>
    </w:p>
    <w:p>
      <w:pPr>
        <w:spacing w:after="0" w:line="14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In connection with the preparation and audit of our financial statements as of and for the year ended December 31, 2020, a material weakness was identified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Specifically, we identified the following material weaknesses in our internal control over financial reporting:</w:t>
      </w:r>
    </w:p>
    <w:p>
      <w:pPr>
        <w:spacing w:after="0" w:line="174" w:lineRule="exact"/>
        <w:rPr>
          <w:sz w:val="20"/>
          <w:szCs w:val="20"/>
          <w:color w:val="auto"/>
        </w:rPr>
      </w:pPr>
    </w:p>
    <w:p>
      <w:pPr>
        <w:ind w:left="240" w:hanging="233"/>
        <w:spacing w:after="0"/>
        <w:tabs>
          <w:tab w:leader="none" w:pos="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have sufficient resources with appropriate knowledge and expertise to design, implement, document and operate effective internal controls over financial reporting.</w:t>
      </w:r>
    </w:p>
    <w:p>
      <w:pPr>
        <w:spacing w:after="0" w:line="14" w:lineRule="exact"/>
        <w:rPr>
          <w:rFonts w:ascii="Times New Roman" w:cs="Times New Roman" w:eastAsia="Times New Roman" w:hAnsi="Times New Roman"/>
          <w:sz w:val="14"/>
          <w:szCs w:val="14"/>
          <w:color w:val="auto"/>
        </w:rPr>
      </w:pPr>
    </w:p>
    <w:p>
      <w:pPr>
        <w:ind w:left="260" w:hanging="253"/>
        <w:spacing w:after="0" w:line="247" w:lineRule="auto"/>
        <w:tabs>
          <w:tab w:leader="none" w:pos="257"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implement controls surrounding review of clinical trial expenses, including the evaluation of the terms of our clinical trial contracts. Specifically, we failed to properly review and evaluate the progress of expenses incurred in our clinical trial contracts that resulted in the inaccurate accrual of clinical trial expenses.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These material weaknesses resulted in adjustments to our financial statements for the year ended December 31, 2020. Additionally, these material weaknesses could result in a misstatement of our accounts or disclosures that would result in a material misstatement of our annual or interim financial statements that would not be prevented or detected.</w:t>
      </w:r>
    </w:p>
    <w:p>
      <w:pPr>
        <w:spacing w:after="0" w:line="1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are actively recruiting additional accounting personnel with appropriate experience, certification, education and training as a component of our plans to remediate the material weaknesses. We also plan to design and implement controls related to review of clinical trial expenses to properly evaluate progress of expense incurred in clinical trial contracts. To the extent that we are not able to hire and retain such individuals, or are unable to successfully design and implement such controls, the material weaknesses identified may not be remediated and management may be required to record additional adjustments to our financial statements in the future.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utilize our net operating loss carryforwards and tax credit carryforwards may be subject to limitations.</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ability to use our federal and state net operating losses (“NOLs”) to offset potential future taxable income and related income taxes that would otherwise be due is dependent upon our generation of future taxable income, and we cannot predict with certainty when, or whether, we will generate sufficient taxable income to use all of our NOLs.</w:t>
      </w:r>
    </w:p>
    <w:p>
      <w:pPr>
        <w:spacing w:after="0" w:line="1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Under Section 382 and Section 383 of the Code and corresponding provisions of state law, if a corporation undergoes an “ownership change,” its ability to use its pre-change NOL carryforwards and other pre-change tax attributes (such as research tax credits) to offset its post-change income or taxes may be limited. A Section 382 “ownership change” is generally defined as a greater than 50 percentage point change (by value) in its equity ownership by certain stockholders over a three-year period. We may have experienced ownership changes in the past, including as a result of the merger with Millendo, and may experience ownership changes in the future due to subsequent shifts in our stock ownership (some of which are outside of our control). Furthermore, the merger constituted an ownership change (within the meaning of Section 382 of the Code) of Millendo which may have eliminated or otherwise substantially limited our ability to use Millendo’s federal and state NOLs to offset our future taxable income. Consequently, even if we achieve profitability, we may not be able to utilize a material portion of Private Tempest’s, Millendo’s or our combined NOL carryforwards and other tax attributes, which could have a material adverse effect on cash flow and results of operations. Similar provisions of state tax law may also apply to limit our ability to use of accumulated state tax attributes. There is also a risk that due to regulatory changes, such as suspensions on the use of NOLs, or other unforeseen reasons, our existing NOLs could expire or otherwise be unavailable to offset future income tax liabilities.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and Strategy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Public health threats could have an adverse effect on our clinical trials and financial </w:t>
      </w:r>
      <w:r>
        <w:rPr>
          <w:rFonts w:ascii="Times New Roman" w:cs="Times New Roman" w:eastAsia="Times New Roman" w:hAnsi="Times New Roman"/>
          <w:sz w:val="16"/>
          <w:szCs w:val="16"/>
          <w:b w:val="1"/>
          <w:bCs w:val="1"/>
          <w:i w:val="1"/>
          <w:iCs w:val="1"/>
          <w:color w:val="auto"/>
        </w:rPr>
        <w:t>results</w:t>
      </w:r>
    </w:p>
    <w:p>
      <w:pPr>
        <w:spacing w:after="0" w:line="20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face various risks related to epidemics, pandemics, and other outbreaks, including the ongoing COVID-19 pandemic, including newly discovered strains of the virus, which could adversely affect our ongoing or planned business operations. In particular, the ongoing COVID-19 pandemic has resulted in quarantines, restrictions on travel and other business and economic disruptions. We cannot presently predict the scope and severity of any future business shutdowns or disruptions, but if we or any of the third parties with whom we engage, including the partners and other third parties with whom we conduct business, were to experience shutdowns or other business disruptions, our ability to conduct our business in the manner and on the timelines presently planned could be materially and adversely impacted.</w:t>
      </w:r>
    </w:p>
    <w:p>
      <w:pPr>
        <w:spacing w:after="0" w:line="16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2"/>
          <w:szCs w:val="12"/>
          <w:color w:val="auto"/>
        </w:rPr>
        <w:t>COVID-19 could continue to disrupt production and cause delays in the supply and delivery of products used in our operations, may affect our operations, including the conduct of clinical studies, or the ability of regulatory bodies to grant approvals or supervise our candidates and products, may further divert the attention and efforts of the medical community to coping with the COVID-19 and disrupt the marketplace in which we operate and may have a material adverse effects on our operations. COVID-19 may also affect our employees and employees and operations at suppliers that may result in delays or disruptions in supply. Even after the COVID-19 pandemic has subsided, we may continue to experience an adverse impact to our business as a result of COVID-19’s global economic impact, including any recession that has occurred or may occur in the future and the uncertainty of the timing of the broader economic recovery to pre-pandemic levels.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expect to expand our development and regulatory capabilities, and as a result, we may encounter difficulties in managing our growth, which could disrupt our operations.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expect to experience significant growth in the number of our employees and the scope of our operations, particularly in the areas of product candidate development, growing our capability to conduct clinical trials, and, if approved, through commercialization of our product candidates. To manage our anticipated future growth, we must continue to implement and improve our managerial, operational and financial systems, expand our facilities and continue to recruit and train additional</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2"/>
          <w:szCs w:val="12"/>
          <w:color w:val="auto"/>
        </w:rPr>
        <w:t>qualified personnel, or contract with third parties to provide these capabilities.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must attract and retain highly skilled employees to succeed.</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harm our results of operations and increase our capabilities to successfully commercialize our product candidates. In particular, we believe that our future success is highly dependent upon the contributions of our senior management, particularly our Chief Executive Officer, Stephen Brady, our President, Thomas Dubensky and our Chief Medical Officer, Sam Whiting. The loss of services of Messrs. Brady, Dubensky or Whiting, or any of our other senior management, could delay or prevent the successful development of our product pipeline, completion of our planned clinical trials or the commercialization of our product candidates, if approved. The competition for qualified personnel in the biotechnology field is intense and as a result, we may be unable to continue to attract and retain qualified personnel necessary for the development of our business or to recruit suitable replacement personnel.</w:t>
      </w:r>
    </w:p>
    <w:p>
      <w:pPr>
        <w:spacing w:after="0" w:line="168"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2"/>
          <w:szCs w:val="12"/>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acquisitions or strategic alliances could disrupt our business and harm our financial condition and results of operations.</w:t>
      </w:r>
    </w:p>
    <w:p>
      <w:pPr>
        <w:spacing w:after="0" w:line="19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 The risks we face in connection with acquisitions, include:</w:t>
      </w:r>
    </w:p>
    <w:p>
      <w:pPr>
        <w:spacing w:after="0" w:line="169" w:lineRule="exact"/>
        <w:rPr>
          <w:sz w:val="20"/>
          <w:szCs w:val="20"/>
          <w:color w:val="auto"/>
        </w:rPr>
      </w:pPr>
    </w:p>
    <w:p>
      <w:pPr>
        <w:ind w:left="240" w:hanging="233"/>
        <w:spacing w:after="0"/>
        <w:tabs>
          <w:tab w:leader="none" w:pos="2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diversion of management time and focus from operating our business to addressing acquisition integration challenges;</w:t>
      </w:r>
    </w:p>
    <w:p>
      <w:pPr>
        <w:spacing w:after="0" w:line="14"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coordination of research and development efforts;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retention of key employees from the acquired company;</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relationships with strategic partners as a result of product acquisitions or strategic positioning resulting from the acquisition;</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cultural challenges associated with integrating employees from the acquired company into our organization;</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need to implement or improve controls, procedures and policies at a business that prior to the acquisition may have lacked sufficiently effective controls, procedures and policies;</w:t>
      </w:r>
    </w:p>
    <w:p>
      <w:pPr>
        <w:spacing w:after="0" w:line="2" w:lineRule="exact"/>
        <w:rPr>
          <w:rFonts w:ascii="Times New Roman" w:cs="Times New Roman" w:eastAsia="Times New Roman" w:hAnsi="Times New Roman"/>
          <w:sz w:val="14"/>
          <w:szCs w:val="14"/>
          <w:color w:val="auto"/>
        </w:rPr>
      </w:pPr>
    </w:p>
    <w:p>
      <w:pPr>
        <w:ind w:left="260" w:hanging="253"/>
        <w:spacing w:after="0" w:line="243" w:lineRule="auto"/>
        <w:tabs>
          <w:tab w:leader="none" w:pos="25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liability for activities of the acquired company before the acquisition, including intellectual property infringement claims, violation of laws, commercial disputes, tax liabilities and other known liabilities;</w:t>
      </w:r>
    </w:p>
    <w:p>
      <w:pPr>
        <w:ind w:left="240" w:hanging="233"/>
        <w:spacing w:after="0"/>
        <w:tabs>
          <w:tab w:leader="none" w:pos="2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write-offs or charges; and</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or other claims in connection with the acquired company, including claims from terminated employees, customers, former stockholders or other third parties.</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failure to address these risks or other problems encountered in connection with our past or future acquisitions or strategic alliances could cause us to fail to realize the anticipated benefits of these transactions, cause us to incur unanticipated liabilities and harm the business generally. There is also a risk that future acquisitions will result in the incurrence of debt, contingent liabilities, amortization expenses or incremental operating expenses, any of which could harm our financial condition or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Product Development and Regulatory Approval</w:t>
      </w:r>
    </w:p>
    <w:p>
      <w:pPr>
        <w:spacing w:after="0" w:line="18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develop, obtain regulatory approval for and commercialize TPST-1495 and TPST-1120 and our future product candidates, or if we experience significant delays in doing so, our business will be materially harmed.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2"/>
          <w:szCs w:val="12"/>
          <w:color w:val="auto"/>
        </w:rPr>
        <w:t>We plan to invest a substantial amount of our efforts and financial resources in our current lead product candidates, TPST-1495, a dual EP2/EP4 prostaglandin (“PGE2”) receptor antagonist, and TPST-1120, a peroxisome proliferator-activated receptor alpha (“PPARα”) antagonist for the treatment of various cancers. We have initiated Phase 1 clinical trials of TPST-1495 and TPST-1120 for the treatment of advanced solid tumors. In addition, we plan to advance our program targeting the three prime repair exonuclease (“TREX-1”) and select a development candidate for this program by first half of 2022. Our ability to generate product revenue will depend heavily on the successful development and eventual commercialization of TPST-1495 and TPST-1120 and our other product candidates, which may never occur. We currently generate no revenue from sales of any product and we may never be able to develop or commercialize a marketable product.</w:t>
      </w:r>
    </w:p>
    <w:p>
      <w:pPr>
        <w:spacing w:after="0" w:line="13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2"/>
          <w:szCs w:val="12"/>
          <w:color w:val="auto"/>
        </w:rPr>
        <w:t>Each of our programs and product candidates will require further clinical and/or preclinical development, regulatory approval in multiple jurisdictions, obtaining preclinical, clinical and commercial manufacturing supply, capacity and expertise, building of a commercial organization, substantial investment and significant marketing efforts before we generate any revenue from product sales. TPST-1495 and TPST-1120 and our other product candidates must be authorized for marketing by the FDA, the Health Products and Food Branch of Health Canada (“HPFB”), the European Medicines Agency (“EMA”), and certain other foreign regulatory agencies before we may commercialize any of our product candidates in the United States, Canada, EU, or other jurisdictions.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success of TPST-1495 and TPST-1120 and our other product candidates depends on multiple factors, including:</w:t>
      </w:r>
    </w:p>
    <w:p>
      <w:pPr>
        <w:spacing w:after="0" w:line="186" w:lineRule="exact"/>
        <w:rPr>
          <w:sz w:val="20"/>
          <w:szCs w:val="20"/>
          <w:color w:val="auto"/>
        </w:rPr>
      </w:pPr>
    </w:p>
    <w:p>
      <w:pPr>
        <w:ind w:left="260" w:hanging="253"/>
        <w:spacing w:after="0" w:line="252" w:lineRule="auto"/>
        <w:tabs>
          <w:tab w:leader="none" w:pos="257"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completion of preclinical studies, including those compliant with Good Laboratory Practice (“GLP”), or GLP toxicology studies, biodistribution studies and minimum effective dose studies in animals, and successful enrollment and completion of clinical trials compliant with current Good Clinical Practices (“GCPs”);</w:t>
      </w:r>
    </w:p>
    <w:p>
      <w:pPr>
        <w:ind w:left="260" w:hanging="253"/>
        <w:spacing w:after="0" w:line="243" w:lineRule="auto"/>
        <w:tabs>
          <w:tab w:leader="none" w:pos="257"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Investigational New Drug applications or other regulatory applications, that allow commencement of our planned clinical trials or future clinical trials for our product candidates in relevant territories;</w:t>
      </w:r>
    </w:p>
    <w:p>
      <w:pPr>
        <w:ind w:left="260" w:hanging="253"/>
        <w:spacing w:after="0" w:line="243" w:lineRule="auto"/>
        <w:tabs>
          <w:tab w:leader="none" w:pos="257"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and maintaining relationships with contract research organizations (“CROs”) and clinical sites for the clinical development of our product candidates, both in the United States and internationally;</w:t>
      </w:r>
    </w:p>
    <w:p>
      <w:pPr>
        <w:ind w:left="260" w:hanging="253"/>
        <w:spacing w:after="0" w:line="243" w:lineRule="auto"/>
        <w:tabs>
          <w:tab w:leader="none" w:pos="257"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maintenance of arrangements with third-party contract manufacturing organizations (“CMOs”) for key materials used in our manufacturing processes and to establish backup sources for clinical and large-scale commercial supply;</w:t>
      </w:r>
    </w:p>
    <w:p>
      <w:pPr>
        <w:ind w:left="240" w:hanging="233"/>
        <w:spacing w:after="0"/>
        <w:tabs>
          <w:tab w:leader="none" w:pos="24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positive results from our clinical programs that are supportive of safety and efficacy and provide an acceptable risk-benefit profile for our product candidates in the intended patient populations;</w:t>
      </w:r>
    </w:p>
    <w:p>
      <w:pPr>
        <w:spacing w:after="0" w:line="25" w:lineRule="exact"/>
        <w:rPr>
          <w:rFonts w:ascii="Times New Roman" w:cs="Times New Roman" w:eastAsia="Times New Roman" w:hAnsi="Times New Roman"/>
          <w:sz w:val="12"/>
          <w:szCs w:val="12"/>
          <w:color w:val="auto"/>
        </w:rPr>
      </w:pPr>
    </w:p>
    <w:p>
      <w:pPr>
        <w:ind w:left="240" w:hanging="233"/>
        <w:spacing w:after="0"/>
        <w:tabs>
          <w:tab w:leader="none" w:pos="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 of regulatory approvals from applicable regulatory authorities, including those necessary for pricing and reimbursement of our product candidates;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establishment and maintenance of patent and trade secret protection and regulatory exclusivity for our product candidates;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 launch of our product candidates, if and when approved, whether alone or in collaboration with others;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acceptance of our product candidates, if and when approved, by patients, patient advocacy groups, third-party payors and the general medical community;</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compete with developers of other therapies available in the market;</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establishment and maintenance of adequate reimbursement from third-party payors for our product candidates;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acquire or in-license additional product candidates;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prosecution, maintenance, enforcement and defense of intellectual property rights and claims;</w:t>
      </w:r>
    </w:p>
    <w:p>
      <w:pPr>
        <w:spacing w:after="0" w:line="2" w:lineRule="exact"/>
        <w:rPr>
          <w:rFonts w:ascii="Times New Roman" w:cs="Times New Roman" w:eastAsia="Times New Roman" w:hAnsi="Times New Roman"/>
          <w:sz w:val="14"/>
          <w:szCs w:val="14"/>
          <w:color w:val="auto"/>
        </w:rPr>
      </w:pPr>
    </w:p>
    <w:p>
      <w:pPr>
        <w:ind w:left="260" w:hanging="253"/>
        <w:spacing w:after="0" w:line="243" w:lineRule="auto"/>
        <w:tabs>
          <w:tab w:leader="none" w:pos="257"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maintenance of a continued acceptable safety profile of our product candidates following approval, including meeting any post-marketing commitments or requirements imposed by or agreed to with applicable regulatory authorities;</w:t>
      </w:r>
    </w:p>
    <w:p>
      <w:pPr>
        <w:ind w:left="240" w:hanging="233"/>
        <w:spacing w:after="0"/>
        <w:tabs>
          <w:tab w:leader="none" w:pos="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factors surrounding the approval process, such as government shutdowns; or</w:t>
      </w:r>
    </w:p>
    <w:p>
      <w:pPr>
        <w:spacing w:after="0" w:line="2" w:lineRule="exact"/>
        <w:rPr>
          <w:rFonts w:ascii="Times New Roman" w:cs="Times New Roman" w:eastAsia="Times New Roman" w:hAnsi="Times New Roman"/>
          <w:sz w:val="14"/>
          <w:szCs w:val="14"/>
          <w:color w:val="auto"/>
        </w:rPr>
      </w:pPr>
    </w:p>
    <w:p>
      <w:pPr>
        <w:ind w:left="260" w:hanging="253"/>
        <w:spacing w:after="0" w:line="243" w:lineRule="auto"/>
        <w:tabs>
          <w:tab w:leader="none" w:pos="257"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interruptions resulting from geopolitical actions, including war and terrorism such as the Russia-Ukraine war, natural disasters including earthquakes, typhoons, floods and fires, and public health emergencies, such as the ongoing COVID-19 pandemic, or</w:t>
      </w:r>
    </w:p>
    <w:p>
      <w:pPr>
        <w:ind w:left="240" w:hanging="233"/>
        <w:spacing w:after="0"/>
        <w:tabs>
          <w:tab w:leader="none" w:pos="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in enrollment of our clinical trials due to the ongoing COVID-19 pandemic.</w:t>
      </w:r>
    </w:p>
    <w:p>
      <w:pPr>
        <w:spacing w:after="0" w:line="17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If we do not succeed in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15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Success in preclinical studies and earlier clinical trials for our product candidates may not be indicative of the results that may be obtained in later clinical trials, which may delay or prevent obtaining regulatory approval.</w:t>
      </w:r>
    </w:p>
    <w:p>
      <w:pPr>
        <w:spacing w:after="0" w:line="15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Clinical development is expensive and can take many years to complete, and our outcome is inherently uncertain. Failure can occur at any time during the clinical trial process. Success in preclinical studies and early clinical trials may not be predictive of results in later-stage clinical trials, and successful results from early or small clinical trials may not be replicated or show</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as favorable an outcome in later-stage or larger clinical trials, even if successful. We will be required to demonstrate through adequate and well-controlled clinical trials that our product candidates are safe and effective for their intended uses before we can seek regulatory approvals for their commercial sale. The conduct of Phase 3 trials and the submission of a New Drug Application (“NDA”) is a complicated process. We have not previously completed any clinical trials, have limited experience in preparing, submitting and supporting regulatory filings, and have not previously submitted an NDA. Consequently, we may be unable to successfully and efficiently execute and complete necessary clinical trials and other requirements in a way that leads to NDA submission and approval of any product candidate we are developing.</w:t>
      </w:r>
    </w:p>
    <w:p>
      <w:pPr>
        <w:spacing w:after="0" w:line="1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Although TPST-1495 and TPST-1120 are being evaluated in clinical trials, our other product candidates, such as TREX-1, have not been evaluated in human clinical trials, and we may experience unexpected or negative results in the future if and when TREX-1 or our other product candidates are evaluated in clinical trials. Any positive results we observe for TREX-1 in preclinical animal models may not be predictive of our future clinical trials in humans, as animal models carry inherent limitations relevant to all preclinical studies. Our product candidates, including TREX-1, may also fail to show the desired safety and efficacy in later stages of clinical development even if they successfully advance through initial clinical trials. Even if our clinical trials demonstrate acceptable safety and efficacy of TPST-1495, TPST-1120 or TREX-1 or any other product candidates and such product candidates receive regulatory approval, the labeling we obtain through negotiations with the FDA or foreign regulatory authorities may not include data on secondary endpoints and may not provide us with a competitive advantage over other products approved for the same or similar indications.</w:t>
      </w:r>
    </w:p>
    <w:p>
      <w:pPr>
        <w:spacing w:after="0" w:line="1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Many companies in the biotechnology industry have suffered significant setbacks in late-stage clinical trials after achieving positive results in early-stage development, and there is a high failure rate for product candidates proceeding through clinical trials. In addition, different methodologies, assumptions and applications we utilize to assess particular safety or efficacy parameters may yield different statistical results. Even if we believe the data collected from clinical trials of our product candidates are promising, these data may not be sufficient to support approval by the FDA or foreign regulatory authorities. Preclinical and clinical data can be interpreted in different ways. Accordingly, the FDA or foreign regulatory authorities could interpret these data in different ways from us or our partners, which could delay, limit or prevent regulatory approval. If our study data does not consistently or sufficiently demonstrate the safety or efficacy of any of our product candidates, including TPST-1495 and TPST-1120, to the satisfaction of the FDA or foreign regulatory authorities, then the regulatory approvals for such product candidates could be significantly delayed as we work to meet approval requirements, or, if we are not able to meet these requirements, such approvals could be withheld or withdrawn.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encounter difficulties enrolling patients in our clinical trials, our clinical development activities could be delayed or otherwise adversely affected.</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may experience difficulties in patient enrollment in our clinical trials for a variety of reasons, including, without limitation, the impact of the ongoing COVID-19 pandemic or other health threats. The timely completion of clinical trials in accordance with our protocols depends, among other things, on our ability to enroll a sufficient number of patients who remain in the study until our conclusion. The enrollment of patients depends on many factors, including:</w:t>
      </w:r>
    </w:p>
    <w:p>
      <w:pPr>
        <w:spacing w:after="0" w:line="163" w:lineRule="exact"/>
        <w:rPr>
          <w:sz w:val="20"/>
          <w:szCs w:val="20"/>
          <w:color w:val="auto"/>
        </w:rPr>
      </w:pPr>
    </w:p>
    <w:p>
      <w:pPr>
        <w:ind w:left="240" w:hanging="233"/>
        <w:spacing w:after="0"/>
        <w:tabs>
          <w:tab w:leader="none" w:pos="2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patient eligibility criteria defined in the protocol;</w:t>
      </w:r>
    </w:p>
    <w:p>
      <w:pPr>
        <w:spacing w:after="0" w:line="14"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of the patient population required for analysis of the trial’s primary endpoints;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proximity of patients to study sites;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 of the trial;</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recruit clinical trial investigators with the appropriate competencies and experience;</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patient consents; and</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patients enrolled in our clinical trials will drop out of the trials before the infusion of our product candidates or trial completion.</w:t>
      </w:r>
    </w:p>
    <w:p>
      <w:pPr>
        <w:spacing w:after="0" w:line="17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2"/>
          <w:szCs w:val="12"/>
          <w:color w:val="auto"/>
        </w:rPr>
        <w:t>We intend to conduct a number of clinical trials for product candidates in the fields of cancer in geographies which are affected by the ongoing COVID-19 pandemic. We believe COVID-19 could have an impact on various aspects of our future clinical trials. For example, investigators may not want to take the risk of exposing cancer patients to COVID-19 since the dosing of patients is conducted within an in-patient setting. Other potential impacts of the COVID-19 pandemic on our future various clinical trials include patient dosing and study monitoring, which may be paused or delayed due to changes in policies at various clinical sites, federal, state, local or foreign laws, rules and regulations, including quarantines or other travel restrictions, prioritization of healthcare resources toward pandemic efforts, including diminished attention of physicians serving as our clinical trial investigators and reduced availability of site staff supporting the conduct of our clinical trials, interruption or delays in the operations of the government regulators, or other reasons related to the COVID-19 pandemic. It is unknown how long these pauses or disruptions could continue.</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some of our clinical trial sites are also being used by some of our competitors, which may reduce the number of patients who are available for our clinical trials in that clinical trial site.</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Moreover, because our product candidates represent unproven methods for cancer treatment, potential patients and their doctors may be inclined to use existing therapies rather than enroll patients in our clinical trials.</w:t>
      </w:r>
    </w:p>
    <w:p>
      <w:pPr>
        <w:spacing w:after="0" w:line="1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spacing w:after="0" w:line="1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Interim and preliminary data from our clinical trials that we may announce or publish from time to time may change as more patient data becomes available and are subject to audit and verification procedures that could result in material changes in the final data.</w:t>
      </w:r>
    </w:p>
    <w:p>
      <w:pPr>
        <w:spacing w:after="0" w:line="15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From time to time, we may publish interim or preliminary data from our clinical studies. Interim data from clinical trials that we may complete are subject to the risk that one or more of the clinical outcomes may materially change as patient enrollment continues and more patient data become available.</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Preliminary or interim data also remain subject to audit and verification procedures that may result in the final data being materially different from the preliminary data we previously published. As a result, interim and preliminary data should be viewed with caution until the final data is available. Adverse differences between preliminary or interim data and final data could significantly harm our business prospects.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Even if we complete the necessary preclinical studies and clinical trials, we cannot predict when, or if, we will obtain regulatory approval to commercialize a product candidate and the approval may be for a narrower indication than we seek.</w:t>
      </w:r>
    </w:p>
    <w:p>
      <w:pPr>
        <w:spacing w:after="0" w:line="15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Prior to commercialization, TPST-1495, TPST-1120 and our other product candidates must be approved by the FDA pursuant to an NDA in the United States and pursuant to similar marketing applications by the HPFB, EMA and similar regulatory authorities outside the United States. The process of obtaining marketing approvals, both in the United States and abroad, is expensive and takes many years, if approval is obtained at all, and can vary substantially based upon a variety of factors, including the type, complexity and novelty of the product candidates involved. Failure to obtain marketing approval for a product candidate will prevent us from commercializing the product candidate. We have not received approval to market TPST-1495, TPST-1120 or any of our other product candidates from regulatory authorities in any jurisdiction. We have no experience in submitting and supporting the applications necessary to gain marketing approvals, and, in the event regulatory authorities indicate that we may submit such applications, we may be unable to do so as quickly and efficiently as desired.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us from obtaining marketing approval or prevent or limit commercial use. Regulatory authorities have substantial discretion in the approval process and may refuse to accept or file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Approval of TPST-1495 and TPST-1120 and our other product candidates may be delayed or refused for many reasons, including:</w:t>
      </w:r>
    </w:p>
    <w:p>
      <w:pPr>
        <w:spacing w:after="0" w:line="186" w:lineRule="exact"/>
        <w:rPr>
          <w:sz w:val="20"/>
          <w:szCs w:val="20"/>
          <w:color w:val="auto"/>
        </w:rPr>
      </w:pPr>
    </w:p>
    <w:p>
      <w:pPr>
        <w:ind w:left="240" w:hanging="233"/>
        <w:spacing w:after="0"/>
        <w:tabs>
          <w:tab w:leader="none" w:pos="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comparable foreign regulatory authorities may disagree with the design or implementation of our clinical trials;</w:t>
      </w:r>
    </w:p>
    <w:p>
      <w:pPr>
        <w:spacing w:after="0" w:line="14" w:lineRule="exact"/>
        <w:rPr>
          <w:rFonts w:ascii="Times New Roman" w:cs="Times New Roman" w:eastAsia="Times New Roman" w:hAnsi="Times New Roman"/>
          <w:sz w:val="14"/>
          <w:szCs w:val="14"/>
          <w:color w:val="auto"/>
        </w:rPr>
      </w:pPr>
    </w:p>
    <w:p>
      <w:pPr>
        <w:ind w:left="260" w:hanging="253"/>
        <w:spacing w:after="0" w:line="243" w:lineRule="auto"/>
        <w:tabs>
          <w:tab w:leader="none" w:pos="257"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demonstrate, to the satisfaction of the FDA or comparable foreign regulatory authorities, that our product candidates are safe and effective for any of their proposed indications;</w:t>
      </w:r>
    </w:p>
    <w:p>
      <w:pPr>
        <w:ind w:left="240" w:hanging="233"/>
        <w:spacing w:after="0"/>
        <w:tabs>
          <w:tab w:leader="none" w:pos="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populations studied in clinical trials may not be sufficiently broad or representative to assure efficacy and safety in the populations for which we seek approval;</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clinical trials may not meet the level of statistical significance required by the FDA or comparable foreign regulatory authorities for approval;</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ind w:left="240" w:hanging="233"/>
        <w:spacing w:after="0"/>
        <w:tabs>
          <w:tab w:leader="none" w:pos="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demonstrate that our product candidates’ clinical and other benefits outweigh their safety risks;</w:t>
      </w:r>
    </w:p>
    <w:p>
      <w:pPr>
        <w:spacing w:after="0" w:line="14" w:lineRule="exact"/>
        <w:rPr>
          <w:rFonts w:ascii="Times New Roman" w:cs="Times New Roman" w:eastAsia="Times New Roman" w:hAnsi="Times New Roman"/>
          <w:sz w:val="14"/>
          <w:szCs w:val="14"/>
          <w:color w:val="auto"/>
        </w:rPr>
      </w:pPr>
    </w:p>
    <w:p>
      <w:pPr>
        <w:ind w:left="260" w:hanging="253"/>
        <w:spacing w:after="0" w:line="243" w:lineRule="auto"/>
        <w:tabs>
          <w:tab w:leader="none" w:pos="25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data collected from clinical trials of our product candidates may not be sufficient to support the submission of an NDA or other comparable submission in foreign jurisdictions or to obtain regulatory approval in the United States or elsewhere;</w:t>
      </w:r>
    </w:p>
    <w:p>
      <w:pPr>
        <w:ind w:left="240" w:hanging="233"/>
        <w:spacing w:after="0"/>
        <w:tabs>
          <w:tab w:leader="none" w:pos="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facilities of third-party manufacturers with which we contract or procure certain service or raw materials, may not be adequate to support approval of our product candidates; and</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policies or regulations of the FDA or comparable foreign regulatory authorities may significantly change in a manner rendering our clinical data insufficient for approval.</w:t>
      </w:r>
    </w:p>
    <w:p>
      <w:pPr>
        <w:spacing w:after="0" w:line="1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Even if our product candidates meet their pre-specified safety and efficacy endpoints in clinical trials, the regulatory authorities may not complete their review processes in a timely manner and may not consider such clinical trial results sufficient to grant,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1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Regulatory authorities also may approve a product candidate for more limited indications than requested or they may impose significant limitations in the form of narrow indications, warnings, contraindications or Risk Evaluation and Mitigation Strategies ("REMS"). These regulatory authorities may also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adversely affect our business, financial condition, results of operations and prospects.</w:t>
      </w:r>
    </w:p>
    <w:p>
      <w:pPr>
        <w:spacing w:after="0" w:line="1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TPST-1495, TPST-1120 and our other product candidates may cause undesirable and/or unforeseen side effects or be perceived by the public as unsafe, which could delay or prevent their advancement into clinical trials or regulatory approval, limit the commercial potential or result in significant negative consequences.</w:t>
      </w:r>
    </w:p>
    <w:p>
      <w:pPr>
        <w:spacing w:after="0" w:line="15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As we continue developing our product candidates and initiate clinical trials of our additional product candidates, serious adverse events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If any such adverse events occur, our clinical trials could be suspended or terminated and the FDA, the HPFB, the European Commission, the EMA or other regulatory authorities could order us to cease further development of, or deny approval of, our product candidates for any or all targeted indications. Even if we can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adversely affect our business, financial condition, results of operations and prospects significantly, including our ability to successfully sign collaboration or license agreements with external partners. Other treatments for cancers that utilize prostaglandin E2 antagonist or a PPARα antagonist or similar mechanism of action could also generate data that could adversely affect the clinical, regulatory or commercial perception of TPST-1495 and TPST-1120 and our other product candidates.</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Additionally, if any of our product candidates receives marketing approval, the FDA could require us to adopt a REMS to ensure that the benefits of the product outweigh our risks, which may include, for example, a Medication Guide outlining the risks of the product for distribution to patients and a communication plan to health care practitioners, or other elements to assure safe use of the product.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Furthermore, if we or others later identify undesirable side effects caused by our product candidates, several potentially significant negative consequences could result, including:</w:t>
      </w:r>
    </w:p>
    <w:p>
      <w:pPr>
        <w:spacing w:after="0" w:line="186" w:lineRule="exact"/>
        <w:rPr>
          <w:sz w:val="20"/>
          <w:szCs w:val="20"/>
          <w:color w:val="auto"/>
        </w:rPr>
      </w:pPr>
    </w:p>
    <w:p>
      <w:pPr>
        <w:ind w:left="240" w:hanging="233"/>
        <w:spacing w:after="0"/>
        <w:tabs>
          <w:tab w:leader="none" w:pos="2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suspend or withdraw approvals of such product candidate;</w:t>
      </w:r>
    </w:p>
    <w:p>
      <w:pPr>
        <w:spacing w:after="0" w:line="14"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require additional warnings in the product labeling;</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change the way a product candidate is administered or conduct additional clinical trials;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be sued and held liable for harm caused to patients; and</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ind w:left="240" w:hanging="233"/>
        <w:spacing w:after="0"/>
        <w:tabs>
          <w:tab w:leader="none" w:pos="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reputation may suffer.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of these occurrences may harm our business, financial condition, results of operations and prospects significantly.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successful in our efforts to expand our pipeline of product candidates and develop marketable products.</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are researching or have in preclinical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develop further product candidates, we may not be able to obtain product revenue in future periods, which would adversely affect our business, prospects, financial condition and results of operations.</w:t>
      </w:r>
    </w:p>
    <w:p>
      <w:pPr>
        <w:spacing w:after="0" w:line="16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2"/>
          <w:szCs w:val="12"/>
          <w:color w:val="auto"/>
        </w:rPr>
        <w:t>Although our pipeline includes multiple programs, we are primarily focused on our lead product candidates, TPST-1495 and TPST-1120, and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1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 candidates, when and if any of them are approved.</w:t>
      </w:r>
    </w:p>
    <w:p>
      <w:pPr>
        <w:spacing w:after="0" w:line="1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Our product candidates and the activities associated with their development and potential commercialization, including their testing, manufacturing, recordkeeping, labeling, storage, approval, advertising, promotion, sale and distribution, are subject to comprehensive regulation by the FDA and other U.S. and international regulatory authorities. These requirements include submissions of safety and other post-marketing information and reports, registration and listing requirements, requirements relating to manufacturing, including current Good Manufacturing Practices (“cGMP”), quality control, quality assurance and corresponding maintenance of records and documents, including periodic inspections by the FDA and other regulatory authorities and requirements regarding the distribution of samples to providers and recordkeeping. In addition, manufacturers of drug products and their facilities are subject to continual review and periodic, unannounced inspections by the FDA and other regulatory authorities for compliance with cGMP.</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FDA may also impose requirements for costly post-marketing studies or clinical trials and surveillance to monitor the safety or efficacy of any approved product. The FDA closely regulates the post-approval marketing and promotion of drugs to ensure that they are marketed in a manner consistent with the provisions of the approved labeling. The FDA imposes stringent restrictions on manufacturers’ communications regarding use of their products. If we promote our product candidates in a manner inconsistent with FDA-approved labeling or otherwise not in compliance with FDA regulations, we may be subject to enforcement action. Violations of the Federal Food, Drug, and Cosmetic Act relating to the promotion of prescription drugs may lead to investigations alleging violations of federal and state healthcare fraud and abuse laws, as well as state consumer protection laws and similar laws in international jurisdictions.</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later discovery of previously unknown adverse events or other problems with our product candidates, manufacturers or manufacturing processes, or failure to comply with regulatory requirements, may yield various results, including:</w:t>
      </w:r>
    </w:p>
    <w:p>
      <w:pPr>
        <w:spacing w:after="0" w:line="156" w:lineRule="exact"/>
        <w:rPr>
          <w:sz w:val="20"/>
          <w:szCs w:val="20"/>
          <w:color w:val="auto"/>
        </w:rPr>
      </w:pPr>
    </w:p>
    <w:p>
      <w:pPr>
        <w:ind w:left="240" w:hanging="233"/>
        <w:spacing w:after="0"/>
        <w:tabs>
          <w:tab w:leader="none" w:pos="2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such product candidates, manufacturers or manufacturing processes;</w:t>
      </w:r>
    </w:p>
    <w:p>
      <w:pPr>
        <w:spacing w:after="0" w:line="14"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labeling or marketing of a product;</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product distribution or use;</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requirements to conduct post-marketing studies or clinical trials;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ind w:left="240" w:hanging="233"/>
        <w:spacing w:after="0"/>
        <w:tabs>
          <w:tab w:leader="none" w:pos="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warning or untitled letters;</w:t>
      </w:r>
    </w:p>
    <w:p>
      <w:pPr>
        <w:spacing w:after="0" w:line="14"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any approved product from the market;</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to approve pending applications or supplements to approved applications that we submit;</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recall of product candidates;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fines, restitution or disgorgement of profits or revenues;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suspension or withdrawal of marketing approvals;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to permit the import or export of our product candidates;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seizure; or</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injunctions or the imposition of civil or criminal penalties.</w:t>
      </w:r>
    </w:p>
    <w:p>
      <w:pPr>
        <w:spacing w:after="0" w:line="1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occurrence of any event or penalty described above may inhibit our ability to commercialize our product candidates and generate revenue and could require us to expend significant time and resources in response and could generate negative publicity. 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it may lose any marketing approval that we have obtained, and we may not achieve or sustain profitability.</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Non-compliance with Canadian and European requirements regarding safety monitoring or pharmacovigilance, and with requirements related to the development of products for the pediatric population, can also result in significant financial penalties. Similarly, failure to comply with Canada’s or Europe’s requirements regarding the protection of personal information can also lead to significant penalties and sanctions.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failure to obtain regulatory approval in international jurisdictions would prevent us from marketing our product candidates outside the United States.</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To market and sell TPST-1495, TPST-1120 and our other product candidates in other jurisdictions, we must obtain separate marketing approvals and comply with numerous and varying regulatory requirements. The approval procedure varies among countries and can involve additional testing. The time and data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or non-compliance with foreign regulatory requirements could result in significant delays, difficulties and costs for us and could delay or prevent the introduction of our product candidates in certain countries.</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Commercialization and Manufacturing</w:t>
      </w:r>
    </w:p>
    <w:p>
      <w:pPr>
        <w:spacing w:after="0" w:line="18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The commercial success of our product candidates, including TPST-1495 and TPST-1120, will depend upon their degree of market acceptance by providers, patients, patient advocacy groups, third-party payors and the general medical community.</w:t>
      </w:r>
    </w:p>
    <w:p>
      <w:pPr>
        <w:spacing w:after="0" w:line="15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Even if the requisite approvals from the FDA, the HPFB, the EMA and other regulatory authorities internationally are obtained, the commercial success of our product candidates will depend, in part, on the acceptance of providers, patients and third-party payors of drugs designed to act as a dual antagonist of EP2 and EP4 and PPARα antagonists in general, and our product candidates in particular, as medically necessary, cost-effective and safe. In addition, we may face challenges in seeking to establish and grow sales of TPST-1495 and TPST-1120 or our other product candidates. Any product that we commercialize may not gain acceptance by providers, patients, patient advocacy groups, third-party payors and the general medical community. If these products do not achieve an adequate level of acceptance, we may not generate significant product revenue and may not become profitable.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Even if a potential product displays a favorable efficacy and safety profile in preclinical studies and clinical trials, market acceptance of the product will not be fully known until after it is launched.</w:t>
      </w:r>
    </w:p>
    <w:p>
      <w:pPr>
        <w:spacing w:after="0" w:line="20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The pricing, insurance coverage and reimbursement status of newly approved products is uncertain. Failure to obtain or maintain adequate coverage and reimbursement for our product candidates, if approved, could limit our ability to market those products and decrease our ability to generate product revenue.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Successful sales of our product candidates, if approved, depend on the availability of coverage and adequate reimbursement from third-party payors including governmental healthcare programs, such as Medicare and Medicaid, managed care organizations and commercial payors, among others. Significant uncertainty exists as to the coverage and reimbursement status of any product candidates for which we obtain regulatory approval. In addition, because our product candidates represent new approaches to the treatment of cancer, we cannot accurately estimate the potential revenue from our product candidates.</w:t>
      </w:r>
    </w:p>
    <w:p>
      <w:pPr>
        <w:spacing w:after="0" w:line="1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expect that coverage and reimbursement by third-party payors will be essential for most patients to be able to afford these treatments. Accordingly, sales of our product candidates will depend substantially, both domestically and internationally, on the extent to which the costs of our product candidates will be paid by health maintenance, managed care, pharmacy benefit and similar healthcare management organizations, or will be reimbursed by government payors, private health coverage insurers and other third-party payors. Even if coverage is provided, the established reimbursement amount may not be high enough to allow us to establish or maintain pricing sufficient to realize a sufficient return on our investment.</w:t>
      </w:r>
    </w:p>
    <w:p>
      <w:pPr>
        <w:spacing w:after="0" w:line="16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will be covered and reimbursed. The Medicare program covers certain individuals aged 65 or older, disabled or suffering from end-stage renal disease. The Medicaid program, which varies from state-to-state, covers certain individuals and families who have limited financial means. The Medicare and Medicaid programs increasingly are used as models for how private payors and other government payors develop their coverage and reimbursement policies for drugs. One payor’s determination to provide coverage for a drug product, however, does not assure that other payors will also provide coverage for the drug product. Further, a payor’s decision to provide coverage for a drug product does not imply that an adequate reimbursement rate will be approved.</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addition to government and private payors, professional organizations such as the American Medical Association, can influence decisions about coverage and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compared to existing alternatives. Such organizations may set guidelines that limit reimbursement or utilization of our product candidates, if approved. Even if favorable coverage and reimbursement status is attained for one or more product candidates for which our collaborators receive regulatory approval, less favorable coverage policies and reimbursement rates may be implemented in the future.</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therapeutics such as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revenues and profits.</w:t>
      </w:r>
    </w:p>
    <w:p>
      <w:pPr>
        <w:spacing w:after="0" w:line="17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2"/>
          <w:szCs w:val="12"/>
          <w:color w:val="auto"/>
        </w:rPr>
        <w:t>Moreover, increasing efforts by government and other third-party payors, in the United States and internationally, to cap or reduce healthcare costs may cause such payors to limit both coverage and the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certain third-party payors, such as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 Recently there have been instances in which third-party payors have refused to reimburse treatments for patients for whom the treatment is indicated in the FDA-approved product labeling. Even if we are successful in obtaining FDA approval to commercialize our product candidates, we cannot guarantee that we will be able to secure reimbursement for all patients for whom treatment with our product candidates is indicated.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If third parties on which we depend to conduct our planned preclinical studies or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1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rely on third party CROs, CMOs, consultants and others to design, conduct, supervise and monitor key activities relating to, testing, discovery, manufacturing, preclinical studies and clinical trials of our product candidates, and we intend to do the same for future activities relating to existing and future programs. Because we rely on third parties and does not have the ability to conduct all required testing,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testing, discovery, manufacturing, preclinical studies or clinical trials being delayed or unsuccessful, in whole or in part.</w:t>
      </w:r>
    </w:p>
    <w:p>
      <w:pPr>
        <w:spacing w:after="0" w:line="16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2"/>
          <w:szCs w:val="12"/>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as well as in accordance with GLP, GCP and other applicable laws, regulations and standards. Our reliance on third parties that we do not control does not relieve us of these responsibilities and requirements. The FDA and other regulatory authorities enforce GCP through periodic inspections of trial sponsors, principal investigators and trial sites. If we or any of these third parties fails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have complied with GCP. In addition, our clinical trials must be conducted with product produced in accordance with cGMP. Our failure to comply with these regulations may require us to repeat clinical trials, which could delay or prevent the receipt of regulatory approvals. Any such event could have an adverse effect on our business, financial condition, results of operations and prospects.</w:t>
      </w:r>
    </w:p>
    <w:p>
      <w:pPr>
        <w:spacing w:after="0" w:line="3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We face significant competition in an environment of rapid technological change, and it is possible that our competitors may achieve regulatory approval before us or develop therapies that are more advanced or effective than our therapies, which may harm our business, financial condition and our ability to successfully market or commercialize TPST-1495, TPST-1120, and our other product candidates.</w:t>
      </w:r>
    </w:p>
    <w:p>
      <w:pPr>
        <w:spacing w:after="0" w:line="1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biopharmaceutical industry, and the immuno-oncology industry specifically, is characterized by intense competition and rapid innovation. We are aware of other companies focused on developing cancer therapies in various indications. We may also face competition from large and specialty pharmaceutical and biotechnology companies, academic research institutions, government agencies and public and private research institutions that conduct research, seek patent protection, and establish collaborative arrangements for research, development, manufacturing and commercialization.</w:t>
      </w:r>
    </w:p>
    <w:p>
      <w:pPr>
        <w:spacing w:after="0" w:line="16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Many of our potential competitors, alone or with their strategic partners, may have substantially greater financial, technical and other resources than we do, such as larger research and development, clinical, marketing and manufacturing organizations. Mergers and acquisitions in the biotechnology and pharmaceutical industries may result in even more resources being 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 candidates that we may develop. Competitors also may obtain FDA or other regulatory approval for their products more rapidly than we may obtain approval for our products, which could result in our competitors establishing a strong market position before we are able to enter the market, if ever. Additionally, new or advanced technologies developed by our competitors may render our current or future product candidates uneconomical or obsolete, and we may not be successful in marketing our product candidates against competitors.</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To become and remain profitable, we must develop and eventually commercialize product candidates with significant market potential, which will require us to be successful in a range of challenging activities. These activities include, among other things, completing preclinical studies and initiating and completing clinical trials of our product candidates, obtaining marketing approval for these product candidates, manufacturing, marketing and selling those products that are approved and satisfying any post marketing requirements. We may never succeed in any or all of these activities and, even if we do, we may never generate revenues that are significant or large enough to achieve profitability. If we do achieve profitability, we</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may not be able to sustain or increase profitability on a quarterly or annual basis. Our failure to become and remain profitable would decrease the value of our common stock and could impair our ability to raise capital, maintain our research and development efforts, expand our business or continue operations. A decline in the value of our common stock also could cause you to lose all or part of your investment.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rely on third parties to manufacture our clinical product supplies, and we may have to rely on third parties to produce and process our product candidates, if approved.</w:t>
      </w:r>
    </w:p>
    <w:p>
      <w:pPr>
        <w:spacing w:after="0" w:line="190" w:lineRule="exact"/>
        <w:rPr>
          <w:sz w:val="20"/>
          <w:szCs w:val="20"/>
          <w:color w:val="auto"/>
        </w:rPr>
      </w:pPr>
    </w:p>
    <w:p>
      <w:pPr>
        <w:jc w:val="both"/>
        <w:spacing w:after="0" w:line="349" w:lineRule="auto"/>
        <w:rPr>
          <w:sz w:val="20"/>
          <w:szCs w:val="20"/>
          <w:color w:val="auto"/>
        </w:rPr>
      </w:pPr>
      <w:r>
        <w:rPr>
          <w:rFonts w:ascii="Times New Roman" w:cs="Times New Roman" w:eastAsia="Times New Roman" w:hAnsi="Times New Roman"/>
          <w:sz w:val="12"/>
          <w:szCs w:val="12"/>
          <w:color w:val="auto"/>
        </w:rPr>
        <w:t>We must currently rely on outside vendors to manufacture supplies and process our product candidates. We have not yet manufactured or processed our product candidates on a commercial scale and may not be able to achieve manufacturing and processing and may be unable to create an inventory of mass-produced, off-the-shelf product to satisfy demands for any of our product candidates.</w:t>
      </w:r>
    </w:p>
    <w:p>
      <w:pPr>
        <w:spacing w:after="0" w:line="10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We do not yet have sufficient information to reliably estimate the cost of the commercial manufacturing and processing of our product candidates, and the actual cost to manufacture and process our product candidates could materially and adversely affect the commercial viability of our product candidates. As a result, we may never be able to develop a commercially viable product. In addition, we anticipate reliance on a limited number of third-party manufacturers exposes us to the following risks:</w:t>
      </w:r>
    </w:p>
    <w:p>
      <w:pPr>
        <w:spacing w:after="0" w:line="163" w:lineRule="exact"/>
        <w:rPr>
          <w:sz w:val="20"/>
          <w:szCs w:val="20"/>
          <w:color w:val="auto"/>
        </w:rPr>
      </w:pPr>
    </w:p>
    <w:p>
      <w:pPr>
        <w:jc w:val="both"/>
        <w:ind w:left="260" w:hanging="253"/>
        <w:spacing w:after="0" w:line="249" w:lineRule="auto"/>
        <w:tabs>
          <w:tab w:leader="none" w:pos="257"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identify manufacturers on acceptable terms or at all because the number of potential manufacturers is limited, and the FDA may have questions regarding any replacement contractor. This may require new testing and regulatory interactions. In addition, a new manufacturer would have to be educated in, or develop substantially equivalent processes for, production of our products after receipt of FDA questions, if any.</w:t>
      </w:r>
    </w:p>
    <w:p>
      <w:pPr>
        <w:spacing w:after="0" w:line="1"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third-party manufacturers might be unable to timely formulate and manufacture our product or produce the quantity and quality required to meet our clinical and commercial needs, if any.</w:t>
      </w:r>
    </w:p>
    <w:p>
      <w:pPr>
        <w:spacing w:after="0" w:line="25" w:lineRule="exact"/>
        <w:rPr>
          <w:rFonts w:ascii="Times New Roman" w:cs="Times New Roman" w:eastAsia="Times New Roman" w:hAnsi="Times New Roman"/>
          <w:sz w:val="12"/>
          <w:szCs w:val="12"/>
          <w:color w:val="auto"/>
        </w:rPr>
      </w:pPr>
    </w:p>
    <w:p>
      <w:pPr>
        <w:ind w:left="240" w:hanging="233"/>
        <w:spacing w:after="0"/>
        <w:tabs>
          <w:tab w:leader="none" w:pos="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 manufacturers may not be able to execute our manufacturing procedures appropriately.</w:t>
      </w:r>
    </w:p>
    <w:p>
      <w:pPr>
        <w:spacing w:after="0" w:line="2" w:lineRule="exact"/>
        <w:rPr>
          <w:rFonts w:ascii="Times New Roman" w:cs="Times New Roman" w:eastAsia="Times New Roman" w:hAnsi="Times New Roman"/>
          <w:sz w:val="14"/>
          <w:szCs w:val="14"/>
          <w:color w:val="auto"/>
        </w:rPr>
      </w:pPr>
    </w:p>
    <w:p>
      <w:pPr>
        <w:ind w:left="260" w:hanging="253"/>
        <w:spacing w:after="0" w:line="243" w:lineRule="auto"/>
        <w:tabs>
          <w:tab w:leader="none" w:pos="257"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contract manufacturers may not perform as agreed or may not remain in the contract manufacturing business for the time required to supply our clinical trials or to successfully produce, store and distribute our products.</w:t>
      </w:r>
    </w:p>
    <w:p>
      <w:pPr>
        <w:ind w:left="260" w:hanging="253"/>
        <w:spacing w:after="0" w:line="284" w:lineRule="auto"/>
        <w:tabs>
          <w:tab w:leader="none" w:pos="257"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Manufacturers are subject to ongoing periodic unannounced inspection by the FDA, the Drug Enforcement Administration and corresponding state agencies to ensure strict compliance with cGMP and other government regulations and corresponding foreign standards. We do not have control over third-party manufacturers’ compliance with these regulations and standards.</w:t>
      </w:r>
    </w:p>
    <w:p>
      <w:pPr>
        <w:ind w:left="240" w:hanging="233"/>
        <w:spacing w:after="0"/>
        <w:tabs>
          <w:tab w:leader="none" w:pos="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own, or may have to share, the intellectual property rights to any improvements made by our third-party manufacturers in the manufacturing process for our products.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third-party manufacturers could breach or terminate their agreement(s) with us.</w:t>
      </w:r>
    </w:p>
    <w:p>
      <w:pPr>
        <w:spacing w:after="0" w:line="1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Our contract manufacturers would also be subject to the same risks we face in developing our own manufacturing capabilities, as described above. Each of these risks could delay our clinical trials, the approval, if any, of our product candidates by the FDA or the commercialization of our product candidates or result in higher costs or deprive us of potential product revenue. In addition, we will rely on third parties to perform release tests on our product candidates prior to delivery to patients. If these tests are not appropriately done and test data are not reliable, patients could be put at risk of serious harm.</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our ability to obtain marketing approval, or our ability to provide supply of our product candidates for patients, if approved, could be delayed or stopped.</w:t>
      </w:r>
    </w:p>
    <w:p>
      <w:pPr>
        <w:spacing w:after="0" w:line="1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intend to establish manufacturing relationships with a limited number of suppliers to manufacture raw materials, the drug substance and finished product of any product candidate for which we are responsible for preclinical or clinical development. Each supplier may require licenses to manufacture such components if such processes are not owned by the supplier or in the public domain. As part of any marketing approval, a manufacturer and its processes are required to be qualified by the FDA prior to regulatory approval. If supply from the approved vendor is interrupted, there could be a significant disruption in commercial supply. An alternative vendor would need to be qualified through an NDA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process of manufacturing drugs is complex, highly regulated and subject to multiple risks. Manufacturing drugs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defects and other supply disruptions. If microbial, viral or other contaminations are discovered at the facilities of our manufacturers, such facilities may need to be closed for an extended period of time to investigate and remedy the contamination, which could delay clinical trials and adversely harm our business. Moreover, if the FDA determines that our CMOs are not in compliance with FDA laws and regulations, including those governing cGMP, the FDA may deny an NDA approval until the deficiencies are corrected or we replace the manufacturer in our NDA with a manufacturer that is in compliance.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 Furthermore, although we do not have day-to-day control over the operations of our CMOs, we are responsible for ensuring compliance with applicable laws and regulations, including cGMP.</w:t>
      </w:r>
    </w:p>
    <w:p>
      <w:pPr>
        <w:spacing w:after="0" w:line="16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2"/>
          <w:szCs w:val="12"/>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prospects.</w:t>
      </w:r>
    </w:p>
    <w:p>
      <w:pPr>
        <w:spacing w:after="0" w:line="13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believe that we will rely upon on a limited number of manufacturers for our product candidates, which may include single-source suppliers for the various steps of manufacture. This reliance on a limited number of manufacturers and the complexity of drug manufacturing and the difficulty of scaling up a manufacturing process could cause the delay of clinical trials, regulatory submissions, required approvals or commercialization of our product candidates, cause us to incur higher costs and prevent us from commercializing our product candidates successfully. Furthermore, if our suppliers fail to deliver the required commercial quantities of materials on a timely basis and at commercially reasonable prices, and we are unable to secure one or more replacement suppliers capable of production in a timely manner at a substantially equivalent cost, our clinical trials may be delayed or we could lose potential revenue.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establish sales and marketing capabilities or enter into agreements with third parties to market and sell our product candidates, we may be unable to generate any revenues.</w:t>
      </w:r>
    </w:p>
    <w:p>
      <w:pPr>
        <w:spacing w:after="0" w:line="21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currently do not have an organization for the sales, marketing and distribution of TPST-1495, TPST-1120, TREX-1 and our other product candidates, and the cost of establishing and maintaining such an organization may exceed the cost-effectiveness of doing so. To market any products that may be approved, we must build our sales, marketing, managerial and other non-technical capabilities or make arrangements with third parties to perform these services. With respect to certain of our current programs as well as future programs, we may rely completely on an alliance partner for sales and marketing. In addition, although we intend to establish a sales organization if we are able to obtain approval to market any product candidates, we may enter into strategic alliances with third parties to develop and commercialize TPST-1495, TPST-1120 and other product candidates, including in markets outside of the United States or for other large markets that are beyond our resources. This will reduce the revenue generated from the sales of these products.</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Any future strategic alliance partners may not dedicate sufficient resources to the commercialization of our product candidates or may otherwise fail in their commercialization due to factors beyond our control. If we are unable to establish effective alliances to enable the sale of our product candidates to healthcare professionals and in geographical regions, including the United States, that will not be covered by our marketing and sales force, or if our potential future strategic alliance partners do not successfully commercialize the product candidates, our ability to generate revenues from product sales will be adversely affected.</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may not be successful in finding strategic collaborators for continuing development of certain of our future product candidates or successfully commercializing or competing in the market for certain indications.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In the future, we may decide to collaborate with non-profit organizations, universities and pharmaceutical and biotechnology companies for the development and potential commercialization of existing and new product candidates.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for our product candidate. The terms of any additional collaborations or other arrangements that we may establish may not be favorable to us.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7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expense. If we elect to increase our expenditures to fund development or commercialization activities on our product candidates,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6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success of any potential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such collaboration arrangements.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Government Regulation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FDA regulatory approval process is lengthy and time consuming, and we may experience significant delays in the clinical development and regulatory approval of our product candidates.</w:t>
      </w:r>
    </w:p>
    <w:p>
      <w:pPr>
        <w:spacing w:after="0" w:line="21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Obtaining FDA approval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may approve our product candidates for a more limited indication or a narrower patient population than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may also experience delays in obtaining regulatory approvals, including but not limited to:</w:t>
      </w:r>
    </w:p>
    <w:p>
      <w:pPr>
        <w:spacing w:after="0" w:line="186" w:lineRule="exact"/>
        <w:rPr>
          <w:sz w:val="20"/>
          <w:szCs w:val="20"/>
          <w:color w:val="auto"/>
        </w:rPr>
      </w:pPr>
    </w:p>
    <w:p>
      <w:pPr>
        <w:ind w:left="240" w:hanging="233"/>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regulatory authorization to begin a trial, if applicable;</w:t>
      </w:r>
    </w:p>
    <w:p>
      <w:pPr>
        <w:spacing w:after="0" w:line="14"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redesigning our study protocols and needing to conduct additional studies as may be required by a regulator;</w:t>
      </w:r>
    </w:p>
    <w:p>
      <w:pPr>
        <w:spacing w:after="0" w:line="2" w:lineRule="exact"/>
        <w:rPr>
          <w:rFonts w:ascii="Times New Roman" w:cs="Times New Roman" w:eastAsia="Times New Roman" w:hAnsi="Times New Roman"/>
          <w:sz w:val="14"/>
          <w:szCs w:val="14"/>
          <w:color w:val="auto"/>
        </w:rPr>
      </w:pPr>
    </w:p>
    <w:p>
      <w:pPr>
        <w:ind w:left="260" w:hanging="253"/>
        <w:spacing w:after="0" w:line="243" w:lineRule="auto"/>
        <w:tabs>
          <w:tab w:leader="none" w:pos="257"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governmental or regulatory delays and changes in regulation or policy relating to the development and commercialization of our product candidate by the FDA or other comparable foreign regulatory authorities;</w:t>
      </w:r>
    </w:p>
    <w:p>
      <w:pPr>
        <w:ind w:left="240" w:hanging="233"/>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timing and cost of meeting regulatory requirements established by the FDA, and other comparable foreign regulatory authorities;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3" w:right="5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ind w:left="240" w:hanging="233"/>
        <w:spacing w:after="0"/>
        <w:tabs>
          <w:tab w:leader="none" w:pos="2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financial resources to commence and complete the planned trials;</w:t>
      </w:r>
    </w:p>
    <w:p>
      <w:pPr>
        <w:spacing w:after="0" w:line="14"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negotiating the terms of any collaboration agreements we may choose to initiate or conclude;</w:t>
      </w:r>
    </w:p>
    <w:p>
      <w:pPr>
        <w:spacing w:after="0" w:line="2" w:lineRule="exact"/>
        <w:rPr>
          <w:rFonts w:ascii="Times New Roman" w:cs="Times New Roman" w:eastAsia="Times New Roman" w:hAnsi="Times New Roman"/>
          <w:sz w:val="14"/>
          <w:szCs w:val="14"/>
          <w:color w:val="auto"/>
        </w:rPr>
      </w:pPr>
    </w:p>
    <w:p>
      <w:pPr>
        <w:ind w:left="260" w:hanging="253"/>
        <w:spacing w:after="0" w:line="243" w:lineRule="auto"/>
        <w:tabs>
          <w:tab w:leader="none" w:pos="257"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reaching agreement on acceptable terms with prospective CROs and clinical trial sites, the terms of which can be subject to extensive negotiation and may vary significantly among different CROs and trial sites;</w:t>
      </w:r>
    </w:p>
    <w:p>
      <w:pPr>
        <w:ind w:left="240" w:hanging="233"/>
        <w:spacing w:after="0"/>
        <w:tabs>
          <w:tab w:leader="none" w:pos="2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third-party contractors, such as CROs, or investigators to comply with regulatory requirements, including GCPs;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sites deviating from trial protocol or dropping out of a trial;</w:t>
      </w:r>
    </w:p>
    <w:p>
      <w:pPr>
        <w:spacing w:after="0" w:line="2" w:lineRule="exact"/>
        <w:rPr>
          <w:rFonts w:ascii="Times New Roman" w:cs="Times New Roman" w:eastAsia="Times New Roman" w:hAnsi="Times New Roman"/>
          <w:sz w:val="14"/>
          <w:szCs w:val="14"/>
          <w:color w:val="auto"/>
        </w:rPr>
      </w:pPr>
    </w:p>
    <w:p>
      <w:pPr>
        <w:ind w:left="260" w:hanging="253"/>
        <w:spacing w:after="0" w:line="243" w:lineRule="auto"/>
        <w:tabs>
          <w:tab w:leader="none" w:pos="257"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or failure in obtaining the necessary approvals from regulators or institutional review boards ("IRBs"), in order to commence a clinical trial at a prospective trial site, or their suspension or termination of a clinical trial once commenced;</w:t>
      </w:r>
    </w:p>
    <w:p>
      <w:pPr>
        <w:ind w:left="240" w:hanging="233"/>
        <w:spacing w:after="0"/>
        <w:tabs>
          <w:tab w:leader="none" w:pos="2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recruit and enroll suitable patients to participate in a trial;</w:t>
      </w:r>
    </w:p>
    <w:p>
      <w:pPr>
        <w:spacing w:after="0" w:line="2" w:lineRule="exact"/>
        <w:rPr>
          <w:rFonts w:ascii="Times New Roman" w:cs="Times New Roman" w:eastAsia="Times New Roman" w:hAnsi="Times New Roman"/>
          <w:sz w:val="14"/>
          <w:szCs w:val="14"/>
          <w:color w:val="auto"/>
        </w:rPr>
      </w:pPr>
    </w:p>
    <w:p>
      <w:pPr>
        <w:ind w:left="260" w:hanging="253"/>
        <w:spacing w:after="0" w:line="243" w:lineRule="auto"/>
        <w:tabs>
          <w:tab w:leader="none" w:pos="257"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having patients complete a trial, including having patients enrolled in clinical trials dropping out of the trial before the product candidate is manufactured and returned to the site, or return for post-treatment follow-up;</w:t>
      </w:r>
    </w:p>
    <w:p>
      <w:pPr>
        <w:ind w:left="240" w:hanging="233"/>
        <w:spacing w:after="0"/>
        <w:tabs>
          <w:tab w:leader="none" w:pos="2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in having patients complete a trial or return for post-treatment follow-up;</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trial sites deviating from trial protocol or dropping out of a trial;</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addressing any patient safety concerns that arise during the course of a trial;</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add new clinical trial sites; or</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varying interpretations of the data generated from our preclinical or clinical trials;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defending intellectual property disputes, including patent infringement actions brought by third parties;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competing technological and market developments;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and timing of establishing, expanding and scaling manufacturing capabilities;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manufacture, or obtain from third parties, sufficient quantities of qualified materials under cGMP, for the completion in pre-clinical and clinical studies;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problems with biopharmaceutical product candidate storage, stability and distribution resulting in global supply chain disruptions;</w:t>
      </w:r>
    </w:p>
    <w:p>
      <w:pPr>
        <w:spacing w:after="0" w:line="2" w:lineRule="exact"/>
        <w:rPr>
          <w:rFonts w:ascii="Times New Roman" w:cs="Times New Roman" w:eastAsia="Times New Roman" w:hAnsi="Times New Roman"/>
          <w:sz w:val="14"/>
          <w:szCs w:val="14"/>
          <w:color w:val="auto"/>
        </w:rPr>
      </w:pPr>
    </w:p>
    <w:p>
      <w:pPr>
        <w:ind w:left="260" w:hanging="253"/>
        <w:spacing w:after="0" w:line="243" w:lineRule="auto"/>
        <w:tabs>
          <w:tab w:leader="none" w:pos="257"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establishing sales, marketing and distribution capabilities for any product candidate for which we may receive regulatory approval in regions where we choose to commercialize our products on our own; or</w:t>
      </w:r>
    </w:p>
    <w:p>
      <w:pPr>
        <w:jc w:val="both"/>
        <w:ind w:left="260" w:hanging="253"/>
        <w:spacing w:after="0" w:line="245" w:lineRule="auto"/>
        <w:tabs>
          <w:tab w:leader="none" w:pos="257"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unforeseen business disruptions or market fluctuations that delay our product development or clinical trials and increase our costs or expenses, such as business or operational disruptions, delays, or system failures due to malware, unauthorized access, terrorism, war, natural disasters, strikes, geopolitical conflicts (such as Russia's recent incursion into Ukraine), restrictions on trade, import or export restrictions, or public health crises, such as the ongoing COVID-19 pandemic.</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safety issues or adverse side effects, failure to demonstrate a benefit from using a product candidate, changes in governmental regulations or administrative actions, lack of adequate funding to continue the clinical trial, or based on a recommendation by the Data Safety Monitoring Committee.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Many of the factors that cause, or lead to, a delay in the commencement or completion of clinical trials may ultimately lead to the denial of regulatory approval of our product candidates.</w:t>
      </w:r>
    </w:p>
    <w:p>
      <w:pPr>
        <w:spacing w:after="0" w:line="182" w:lineRule="exact"/>
        <w:rPr>
          <w:sz w:val="20"/>
          <w:szCs w:val="20"/>
          <w:color w:val="auto"/>
        </w:rPr>
      </w:pPr>
    </w:p>
    <w:p>
      <w:pPr>
        <w:jc w:val="both"/>
        <w:spacing w:after="0" w:line="356" w:lineRule="auto"/>
        <w:rPr>
          <w:sz w:val="20"/>
          <w:szCs w:val="20"/>
          <w:color w:val="auto"/>
        </w:rPr>
      </w:pPr>
      <w:r>
        <w:rPr>
          <w:rFonts w:ascii="Times New Roman" w:cs="Times New Roman" w:eastAsia="Times New Roman" w:hAnsi="Times New Roman"/>
          <w:sz w:val="12"/>
          <w:szCs w:val="12"/>
          <w:b w:val="1"/>
          <w:bCs w:val="1"/>
          <w:i w:val="1"/>
          <w:iCs w:val="1"/>
          <w:color w:val="auto"/>
        </w:rPr>
        <w:t>We may seek Breakthrough Therapy designation or Fast Track designation by the FDA for one or more of our product candidates but may not receive such designation. Even if we secure such designation, it may not lead to a faster development or regulatory review or approval process and it does not increase the likelihood that our product candidates will receive marketing approval.</w:t>
      </w:r>
    </w:p>
    <w:p>
      <w:pPr>
        <w:spacing w:after="0" w:line="1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may seek Breakthrough Therapy or Fast Track designation for some of our product candidates. If a product candidate is intended for the treatment of a serious or life-threatening condition and clinical or preclinical data demonstrate the potential to address unmet medical needs for this condition, the product candidate may be eligible for Fast Track designation. The benefits of Fast Track designation include more frequent meetings with FDA to discuss the drug’s development plan and ensure collection of appropriate data needed to support drug approval, more frequent written communication from FDA about such things as the design of the proposed clinical trials and use of biomarkers, eligibility for Accelerated Approval and Priority Review, if relevant criteria are met, and rolling review, which means that a drug company can submit completed</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sections of our NDA for review by FDA, rather than waiting until every section of our NDA is completed before the entire application can be reviewed. NDA review usually does not begin until the entire application has been submitted to the FDA.</w:t>
      </w:r>
    </w:p>
    <w:p>
      <w:pPr>
        <w:spacing w:after="0" w:line="1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 breakthrough therapy is defined as a drug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by the FDA may be eligible for all features of Fast Track designation, intensive guidance on an efficient drug development program, beginning as early as Phase 1, and organizational commitment involving senior managers at FDA.</w:t>
      </w:r>
    </w:p>
    <w:p>
      <w:pPr>
        <w:spacing w:after="0" w:line="1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FDA has broad discretion whether or not to grant these designations, so even if we believe a particular product candidate is eligible, we cannot assure that the FDA would decide to grant the designation. Even if we obtain Fast Track designation and/or Breakthrough Therapy designation for one or more of our product candidates, it may not experience a faster development process, review or approval compared to non-expedited FDA review procedures. In addition, the FDA may withdraw Fast Track designation or Breakthrough Therapy designation if it believes that the designation is no longer supported. These designations do not guarantee qualification for the FDA’s priority review procedures or a faster review or approval process.</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We may attempt to secure FDA approval of our product candidates through the accelerated approval pathway. If we are unable to obtain accelerated approval, we may be required to conduct additional preclinical studies or clinical trials beyond those that we currently contemplate, which could increase the expense of obtaining, and delay the receipt of, necessary marketing approvals.</w:t>
      </w:r>
    </w:p>
    <w:p>
      <w:pPr>
        <w:spacing w:after="0" w:line="1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are developing certain product candidates for the treatment of serious conditions, and therefore may decide to seek approval of such product candidates under the FDA’s accelerated approval pathway. A product may be eligible for accelerated approval if it is designed to treat a serious or life-threatening disease or condition and provides a meaningful therapeutic benefit over existing treatments based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of or lack of alternative treatments. For the purposes of accelerated approval, a surrogate endpoint is a marker, such as a laboratory measurement, radiographic image, physical sign, or other measure that is thought to predict clinical benefit, but is not itself a measure of clinical benefit.</w:t>
      </w:r>
    </w:p>
    <w:p>
      <w:pPr>
        <w:spacing w:after="0" w:line="17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2"/>
          <w:szCs w:val="12"/>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verity and describe the drug’s anticipated effect on irreversible morbidity or mortality or other clinical benefit. In some cases, the FDA may require that the trial be designed, initiated, and/or fully enrolled prior to approval. If the sponsor fails to conduct such studies in a timely manner, or if such post-approval studies fail to verify the drug’s predicted clinical benefit, or if other evidence demonstrates that our product candidate is not shown to be safe and effective under the conditions of use, the FDA may withdraw its approval of the drug on an expedited basis.</w:t>
      </w:r>
    </w:p>
    <w:p>
      <w:pPr>
        <w:spacing w:after="0" w:line="1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If we decide to submit an NDA seeking accelerated approval or receives an expedited regulatory designation for any of our product candidates, there can be no assurance that such submission or application will be accepted or that any expedited development, review or approval will be granted on a timely basis, or at all. If any of our competitors were to receive full approval on the basis of a confirmatory trial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Failure to obtain accelerated approval or any other form of expedited development, review or approval for our product candidates would result in a longer time period to commercialization of such product candidate, if any, and could increase the cost of development of such product candidate harm our competitive position in the marketplace.</w:t>
      </w:r>
    </w:p>
    <w:p>
      <w:pPr>
        <w:spacing w:after="0" w:line="1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may be unsuccessful in obtaining Orphan Drug Designation for our product candidates or transfer of designations obtained by others for future product candidates, and, even if we obtain such designation, we may be unable to maintain the benefits associated with Orphan Drug Designation, including the potential for market exclusivity.</w:t>
      </w:r>
    </w:p>
    <w:p>
      <w:pPr>
        <w:spacing w:after="0" w:line="15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FDA may designate drugs intended to treat relatively small patient populations as orphan drugs. Under the Orphan Drug Act, the FDA may designate a drug as an orphan drug if it is intended to treat a rare disease or condition, which is defined as a patient population of fewer than 200,000 individuals in the United States, or a patient population greater than 200,000 in the</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United States when there is no reasonable expectation that the cost of developing and making available the drug in the United States will be recovered from sales in the United States for that drug. Orphan drug designation must be requested before submitting an NDA. In the United States, Orphan Drug Designation entitles a party to financial incentives such as opportunities for tax credits for qualified clinical research costs and exemption from prescription drug user fees. Generally, if a drug with an Orphan Drug Designation subsequently receives the first marketing approval for the indication for which it has such designation, the drug is entitled to a period of marketing exclusivity, which precludes FDA from approving another marketing application for the same drug and indication for that time period, except in limited circumstances. If a competitor is able to obtain orphan drug exclusivity prior to us for a product that constitutes the same active moiety and treats the same indications as our product candidates, we may not be able to obtain approval of our drug by the applicable regulatory authority for a significant period of time unless we are able to show that our drug is clinically superior to the approved drug. The applicable period is seven years in the United States.</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may seek Orphan Drug Designation for one or more of our product candidates in the United States as part of our business strategy. However, Orphan Drug Designation does not guarantee future orphan drug marketing exclusivity. Even after an orphan drug is approved, the FDA can also subsequently approve a later application for the same drug for the same condition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Moreover, orphan drug 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Enacted and future legislation may increase the difficulty and cost for us to commercialize and obtain marketing approval of our product candidates and may affect the prices we may set.</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6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In March 2010, the Patient Protection and Affordable Care Act, as amended by the Health Care and Education Reconciliation Act of 2010, or collectively the Affordable Care Act (“ACA”), was enacted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ACA contains provisions that may potentially affect the profitability of our product candidates, if approved, including, for example, increased rebates for products sold to Medicaid programs, extension of Medicaid rebates to Medicaid managed care plans, mandatory discounts for certain Medicare Part D beneficiaries and annual fees based on pharmaceutical companies’ share of sales to federal health care programs, and expansion of the entities eligible for discounts under the 340B Drug Pricing Program.</w:t>
      </w:r>
    </w:p>
    <w:p>
      <w:pPr>
        <w:spacing w:after="0" w:line="1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While Congress has not passed legislation to comprehensively repeal the ACA, legislation affecting the ACA has been signed into law, including the Tax Cuts and Jobs Act of 2017, which eliminated, effective January 1, 2019, the tax-based shared responsibility payment imposed by the ACA on certain individuals who fail to maintain qualifying health coverage for all or part of a year, which is commonly referred to as the “individual mandate.” On June 17, 2021, the U.S. Supreme Court dismissed the most recent judicial challenge to the ACA brought by several states without specifically ruling on the constitutionality of the law. In addition, on August 16, 2022, President Biden signed the Inflation Reduction Act of 2022 ("IRA") into law, which among other things, extends enhanced subsidies for individuals purchasing health insurance coverage in ACA through plan year 2025. The IRA also reduces the "donut hole" under the Medicare Part D program beginning in 2025 by significantly lowering the beneficiary maximum out-of-pocket cost through a newly established manufacturer discount program. In the future, there may be other efforts to challenge, repeal or replace the ACA. It is unclear how many such challenges and the healthcare reform measures of the Biden administration will impact the ACA and our business. We are continuing to monitor any changes to the ACA that, in turn, may potentially impact our business in the future.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3" w:right="5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Recently, the cost of prescription pharmaceuticals has been the subject of considerable discussion in the United States at both the federal and state levels. While several proposed reform measures will require Congress to pass legislation to become effective, Congress and the new Biden administration have each indicated that it will seek new legislative and/or administrative measures to address prescription drug costs. Since the Presidential inauguration, the Biden administration has taken several executive actions that signal changes in policy from the prior administration. For example, on July 9, 2021, President Biden signed an executive order to promote competition in the U.S. economy that included several initiatives aimed prescription drugs. Among other provisions, the executive order directed the Secretary of the U.S. Department of Health and Human Services ("HHS") to issue a report to the White House within 45 days that includes a plan to, among other things, reduce prices for prescription drugs, including prices paid by the federal government for such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(1) directs HHS to negotiate the price of certain single-source drugs and biologics covered under Medicare and (2)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is likely to have a significant impact on the pharmaceutical industry. Further, the Biden administration released an additional executive order on October 14, 2022, directing HHS to submit a report within ninety (90) days on how the Center for Medicare and Medicaid Innovation can be further leveraged to test new models for lowering drug costs for Medicare and Medicaid beneficiaries. It is unclear whether this executive order or similar policy initiatives will be implemented in the future. At the state level, legislatures and agencies are increasingly passing legislation and implementing regulations designed to control spending on and patient out-of-pocket costs for drug products. These measures include constraints on pricing, discounting and reimbursement; restrictions on certain product access and marketing; cost disclosure and transparency measures that require detailed reporting of drug pricing and marketing information both at product launch and in the event of a price increase; and, in some cases, measures designed to encourage importation from other countries and bulk purchasing.</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expect that the ACA and the IRA,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Legislative and regulatory proposals have also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The FDA’s ability to review and approve new products may be hindered by a variety of factors, including budget and funding levels, ability to hire and retain key personnel, statutory, regulatory and policy changes and global health concerns.</w:t>
      </w:r>
    </w:p>
    <w:p>
      <w:pPr>
        <w:spacing w:after="0" w:line="15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2"/>
          <w:szCs w:val="12"/>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In addition, government funding of other government agencies that fund research and development activities is subject to the political process, which is inherently fluid and unpredictable. 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ability of the FDA and other government agencies to properly administer their functions is highly dependent on the levels of government funding and the ability to fill key leadership appointments, among various factors. Delays in filling or replacing key positions could significantly impact the ability of the FDA and other agencies to fulfill their functions, and could greatly impact healthcare and the pharmaceutical industry.</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Separately, in response to the COVID-19 pandemic, on March 10, 2020, the FDA announced its intention to postpone most foreign inspections of manufacturing facilities and, subsequently, on March 18, 2020, the FDA temporarily postponed routine surveillance inspections of domestic manufacturing facilities. Regulatory authorities outside the United States may adopt</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similar restrictions or other policy measures in response to the COVID-19 pandemic.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internal computer and information systems, or those used by our CROs, CMOs or other contractors or consultants, may fail or suffer security breaches, which could result in a material disruption of our development programs.</w:t>
      </w:r>
    </w:p>
    <w:p>
      <w:pPr>
        <w:spacing w:after="0" w:line="15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Despite the implementation of appropriate security measures, our internal computer and information systems and those of our current and any future CROs, CMOs and other contractors or consultants may become vulnerable to damage from computer viruses, unauthorized access, natural disasters, terrorism, war and telecommunication and electrical failures.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data from completed or future preclinical studies or clinical trials could result in significant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significantly delayed. Our internal information technology systems and infrastructure are also vulnerable to damage from natural disasters, terrorism, war, telecommunication and electrical failures. System failures or outages, including any potential disruptions due to significantly increased global demand on certain cloud-based systems during the COVID-19 pandemic, could compromise our ability to perform our day-to-day operations, which could harm our ability to conduct business or delay our financial reporting. Such failures could materially adversely affect our operating results and financial condition.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a variety of privacy and data security laws, and our failure to comply with them could harm our business.</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maintain a large quantity of sensitive information, including confidential business and patient health information in connection with our preclinical and clinical studies, and is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health information privacy laws, security breach notification laws, and consumer protection laws. Each of these laws is subject to varying interpretations and constantly evolving. In addition, we may obtain health information from third parties (including research institutions from which it obtains clinical trial data) that are subject to privacy and security requirements under the Health Insurance Portability and Accountability Act of 1996 (“HIPAA”). Depending on the facts and circumstances, we could be subject to criminal penalties if it knowingly obtains, uses or discloses individually identifiable health information maintained by a HIPAA covered entity in a manner that is not authorized or permitted by HIPAA.</w:t>
      </w:r>
    </w:p>
    <w:p>
      <w:pPr>
        <w:spacing w:after="0" w:line="1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Certain states have also adopted comparable privacy and security laws and regulations, some of which may be more stringent than HIPAA. For example, California enacted the California Consumer Privacy Act (the “CCPA”), which took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privacy legislation in the United States, which could increase our potential liability and adversely affect our business.</w:t>
      </w:r>
    </w:p>
    <w:p>
      <w:pPr>
        <w:spacing w:after="0" w:line="169"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2"/>
          <w:szCs w:val="12"/>
          <w:color w:val="auto"/>
        </w:rPr>
        <w:t>In Canada, the Personal Information Protection and Electronic Documents Act (“PIPEDA”) and similar provincial laws may impose obligations with respect to processing personal information, including health-related information. PIPEDA requires companies to obtain an individual’s consent when collecting, using or disclosing that individual’s personal information. Individuals have the right to access and challenge the accuracy of their personal information held by an organization, and personal information may only be used for the purposes for which it was collected. If an organization intends to use personal information for another purpose, it must again obtain that individual’s consent. Failure to comply with PIPEDA could result in significant fines and penalties.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In May 2018, the General Data Protection Regulation (the “GDPR”), took effect in the European Economic Area (the “EEA”). The GDPR governs the collection, use, disclosure, transfer or other processing of personal data of natural persons. Among other things, the GDPR imposes strict obligations on the ability to process health-related and other personal data of data subjects in the EEA, including in relation to use, collection, analysis and transfer (including cross-border transfer) of such personal data. The GDPR includes requirements relating to the consent of the individuals to whom the personal data relates, including detailed notices for clinical trial subjects and investigators. The GDPR also includes certain requirements regarding the security of personal data and notification of data processing obligations or security incidents to appropriate data protection authorities or data subjects as well as requirements for establishing a lawful basis on which personal data can be processed. In addition, the GDPR increases the scrutiny of transfers of personal data from clinical trial sites located in the EEA to the United States and other jurisdictions that the European Commission does not recognize as having “adequate” data protection laws, and imposes substantial fines for breaches and violations (up to the greater of €20 million or 4% of our annual worldwide gross revenue). Further, recent legal developments in Europe have created complexity and compliance uncertainty regarding certain transfers of information from the EEA to the United States. For example, on June 16, 2020, the Court of Justice of the European Union (the “CJEU”), declared the EU-U.S. Privacy Shield framework (the “Privacy Shield”), to be invalid. As a result, the Privacy Shield is no longer a valid mechanism for transferring personal data from the EEA to the United States. Moreover, it is uncertain whether the standard contractual clauses will also be invalidated by the European courts or legislature, which seems possible given the rationale behind the CJEU’s concerns about U.S. law and practice on government surveillance. The GDPR also confers a private right of action on data subjects and consumer associations to lodge complaints with supervisory authorities, seek judicial remedies and obtain compensation for damages resulting from violations of the GDPR.</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may be unable to adequately protect our information systems from cyberattacks, which could result in the disclosure of confidential information, damage our reputation, and subject us to significant financial and legal exposure.</w:t>
      </w:r>
    </w:p>
    <w:p>
      <w:pPr>
        <w:spacing w:after="0" w:line="1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The COVID-19 pandemic is generally increasing the attack surface available to criminals, as more companies and individuals work online and work remotely, and as such, the risk of a cybersecurity incident potentially occurring, and our investment in risk mitigations against such an incident, is increasing. For example, there has been an increase in phishing and spam emails as well as social engineering attempts from “hackers” hoping to use the recent COVID-19 pandemic to their advantage.</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addition, the computer systems of various third parties on which we rely, including our CROs, CMOs and other contractors, consultants and law and accounting firms, may sustain damage from computer viruses, unauthorized access, data breaches, phishing attacks, cybercriminals, natural disasters (including hurricanes and earthquakes), terrorism, war and telecommunication and electrical failures. We rely on our third-party providers to implement effective security measures and identify and correct for any such failures, deficiencies or breaches.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employees, principal investigators, CROs, CMOs and consultants may engage in misconduct or other improper activities, including non-compliance with regulatory standards and requirements and insider trading.</w:t>
      </w:r>
    </w:p>
    <w:p>
      <w:pPr>
        <w:spacing w:after="0" w:line="15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are exposed to the risk of fraud or other misconduct by our employees, principal investigators, consultants and commercial partners. Misconduct by these parties could include intentional failures to comply with the regulations of FDA and non-U.S. regulators, to provide accurate information to the FDA and non-U.S. regulators, to comply with healthcare fraud and abuse laws and regulations in the United States and abroad, to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sales commission, customer incentive programs and other business arrangements. Such misconduct could also involve the improper use of information obtained in the course of clinical studies, which could result in regulatory sanctions and could cause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or asserting our rights, those actions could have a significant impact on our business, including the imposition of significant fines or other sanctions.</w:t>
      </w:r>
    </w:p>
    <w:p>
      <w:pPr>
        <w:spacing w:after="0" w:line="1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operations and relationships with future customers, providers and third-party payors will be subject to applicable anti-kickback, fraud and abuse and other healthcare laws and regulations, which could expose us to penalties including criminal sanctions, civil penalties, contractual damages, reputational harm and diminished profits and future earnings.</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Healthcare providers and third-party payors will play a primary role in the recommendation and prescription of any product candidates for which we obtain marketing approval. Our future arrangements with providers, third-party payors and customers will subject us to broadly applicable fraud and abuse and other healthcare laws and regulations that may constrain the business or financial arrangements and relationships through which we market, sell and distribute any product candidates for which we obtain marketing approval.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Restrictions under applicable U.S. federal and state healthcare laws and regulations include the following:</w:t>
      </w:r>
    </w:p>
    <w:p>
      <w:pPr>
        <w:spacing w:after="0" w:line="186" w:lineRule="exact"/>
        <w:rPr>
          <w:sz w:val="20"/>
          <w:szCs w:val="20"/>
          <w:color w:val="auto"/>
        </w:rPr>
      </w:pPr>
    </w:p>
    <w:p>
      <w:pPr>
        <w:jc w:val="both"/>
        <w:ind w:left="260" w:hanging="253"/>
        <w:spacing w:after="0" w:line="247" w:lineRule="auto"/>
        <w:tabs>
          <w:tab w:leader="none" w:pos="257"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Anti-Kickback Statute, a criminal law that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 A person or entity does not need to have actual knowledge of the federal Anti-Kickback Statute or specific intent to violate it in order to have committed a violation. Violations of the federal Anti-Kickback Statute can result in significant civil monetary penalties and criminal fines, as well as imprisonment and exclusion from participation in federal health care programs;</w:t>
      </w:r>
    </w:p>
    <w:p>
      <w:pPr>
        <w:jc w:val="both"/>
        <w:ind w:left="260" w:hanging="253"/>
        <w:spacing w:after="0" w:line="243" w:lineRule="auto"/>
        <w:tabs>
          <w:tab w:leader="none" w:pos="257"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civil False Claims Act, imposes significant civil penalties and treble damages,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or services resulting from a violation of the U.S. federal Anti-Kickback Statute constitutes a false or fraudulent claim for purposes of the civil False Claims Act;</w:t>
      </w:r>
    </w:p>
    <w:p>
      <w:pPr>
        <w:spacing w:after="0" w:line="1" w:lineRule="exact"/>
        <w:rPr>
          <w:rFonts w:ascii="Times New Roman" w:cs="Times New Roman" w:eastAsia="Times New Roman" w:hAnsi="Times New Roman"/>
          <w:sz w:val="14"/>
          <w:szCs w:val="14"/>
          <w:color w:val="auto"/>
        </w:rPr>
      </w:pPr>
    </w:p>
    <w:p>
      <w:pPr>
        <w:jc w:val="both"/>
        <w:ind w:left="260" w:hanging="253"/>
        <w:spacing w:after="0" w:line="245" w:lineRule="auto"/>
        <w:tabs>
          <w:tab w:leader="none" w:pos="257"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Criminal Statute on False Statements Relating to Health Care Matters makes it a crime to knowingly and willfully falsify, conceal, 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ind w:left="260" w:hanging="253"/>
        <w:spacing w:after="0" w:line="248" w:lineRule="auto"/>
        <w:tabs>
          <w:tab w:leader="none" w:pos="257"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Civil Monetary Penalties Law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jc w:val="both"/>
        <w:ind w:left="260" w:hanging="253"/>
        <w:spacing w:after="0" w:line="243" w:lineRule="auto"/>
        <w:tabs>
          <w:tab w:leader="none" w:pos="257"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HIPAA imposes criminal and civil liability for, among other things, knowingly and willfully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1" w:lineRule="exact"/>
        <w:rPr>
          <w:rFonts w:ascii="Times New Roman" w:cs="Times New Roman" w:eastAsia="Times New Roman" w:hAnsi="Times New Roman"/>
          <w:sz w:val="14"/>
          <w:szCs w:val="14"/>
          <w:color w:val="auto"/>
        </w:rPr>
      </w:pPr>
    </w:p>
    <w:p>
      <w:pPr>
        <w:jc w:val="both"/>
        <w:ind w:left="260" w:hanging="253"/>
        <w:spacing w:after="0" w:line="243" w:lineRule="auto"/>
        <w:tabs>
          <w:tab w:leader="none" w:pos="257"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Physician Payment Sunshine Act requires applicable manufacturers of covered drugs, devices, biologics, and medical supplies for which payment is available under Medicare, Medicaid, or the Children’s Health Insurance Program, among others, to track and report payments and other transfers of value provided during the previous year to U.S. licensed physicians, teaching hospitals, and for reports submitted on or after January 1, 2022, physician assistants, nurse practitioners, clinical nurse specialists, certified nurse anesthetists, and certified nurse midwives, as well as certain ownership and investment interests held by physicians and their immediate family;</w:t>
      </w:r>
    </w:p>
    <w:p>
      <w:pPr>
        <w:spacing w:after="0" w:line="1" w:lineRule="exact"/>
        <w:rPr>
          <w:rFonts w:ascii="Times New Roman" w:cs="Times New Roman" w:eastAsia="Times New Roman" w:hAnsi="Times New Roman"/>
          <w:sz w:val="14"/>
          <w:szCs w:val="14"/>
          <w:color w:val="auto"/>
        </w:rPr>
      </w:pPr>
    </w:p>
    <w:p>
      <w:pPr>
        <w:ind w:left="260" w:hanging="253"/>
        <w:spacing w:after="0" w:line="243" w:lineRule="auto"/>
        <w:tabs>
          <w:tab w:leader="none" w:pos="257"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and</w:t>
      </w:r>
    </w:p>
    <w:p>
      <w:pPr>
        <w:jc w:val="both"/>
        <w:ind w:left="260" w:hanging="253"/>
        <w:spacing w:after="0" w:line="243" w:lineRule="auto"/>
        <w:tabs>
          <w:tab w:leader="none" w:pos="257"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w:t>
      </w:r>
    </w:p>
    <w:p>
      <w:pPr>
        <w:spacing w:after="0" w:line="1" w:lineRule="exact"/>
        <w:rPr>
          <w:rFonts w:ascii="Times New Roman" w:cs="Times New Roman" w:eastAsia="Times New Roman" w:hAnsi="Times New Roman"/>
          <w:sz w:val="14"/>
          <w:szCs w:val="14"/>
          <w:color w:val="auto"/>
        </w:rPr>
      </w:pPr>
    </w:p>
    <w:p>
      <w:pPr>
        <w:jc w:val="both"/>
        <w:ind w:left="260" w:hanging="253"/>
        <w:spacing w:after="0" w:line="244" w:lineRule="auto"/>
        <w:tabs>
          <w:tab w:leader="none" w:pos="257"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government-funded healthcare programs, such as Medicare and Medicaid, disgorgement, contractual damages, reputational harm, diminished profits and future earnings, and the curtailment or restructuring of our operations. If any of the physicians or other healthcare providers or entities with whom we expect to do business is found to be not in compliance with applicable laws, it may be costly to us in terms of money, time and resources, and we may be subject to criminal, civil or administrative sanctions, including exclusion from government-funded healthcare programs.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comply with environmental, health, and safety laws and regulations, we could become subject to fines or penalties or incur costs that could harm our business.</w:t>
      </w:r>
    </w:p>
    <w:p>
      <w:pPr>
        <w:spacing w:after="0" w:line="19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may produce hazardous waste products. We generally contract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Although we maintain workers’ compensation insurance to cover for costs and expenses, we may incur due to injuries to our employees resulting from the use of hazardous materials, this insurance may not provide adequate coverage against potential liabilities.</w:t>
      </w:r>
    </w:p>
    <w:p>
      <w:pPr>
        <w:spacing w:after="0" w:line="1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tax laws or regulations could materially adversely affect us.</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New tax laws or regulations could be enacted at any time, and existing tax laws or regulations could be interpreted, modified or applied in a manner that is adverse to us, which could adversely affect our business and financial condition. For example, legislation enacted in 2017, informally titled the Tax Act, enacted many significant changes to the U.S. tax laws, including</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3" w:right="5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changes in corporate tax rates, the utilization of NOLs and other deferred tax assets, the deductibility of expenses, and the taxation of foreign earnings. Future guidance from the Internal Revenue Service and other tax authorities with respect to the Tax Act may affect us, and certain aspects of the Tax Act could be repealed or modified in future legislation. For example, the Coronavirus Aid, Relief, and Economic Security Act (the “CARES Act”), modified certain provisions of the Tax Act. In addition, it is uncertain if and to what extent various states will conform to the Tax Act, the CARES Act, or any newly enacted federal tax legislation. The impact of changes under the Tax Act, the CARES Act, or future reform legislation could increase our future U.S. tax expense and could have a material adverse impact on our business and financial condition.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w:t>
      </w:r>
    </w:p>
    <w:p>
      <w:pPr>
        <w:spacing w:after="0" w:line="18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success depends in part on our ability to obtain, maintain and protect our intellectual property. It is difficult and costly to protect our proprietary rights and technology, and we may not be able to ensure their protection.</w:t>
      </w:r>
    </w:p>
    <w:p>
      <w:pPr>
        <w:spacing w:after="0" w:line="1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Our commercial success will depend in large part on obtaining and maintaining patent, trademark, trade secret and other intellectual property protection of our proprietary technologies and product candidates, which include TPST-1495, TPST-1120 and the other product candidates we have in development, their respective components, formulations, combination therapies, methods used to manufacture them and methods of treatment, as well as successfully defending our patents and other intellectual property rights against third-party challenges. Our ability to stop unauthorized third parties from making, using, selling, offering to sell, importing or otherwise commercializing our product candidates is dependent upon the extent to which we have rights under valid and enforceable patents or trade secrets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 and our ability to commercialize any product candidates we may develop may be adversely affected.</w:t>
      </w:r>
    </w:p>
    <w:p>
      <w:pPr>
        <w:spacing w:after="0" w:line="16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2"/>
          <w:szCs w:val="12"/>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activities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may be reliant on our licensors or licensees to do so. Our pending and future patent applications may not result in issued patents.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in-licenses may be challenged, narrowed, circumvented or invalidated by third parties. Consequently, we do not know whether any of our platform advances and product candidates will be protectable or remain protected by valid and enforceable patents. In addition, our existing patents and any future patents we obtain may not be sufficiently broad to prevent others from using our technology or from developing competing products and technologies.</w:t>
      </w:r>
    </w:p>
    <w:p>
      <w:pPr>
        <w:spacing w:after="0" w:line="1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In the future, we may depend on intellectual property licensed from third parties, and our licensors may not always act in our best interest. If we fail to comply with our obligations under our intellectual property licenses, if the licenses are terminated, or if disputes regarding these licenses arise, we could lose significant rights that may be important to our business.</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may in the future depend on patents, know-how and proprietary technology licensed from third parties. Our licenses to such patents, know-how and proprietary technology may not provide exclusive rights in all relevant fields of use and in all territories in which we may wish to develop or commercialize our products in the future. The agreements under which we license patents, know-how and proprietary technology from others may be complex, and certain provisions in such agreements may be susceptible to multiple interpretations.</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may need to obtain licenses from third parties to advance our research or allow commercialization of product candidates Tempest may develop. It is possible that we may be unable to obtain any licenses at a reasonable cost or on reasonable terms, if at all. In either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or product candidates.</w:t>
      </w:r>
    </w:p>
    <w:p>
      <w:pPr>
        <w:spacing w:after="0" w:line="1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If our future licensors fail to adequately protect our licensed intellectual property, our ability to commercialize product candidates could suffer. We may not have complete control over the maintenance, prosecution and litigation of our future in-licensed patents and patent applications. For example, we cannot be certain that activities such as the maintenance and prosecution by our future licensors have been or will be conducted in compliance with applicable laws and regulations or will result in valid and enforceable patents and other intellectual property rights. It is possible that our future licensors’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infringement proceedings or defense activities may be less vigorous than had we conducted them ourselves or may not be conducted in accordance with our best interests.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addition, the resolution of any contract interpretation disagreement that may arise could narrow what we might believe to be the scope of our rights to the relevant patents, know-how and proprietary technology, or increase what we believe to be our financial or other obligations under the relevant agreement. Disputes that may arise between us and our future licensors regarding intellectual property subject to a license agreement could include disputes regarding:</w:t>
      </w:r>
    </w:p>
    <w:p>
      <w:pPr>
        <w:spacing w:after="0" w:line="163" w:lineRule="exact"/>
        <w:rPr>
          <w:sz w:val="20"/>
          <w:szCs w:val="20"/>
          <w:color w:val="auto"/>
        </w:rPr>
      </w:pPr>
    </w:p>
    <w:p>
      <w:pPr>
        <w:ind w:left="240" w:hanging="233"/>
        <w:spacing w:after="0"/>
        <w:tabs>
          <w:tab w:leader="none" w:pos="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rights granted under the license agreement and other interpretation-related issues;</w:t>
      </w:r>
    </w:p>
    <w:p>
      <w:pPr>
        <w:spacing w:after="0" w:line="14"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the extent to which our technology and processes infringe on intellectual property of the licensor that is not subject to the licensing agreement;</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to sublicense patent and other rights to third parties under collaborative development relationships;</w:t>
      </w:r>
    </w:p>
    <w:p>
      <w:pPr>
        <w:spacing w:after="0" w:line="2" w:lineRule="exact"/>
        <w:rPr>
          <w:rFonts w:ascii="Times New Roman" w:cs="Times New Roman" w:eastAsia="Times New Roman" w:hAnsi="Times New Roman"/>
          <w:sz w:val="14"/>
          <w:szCs w:val="14"/>
          <w:color w:val="auto"/>
        </w:rPr>
      </w:pPr>
    </w:p>
    <w:p>
      <w:pPr>
        <w:ind w:left="260" w:hanging="253"/>
        <w:spacing w:after="0" w:line="243" w:lineRule="auto"/>
        <w:tabs>
          <w:tab w:leader="none" w:pos="257"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diligence obligations with respect to the use of the licensed technology in relation to our development and commercialization of our product candidates and what activities satisfy those diligence obligations;</w:t>
      </w:r>
    </w:p>
    <w:p>
      <w:pPr>
        <w:ind w:left="240" w:hanging="233"/>
        <w:spacing w:after="0"/>
        <w:tabs>
          <w:tab w:leader="none" w:pos="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royalty, milestone or other payment obligations that may result from the advancement or commercial sale of any of our product candidates; and</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ownership of inventions and know-how resulting from the joint creation or use of intellectual property by our licensors and us.</w:t>
      </w:r>
    </w:p>
    <w:p>
      <w:pPr>
        <w:spacing w:after="0" w:line="1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If disputes over intellectual property that we license in the future prevent or impair our ability to maintain our licensing arrangements on acceptable terms, we may be unable to successfully develop and commercialize the affected technology or product candidates.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owned and in-licensed patents and patent applications may not provide sufficient protection of our product candidates or result in any competitive advantage.</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spacing w:after="0" w:line="16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The strength of patents in the biotechnology and pharmaceutical field involves complex legal and scientific questions and can be uncertain. The patent applications that we own or, in the future, in-license may fail to result in issued patents with claims that cover our product candidates or uses thereof in the United States or in other foreign countries. For example, while our patent applications are pending, we may be subject to a third-party preissuance submission of prior art to the United States Patent and Trademark Office (the “USPTO”), or become involved in interference or derivation proceedings, or equivalent proceedings in foreign jurisdictions. Even if patents do successfully issue, third parties may challenge their inventorship, validity, enforceability or scope, including through opposition, revocation, reexamination, post-grant and inter partes review proceedings. An adverse determination in any such submission, proceeding or litigation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Furthermore, even if they are unchallenged, our patents and patent applications may not adequately protect our intellectual property or prevent others from designing around our claims. Moreover, some of our owned and in-licensed patents and patent applications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development, testing, and regulatory review of new product candidates, the period of time during which we could market our product candidates under patent protection would be reduced or eliminated.</w:t>
      </w:r>
    </w:p>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Since patent applications in the United States and other countries are confidential for a period of time after filing or until issuance, at any moment in time, we cannot be certain that it was in the past or will be in the future the first to file any patent application related to our product candidates. In addition, some patent applications in the United States may be maintained in secrecy until the patents are issued. As a result, there may be prior art of which we are not aware that may affect the validity or enforceability of a patent claim, and we may be subject to priority disputes. We may be required to disclaim part or all of the term of certain patents or all of the term of certain patent applications. There also may be prior art of which we are aware,</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but which we do not believe affects the validity or enforceability of a claim, which may, nonetheless, ultimately be found to affect the validity or enforceability of a claim. No assurance can be given that, if challenged, our patents would be declared by a court, patent office or other governmental authority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that block our efforts or potentially result in our product candidates or our activities infringing such claims. It is possible that our competitors may have filed, and may in the future file, patent applications covering our products or technology similar to our products and technology. Those patent applications may have priority over our owned and in-licensed patent applications or patents, which could require us to obtain rights to issued patents covering such technologies. The possibility also exists that others will develop products that have the same effect as our product candidates on an independent basis that do not infringe our patents or other intellectual property rights, or will design around the claims of patents that we have had issued that cover our product candidates or their use. Likewise, our currently owned patents and patent applications, if issued as patents, directed to our proprietary technologies and our product candidates are expected to expire from 2033 through 2041, without taking into account any possible patent term adjustments or extensions. Our earliest patents may expire before, or soon after, our first product achieves marketing approval in the United States or foreign jurisdictions. Additionally, we cannot be assured that the USPTO or relevant foreign patent offices will grant any of the pending patent applications we own or in-licenses currently or in the future. Upon the expiration of our current patents, we may lose the right to exclude others from practicing these inventions. The expiration of these patents could also have a similar material adverse effect on our business, financial condition, results of operations and prospects.</w:t>
      </w:r>
    </w:p>
    <w:p>
      <w:pPr>
        <w:spacing w:after="0" w:line="1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56" w:lineRule="exact"/>
        <w:rPr>
          <w:sz w:val="20"/>
          <w:szCs w:val="20"/>
          <w:color w:val="auto"/>
        </w:rPr>
      </w:pPr>
    </w:p>
    <w:p>
      <w:pPr>
        <w:ind w:left="240" w:hanging="233"/>
        <w:spacing w:after="0"/>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be able to make or use compounds that are similar to the active compositions of our product candidates but that are not covered by the claims of our patents;</w:t>
      </w:r>
    </w:p>
    <w:p>
      <w:pPr>
        <w:spacing w:after="0" w:line="14" w:lineRule="exact"/>
        <w:rPr>
          <w:rFonts w:ascii="Times New Roman" w:cs="Times New Roman" w:eastAsia="Times New Roman" w:hAnsi="Times New Roman"/>
          <w:sz w:val="14"/>
          <w:szCs w:val="14"/>
          <w:color w:val="auto"/>
        </w:rPr>
      </w:pPr>
    </w:p>
    <w:p>
      <w:pPr>
        <w:ind w:left="260" w:hanging="253"/>
        <w:spacing w:after="0" w:line="243" w:lineRule="auto"/>
        <w:tabs>
          <w:tab w:leader="none" w:pos="257"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APIs in our current product candidates will eventually become commercially available in generic drug products, and no patent protection may be available with regard to formulation or method of use;</w:t>
      </w:r>
    </w:p>
    <w:p>
      <w:pPr>
        <w:ind w:left="260" w:hanging="253"/>
        <w:spacing w:after="0" w:line="243" w:lineRule="auto"/>
        <w:tabs>
          <w:tab w:leader="none" w:pos="257"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our future licensors, as the case may be, may fail to meet our or our obligations to the U.S. government regarding any patents and patent applications funded by U.S. government grants, leading to the loss or unenforceability of patent rights;</w:t>
      </w:r>
    </w:p>
    <w:p>
      <w:pPr>
        <w:ind w:left="240" w:hanging="233"/>
        <w:spacing w:after="0"/>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our future licensors, as the case may be, might not have been the first to file patent applications for certain inventions;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independently develop similar or alternative technologies or duplicate any of our technologies;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our pending patent applications will not result in issued patents;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there are prior public disclosures that could invalidate our owned or in-licensed patents, as the case may be, or parts of our owned or in-licensed patents;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others may circumvent our owned or in-licensed patents;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is possible that there are unpublished applications or patent applications maintained in secrecy that may later issue with claims covering our product candidates or technology similar to ours;</w:t>
      </w:r>
    </w:p>
    <w:p>
      <w:pPr>
        <w:spacing w:after="0" w:line="25" w:lineRule="exact"/>
        <w:rPr>
          <w:rFonts w:ascii="Times New Roman" w:cs="Times New Roman" w:eastAsia="Times New Roman" w:hAnsi="Times New Roman"/>
          <w:sz w:val="12"/>
          <w:szCs w:val="12"/>
          <w:color w:val="auto"/>
        </w:rPr>
      </w:pPr>
    </w:p>
    <w:p>
      <w:pPr>
        <w:ind w:left="240" w:hanging="233"/>
        <w:spacing w:after="0"/>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laws of foreign countries may not protect our or our future licensors’, as the case may be, proprietary rights to the same extent as the laws of the United States;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claims of our owned or in-licensed issued patents or patent applications, if and when issued, may not adequately cover our product candidates;</w:t>
      </w:r>
    </w:p>
    <w:p>
      <w:pPr>
        <w:spacing w:after="0" w:line="2" w:lineRule="exact"/>
        <w:rPr>
          <w:rFonts w:ascii="Times New Roman" w:cs="Times New Roman" w:eastAsia="Times New Roman" w:hAnsi="Times New Roman"/>
          <w:sz w:val="14"/>
          <w:szCs w:val="14"/>
          <w:color w:val="auto"/>
        </w:rPr>
      </w:pPr>
    </w:p>
    <w:p>
      <w:pPr>
        <w:ind w:left="260" w:hanging="253"/>
        <w:spacing w:after="0" w:line="243" w:lineRule="auto"/>
        <w:tabs>
          <w:tab w:leader="none" w:pos="257"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owned or in-licensed issued patents may not provide us with any competitive advantages, may be narrowed in scope, or be held invalid or unenforceable as a result of legal challenges by third parties;</w:t>
      </w:r>
    </w:p>
    <w:p>
      <w:pPr>
        <w:ind w:left="260" w:hanging="253"/>
        <w:spacing w:after="0" w:line="243" w:lineRule="auto"/>
        <w:tabs>
          <w:tab w:leader="none" w:pos="257"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inventors of our owned or in-licensed patents or patent applications may become involved with competitors, develop products or processes that design around our patents, or become hostile to us or the patents or patent applications on which they are named as inventors;</w:t>
      </w:r>
    </w:p>
    <w:p>
      <w:pPr>
        <w:ind w:left="260" w:hanging="253"/>
        <w:spacing w:after="0" w:line="284" w:lineRule="auto"/>
        <w:tabs>
          <w:tab w:leader="none" w:pos="257"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is possible that our owned or in-licensed patents or patent applications may omit individual(s) that should be listed as inventor(s) or include individual(s) that should not be listed as inventor(s), which may cause these patents or patents issuing from these patent applications to be held invalid or unenforceable or such omitted individuals may grant licenses to third parties;</w:t>
      </w:r>
    </w:p>
    <w:p>
      <w:pPr>
        <w:ind w:left="260" w:hanging="253"/>
        <w:spacing w:after="0" w:line="243" w:lineRule="auto"/>
        <w:tabs>
          <w:tab w:leader="none" w:pos="257"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engaged in scientific collaborations in the past and will continue to do so in the future and our collaborators may develop adjacent or competing products that are outside the scope of our patents;</w:t>
      </w:r>
    </w:p>
    <w:p>
      <w:pPr>
        <w:ind w:left="240" w:hanging="233"/>
        <w:spacing w:after="0"/>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develop additional proprietary technologies for which we can obtain patent protection;</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product candidates or diagnostic tests we develop may be covered by third parties’ patents or other exclusive rights; or</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patents of others may have an adverse effect on our business.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3" w:right="5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of the foregoing could have a material adverse effect on our business, financial conditions, results of operations and prospects.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strategy of obtaining rights to key technologies through in-licenses may not be successful.</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future growth of our business may depend in part on our ability to in-license or otherwise acquire the rights to additional product candidates and technologies. We cannot assure you that we will be able to in-license or acquire the rights to any product candidates or technologies from third parties on acceptable terms or at all.</w:t>
      </w:r>
    </w:p>
    <w:p>
      <w:pPr>
        <w:spacing w:after="0" w:line="1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2"/>
          <w:szCs w:val="12"/>
          <w:color w:val="auto"/>
        </w:rPr>
        <w:t>For example, our agreements with certain of our third-party research partners provide that improvements developed in the course of our relationship may be owned solely by either we or our third-party research partner, or jointly between us and the third party. If we determine that exclusive rights to such improvements owned solely by a research partner or other third party with whom we collaborate are necessary to commercialize our drug candidates or maintain our competitive advantage, we may need to obtain an exclusive license from such third party in order to use the improvements and continue developing, manufacturing or marketing our drug candidates. We may not be able to obtain such a license on an exclusive basis, on commercially reasonable terms, or at all, which could prevent us from commercializing our drug candidates or allow our competitors or others the opportunity to access technology that is important to our business. We also may need the cooperation of any co-owners of our intellectual property in order to enforce such intellectual property against third parties, and such cooperation may not be provided to us.</w:t>
      </w:r>
    </w:p>
    <w:p>
      <w:pPr>
        <w:spacing w:after="0" w:line="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In addition, the in-licensing and acquisition of these technologies is a highly competitive area, and a number of more established companies are also pursuing strategies to license or acquire product candidates or technologies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and prospects could be materially and adversely affected.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protect the confidentiality of our trade secrets, our business and competitive position would be harmed.</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to patent protection, we rely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w:t>
      </w:r>
    </w:p>
    <w:p>
      <w:pPr>
        <w:spacing w:after="0" w:line="1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are to be kept confidential and not disclosed to third parties, except in certain specified circumstances. In the case of employees, the agreements provide that all inventions conceived by the individual, and that are related to our current or planned business or research and development or made during normal working hours, on our premises or using our equipment or proprietary information (or as otherwise permitted by applicable law), are our exclusive property. In the case of consultants and other third parties, the agreements provide that all inventions conceived in connection with the services provided are our exclusive property. However, we cannot guarantee that we have entered into such agreements with each party that may have or have had access to our trade secrets or proprietary technology and processes. We have also adopted policies and conducts training that provides guidance on our expectations, and our advice for best practices, in protecting our trade secrets. Despite these efforts, any of these parties may breach the agreements and disclose our proprietary information, including our trade secrets, and we may not be able to obtain adequate remedies for such breaches.</w:t>
      </w:r>
    </w:p>
    <w:p>
      <w:pPr>
        <w:spacing w:after="0" w:line="16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2"/>
          <w:szCs w:val="12"/>
          <w:color w:val="auto"/>
        </w:rPr>
        <w:t>In addition to contractual measures, we try to protect the confidential nature of our proprietary information through other appropriate precautions, such as physical and technological security measures. However, trade secrets and know-how can be difficult to protect.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us from receiving legal recourse. If any of our confidential or proprietary information, such as our trade secrets, were to be disclosed or misappropriated, such as through a data breach, or if any of that information was independently developed by a competitor, our competitive position could be harmed. Additionally, certain trade secret and</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proprietary information may be required to be disclosed in submissions to regulatory authorities. If such authorities do not maintain the confidential basis of such information or disclose it as part of the basis of regulatory approval, our competitive position could be adversely affected.</w:t>
      </w:r>
    </w:p>
    <w:p>
      <w:pPr>
        <w:spacing w:after="0" w:line="1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addition, courts outside the United States are sometimes less willing to protect trade secrets. If we choose to go to court to stop a third party from using any of our trade secrets, we may incur substantial costs. Even if we are successful, these types of lawsuits may result in substantial cost and require significant time from our scientists and management. Although we take steps to protect our proprietary information and trade secrets, third parties may independently develop substantially equivalent proprietary information and techniques or otherwise gain access to our trade secrets or disclose our technology, through legal or illegal means. As a result, we may not be able to meaningfully protect our trade secrets. Any of the foregoing could have a material adverse effect on our business, financial condition, results of operations and prospects.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Third-party claims of intellectual property infringement may prevent, delay or otherwise interfere with our product discovery and development efforts.</w:t>
      </w:r>
    </w:p>
    <w:p>
      <w:pPr>
        <w:spacing w:after="0" w:line="19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2"/>
          <w:szCs w:val="12"/>
          <w:color w:val="auto"/>
        </w:rPr>
        <w:t xml:space="preserve">Our commercial success depends in part on our ability to develop, manufacture, market and sell our product candidates and use our proprietary technologies without infringing, misappropriating or otherwise violating the intellectual property or other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cs="Times New Roman" w:eastAsia="Times New Roman" w:hAnsi="Times New Roman"/>
          <w:sz w:val="12"/>
          <w:szCs w:val="12"/>
          <w:i w:val="1"/>
          <w:iCs w:val="1"/>
          <w:color w:val="auto"/>
        </w:rPr>
        <w:t>inter partes</w:t>
      </w:r>
      <w:r>
        <w:rPr>
          <w:rFonts w:ascii="Times New Roman" w:cs="Times New Roman" w:eastAsia="Times New Roman" w:hAnsi="Times New Roman"/>
          <w:sz w:val="12"/>
          <w:szCs w:val="12"/>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misappropriate or otherwise violate their intellectual property rights. Numerous U.S. and foreign issued patents and pending patent applications that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 third parties may allege they have patent rights encompassing our product candidates, technologies or methods.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a third party claims that we infringe, misappropriate or otherwise violate their intellectual property rights, we may face a number of issues, including, but not limited to:</w:t>
      </w:r>
    </w:p>
    <w:p>
      <w:pPr>
        <w:spacing w:after="0" w:line="186" w:lineRule="exact"/>
        <w:rPr>
          <w:sz w:val="20"/>
          <w:szCs w:val="20"/>
          <w:color w:val="auto"/>
        </w:rPr>
      </w:pPr>
    </w:p>
    <w:p>
      <w:pPr>
        <w:ind w:left="260" w:hanging="253"/>
        <w:spacing w:after="0" w:line="252" w:lineRule="auto"/>
        <w:tabs>
          <w:tab w:leader="none" w:pos="25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infringement and other intellectual property claims that, regardless of merit, may be expensive and time-consuming to litigate and may divert our management’s attention from our core business;</w:t>
      </w:r>
    </w:p>
    <w:p>
      <w:pPr>
        <w:ind w:left="260" w:hanging="253"/>
        <w:spacing w:after="0" w:line="243" w:lineRule="auto"/>
        <w:tabs>
          <w:tab w:leader="none" w:pos="25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plus the patent owner’s attorneys’ fees;</w:t>
      </w:r>
    </w:p>
    <w:p>
      <w:pPr>
        <w:ind w:left="260" w:hanging="253"/>
        <w:spacing w:after="0" w:line="243" w:lineRule="auto"/>
        <w:tabs>
          <w:tab w:leader="none" w:pos="25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court prohibiting us from developing, manufacturing, marketing or selling our product candidates, or from using our proprietary technologies, unless the third-party licenses our product rights or proprietary technology to us, which it is not required to do, on commercially reasonable terms or at all;</w:t>
      </w:r>
    </w:p>
    <w:p>
      <w:pPr>
        <w:ind w:left="260" w:hanging="253"/>
        <w:spacing w:after="0" w:line="243" w:lineRule="auto"/>
        <w:tabs>
          <w:tab w:leader="none" w:pos="25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license is available from a third party, we may have to pay substantial royalties, upfront fees and other amounts, and/or grant cross-licenses to intellectual property rights for our product candidates;</w:t>
      </w:r>
    </w:p>
    <w:p>
      <w:pPr>
        <w:ind w:left="240" w:hanging="233"/>
        <w:spacing w:after="0"/>
        <w:tabs>
          <w:tab w:leader="none" w:pos="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we redesign our product candidates or processes so they do not infringe, which may not be possible or may require substantial monetary expenditures and time; and</w:t>
      </w:r>
    </w:p>
    <w:p>
      <w:pPr>
        <w:spacing w:after="0" w:line="2" w:lineRule="exact"/>
        <w:rPr>
          <w:rFonts w:ascii="Times New Roman" w:cs="Times New Roman" w:eastAsia="Times New Roman" w:hAnsi="Times New Roman"/>
          <w:sz w:val="14"/>
          <w:szCs w:val="14"/>
          <w:color w:val="auto"/>
        </w:rPr>
      </w:pPr>
    </w:p>
    <w:p>
      <w:pPr>
        <w:ind w:left="260" w:hanging="253"/>
        <w:spacing w:after="0" w:line="247" w:lineRule="auto"/>
        <w:tabs>
          <w:tab w:leader="none" w:pos="25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w:t>
      </w:r>
    </w:p>
    <w:p>
      <w:pPr>
        <w:spacing w:after="0" w:line="163" w:lineRule="exact"/>
        <w:rPr>
          <w:sz w:val="20"/>
          <w:szCs w:val="20"/>
          <w:color w:val="auto"/>
        </w:rPr>
      </w:pPr>
    </w:p>
    <w:p>
      <w:pPr>
        <w:jc w:val="both"/>
        <w:spacing w:after="0" w:line="349" w:lineRule="auto"/>
        <w:rPr>
          <w:sz w:val="20"/>
          <w:szCs w:val="20"/>
          <w:color w:val="auto"/>
        </w:rPr>
      </w:pPr>
      <w:r>
        <w:rPr>
          <w:rFonts w:ascii="Times New Roman" w:cs="Times New Roman" w:eastAsia="Times New Roman" w:hAnsi="Times New Roman"/>
          <w:sz w:val="12"/>
          <w:szCs w:val="12"/>
          <w:color w:val="auto"/>
        </w:rPr>
        <w:t>Third parties may assert that we are employing their proprietary technology without authorization, including by enforcing our patents against us by filing a patent infringement lawsuit against us. In this regard, patents issued in the United States by law enjoy a presumption of validity that can be rebutted only with evidence that is “clear and convincing,” a heightened standard of proof.</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There may be third-party patents of which we are currently unaware of with claims to materials, formulations,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 upon these patents.</w:t>
      </w:r>
    </w:p>
    <w:p>
      <w:pPr>
        <w:spacing w:after="0" w:line="16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If any third-party patents were held by a court of competent jurisdiction to cover the manufacturing process of our product candidates, or materials used in or formed during the manufacturing process, or any final product itself, the holders of those patents may be able to block our ability to commercialize our product candidate unless we obtain a license under the applicable patents, or until those patents were to expire or those patents are finally determined to be invalid or unenforceable. Similarly, if any third-party patent were held by a court of competent jurisdiction to cover aspects of our formulations, processes for manufacture or methods of use, including combination therapy or patient selection methods, the holders of that patent may be able to block our ability to develop and commercialize the product candidate unless we obtain a license or until such patent expires or is finally determined to be invalid or unenforceable. In either case, a license may not be available on commercially reasonable terms, or at all, particularly if such patent is owned or controlled by one of our primary competitors. If we are unable to obtain a necessary license to a third-party patent on commercially reasonable terms, or at all, our ability to commercialize our product candidates may be impaired or delayed, which could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6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2"/>
          <w:szCs w:val="12"/>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time and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license of this nature would be available at all or whether it would be available on commercially reasonable terms. Furthermore, even in the absence of litigation, we may need to obtain licenses from third parties to advance our research or allow commercialization of our product candidates and we may fail to obtain any of these licenses at a reasonable cost or on reasonable terms, if at all.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that event, we would be unable to further develop and commercialize our product candidates, which could significantly harm our business.</w:t>
      </w:r>
    </w:p>
    <w:p>
      <w:pPr>
        <w:spacing w:after="0" w:line="1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may be involved in lawsuits to protect or enforce our patents or the patents of our licensors, which could be expensive, time-consuming and unsuccessful and could result in a finding that such patents are unenforceable or invalid.</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Competitors may infringe our patents or the patents of our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w:t>
      </w:r>
    </w:p>
    <w:p>
      <w:pPr>
        <w:spacing w:after="0" w:line="16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2"/>
          <w:szCs w:val="12"/>
          <w:color w:val="auto"/>
        </w:rPr>
        <w:t>In patent litigation in the United States, defendant counterclaims alleging invalidity and/or unenforceability are commonplace, and there are numerous grounds upon which a third party can assert invalidity or unenforceability of a patent.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These types of mechanisms include re-examination, post-grant review, inter partes review, interference proceedings, derivation proceedings, and equivalent proceedings in foreign jurisdictions (e.g., opposition proceedings). These types of proceedings could result in revocation or amendment to our patents such that they no longer cover our product candidates. The outcome for any particular patent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Defense of these types of claims, regardless of their merit, would involve substantial litigation expense and would be a substantial diversion of employee resources from our business.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3" w:right="5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Conversely, we may choose to challenge the patentability of claims in a third party’s U.S. patent by requesting that the USPTO review the patent claims in re-examination, post-grant review, inter partes review, interference proceedings, derivation proceedings, and equivalent proceedings in foreign jurisdictions (e.g., opposition proceedings), or we may choose to challenge a third party’s patent in patent opposition proceedings in the Canadian Intellectual Property Office (“CIPO”), the European Patent Office (“EPO”), or another foreign patent office. Even if successful, the costs of these opposition proceedings could be substantial, and may consume our time or other resources. If we fail to obtain a favorable result at the USPTO, CIPO, EPO or other patent office then we may be exposed to litigation by a third party alleging that the patent may be infringed by our product candidates or proprietary technologies.</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that perception could have a substantial adverse effect on the price of our common stock. Any of the foregoing could have a material adverse effect on our business financial condition, results of operations and prospects.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protect our intellectual property rights throughout the world.</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For example, patents covering methods-of-use are not available in certain foreign countries.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do not have or have not obtained patent protection to develop their own products and, further, may export otherwise infringing products to territories where we have patent protection but where enforcement is not as strong as that in the United States. These products may compete with our product candidates in jurisdictions where we do not have any issued patents and our patent claims or other intellectual property rights may not be effective or sufficient to prevent them from competing.</w:t>
      </w:r>
    </w:p>
    <w:p>
      <w:pPr>
        <w:spacing w:after="0" w:line="1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management’s efforts and attention from other aspects of our business. Proceedings to enforce our patent rights in foreign jurisdictions could result in substantial costs and divert management’s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Third parties may assert that our employees or consultants have wrongfully used or disclosed confidential information or misappropriated trade secrets.</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As is common in the biotechnology and pharmaceutical industries, we employ individuals who were previously employed at universities or other biopharmaceutical or pharmaceutical companies, including our competitors or potential competitors. Although we try to ensure that our employees and consultants do not use the proprietary information or know-how of others in their work for us, we may be subject to claims that our employees, consultants or independent contractors have inadvertently or otherwise used or disclosed intellectual property, including trade secrets or other proprietary information, of a former employer or other third parties. We may then have to pursue litigation to defend against these claims. If we fail in defending any claims of this nature, in addition to paying monetary damages, we may lose valuable intellectual property rights or personnel. Even if we are successful in defending against these types of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activities, and we may not have sufficient financial or other resources to adequately conduct this type of litigation or proceedings. For example, some of our competitors may be able to sustain the costs of this type of litigation or proceedings more effectively than us can because of their substantially greater financial resources. In any case, uncertainties resulting from the initiation and continuation of intellectual property litigation or other intellectual property related proceedings could adversely affect our ability to compete in the marketplace.</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Periodic maintenance fees on any issued patent are due to be paid to the USPTO and foreign patent agencies in several stages over the lifetime of the patent. The USPTO and various foreign patent agencies also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laws and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Were a noncompliance event to occur, our competitors might be able to enter the market, which would have a material adverse effect on our business financial condition, results of operations and prospects.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patent law in the United States and in non-U.S. jurisdictions could diminish the value of patents in general, thereby impairing our ability to protect our product candidates.</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w:t>
      </w:r>
    </w:p>
    <w:p>
      <w:pPr>
        <w:spacing w:after="0" w:line="1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Past or future patent reform legislation could increase the uncertainties and costs surrounding the prosecution of our patent applications and the enforcement or defense of our issued patents. For example, in March 2013, under the Leahy-Smith America Invents Act (“America Invents Act”), the United States moved from a “first to invent” to a “first-to-file” patent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continue to evolve as the USPTO continues to promulgate new regulations and procedures in connection with the America Invents Act. In addition, the courts have yet to address many of these provisions and the applicability of the act and new regulations on the specific patents discussed in this filing have not been determined and would need to be reviewed. Moreover, the America Invents Act and our implementation could increase the uncertainties and costs surrounding the prosecution of our patent applications and the enforcement or defense of our issued patents.</w:t>
      </w:r>
    </w:p>
    <w:p>
      <w:pPr>
        <w:spacing w:after="0" w:line="17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or license in the future. For example, in the case, Assoc. for Molecular Pathology v. Myriad Genetics, Inc., the U.S. Supreme Court held that certain claims to DNA molecules are not patent-eligible.</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Similarly, other cases by the U.S. Supreme Court have held that certain methods of treatment or diagnosis are not patent-eligible. U.S. law regarding patent-eligibility continues to evolve. While we do not believe that any of our patents will be found invalid based on these changes to U.S. patent law, we cannot predict how future decisions by the courts, the U.S. Congress or the USPTO may impact the value of our patents and patent applications. Any similar adverse changes in the patent laws of other jurisdictions could also have a material adverse effect on our business, financial condition, results of operations and prospects.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Patent terms may be inadequate to protect our competitive position on our product candidates for an adequate amount of time.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Given the amount of time required for the development, testing and regulatory review of new product candidates, patents protecting our product candidates might expire before or shortly after we or our partners commercialize those candidates. As a result, our owned and licensed patent portfolio may not provide us with sufficient rights to exclude others from commercializing products similar or identical to ours.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do not obtain patent term extension for any product candidates it may develop, our business may be materially harmed.</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 of 1984 (the “Hatch-Waxman Amendments”). The Hatch-Waxman Amendments permit a patent extension term of up to five years as compensation for patent term lost during clinical trials and the FDA regulatory review process. A patent term extension cannot extend the remaining term of a patent beyond a total of 14 years from the date of product approval, only one patent per product may be extended and only those claims covering the approved drug, a method for using it, or a method for manufacturing it may be extended. U.S. and ex-U.S. law concerning patent term extensions and foreign equivalents continue to evolve. Even if we were to seek a patent term extension, it may not be granted because of, for example, the failure to exercise due diligence during the testing phase or regulatory review process, the failure to apply within applicable deadlines, the failure to apply prior to expiration of relevant patents, or any other failure to satisfy applicable requirements. Moreover, the applicable time period of extension or the scope of patent protection afforded could be less than we request. If we are unable to obtain patent term extension or term of any such extension is less than it requests, our competitors may obtain approval of competing products following our patent expiration sooner than expected, and our business, financial condition, results of operations and prospects could be materially harmed.</w:t>
      </w:r>
    </w:p>
    <w:p>
      <w:pPr>
        <w:spacing w:after="0" w:line="16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Intellectual property discovered through government funded programs may be subject to federal regulations such as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march-in</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 xml:space="preserve"> rights, certain reporting requirements and a preference for U.S.-based companies. Compliance with such regulations may limit our exclusive rights and limit our ability to contract with non-U.S. manufacturers.</w:t>
      </w:r>
    </w:p>
    <w:p>
      <w:pPr>
        <w:spacing w:after="0" w:line="15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Although we do not currently own issued patents or pending patent applications that have been generated through the use of U.S. government funding,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Our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trading price of the shares of our common stock has been and is likely to continue to be volatile, and purchasers of our common stock could incur substantial losses.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market price of our common stock has been and is likely to continue to be volatile. Some of the factors that may cause the market price of our common stock to fluctuate include:</w:t>
      </w:r>
    </w:p>
    <w:p>
      <w:pPr>
        <w:spacing w:after="0" w:line="186" w:lineRule="exact"/>
        <w:rPr>
          <w:sz w:val="20"/>
          <w:szCs w:val="20"/>
          <w:color w:val="auto"/>
        </w:rPr>
      </w:pPr>
    </w:p>
    <w:p>
      <w:pPr>
        <w:ind w:left="240" w:hanging="233"/>
        <w:spacing w:after="0"/>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results of clinical trials and preclinical studies of our product candidates, or those of our competitors or our existing or future collaborators;</w:t>
      </w:r>
    </w:p>
    <w:p>
      <w:pPr>
        <w:spacing w:after="0" w:line="14"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meet or exceed financial and development projections we may provide to the public;</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meet or exceed the financial and development projections of the investment community;</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do not achieve the perceived benefits of the merger with Millendo as rapidly or to the extent anticipated by financial or industry analysts;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of significant acquisitions, strategic collaborations, joint ventures or capital commitments by us or our competitors;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taken by regulatory agencies with respect to our product candidates, clinical studies, manufacturing process or sales and marketing terms;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disputes or other developments relating to proprietary rights, including patents, litigation matters, and our ability to obtain patent protection for our technologies;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departures of key personnel;</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lawsuits, including patent or stockholder litigation;</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securities or industry analysts do not publish research or reports about our business, or if they issue adverse or misleading opinions regarding our business and stock;</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market valuations of similar companies;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market or macroeconomic conditions or market conditions in the pharmaceutical and biotechnology sectors;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securities by us or our securityholders in the future;</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raise an adequate amount of capital to fund our operations and continued development of our product candidates;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trading volume of our common stock;</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competitors of new commercial products, clinical progress or lack thereof, significant contracts, commercial relationships or capital commitments;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publicity relating to precision medicine product candidates, including with respect to other products in such markets;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introduction of technological innovations or new therapies that compete with our products and services; and</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period-to-period fluctuations in our financial results.</w:t>
      </w:r>
    </w:p>
    <w:p>
      <w:pPr>
        <w:spacing w:after="0" w:line="17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 In addition, a recession, depression or other sustained adverse market event resulting from the ongoing COVID-19 pandemic, Russia-Ukraine war or otherwise could materially and adversely affect our business and the value of our common stock. 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sales of shares by existing stockholders could cause our stock price to decline.</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If our existing securityholders sell, or indicate an intention to sell, substantial amounts of our common stock in the public market after legal restrictions on resale lapse, the trading price of our common stock could decline. In April 2022, we completed a $15 million private investment in public equity (“PIPE”) financing from the sale of 3,149,912 shares of our common stock at a price per share of $2.36 and, in lieu of shares of common stock, pre-funded warrants to purchase up to 3,206,020 shares of its common stock at a price per pre-funded warrant of $2.359 to certain investors. Pursuant to a registration rights agreement with the investors, we filed a registration statement with the SEC registering the resale of the 3,149,912 shares common stock and the 3,206,020 shares of common stock underlying the pre-funded warrants issued in the PIPE. As a result, subject to certain beneficial ownership limitations contained in the pre-funded warrants, these shares are freely tradable, without restriction, in the public market. In addition, the exercise of some or all of the pre-funded warrants will increase the number of shares of our outstanding common stock, which may dilute the ownership percentage or voting power of our stockholders. In addition, shares of common stock that are subject to outstanding options and warrants will become eligible for sale in the public market to the extent permitted by the provisions of various vesting agreements and Rule 144 under the Securities Act. If these shares are sold, the trading price of our common stock could decline.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executive officers, directors and principal stockholders have the ability to control or significantly influence all matters submitted to our stockholders for approval.</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1"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2"/>
          <w:szCs w:val="12"/>
          <w:color w:val="auto"/>
        </w:rPr>
        <w:t>As of September 30, 2022, our executive officers, directors and stockholders, who hold greater than 5% of our outstanding common stock, beneficially own in the aggregate approximately 79% of our outstanding shares of common stock. As a result, if these persons were to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and approval of any merger, consolidation or sale of all or substantially all of the company’s assets. This concentration of voting power could delay or prevent an acquisition on terms that other stockholders may desire.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Status as a Public Company and Other General Matters</w:t>
      </w:r>
    </w:p>
    <w:p>
      <w:pPr>
        <w:spacing w:after="0" w:line="18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expect to continue to incur increased costs as a result of operating as a public company, and our management is required to devote substantial time to compliance with our public company responsibilities and corporate governance practices.</w:t>
      </w:r>
    </w:p>
    <w:p>
      <w:pPr>
        <w:spacing w:after="0" w:line="15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As a relatively new public company, we continue to incur significant legal, accounting and other expenses that we did not incur as a private company. The Sarbanes-Oxley Act, the Dodd-Frank Wall Street Reform and Consumer Protection Act, the listing requirements of the Nasdaq Stock Market and other applicable securities rules and regulations impose various requirements on public companies. Our management and other personnel need to devote a substantial amount of time to compliance with these requirements. Moreover, these rules and regulations increase our legal and financial compliance costs and will make some activities more time-consuming and costly. For example, we expect that these rules and regulations may make it more difficult and more expensive for us to obtain directors’ and officers’ liability insurance, compared to when we were a private company, which could make it more difficult for us to attract and retain qualified members of our board of directors. We cannot predict or estimate the amount of additional costs we will continue to incur as a public company or the timing of such costs. Once we are no longer a smaller reporting company or otherwise no longer qualifies for applicable exemptions, we will be subject to additional laws and regulations affecting public companies that will increase our costs and the demands on management and could harm our operating results.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maintain proper and effective internal controls, our ability to produce accurate financial statements on a timely basis could be impaired.</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are subject to the reporting requirements of the Securities Exchange Act of 1934, as amended (the “Exchange Act”), The Sarbanes-Oxley Act, the Dodd-Frank Wall Street Reform and Consumer Protection Act, and the rules and regulations of the stock market on which our common stock is listed. The Sarbanes-Oxley Act requires, among other things, that we maintain effective disclosure controls and procedures and internal control over financial reporting and that, after a transitional period, we furnish a report by management on, among other things, the effectiveness of our internal control over financial reporting. This assessment includes disclosure of any material weaknesses identified by our management in our internal control over financial reporting. However, due to recent changes in Securities and Exchange Commission (“SEC”) rules related to smaller reporting companies, Millendo was not required to have its auditors formally attest to the effectiveness of its internal control over financial reporting in connection with the Annual Report on Form 10-K for the year ended December 31, 2020. Additionally, we will not be required to have our auditors formally attest to the effectiveness of our internal control over financial reporting until we cease to be a smaller reporting company.</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may identify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5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If we are not able to comply with the requirements of Section 404 of the Sarbanes-Oxley Act (“Section 404”),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Additionally, as a privately held company, we were not required to evaluate our internal control over financial reporting in a manner that meets the standards of publicly traded companies required by Section 404. In connection with the preparation and audit of our financial statements as of and for the year ended December 31, 2020, a material weaknesses was identified in our internal control over financial reporting. We cannot assure you that the material weaknesses identified will be remediated by us on the timelines currently anticipated, or at all, or that there will not be additional material weaknesses or significant</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7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4"/>
          <w:szCs w:val="14"/>
          <w:color w:val="auto"/>
        </w:rPr>
        <w:t>deficiencies in the internal control over financial reporting in the future. Any failure to maintain effective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reporting on internal control over financial reporting, investors may lose confidence in the accuracy and completeness of our financial reports, the market price of our common stock could decline, and we could be subject to sanctions or investigations by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or the third parties upon whom we depend may be adversely affected by natural disasters and other calamities, including pandemics, such as the global outbreak of COVID-19, and our business continuity and disaster recovery plans may not adequately protect us from a serious disaster.</w:t>
      </w:r>
    </w:p>
    <w:p>
      <w:pPr>
        <w:spacing w:after="0" w:line="152"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2"/>
          <w:szCs w:val="12"/>
          <w:color w:val="auto"/>
        </w:rPr>
        <w:t>Natural disasters could severely disrupt our operations and have a material adverse effect on our business, results of operations, financial condition and prospects. If a natural disaster, fire, hurricane, power outage or other event occurred that prevented us from using all or a significant portion of our headquarters, that damaged critical infrastructure, such as our suppliers’ manufacturing facilities, or that otherwise disrupted operations, such as data storage, it may be difficult or, in certain cases, impossible for us to continue our business for a substantial period of time.</w:t>
      </w:r>
    </w:p>
    <w:p>
      <w:pPr>
        <w:spacing w:after="0" w:line="12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Occurrences of epidemics or pandemics, depending on their scale, may cause different degrees of damage to the national and local economies within our geographic focus. Global economic conditions may be disrupted by widespread outbreaks of infectious or contagious diseases, and such disruption may adversely affect clinical development plans. For example, the COVID-19 pandemic could have an adverse effect on the coordination of research and development, our capital raising efforts, and the financial condition of our business, as well as our ability to retain key personnel and continue to expand product candidate development and conduct clinical trials. In addition, the impact of the COVID-19 pandemic is likely to continue to cause substantial changes in consumer behavior and has caused restrictions on business and individual activities, which are likely to lead to reduced economic activity.</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Unstable market and economic conditions may have serious adverse consequences on our business, financial condition and share price.</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and uncertainty about economic stability. For example, ongoing inflation in the United States and other markets and responses from central banks have resulted in volatility in the capital markets and other ongoing macroeconomic impacts, which may include increased unemployment and decreased consumer demand. Similarly, the current conflict between Ukraine and Russia has created extreme volatility in the global capital markets and is expected to have further global economic consequences, including disruptions of the global supply chain and energy markets. Any such volatility and disruptions may have adverse consequences on us or the third parties on whom we rely. If the equity and credit markets deteriorate, including as a result of political unrest or war, it may make any necessary debt or equity financing more difficult to obtain in a timely manner or on favorable terms, more costly or more dilutive. Inflation can adversely affect us by increasing our costs, including salary costs. Any significant increases in inflation and related increase in interest rates could have a material adverse effect on our business, results of operations and financial condition.</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1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will face an inherent risk of product liability exposure related to the testing of our product candidates in clinical trials and will face an even greater risk if we commercialize any of our product candidates. Any such product liability claims may include allegations of defects in manufacturing, defects in design, a failure to warn of dangers inherent in a product, negligence, strict liability or breach of warranty. Claims could also be asserted under U.S. state consumer protection acts. If we cannot successfully defend against claims that our product candidates caused injuries, we could incur substantial liabilities. Regardless of merit or eventual outcome, liability claims may result in:</w:t>
      </w:r>
    </w:p>
    <w:p>
      <w:pPr>
        <w:spacing w:after="0" w:line="167" w:lineRule="exact"/>
        <w:rPr>
          <w:sz w:val="20"/>
          <w:szCs w:val="20"/>
          <w:color w:val="auto"/>
        </w:rPr>
      </w:pPr>
    </w:p>
    <w:p>
      <w:pPr>
        <w:ind w:left="240" w:hanging="233"/>
        <w:spacing w:after="0"/>
        <w:tabs>
          <w:tab w:leader="none" w:pos="2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decreased demand for any product candidates that we may develop;</w:t>
      </w:r>
    </w:p>
    <w:p>
      <w:pPr>
        <w:spacing w:after="0" w:line="14"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injury to our reputation and significant negative media attention;</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ind w:left="240" w:hanging="233"/>
        <w:spacing w:after="0"/>
        <w:tabs>
          <w:tab w:leader="none" w:pos="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clinical trial participants;</w:t>
      </w:r>
    </w:p>
    <w:p>
      <w:pPr>
        <w:spacing w:after="0" w:line="14"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time and costs to defend the related litigation;</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monetary awards to trial participants or patients;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revenue;</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termination of our collaboration relationships or disputes with our collaborators;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voluntary product recalls, withdrawals or labeling restrictions; and</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commercialize any product candidates that we may develop.</w:t>
      </w:r>
    </w:p>
    <w:p>
      <w:pPr>
        <w:spacing w:after="0" w:line="1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While we currently have insurance that we believe is appropriate for our stage of development, we may need to obtain higher levels prior to clinical development or marketing any of our future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1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Provisions in our certificate of incorporation and by-laws and under Delaware law could make an acquisition of us, which may be beneficial to our stockholders, more difficult and may prevent attempts by our stockholders to replace or remove our current management.</w:t>
      </w:r>
    </w:p>
    <w:p>
      <w:pPr>
        <w:spacing w:after="0" w:line="15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Provisions in our certificate of incorporation and by-laws may discourage, delay or prevent a merger, acquisition or other change in control of the company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69" w:lineRule="exact"/>
        <w:rPr>
          <w:sz w:val="20"/>
          <w:szCs w:val="20"/>
          <w:color w:val="auto"/>
        </w:rPr>
      </w:pPr>
    </w:p>
    <w:p>
      <w:pPr>
        <w:ind w:left="240" w:hanging="233"/>
        <w:spacing w:after="0"/>
        <w:tabs>
          <w:tab w:leader="none" w:pos="2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 classified board of directors such that not all members of the board are elected at one time;</w:t>
      </w:r>
    </w:p>
    <w:p>
      <w:pPr>
        <w:spacing w:after="0" w:line="14"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allow the authorized number of our directors to be changed only by resolution of our board of directors;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the manner in which stockholders can remove directors from the board;</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advance notice requirements for stockholder proposals that can be acted on at stockholder meetings and for nominations to our board of directors;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who may call stockholder meetings;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 actions by our stockholders by written consent;</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that stockholder actions be effected at a duly called stockholders meeting;</w:t>
      </w:r>
    </w:p>
    <w:p>
      <w:pPr>
        <w:spacing w:after="0" w:line="2" w:lineRule="exact"/>
        <w:rPr>
          <w:rFonts w:ascii="Times New Roman" w:cs="Times New Roman" w:eastAsia="Times New Roman" w:hAnsi="Times New Roman"/>
          <w:sz w:val="14"/>
          <w:szCs w:val="14"/>
          <w:color w:val="auto"/>
        </w:rPr>
      </w:pPr>
    </w:p>
    <w:p>
      <w:pPr>
        <w:ind w:left="260" w:hanging="253"/>
        <w:spacing w:after="0" w:line="243" w:lineRule="auto"/>
        <w:tabs>
          <w:tab w:leader="none" w:pos="257"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ind w:left="260" w:hanging="253"/>
        <w:spacing w:after="0" w:line="247" w:lineRule="auto"/>
        <w:tabs>
          <w:tab w:leader="none" w:pos="257"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the approval of the holders of at least 75 percent of the votes that all our stockholders would be entitled to cast to amend or repeal certain provisions of our certificate of incorporation or by-laws.</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Moreover, because we are incorporated in Delaware, we are governed by the provisions of Section 203 of the Delaware General Corporation Law, which prohibits a person who owns 15 percent or more of our outstanding voting stock from merging or combining with us for a period of three years after the date of the transaction in which the person acquired 15 percent or more of our outstanding voting stock, unless the merger or combination is approved in a manner prescribed by the statute.</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15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Our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bylaws to be inapplicable or unenforceable in an action, we may incur</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 costs associated with resolving such action in other jurisdictions, which could materially and adversely affect our business, financial condition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do not anticipate that we will pay any cash dividends in the foreseeable future.</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current expectation is that we will retain our future earnings, if any, to fund our growth as opposed to paying dividends. As a result, capital appreciation, if any, of our common stock will be your sole source of gain, if any, for the foreseeable future.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exposed to increased litigation, including stockholder litigation, which could have an adverse effect on our business and operations.</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may be exposed to increased litigation from stockholders, customers, suppliers, consumers and other third parties due to the combination of Millendo’s business and ours following the merger. Such litigation may have an adverse impact on our business and results of operations or may cause disruptions to our operations. In addition, in the past, stockholders have initiated class action lawsuits against biotechnology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 We also remain the subject of various securities class action lawsuits and shareholder derivative lawsuits that were filed against OvaScience and certain of our officer and directors, as described in more detail in Part II, Item 3 under the heading “Legal Proceedings” of the Annual Report on Form 10-K for the year ended December 31, 2021.</w:t>
      </w:r>
    </w:p>
    <w:p>
      <w:pPr>
        <w:spacing w:after="0" w:line="1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trading market for our common stock will be influenced by the research and reports that equity research analysts publish about us and our business. We have no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or fails to publish reports on us regularly, demand for our common stock could decrease, which in turn could cause our stock price or trading volume to decline.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a smaller reporting company, and the reduced reporting requirements applicable to smaller reporting companies may make our common stock less attractive to investors.</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are a “smaller reporting company” as defined in Section 12 of the Exchange Act. For as long as we continue to be a smaller reporting company, we may take advantage of exemptions from various reporting requirements that are applicable to other public companies that are not smaller reporting companies, including not being required to comply with the auditor attestation requirements of Section 404 of Sarbanes-Oxley Act of 2002, reduced disclosure obligations regarding executive compensation in our periodic reports and proxy statements, and exemptions from the requirements of holding nonbinding advisory votes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exhibits are incorporated by reference or filed as part of this report.</w:t>
      </w:r>
    </w:p>
    <w:p>
      <w:pPr>
        <w:spacing w:after="0" w:line="223"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4417060</wp:posOffset>
            </wp:positionH>
            <wp:positionV relativeFrom="paragraph">
              <wp:posOffset>25400</wp:posOffset>
            </wp:positionV>
            <wp:extent cx="2360295"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360295" cy="6350"/>
                    </a:xfrm>
                    <a:prstGeom prst="rect">
                      <a:avLst/>
                    </a:prstGeom>
                    <a:noFill/>
                  </pic:spPr>
                </pic:pic>
              </a:graphicData>
            </a:graphic>
          </wp:anchor>
        </w:drawing>
      </w:r>
    </w:p>
    <w:p>
      <w:pPr>
        <w:spacing w:after="0" w:line="37" w:lineRule="exact"/>
        <w:rPr>
          <w:sz w:val="20"/>
          <w:szCs w:val="20"/>
          <w:color w:val="auto"/>
        </w:rPr>
      </w:pPr>
    </w:p>
    <w:tbl>
      <w:tblPr>
        <w:tblLayout w:type="fixed"/>
        <w:tblInd w:w="240" w:type="dxa"/>
        <w:tblCellMar>
          <w:top w:w="0" w:type="dxa"/>
          <w:left w:w="0" w:type="dxa"/>
          <w:bottom w:w="0" w:type="dxa"/>
          <w:right w:w="0" w:type="dxa"/>
        </w:tblCellMar>
      </w:tblPr>
      <w:tr>
        <w:trPr>
          <w:trHeight w:val="143"/>
        </w:trPr>
        <w:tc>
          <w:tcPr>
            <w:tcW w:w="9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jc w:val="center"/>
              <w:ind w:right="19"/>
              <w:spacing w:after="0"/>
              <w:rPr>
                <w:sz w:val="20"/>
                <w:szCs w:val="20"/>
                <w:color w:val="auto"/>
              </w:rPr>
            </w:pPr>
            <w:r>
              <w:rPr>
                <w:rFonts w:ascii="Times New Roman" w:cs="Times New Roman" w:eastAsia="Times New Roman" w:hAnsi="Times New Roman"/>
                <w:sz w:val="12"/>
                <w:szCs w:val="12"/>
                <w:b w:val="1"/>
                <w:bCs w:val="1"/>
                <w:color w:val="auto"/>
                <w:w w:val="99"/>
              </w:rPr>
              <w:t>Filed or</w:t>
            </w:r>
          </w:p>
        </w:tc>
        <w:tc>
          <w:tcPr>
            <w:tcW w:w="0" w:type="dxa"/>
            <w:vAlign w:val="bottom"/>
          </w:tcPr>
          <w:p>
            <w:pPr>
              <w:spacing w:after="0"/>
              <w:rPr>
                <w:sz w:val="1"/>
                <w:szCs w:val="1"/>
                <w:color w:val="auto"/>
              </w:rPr>
            </w:pPr>
          </w:p>
        </w:tc>
      </w:tr>
      <w:tr>
        <w:trPr>
          <w:trHeight w:val="143"/>
        </w:trPr>
        <w:tc>
          <w:tcPr>
            <w:tcW w:w="9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jc w:val="center"/>
              <w:ind w:right="19"/>
              <w:spacing w:after="0"/>
              <w:rPr>
                <w:sz w:val="20"/>
                <w:szCs w:val="20"/>
                <w:color w:val="auto"/>
              </w:rPr>
            </w:pPr>
            <w:r>
              <w:rPr>
                <w:rFonts w:ascii="Times New Roman" w:cs="Times New Roman" w:eastAsia="Times New Roman" w:hAnsi="Times New Roman"/>
                <w:sz w:val="12"/>
                <w:szCs w:val="12"/>
                <w:b w:val="1"/>
                <w:bCs w:val="1"/>
                <w:color w:val="auto"/>
                <w:w w:val="98"/>
              </w:rPr>
              <w:t>Furnished</w:t>
            </w:r>
          </w:p>
        </w:tc>
        <w:tc>
          <w:tcPr>
            <w:tcW w:w="0" w:type="dxa"/>
            <w:vAlign w:val="bottom"/>
          </w:tcPr>
          <w:p>
            <w:pPr>
              <w:spacing w:after="0"/>
              <w:rPr>
                <w:sz w:val="1"/>
                <w:szCs w:val="1"/>
                <w:color w:val="auto"/>
              </w:rPr>
            </w:pPr>
          </w:p>
        </w:tc>
      </w:tr>
      <w:tr>
        <w:trPr>
          <w:trHeight w:val="179"/>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14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000" w:type="dxa"/>
            <w:vAlign w:val="bottom"/>
            <w:tcBorders>
              <w:bottom w:val="single" w:sz="8" w:color="auto"/>
            </w:tcBorders>
            <w:gridSpan w:val="12"/>
          </w:tcPr>
          <w:p>
            <w:pPr>
              <w:ind w:left="480"/>
              <w:spacing w:after="0"/>
              <w:rPr>
                <w:sz w:val="20"/>
                <w:szCs w:val="20"/>
                <w:color w:val="auto"/>
              </w:rPr>
            </w:pPr>
            <w:r>
              <w:rPr>
                <w:rFonts w:ascii="Times New Roman" w:cs="Times New Roman" w:eastAsia="Times New Roman" w:hAnsi="Times New Roman"/>
                <w:sz w:val="12"/>
                <w:szCs w:val="12"/>
                <w:b w:val="1"/>
                <w:bCs w:val="1"/>
                <w:color w:val="auto"/>
              </w:rPr>
              <w:t>Description of Exhibit</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Form</w:t>
            </w: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2"/>
                <w:szCs w:val="12"/>
                <w:b w:val="1"/>
                <w:bCs w:val="1"/>
                <w:color w:val="auto"/>
              </w:rPr>
              <w:t>File Number</w:t>
            </w: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Exhibit</w:t>
            </w:r>
          </w:p>
        </w:tc>
        <w:tc>
          <w:tcPr>
            <w:tcW w:w="8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2"/>
                <w:szCs w:val="12"/>
                <w:b w:val="1"/>
                <w:bCs w:val="1"/>
                <w:color w:val="auto"/>
              </w:rPr>
              <w:t>Filing Date</w:t>
            </w:r>
          </w:p>
        </w:tc>
        <w:tc>
          <w:tcPr>
            <w:tcW w:w="8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2"/>
                <w:szCs w:val="12"/>
                <w:b w:val="1"/>
                <w:bCs w:val="1"/>
                <w:color w:val="auto"/>
                <w:w w:val="99"/>
              </w:rPr>
              <w:t>Herewith</w:t>
            </w: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5840" w:type="dxa"/>
            <w:vAlign w:val="bottom"/>
            <w:gridSpan w:val="14"/>
          </w:tcPr>
          <w:p>
            <w:pPr>
              <w:spacing w:after="0"/>
              <w:rPr>
                <w:rFonts w:ascii="Times New Roman" w:cs="Times New Roman" w:eastAsia="Times New Roman" w:hAnsi="Times New Roman"/>
                <w:sz w:val="12"/>
                <w:szCs w:val="12"/>
                <w:color w:val="0000FF"/>
              </w:rPr>
            </w:pPr>
            <w:hyperlink r:id="rId83">
              <w:r>
                <w:rPr>
                  <w:rFonts w:ascii="Times New Roman" w:cs="Times New Roman" w:eastAsia="Times New Roman" w:hAnsi="Times New Roman"/>
                  <w:sz w:val="12"/>
                  <w:szCs w:val="12"/>
                  <w:color w:val="0000FF"/>
                </w:rPr>
                <w:t>Agreement and Plan of Merger, dated as of March 29, 2021, by and among Tempest Therapeutics, Inc., Mars Merger</w:t>
              </w:r>
            </w:hyperlink>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920" w:type="dxa"/>
            <w:vAlign w:val="bottom"/>
          </w:tcPr>
          <w:p>
            <w:pPr>
              <w:jc w:val="center"/>
              <w:spacing w:after="0" w:line="113" w:lineRule="exact"/>
              <w:rPr>
                <w:sz w:val="20"/>
                <w:szCs w:val="20"/>
                <w:color w:val="auto"/>
              </w:rPr>
            </w:pPr>
            <w:r>
              <w:rPr>
                <w:rFonts w:ascii="Times New Roman" w:cs="Times New Roman" w:eastAsia="Times New Roman" w:hAnsi="Times New Roman"/>
                <w:sz w:val="12"/>
                <w:szCs w:val="12"/>
                <w:color w:val="auto"/>
              </w:rPr>
              <w:t>2.1</w:t>
            </w:r>
          </w:p>
        </w:tc>
        <w:tc>
          <w:tcPr>
            <w:tcW w:w="1840" w:type="dxa"/>
            <w:vAlign w:val="bottom"/>
            <w:tcBorders>
              <w:top w:val="single" w:sz="8" w:color="0000FF"/>
              <w:bottom w:val="single" w:sz="8" w:color="0000FF"/>
            </w:tcBorders>
            <w:gridSpan w:val="2"/>
          </w:tcPr>
          <w:p>
            <w:pPr>
              <w:spacing w:after="0" w:line="113" w:lineRule="exact"/>
              <w:rPr>
                <w:rFonts w:ascii="Times New Roman" w:cs="Times New Roman" w:eastAsia="Times New Roman" w:hAnsi="Times New Roman"/>
                <w:sz w:val="12"/>
                <w:szCs w:val="12"/>
                <w:color w:val="0000FF"/>
              </w:rPr>
            </w:pPr>
            <w:hyperlink r:id="rId83">
              <w:r>
                <w:rPr>
                  <w:rFonts w:ascii="Times New Roman" w:cs="Times New Roman" w:eastAsia="Times New Roman" w:hAnsi="Times New Roman"/>
                  <w:sz w:val="12"/>
                  <w:szCs w:val="12"/>
                  <w:color w:val="0000FF"/>
                </w:rPr>
                <w:t>Corp. and Tempest Therapeutics, Inc.</w:t>
              </w:r>
            </w:hyperlink>
          </w:p>
        </w:tc>
        <w:tc>
          <w:tcPr>
            <w:tcW w:w="3900" w:type="dxa"/>
            <w:vAlign w:val="bottom"/>
            <w:tcBorders>
              <w:top w:val="single" w:sz="8" w:color="0000FF"/>
            </w:tcBorders>
            <w:gridSpan w:val="11"/>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center"/>
              <w:spacing w:after="0" w:line="113" w:lineRule="exact"/>
              <w:rPr>
                <w:sz w:val="20"/>
                <w:szCs w:val="20"/>
                <w:color w:val="auto"/>
              </w:rPr>
            </w:pPr>
            <w:r>
              <w:rPr>
                <w:rFonts w:ascii="Times New Roman" w:cs="Times New Roman" w:eastAsia="Times New Roman" w:hAnsi="Times New Roman"/>
                <w:sz w:val="12"/>
                <w:szCs w:val="12"/>
                <w:color w:val="auto"/>
              </w:rPr>
              <w:t>8-K</w:t>
            </w:r>
          </w:p>
        </w:tc>
        <w:tc>
          <w:tcPr>
            <w:tcW w:w="1020" w:type="dxa"/>
            <w:vAlign w:val="bottom"/>
          </w:tcPr>
          <w:p>
            <w:pPr>
              <w:jc w:val="right"/>
              <w:spacing w:after="0" w:line="113" w:lineRule="exact"/>
              <w:rPr>
                <w:sz w:val="20"/>
                <w:szCs w:val="20"/>
                <w:color w:val="auto"/>
              </w:rPr>
            </w:pPr>
            <w:r>
              <w:rPr>
                <w:rFonts w:ascii="Times New Roman" w:cs="Times New Roman" w:eastAsia="Times New Roman" w:hAnsi="Times New Roman"/>
                <w:sz w:val="12"/>
                <w:szCs w:val="12"/>
                <w:color w:val="auto"/>
              </w:rPr>
              <w:t>001-35890</w:t>
            </w:r>
          </w:p>
        </w:tc>
        <w:tc>
          <w:tcPr>
            <w:tcW w:w="480" w:type="dxa"/>
            <w:vAlign w:val="bottom"/>
          </w:tcPr>
          <w:p>
            <w:pPr>
              <w:jc w:val="center"/>
              <w:spacing w:after="0" w:line="113" w:lineRule="exact"/>
              <w:rPr>
                <w:sz w:val="20"/>
                <w:szCs w:val="20"/>
                <w:color w:val="auto"/>
              </w:rPr>
            </w:pPr>
            <w:r>
              <w:rPr>
                <w:rFonts w:ascii="Times New Roman" w:cs="Times New Roman" w:eastAsia="Times New Roman" w:hAnsi="Times New Roman"/>
                <w:sz w:val="12"/>
                <w:szCs w:val="12"/>
                <w:color w:val="auto"/>
                <w:w w:val="93"/>
              </w:rPr>
              <w:t>2.1</w:t>
            </w:r>
          </w:p>
        </w:tc>
        <w:tc>
          <w:tcPr>
            <w:tcW w:w="840" w:type="dxa"/>
            <w:vAlign w:val="bottom"/>
          </w:tcPr>
          <w:p>
            <w:pPr>
              <w:jc w:val="right"/>
              <w:ind w:right="19"/>
              <w:spacing w:after="0" w:line="113" w:lineRule="exact"/>
              <w:rPr>
                <w:sz w:val="20"/>
                <w:szCs w:val="20"/>
                <w:color w:val="auto"/>
              </w:rPr>
            </w:pPr>
            <w:r>
              <w:rPr>
                <w:rFonts w:ascii="Times New Roman" w:cs="Times New Roman" w:eastAsia="Times New Roman" w:hAnsi="Times New Roman"/>
                <w:sz w:val="12"/>
                <w:szCs w:val="12"/>
                <w:color w:val="auto"/>
              </w:rPr>
              <w:t>3/29/2021</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3.1</w:t>
            </w:r>
          </w:p>
        </w:tc>
        <w:tc>
          <w:tcPr>
            <w:tcW w:w="5840" w:type="dxa"/>
            <w:vAlign w:val="bottom"/>
            <w:gridSpan w:val="14"/>
          </w:tcPr>
          <w:p>
            <w:pPr>
              <w:spacing w:after="0"/>
              <w:rPr>
                <w:rFonts w:ascii="Times New Roman" w:cs="Times New Roman" w:eastAsia="Times New Roman" w:hAnsi="Times New Roman"/>
                <w:sz w:val="12"/>
                <w:szCs w:val="12"/>
                <w:color w:val="0000FF"/>
              </w:rPr>
            </w:pPr>
            <w:hyperlink r:id="rId84">
              <w:r>
                <w:rPr>
                  <w:rFonts w:ascii="Times New Roman" w:cs="Times New Roman" w:eastAsia="Times New Roman" w:hAnsi="Times New Roman"/>
                  <w:sz w:val="12"/>
                  <w:szCs w:val="12"/>
                  <w:color w:val="0000FF"/>
                </w:rPr>
                <w:t>Restated Certificate of Incorporation of the Registrant, as amended</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10-Q</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001-35890</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3.1</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5/15/2019</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920" w:type="dxa"/>
            <w:vAlign w:val="bottom"/>
          </w:tcPr>
          <w:p>
            <w:pPr>
              <w:spacing w:after="0"/>
              <w:rPr>
                <w:sz w:val="14"/>
                <w:szCs w:val="14"/>
                <w:color w:val="auto"/>
              </w:rPr>
            </w:pPr>
          </w:p>
        </w:tc>
        <w:tc>
          <w:tcPr>
            <w:tcW w:w="5840" w:type="dxa"/>
            <w:vAlign w:val="bottom"/>
            <w:gridSpan w:val="14"/>
          </w:tcPr>
          <w:p>
            <w:pPr>
              <w:spacing w:after="0"/>
              <w:rPr>
                <w:rFonts w:ascii="Times New Roman" w:cs="Times New Roman" w:eastAsia="Times New Roman" w:hAnsi="Times New Roman"/>
                <w:sz w:val="12"/>
                <w:szCs w:val="12"/>
                <w:color w:val="0000FF"/>
              </w:rPr>
            </w:pPr>
            <w:hyperlink r:id="rId85">
              <w:r>
                <w:rPr>
                  <w:rFonts w:ascii="Times New Roman" w:cs="Times New Roman" w:eastAsia="Times New Roman" w:hAnsi="Times New Roman"/>
                  <w:sz w:val="12"/>
                  <w:szCs w:val="12"/>
                  <w:color w:val="0000FF"/>
                </w:rPr>
                <w:t>Certificate of Amendment to the Restated Certificate of Incorporation of the Company, as filed with the Secretary of</w:t>
              </w:r>
            </w:hyperlink>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920" w:type="dxa"/>
            <w:vAlign w:val="bottom"/>
          </w:tcPr>
          <w:p>
            <w:pPr>
              <w:jc w:val="center"/>
              <w:spacing w:after="0" w:line="113" w:lineRule="exact"/>
              <w:rPr>
                <w:sz w:val="20"/>
                <w:szCs w:val="20"/>
                <w:color w:val="auto"/>
              </w:rPr>
            </w:pPr>
            <w:r>
              <w:rPr>
                <w:rFonts w:ascii="Times New Roman" w:cs="Times New Roman" w:eastAsia="Times New Roman" w:hAnsi="Times New Roman"/>
                <w:sz w:val="12"/>
                <w:szCs w:val="12"/>
                <w:color w:val="auto"/>
              </w:rPr>
              <w:t>3.2</w:t>
            </w:r>
          </w:p>
        </w:tc>
        <w:tc>
          <w:tcPr>
            <w:tcW w:w="2340" w:type="dxa"/>
            <w:vAlign w:val="bottom"/>
            <w:tcBorders>
              <w:top w:val="single" w:sz="8" w:color="0000FF"/>
              <w:bottom w:val="single" w:sz="8" w:color="0000FF"/>
            </w:tcBorders>
            <w:gridSpan w:val="3"/>
          </w:tcPr>
          <w:p>
            <w:pPr>
              <w:spacing w:after="0" w:line="113" w:lineRule="exact"/>
              <w:rPr>
                <w:rFonts w:ascii="Times New Roman" w:cs="Times New Roman" w:eastAsia="Times New Roman" w:hAnsi="Times New Roman"/>
                <w:sz w:val="12"/>
                <w:szCs w:val="12"/>
                <w:color w:val="0000FF"/>
              </w:rPr>
            </w:pPr>
            <w:hyperlink r:id="rId85">
              <w:r>
                <w:rPr>
                  <w:rFonts w:ascii="Times New Roman" w:cs="Times New Roman" w:eastAsia="Times New Roman" w:hAnsi="Times New Roman"/>
                  <w:sz w:val="12"/>
                  <w:szCs w:val="12"/>
                  <w:color w:val="0000FF"/>
                </w:rPr>
                <w:t>State of the State of Delaware on June 24, 2021</w:t>
              </w:r>
            </w:hyperlink>
          </w:p>
        </w:tc>
        <w:tc>
          <w:tcPr>
            <w:tcW w:w="3360" w:type="dxa"/>
            <w:vAlign w:val="bottom"/>
            <w:tcBorders>
              <w:top w:val="single" w:sz="8" w:color="0000FF"/>
            </w:tcBorders>
            <w:gridSpan w:val="9"/>
          </w:tcPr>
          <w:p>
            <w:pPr>
              <w:spacing w:after="0"/>
              <w:rPr>
                <w:sz w:val="10"/>
                <w:szCs w:val="10"/>
                <w:color w:val="auto"/>
              </w:rPr>
            </w:pPr>
          </w:p>
        </w:tc>
        <w:tc>
          <w:tcPr>
            <w:tcW w:w="140" w:type="dxa"/>
            <w:vAlign w:val="bottom"/>
            <w:gridSpan w:val="2"/>
          </w:tcPr>
          <w:p>
            <w:pPr>
              <w:spacing w:after="0"/>
              <w:rPr>
                <w:sz w:val="10"/>
                <w:szCs w:val="10"/>
                <w:color w:val="auto"/>
              </w:rPr>
            </w:pPr>
          </w:p>
        </w:tc>
        <w:tc>
          <w:tcPr>
            <w:tcW w:w="540" w:type="dxa"/>
            <w:vAlign w:val="bottom"/>
          </w:tcPr>
          <w:p>
            <w:pPr>
              <w:jc w:val="center"/>
              <w:spacing w:after="0" w:line="113" w:lineRule="exact"/>
              <w:rPr>
                <w:sz w:val="20"/>
                <w:szCs w:val="20"/>
                <w:color w:val="auto"/>
              </w:rPr>
            </w:pPr>
            <w:r>
              <w:rPr>
                <w:rFonts w:ascii="Times New Roman" w:cs="Times New Roman" w:eastAsia="Times New Roman" w:hAnsi="Times New Roman"/>
                <w:sz w:val="12"/>
                <w:szCs w:val="12"/>
                <w:color w:val="auto"/>
              </w:rPr>
              <w:t>8-K</w:t>
            </w:r>
          </w:p>
        </w:tc>
        <w:tc>
          <w:tcPr>
            <w:tcW w:w="1020" w:type="dxa"/>
            <w:vAlign w:val="bottom"/>
          </w:tcPr>
          <w:p>
            <w:pPr>
              <w:jc w:val="right"/>
              <w:spacing w:after="0" w:line="113" w:lineRule="exact"/>
              <w:rPr>
                <w:sz w:val="20"/>
                <w:szCs w:val="20"/>
                <w:color w:val="auto"/>
              </w:rPr>
            </w:pPr>
            <w:r>
              <w:rPr>
                <w:rFonts w:ascii="Times New Roman" w:cs="Times New Roman" w:eastAsia="Times New Roman" w:hAnsi="Times New Roman"/>
                <w:sz w:val="12"/>
                <w:szCs w:val="12"/>
                <w:color w:val="auto"/>
              </w:rPr>
              <w:t>001-35890</w:t>
            </w:r>
          </w:p>
        </w:tc>
        <w:tc>
          <w:tcPr>
            <w:tcW w:w="480" w:type="dxa"/>
            <w:vAlign w:val="bottom"/>
          </w:tcPr>
          <w:p>
            <w:pPr>
              <w:jc w:val="center"/>
              <w:spacing w:after="0" w:line="113" w:lineRule="exact"/>
              <w:rPr>
                <w:sz w:val="20"/>
                <w:szCs w:val="20"/>
                <w:color w:val="auto"/>
              </w:rPr>
            </w:pPr>
            <w:r>
              <w:rPr>
                <w:rFonts w:ascii="Times New Roman" w:cs="Times New Roman" w:eastAsia="Times New Roman" w:hAnsi="Times New Roman"/>
                <w:sz w:val="12"/>
                <w:szCs w:val="12"/>
                <w:color w:val="auto"/>
                <w:w w:val="93"/>
              </w:rPr>
              <w:t>3.1</w:t>
            </w:r>
          </w:p>
        </w:tc>
        <w:tc>
          <w:tcPr>
            <w:tcW w:w="840" w:type="dxa"/>
            <w:vAlign w:val="bottom"/>
          </w:tcPr>
          <w:p>
            <w:pPr>
              <w:jc w:val="right"/>
              <w:ind w:right="19"/>
              <w:spacing w:after="0" w:line="113" w:lineRule="exact"/>
              <w:rPr>
                <w:sz w:val="20"/>
                <w:szCs w:val="20"/>
                <w:color w:val="auto"/>
              </w:rPr>
            </w:pPr>
            <w:r>
              <w:rPr>
                <w:rFonts w:ascii="Times New Roman" w:cs="Times New Roman" w:eastAsia="Times New Roman" w:hAnsi="Times New Roman"/>
                <w:sz w:val="12"/>
                <w:szCs w:val="12"/>
                <w:color w:val="auto"/>
              </w:rPr>
              <w:t>6/28/2021</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5840" w:type="dxa"/>
            <w:vAlign w:val="bottom"/>
            <w:gridSpan w:val="14"/>
          </w:tcPr>
          <w:p>
            <w:pPr>
              <w:spacing w:after="0"/>
              <w:rPr>
                <w:rFonts w:ascii="Times New Roman" w:cs="Times New Roman" w:eastAsia="Times New Roman" w:hAnsi="Times New Roman"/>
                <w:sz w:val="12"/>
                <w:szCs w:val="12"/>
                <w:color w:val="0000FF"/>
              </w:rPr>
            </w:pPr>
            <w:hyperlink r:id="rId86">
              <w:r>
                <w:rPr>
                  <w:rFonts w:ascii="Times New Roman" w:cs="Times New Roman" w:eastAsia="Times New Roman" w:hAnsi="Times New Roman"/>
                  <w:sz w:val="12"/>
                  <w:szCs w:val="12"/>
                  <w:color w:val="0000FF"/>
                </w:rPr>
                <w:t>Certificate of Amendment to the Restated Certificate of Incorporation of the Company, as filed with the Secretary of</w:t>
              </w:r>
            </w:hyperlink>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920" w:type="dxa"/>
            <w:vAlign w:val="bottom"/>
          </w:tcPr>
          <w:p>
            <w:pPr>
              <w:jc w:val="center"/>
              <w:spacing w:after="0" w:line="113" w:lineRule="exact"/>
              <w:rPr>
                <w:sz w:val="20"/>
                <w:szCs w:val="20"/>
                <w:color w:val="auto"/>
              </w:rPr>
            </w:pPr>
            <w:r>
              <w:rPr>
                <w:rFonts w:ascii="Times New Roman" w:cs="Times New Roman" w:eastAsia="Times New Roman" w:hAnsi="Times New Roman"/>
                <w:sz w:val="12"/>
                <w:szCs w:val="12"/>
                <w:color w:val="auto"/>
              </w:rPr>
              <w:t>3.3</w:t>
            </w:r>
          </w:p>
        </w:tc>
        <w:tc>
          <w:tcPr>
            <w:tcW w:w="2340" w:type="dxa"/>
            <w:vAlign w:val="bottom"/>
            <w:tcBorders>
              <w:top w:val="single" w:sz="8" w:color="0000FF"/>
              <w:bottom w:val="single" w:sz="8" w:color="0000FF"/>
            </w:tcBorders>
            <w:gridSpan w:val="3"/>
          </w:tcPr>
          <w:p>
            <w:pPr>
              <w:spacing w:after="0" w:line="113" w:lineRule="exact"/>
              <w:rPr>
                <w:rFonts w:ascii="Times New Roman" w:cs="Times New Roman" w:eastAsia="Times New Roman" w:hAnsi="Times New Roman"/>
                <w:sz w:val="12"/>
                <w:szCs w:val="12"/>
                <w:color w:val="0000FF"/>
              </w:rPr>
            </w:pPr>
            <w:hyperlink r:id="rId86">
              <w:r>
                <w:rPr>
                  <w:rFonts w:ascii="Times New Roman" w:cs="Times New Roman" w:eastAsia="Times New Roman" w:hAnsi="Times New Roman"/>
                  <w:sz w:val="12"/>
                  <w:szCs w:val="12"/>
                  <w:color w:val="0000FF"/>
                </w:rPr>
                <w:t>State of the State of Delaware on June 25, 2021</w:t>
              </w:r>
            </w:hyperlink>
          </w:p>
        </w:tc>
        <w:tc>
          <w:tcPr>
            <w:tcW w:w="3360" w:type="dxa"/>
            <w:vAlign w:val="bottom"/>
            <w:tcBorders>
              <w:top w:val="single" w:sz="8" w:color="0000FF"/>
            </w:tcBorders>
            <w:gridSpan w:val="9"/>
          </w:tcPr>
          <w:p>
            <w:pPr>
              <w:spacing w:after="0"/>
              <w:rPr>
                <w:sz w:val="10"/>
                <w:szCs w:val="10"/>
                <w:color w:val="auto"/>
              </w:rPr>
            </w:pPr>
          </w:p>
        </w:tc>
        <w:tc>
          <w:tcPr>
            <w:tcW w:w="140" w:type="dxa"/>
            <w:vAlign w:val="bottom"/>
            <w:gridSpan w:val="2"/>
          </w:tcPr>
          <w:p>
            <w:pPr>
              <w:spacing w:after="0"/>
              <w:rPr>
                <w:sz w:val="10"/>
                <w:szCs w:val="10"/>
                <w:color w:val="auto"/>
              </w:rPr>
            </w:pPr>
          </w:p>
        </w:tc>
        <w:tc>
          <w:tcPr>
            <w:tcW w:w="540" w:type="dxa"/>
            <w:vAlign w:val="bottom"/>
          </w:tcPr>
          <w:p>
            <w:pPr>
              <w:jc w:val="center"/>
              <w:spacing w:after="0" w:line="113" w:lineRule="exact"/>
              <w:rPr>
                <w:sz w:val="20"/>
                <w:szCs w:val="20"/>
                <w:color w:val="auto"/>
              </w:rPr>
            </w:pPr>
            <w:r>
              <w:rPr>
                <w:rFonts w:ascii="Times New Roman" w:cs="Times New Roman" w:eastAsia="Times New Roman" w:hAnsi="Times New Roman"/>
                <w:sz w:val="12"/>
                <w:szCs w:val="12"/>
                <w:color w:val="auto"/>
              </w:rPr>
              <w:t>8-K</w:t>
            </w:r>
          </w:p>
        </w:tc>
        <w:tc>
          <w:tcPr>
            <w:tcW w:w="1020" w:type="dxa"/>
            <w:vAlign w:val="bottom"/>
          </w:tcPr>
          <w:p>
            <w:pPr>
              <w:jc w:val="right"/>
              <w:spacing w:after="0" w:line="113" w:lineRule="exact"/>
              <w:rPr>
                <w:sz w:val="20"/>
                <w:szCs w:val="20"/>
                <w:color w:val="auto"/>
              </w:rPr>
            </w:pPr>
            <w:r>
              <w:rPr>
                <w:rFonts w:ascii="Times New Roman" w:cs="Times New Roman" w:eastAsia="Times New Roman" w:hAnsi="Times New Roman"/>
                <w:sz w:val="12"/>
                <w:szCs w:val="12"/>
                <w:color w:val="auto"/>
              </w:rPr>
              <w:t>001-35890</w:t>
            </w:r>
          </w:p>
        </w:tc>
        <w:tc>
          <w:tcPr>
            <w:tcW w:w="480" w:type="dxa"/>
            <w:vAlign w:val="bottom"/>
          </w:tcPr>
          <w:p>
            <w:pPr>
              <w:jc w:val="center"/>
              <w:spacing w:after="0" w:line="113" w:lineRule="exact"/>
              <w:rPr>
                <w:sz w:val="20"/>
                <w:szCs w:val="20"/>
                <w:color w:val="auto"/>
              </w:rPr>
            </w:pPr>
            <w:r>
              <w:rPr>
                <w:rFonts w:ascii="Times New Roman" w:cs="Times New Roman" w:eastAsia="Times New Roman" w:hAnsi="Times New Roman"/>
                <w:sz w:val="12"/>
                <w:szCs w:val="12"/>
                <w:color w:val="auto"/>
                <w:w w:val="93"/>
              </w:rPr>
              <w:t>3.2</w:t>
            </w:r>
          </w:p>
        </w:tc>
        <w:tc>
          <w:tcPr>
            <w:tcW w:w="840" w:type="dxa"/>
            <w:vAlign w:val="bottom"/>
          </w:tcPr>
          <w:p>
            <w:pPr>
              <w:jc w:val="right"/>
              <w:ind w:right="19"/>
              <w:spacing w:after="0" w:line="113" w:lineRule="exact"/>
              <w:rPr>
                <w:sz w:val="20"/>
                <w:szCs w:val="20"/>
                <w:color w:val="auto"/>
              </w:rPr>
            </w:pPr>
            <w:r>
              <w:rPr>
                <w:rFonts w:ascii="Times New Roman" w:cs="Times New Roman" w:eastAsia="Times New Roman" w:hAnsi="Times New Roman"/>
                <w:sz w:val="12"/>
                <w:szCs w:val="12"/>
                <w:color w:val="auto"/>
              </w:rPr>
              <w:t>6/28/2021</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3.4</w:t>
            </w:r>
          </w:p>
        </w:tc>
        <w:tc>
          <w:tcPr>
            <w:tcW w:w="5840" w:type="dxa"/>
            <w:vAlign w:val="bottom"/>
            <w:gridSpan w:val="14"/>
          </w:tcPr>
          <w:p>
            <w:pPr>
              <w:spacing w:after="0"/>
              <w:rPr>
                <w:rFonts w:ascii="Times New Roman" w:cs="Times New Roman" w:eastAsia="Times New Roman" w:hAnsi="Times New Roman"/>
                <w:sz w:val="12"/>
                <w:szCs w:val="12"/>
                <w:color w:val="0000FF"/>
              </w:rPr>
            </w:pPr>
            <w:hyperlink r:id="rId87">
              <w:r>
                <w:rPr>
                  <w:rFonts w:ascii="Times New Roman" w:cs="Times New Roman" w:eastAsia="Times New Roman" w:hAnsi="Times New Roman"/>
                  <w:sz w:val="12"/>
                  <w:szCs w:val="12"/>
                  <w:color w:val="0000FF"/>
                </w:rPr>
                <w:t>Amended and Restated Bylaws of the Registrant</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8-K</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001-35890</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3.1</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9/24/2021</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4.1</w:t>
            </w:r>
          </w:p>
        </w:tc>
        <w:tc>
          <w:tcPr>
            <w:tcW w:w="2380" w:type="dxa"/>
            <w:vAlign w:val="bottom"/>
            <w:tcBorders>
              <w:top w:val="single" w:sz="8" w:color="0000FF"/>
            </w:tcBorders>
            <w:gridSpan w:val="4"/>
          </w:tcPr>
          <w:p>
            <w:pPr>
              <w:spacing w:after="0"/>
              <w:rPr>
                <w:rFonts w:ascii="Times New Roman" w:cs="Times New Roman" w:eastAsia="Times New Roman" w:hAnsi="Times New Roman"/>
                <w:sz w:val="12"/>
                <w:szCs w:val="12"/>
                <w:color w:val="0000FF"/>
              </w:rPr>
            </w:pPr>
            <w:hyperlink r:id="rId88">
              <w:r>
                <w:rPr>
                  <w:rFonts w:ascii="Times New Roman" w:cs="Times New Roman" w:eastAsia="Times New Roman" w:hAnsi="Times New Roman"/>
                  <w:sz w:val="12"/>
                  <w:szCs w:val="12"/>
                  <w:color w:val="0000FF"/>
                </w:rPr>
                <w:t>Form of Pre-Funded Warrant</w:t>
              </w:r>
            </w:hyperlink>
          </w:p>
        </w:tc>
        <w:tc>
          <w:tcPr>
            <w:tcW w:w="3460" w:type="dxa"/>
            <w:vAlign w:val="bottom"/>
            <w:gridSpan w:val="10"/>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8-K</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001-35890</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4.1</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5/2/2022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10.1</w:t>
            </w:r>
          </w:p>
        </w:tc>
        <w:tc>
          <w:tcPr>
            <w:tcW w:w="40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2"/>
                <w:szCs w:val="12"/>
                <w:color w:val="0000FF"/>
              </w:rPr>
              <w:t>Written Agreement &amp; Consent of Warrant Holders and Tempest Therapeutics, Inc.</w:t>
            </w:r>
          </w:p>
        </w:tc>
        <w:tc>
          <w:tcPr>
            <w:tcW w:w="1800" w:type="dxa"/>
            <w:vAlign w:val="bottom"/>
            <w:gridSpan w:val="8"/>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jc w:val="center"/>
              <w:ind w:right="19"/>
              <w:spacing w:after="0"/>
              <w:rPr>
                <w:sz w:val="20"/>
                <w:szCs w:val="20"/>
                <w:color w:val="auto"/>
              </w:rPr>
            </w:pPr>
            <w:r>
              <w:rPr>
                <w:rFonts w:ascii="Times New Roman" w:cs="Times New Roman" w:eastAsia="Times New Roman" w:hAnsi="Times New Roman"/>
                <w:sz w:val="12"/>
                <w:szCs w:val="12"/>
                <w:color w:val="auto"/>
                <w:w w:val="91"/>
              </w:rPr>
              <w:t>X</w:t>
            </w:r>
          </w:p>
        </w:tc>
        <w:tc>
          <w:tcPr>
            <w:tcW w:w="0" w:type="dxa"/>
            <w:vAlign w:val="bottom"/>
          </w:tcPr>
          <w:p>
            <w:pPr>
              <w:spacing w:after="0"/>
              <w:rPr>
                <w:sz w:val="1"/>
                <w:szCs w:val="1"/>
                <w:color w:val="auto"/>
              </w:rPr>
            </w:pPr>
          </w:p>
        </w:tc>
      </w:tr>
      <w:tr>
        <w:trPr>
          <w:trHeight w:val="164"/>
        </w:trPr>
        <w:tc>
          <w:tcPr>
            <w:tcW w:w="920" w:type="dxa"/>
            <w:vAlign w:val="bottom"/>
          </w:tcPr>
          <w:p>
            <w:pPr>
              <w:spacing w:after="0"/>
              <w:rPr>
                <w:sz w:val="14"/>
                <w:szCs w:val="14"/>
                <w:color w:val="auto"/>
              </w:rPr>
            </w:pPr>
          </w:p>
        </w:tc>
        <w:tc>
          <w:tcPr>
            <w:tcW w:w="5840" w:type="dxa"/>
            <w:vAlign w:val="bottom"/>
            <w:gridSpan w:val="14"/>
          </w:tcPr>
          <w:p>
            <w:pPr>
              <w:spacing w:after="0"/>
              <w:rPr>
                <w:sz w:val="20"/>
                <w:szCs w:val="20"/>
                <w:color w:val="auto"/>
              </w:rPr>
            </w:pPr>
            <w:r>
              <w:rPr>
                <w:rFonts w:ascii="Times New Roman" w:cs="Times New Roman" w:eastAsia="Times New Roman" w:hAnsi="Times New Roman"/>
                <w:sz w:val="12"/>
                <w:szCs w:val="12"/>
                <w:color w:val="0000FF"/>
              </w:rPr>
              <w:t>Certification of Principal Executive Officer pursuant to Rules 13a-14(a) and 15d-14(a) promulgated under the</w:t>
            </w: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920" w:type="dxa"/>
            <w:vAlign w:val="bottom"/>
          </w:tcPr>
          <w:p>
            <w:pPr>
              <w:jc w:val="center"/>
              <w:spacing w:after="0" w:line="113" w:lineRule="exact"/>
              <w:rPr>
                <w:sz w:val="20"/>
                <w:szCs w:val="20"/>
                <w:color w:val="auto"/>
              </w:rPr>
            </w:pPr>
            <w:r>
              <w:rPr>
                <w:rFonts w:ascii="Times New Roman" w:cs="Times New Roman" w:eastAsia="Times New Roman" w:hAnsi="Times New Roman"/>
                <w:sz w:val="12"/>
                <w:szCs w:val="12"/>
                <w:color w:val="auto"/>
              </w:rPr>
              <w:t>31.1</w:t>
            </w:r>
          </w:p>
        </w:tc>
        <w:tc>
          <w:tcPr>
            <w:tcW w:w="5380" w:type="dxa"/>
            <w:vAlign w:val="bottom"/>
            <w:tcBorders>
              <w:top w:val="single" w:sz="8" w:color="0000FF"/>
            </w:tcBorders>
            <w:gridSpan w:val="9"/>
          </w:tcPr>
          <w:p>
            <w:pPr>
              <w:spacing w:after="0" w:line="113" w:lineRule="exact"/>
              <w:rPr>
                <w:sz w:val="20"/>
                <w:szCs w:val="20"/>
                <w:color w:val="auto"/>
              </w:rPr>
            </w:pPr>
            <w:r>
              <w:rPr>
                <w:rFonts w:ascii="Times New Roman" w:cs="Times New Roman" w:eastAsia="Times New Roman" w:hAnsi="Times New Roman"/>
                <w:sz w:val="12"/>
                <w:szCs w:val="12"/>
                <w:color w:val="0000FF"/>
              </w:rPr>
              <w:t>Securities Exchange Act of 1934, as adopted pursuant to Section 302 of the Sarbanes-Oxley Act of 2002</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gridSpan w:val="3"/>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0" w:type="dxa"/>
            <w:vAlign w:val="bottom"/>
          </w:tcPr>
          <w:p>
            <w:pPr>
              <w:jc w:val="center"/>
              <w:ind w:right="19"/>
              <w:spacing w:after="0" w:line="113" w:lineRule="exact"/>
              <w:rPr>
                <w:sz w:val="20"/>
                <w:szCs w:val="20"/>
                <w:color w:val="auto"/>
              </w:rPr>
            </w:pPr>
            <w:r>
              <w:rPr>
                <w:rFonts w:ascii="Times New Roman" w:cs="Times New Roman" w:eastAsia="Times New Roman" w:hAnsi="Times New Roman"/>
                <w:sz w:val="12"/>
                <w:szCs w:val="12"/>
                <w:color w:val="auto"/>
                <w:w w:val="91"/>
              </w:rPr>
              <w:t>X</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276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20" w:type="dxa"/>
            <w:vAlign w:val="bottom"/>
          </w:tcPr>
          <w:p>
            <w:pPr>
              <w:spacing w:after="0"/>
              <w:rPr>
                <w:sz w:val="15"/>
                <w:szCs w:val="15"/>
                <w:color w:val="auto"/>
              </w:rPr>
            </w:pPr>
          </w:p>
        </w:tc>
        <w:tc>
          <w:tcPr>
            <w:tcW w:w="5840" w:type="dxa"/>
            <w:vAlign w:val="bottom"/>
            <w:gridSpan w:val="14"/>
          </w:tcPr>
          <w:p>
            <w:pPr>
              <w:spacing w:after="0"/>
              <w:rPr>
                <w:sz w:val="20"/>
                <w:szCs w:val="20"/>
                <w:color w:val="auto"/>
              </w:rPr>
            </w:pPr>
            <w:r>
              <w:rPr>
                <w:rFonts w:ascii="Times New Roman" w:cs="Times New Roman" w:eastAsia="Times New Roman" w:hAnsi="Times New Roman"/>
                <w:sz w:val="12"/>
                <w:szCs w:val="12"/>
                <w:color w:val="0000FF"/>
              </w:rPr>
              <w:t>Certification of Principal Financial Officer pursuant to Rules 13a-14(a) and 15d-14(a) promulgated under the</w:t>
            </w: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920" w:type="dxa"/>
            <w:vAlign w:val="bottom"/>
          </w:tcPr>
          <w:p>
            <w:pPr>
              <w:jc w:val="center"/>
              <w:spacing w:after="0" w:line="113" w:lineRule="exact"/>
              <w:rPr>
                <w:sz w:val="20"/>
                <w:szCs w:val="20"/>
                <w:color w:val="auto"/>
              </w:rPr>
            </w:pPr>
            <w:r>
              <w:rPr>
                <w:rFonts w:ascii="Times New Roman" w:cs="Times New Roman" w:eastAsia="Times New Roman" w:hAnsi="Times New Roman"/>
                <w:sz w:val="12"/>
                <w:szCs w:val="12"/>
                <w:color w:val="auto"/>
              </w:rPr>
              <w:t>31.2</w:t>
            </w:r>
          </w:p>
        </w:tc>
        <w:tc>
          <w:tcPr>
            <w:tcW w:w="5340" w:type="dxa"/>
            <w:vAlign w:val="bottom"/>
            <w:tcBorders>
              <w:top w:val="single" w:sz="8" w:color="0000FF"/>
            </w:tcBorders>
            <w:gridSpan w:val="8"/>
          </w:tcPr>
          <w:p>
            <w:pPr>
              <w:spacing w:after="0" w:line="113" w:lineRule="exact"/>
              <w:rPr>
                <w:sz w:val="20"/>
                <w:szCs w:val="20"/>
                <w:color w:val="auto"/>
              </w:rPr>
            </w:pPr>
            <w:r>
              <w:rPr>
                <w:rFonts w:ascii="Times New Roman" w:cs="Times New Roman" w:eastAsia="Times New Roman" w:hAnsi="Times New Roman"/>
                <w:sz w:val="12"/>
                <w:szCs w:val="12"/>
                <w:color w:val="0000FF"/>
              </w:rPr>
              <w:t>Securities Exchange Act of 1934, as adopted pursuant to section 302 of the Sarbanes-Oxley Act of 2002</w:t>
            </w:r>
          </w:p>
        </w:tc>
        <w:tc>
          <w:tcPr>
            <w:tcW w:w="20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gridSpan w:val="3"/>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0" w:type="dxa"/>
            <w:vAlign w:val="bottom"/>
          </w:tcPr>
          <w:p>
            <w:pPr>
              <w:jc w:val="center"/>
              <w:ind w:right="19"/>
              <w:spacing w:after="0" w:line="113" w:lineRule="exact"/>
              <w:rPr>
                <w:sz w:val="20"/>
                <w:szCs w:val="20"/>
                <w:color w:val="auto"/>
              </w:rPr>
            </w:pPr>
            <w:r>
              <w:rPr>
                <w:rFonts w:ascii="Times New Roman" w:cs="Times New Roman" w:eastAsia="Times New Roman" w:hAnsi="Times New Roman"/>
                <w:sz w:val="12"/>
                <w:szCs w:val="12"/>
                <w:color w:val="auto"/>
                <w:w w:val="91"/>
              </w:rPr>
              <w:t>X</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2760" w:type="dxa"/>
            <w:vAlign w:val="bottom"/>
            <w:gridSpan w:val="4"/>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20" w:type="dxa"/>
            <w:vAlign w:val="bottom"/>
          </w:tcPr>
          <w:p>
            <w:pPr>
              <w:spacing w:after="0"/>
              <w:rPr>
                <w:sz w:val="15"/>
                <w:szCs w:val="15"/>
                <w:color w:val="auto"/>
              </w:rPr>
            </w:pPr>
          </w:p>
        </w:tc>
        <w:tc>
          <w:tcPr>
            <w:tcW w:w="5840" w:type="dxa"/>
            <w:vAlign w:val="bottom"/>
            <w:gridSpan w:val="14"/>
          </w:tcPr>
          <w:p>
            <w:pPr>
              <w:spacing w:after="0"/>
              <w:rPr>
                <w:sz w:val="20"/>
                <w:szCs w:val="20"/>
                <w:color w:val="auto"/>
              </w:rPr>
            </w:pPr>
            <w:r>
              <w:rPr>
                <w:rFonts w:ascii="Times New Roman" w:cs="Times New Roman" w:eastAsia="Times New Roman" w:hAnsi="Times New Roman"/>
                <w:sz w:val="12"/>
                <w:szCs w:val="12"/>
                <w:color w:val="0000FF"/>
              </w:rPr>
              <w:t>Certification of Principal Executive Officer and Principal Financial Officer pursuant to Rules 13a-14(b) and 15d-</w:t>
            </w: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3200" w:type="dxa"/>
            <w:vAlign w:val="bottom"/>
            <w:gridSpan w:val="7"/>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3"/>
              </w:rPr>
              <w:t>32.1</w:t>
            </w:r>
            <w:r>
              <w:rPr>
                <w:rFonts w:ascii="Times New Roman" w:cs="Times New Roman" w:eastAsia="Times New Roman" w:hAnsi="Times New Roman"/>
                <w:sz w:val="15"/>
                <w:szCs w:val="15"/>
                <w:color w:val="auto"/>
                <w:w w:val="93"/>
                <w:vertAlign w:val="superscript"/>
              </w:rPr>
              <w:t>^</w:t>
            </w:r>
          </w:p>
        </w:tc>
        <w:tc>
          <w:tcPr>
            <w:tcW w:w="5840" w:type="dxa"/>
            <w:vAlign w:val="bottom"/>
            <w:gridSpan w:val="14"/>
          </w:tcPr>
          <w:p>
            <w:pPr>
              <w:spacing w:after="0" w:line="123" w:lineRule="exact"/>
              <w:rPr>
                <w:sz w:val="20"/>
                <w:szCs w:val="20"/>
                <w:color w:val="auto"/>
              </w:rPr>
            </w:pPr>
            <w:r>
              <w:rPr>
                <w:rFonts w:ascii="Times New Roman" w:cs="Times New Roman" w:eastAsia="Times New Roman" w:hAnsi="Times New Roman"/>
                <w:sz w:val="12"/>
                <w:szCs w:val="12"/>
                <w:color w:val="0000FF"/>
              </w:rPr>
              <w:t>14(b) promulgated under the Securities Exchange Act of 1934 and 18 U.S.C. Section 1350, as adopted pursuant to</w:t>
            </w:r>
          </w:p>
        </w:tc>
        <w:tc>
          <w:tcPr>
            <w:tcW w:w="5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920" w:type="dxa"/>
            <w:vAlign w:val="bottom"/>
            <w:vMerge w:val="continue"/>
          </w:tcPr>
          <w:p>
            <w:pPr>
              <w:spacing w:after="0"/>
              <w:rPr>
                <w:sz w:val="10"/>
                <w:szCs w:val="10"/>
                <w:color w:val="auto"/>
              </w:rPr>
            </w:pPr>
          </w:p>
        </w:tc>
        <w:tc>
          <w:tcPr>
            <w:tcW w:w="5600" w:type="dxa"/>
            <w:vAlign w:val="bottom"/>
            <w:tcBorders>
              <w:top w:val="single" w:sz="8" w:color="0000FF"/>
            </w:tcBorders>
            <w:gridSpan w:val="11"/>
          </w:tcPr>
          <w:p>
            <w:pPr>
              <w:spacing w:after="0" w:line="113" w:lineRule="exact"/>
              <w:rPr>
                <w:sz w:val="20"/>
                <w:szCs w:val="20"/>
                <w:color w:val="auto"/>
              </w:rPr>
            </w:pPr>
            <w:r>
              <w:rPr>
                <w:rFonts w:ascii="Times New Roman" w:cs="Times New Roman" w:eastAsia="Times New Roman" w:hAnsi="Times New Roman"/>
                <w:sz w:val="12"/>
                <w:szCs w:val="12"/>
                <w:color w:val="0000FF"/>
              </w:rPr>
              <w:t>section 906 of The Sarbanes-Oxley Act of 2002</w:t>
            </w:r>
          </w:p>
        </w:tc>
        <w:tc>
          <w:tcPr>
            <w:tcW w:w="240" w:type="dxa"/>
            <w:vAlign w:val="bottom"/>
            <w:gridSpan w:val="3"/>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0" w:type="dxa"/>
            <w:vAlign w:val="bottom"/>
          </w:tcPr>
          <w:p>
            <w:pPr>
              <w:jc w:val="center"/>
              <w:ind w:right="19"/>
              <w:spacing w:after="0" w:line="113" w:lineRule="exact"/>
              <w:rPr>
                <w:sz w:val="20"/>
                <w:szCs w:val="20"/>
                <w:color w:val="auto"/>
              </w:rPr>
            </w:pPr>
            <w:r>
              <w:rPr>
                <w:rFonts w:ascii="Times New Roman" w:cs="Times New Roman" w:eastAsia="Times New Roman" w:hAnsi="Times New Roman"/>
                <w:sz w:val="12"/>
                <w:szCs w:val="12"/>
                <w:color w:val="auto"/>
                <w:w w:val="91"/>
              </w:rPr>
              <w:t>X</w:t>
            </w:r>
          </w:p>
        </w:tc>
        <w:tc>
          <w:tcPr>
            <w:tcW w:w="0" w:type="dxa"/>
            <w:vAlign w:val="bottom"/>
          </w:tcPr>
          <w:p>
            <w:pPr>
              <w:spacing w:after="0"/>
              <w:rPr>
                <w:sz w:val="1"/>
                <w:szCs w:val="1"/>
                <w:color w:val="auto"/>
              </w:rPr>
            </w:pPr>
          </w:p>
        </w:tc>
      </w:tr>
      <w:tr>
        <w:trPr>
          <w:trHeight w:val="200"/>
        </w:trPr>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101.INS</w:t>
            </w:r>
          </w:p>
        </w:tc>
        <w:tc>
          <w:tcPr>
            <w:tcW w:w="23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2"/>
                <w:szCs w:val="12"/>
                <w:color w:val="auto"/>
              </w:rPr>
              <w:t>Inline XBRL Instance Document</w:t>
            </w:r>
          </w:p>
        </w:tc>
        <w:tc>
          <w:tcPr>
            <w:tcW w:w="3500" w:type="dxa"/>
            <w:vAlign w:val="bottom"/>
            <w:gridSpan w:val="11"/>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jc w:val="center"/>
              <w:ind w:right="19"/>
              <w:spacing w:after="0"/>
              <w:rPr>
                <w:sz w:val="20"/>
                <w:szCs w:val="20"/>
                <w:color w:val="auto"/>
              </w:rPr>
            </w:pPr>
            <w:r>
              <w:rPr>
                <w:rFonts w:ascii="Times New Roman" w:cs="Times New Roman" w:eastAsia="Times New Roman" w:hAnsi="Times New Roman"/>
                <w:sz w:val="12"/>
                <w:szCs w:val="12"/>
                <w:color w:val="auto"/>
                <w:w w:val="91"/>
              </w:rPr>
              <w:t>X</w:t>
            </w:r>
          </w:p>
        </w:tc>
        <w:tc>
          <w:tcPr>
            <w:tcW w:w="0" w:type="dxa"/>
            <w:vAlign w:val="bottom"/>
          </w:tcPr>
          <w:p>
            <w:pPr>
              <w:spacing w:after="0"/>
              <w:rPr>
                <w:sz w:val="1"/>
                <w:szCs w:val="1"/>
                <w:color w:val="auto"/>
              </w:rPr>
            </w:pPr>
          </w:p>
        </w:tc>
      </w:tr>
      <w:tr>
        <w:trPr>
          <w:trHeight w:val="184"/>
        </w:trPr>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101.SCH</w:t>
            </w:r>
          </w:p>
        </w:tc>
        <w:tc>
          <w:tcPr>
            <w:tcW w:w="5840" w:type="dxa"/>
            <w:vAlign w:val="bottom"/>
            <w:gridSpan w:val="14"/>
          </w:tcPr>
          <w:p>
            <w:pPr>
              <w:spacing w:after="0"/>
              <w:rPr>
                <w:sz w:val="20"/>
                <w:szCs w:val="20"/>
                <w:color w:val="auto"/>
              </w:rPr>
            </w:pPr>
            <w:r>
              <w:rPr>
                <w:rFonts w:ascii="Times New Roman" w:cs="Times New Roman" w:eastAsia="Times New Roman" w:hAnsi="Times New Roman"/>
                <w:sz w:val="12"/>
                <w:szCs w:val="12"/>
                <w:color w:val="auto"/>
              </w:rPr>
              <w:t>Inline XBRL Taxonomy Extension Schema Document</w:t>
            </w: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jc w:val="center"/>
              <w:ind w:right="19"/>
              <w:spacing w:after="0"/>
              <w:rPr>
                <w:sz w:val="20"/>
                <w:szCs w:val="20"/>
                <w:color w:val="auto"/>
              </w:rPr>
            </w:pPr>
            <w:r>
              <w:rPr>
                <w:rFonts w:ascii="Times New Roman" w:cs="Times New Roman" w:eastAsia="Times New Roman" w:hAnsi="Times New Roman"/>
                <w:sz w:val="12"/>
                <w:szCs w:val="12"/>
                <w:color w:val="auto"/>
                <w:w w:val="91"/>
              </w:rPr>
              <w:t>X</w:t>
            </w:r>
          </w:p>
        </w:tc>
        <w:tc>
          <w:tcPr>
            <w:tcW w:w="0" w:type="dxa"/>
            <w:vAlign w:val="bottom"/>
          </w:tcPr>
          <w:p>
            <w:pPr>
              <w:spacing w:after="0"/>
              <w:rPr>
                <w:sz w:val="1"/>
                <w:szCs w:val="1"/>
                <w:color w:val="auto"/>
              </w:rPr>
            </w:pPr>
          </w:p>
        </w:tc>
      </w:tr>
      <w:tr>
        <w:trPr>
          <w:trHeight w:val="184"/>
        </w:trPr>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101.CAL</w:t>
            </w:r>
          </w:p>
        </w:tc>
        <w:tc>
          <w:tcPr>
            <w:tcW w:w="5840" w:type="dxa"/>
            <w:vAlign w:val="bottom"/>
            <w:gridSpan w:val="14"/>
          </w:tcPr>
          <w:p>
            <w:pPr>
              <w:spacing w:after="0"/>
              <w:rPr>
                <w:sz w:val="20"/>
                <w:szCs w:val="20"/>
                <w:color w:val="auto"/>
              </w:rPr>
            </w:pPr>
            <w:r>
              <w:rPr>
                <w:rFonts w:ascii="Times New Roman" w:cs="Times New Roman" w:eastAsia="Times New Roman" w:hAnsi="Times New Roman"/>
                <w:sz w:val="12"/>
                <w:szCs w:val="12"/>
                <w:color w:val="auto"/>
              </w:rPr>
              <w:t>Inline XBRL Taxonomy Extension Calculation Linkbase Document</w:t>
            </w: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jc w:val="center"/>
              <w:ind w:right="19"/>
              <w:spacing w:after="0"/>
              <w:rPr>
                <w:sz w:val="20"/>
                <w:szCs w:val="20"/>
                <w:color w:val="auto"/>
              </w:rPr>
            </w:pPr>
            <w:r>
              <w:rPr>
                <w:rFonts w:ascii="Times New Roman" w:cs="Times New Roman" w:eastAsia="Times New Roman" w:hAnsi="Times New Roman"/>
                <w:sz w:val="12"/>
                <w:szCs w:val="12"/>
                <w:color w:val="auto"/>
                <w:w w:val="91"/>
              </w:rPr>
              <w:t>X</w:t>
            </w:r>
          </w:p>
        </w:tc>
        <w:tc>
          <w:tcPr>
            <w:tcW w:w="0" w:type="dxa"/>
            <w:vAlign w:val="bottom"/>
          </w:tcPr>
          <w:p>
            <w:pPr>
              <w:spacing w:after="0"/>
              <w:rPr>
                <w:sz w:val="1"/>
                <w:szCs w:val="1"/>
                <w:color w:val="auto"/>
              </w:rPr>
            </w:pPr>
          </w:p>
        </w:tc>
      </w:tr>
      <w:tr>
        <w:trPr>
          <w:trHeight w:val="184"/>
        </w:trPr>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101.DEF</w:t>
            </w:r>
          </w:p>
        </w:tc>
        <w:tc>
          <w:tcPr>
            <w:tcW w:w="5840" w:type="dxa"/>
            <w:vAlign w:val="bottom"/>
            <w:gridSpan w:val="14"/>
          </w:tcPr>
          <w:p>
            <w:pPr>
              <w:spacing w:after="0"/>
              <w:rPr>
                <w:sz w:val="20"/>
                <w:szCs w:val="20"/>
                <w:color w:val="auto"/>
              </w:rPr>
            </w:pPr>
            <w:r>
              <w:rPr>
                <w:rFonts w:ascii="Times New Roman" w:cs="Times New Roman" w:eastAsia="Times New Roman" w:hAnsi="Times New Roman"/>
                <w:sz w:val="12"/>
                <w:szCs w:val="12"/>
                <w:color w:val="auto"/>
              </w:rPr>
              <w:t>Inline XBRL Taxonomy Extension Definition Linkbase Document</w:t>
            </w: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jc w:val="center"/>
              <w:ind w:right="19"/>
              <w:spacing w:after="0"/>
              <w:rPr>
                <w:sz w:val="20"/>
                <w:szCs w:val="20"/>
                <w:color w:val="auto"/>
              </w:rPr>
            </w:pPr>
            <w:r>
              <w:rPr>
                <w:rFonts w:ascii="Times New Roman" w:cs="Times New Roman" w:eastAsia="Times New Roman" w:hAnsi="Times New Roman"/>
                <w:sz w:val="12"/>
                <w:szCs w:val="12"/>
                <w:color w:val="auto"/>
                <w:w w:val="91"/>
              </w:rPr>
              <w:t>X</w:t>
            </w:r>
          </w:p>
        </w:tc>
        <w:tc>
          <w:tcPr>
            <w:tcW w:w="0" w:type="dxa"/>
            <w:vAlign w:val="bottom"/>
          </w:tcPr>
          <w:p>
            <w:pPr>
              <w:spacing w:after="0"/>
              <w:rPr>
                <w:sz w:val="1"/>
                <w:szCs w:val="1"/>
                <w:color w:val="auto"/>
              </w:rPr>
            </w:pPr>
          </w:p>
        </w:tc>
      </w:tr>
      <w:tr>
        <w:trPr>
          <w:trHeight w:val="184"/>
        </w:trPr>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101.LAB</w:t>
            </w:r>
          </w:p>
        </w:tc>
        <w:tc>
          <w:tcPr>
            <w:tcW w:w="5840" w:type="dxa"/>
            <w:vAlign w:val="bottom"/>
            <w:gridSpan w:val="14"/>
          </w:tcPr>
          <w:p>
            <w:pPr>
              <w:spacing w:after="0"/>
              <w:rPr>
                <w:sz w:val="20"/>
                <w:szCs w:val="20"/>
                <w:color w:val="auto"/>
              </w:rPr>
            </w:pPr>
            <w:r>
              <w:rPr>
                <w:rFonts w:ascii="Times New Roman" w:cs="Times New Roman" w:eastAsia="Times New Roman" w:hAnsi="Times New Roman"/>
                <w:sz w:val="12"/>
                <w:szCs w:val="12"/>
                <w:color w:val="auto"/>
              </w:rPr>
              <w:t>Inline XBRL Taxonomy Extension Label Linkbase Document</w:t>
            </w: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jc w:val="center"/>
              <w:ind w:right="19"/>
              <w:spacing w:after="0"/>
              <w:rPr>
                <w:sz w:val="20"/>
                <w:szCs w:val="20"/>
                <w:color w:val="auto"/>
              </w:rPr>
            </w:pPr>
            <w:r>
              <w:rPr>
                <w:rFonts w:ascii="Times New Roman" w:cs="Times New Roman" w:eastAsia="Times New Roman" w:hAnsi="Times New Roman"/>
                <w:sz w:val="12"/>
                <w:szCs w:val="12"/>
                <w:color w:val="auto"/>
                <w:w w:val="91"/>
              </w:rPr>
              <w:t>X</w:t>
            </w:r>
          </w:p>
        </w:tc>
        <w:tc>
          <w:tcPr>
            <w:tcW w:w="0" w:type="dxa"/>
            <w:vAlign w:val="bottom"/>
          </w:tcPr>
          <w:p>
            <w:pPr>
              <w:spacing w:after="0"/>
              <w:rPr>
                <w:sz w:val="1"/>
                <w:szCs w:val="1"/>
                <w:color w:val="auto"/>
              </w:rPr>
            </w:pPr>
          </w:p>
        </w:tc>
      </w:tr>
      <w:tr>
        <w:trPr>
          <w:trHeight w:val="184"/>
        </w:trPr>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101.PRE</w:t>
            </w:r>
          </w:p>
        </w:tc>
        <w:tc>
          <w:tcPr>
            <w:tcW w:w="5840" w:type="dxa"/>
            <w:vAlign w:val="bottom"/>
            <w:gridSpan w:val="14"/>
          </w:tcPr>
          <w:p>
            <w:pPr>
              <w:spacing w:after="0"/>
              <w:rPr>
                <w:sz w:val="20"/>
                <w:szCs w:val="20"/>
                <w:color w:val="auto"/>
              </w:rPr>
            </w:pPr>
            <w:r>
              <w:rPr>
                <w:rFonts w:ascii="Times New Roman" w:cs="Times New Roman" w:eastAsia="Times New Roman" w:hAnsi="Times New Roman"/>
                <w:sz w:val="12"/>
                <w:szCs w:val="12"/>
                <w:color w:val="auto"/>
              </w:rPr>
              <w:t>Inline XBRL Taxonomy Extension Presentation Linkbase Document</w:t>
            </w: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jc w:val="center"/>
              <w:ind w:right="19"/>
              <w:spacing w:after="0"/>
              <w:rPr>
                <w:sz w:val="20"/>
                <w:szCs w:val="20"/>
                <w:color w:val="auto"/>
              </w:rPr>
            </w:pPr>
            <w:r>
              <w:rPr>
                <w:rFonts w:ascii="Times New Roman" w:cs="Times New Roman" w:eastAsia="Times New Roman" w:hAnsi="Times New Roman"/>
                <w:sz w:val="12"/>
                <w:szCs w:val="12"/>
                <w:color w:val="auto"/>
                <w:w w:val="91"/>
              </w:rPr>
              <w:t>X</w:t>
            </w: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color w:val="auto"/>
        </w:rPr>
        <w:t>The cover page from the Company’s Quarterly Report on Form 10-Q for the quarter ended September 30, 2022, has</w:t>
      </w:r>
    </w:p>
    <w:p>
      <w:pPr>
        <w:spacing w:after="0" w:line="9" w:lineRule="exact"/>
        <w:rPr>
          <w:sz w:val="20"/>
          <w:szCs w:val="20"/>
          <w:color w:val="auto"/>
        </w:rPr>
      </w:pPr>
    </w:p>
    <w:p>
      <w:pPr>
        <w:ind w:left="1160" w:hanging="556"/>
        <w:spacing w:after="0"/>
        <w:tabs>
          <w:tab w:leader="none" w:pos="1160" w:val="left"/>
        </w:tabs>
        <w:numPr>
          <w:ilvl w:val="1"/>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been formatted in Inline XBRL.</w:t>
      </w:r>
    </w:p>
    <w:p>
      <w:pPr>
        <w:spacing w:after="0" w:line="81" w:lineRule="exact"/>
        <w:rPr>
          <w:rFonts w:ascii="Times New Roman" w:cs="Times New Roman" w:eastAsia="Times New Roman" w:hAnsi="Times New Roman"/>
          <w:sz w:val="12"/>
          <w:szCs w:val="12"/>
          <w:color w:val="auto"/>
        </w:rPr>
      </w:pPr>
    </w:p>
    <w:p>
      <w:pPr>
        <w:jc w:val="both"/>
        <w:ind w:left="440" w:hanging="193"/>
        <w:spacing w:after="0" w:line="254" w:lineRule="auto"/>
        <w:tabs>
          <w:tab w:leader="none" w:pos="508"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345440</wp:posOffset>
            </wp:positionV>
            <wp:extent cx="719137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21" w:right="5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4"/>
          <w:szCs w:val="14"/>
          <w:color w:val="auto"/>
        </w:rPr>
        <w:t>TEMPEST THERAPEUTICS, INC.</w:t>
      </w:r>
    </w:p>
    <w:p>
      <w:pPr>
        <w:spacing w:after="0" w:line="18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Stephen Brady</w:t>
      </w:r>
    </w:p>
    <w:p>
      <w:pPr>
        <w:spacing w:after="0" w:line="1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4"/>
          <w:szCs w:val="14"/>
          <w:color w:val="auto"/>
        </w:rPr>
        <w:t>Stephen Brady</w:t>
      </w:r>
    </w:p>
    <w:p>
      <w:pPr>
        <w:spacing w:after="0" w:line="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4"/>
          <w:szCs w:val="14"/>
          <w:color w:val="auto"/>
        </w:rPr>
        <w:t>Chief Executive Officer (Principal Executive Officer)</w:t>
      </w:r>
    </w:p>
    <w:p>
      <w:pPr>
        <w:spacing w:after="0" w:line="17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Nicholas Maestas</w:t>
      </w:r>
    </w:p>
    <w:p>
      <w:pPr>
        <w:ind w:left="3920"/>
        <w:spacing w:after="0" w:line="182" w:lineRule="auto"/>
        <w:rPr>
          <w:sz w:val="20"/>
          <w:szCs w:val="20"/>
          <w:color w:val="auto"/>
        </w:rPr>
      </w:pPr>
      <w:r>
        <w:rPr>
          <w:rFonts w:ascii="Times New Roman" w:cs="Times New Roman" w:eastAsia="Times New Roman" w:hAnsi="Times New Roman"/>
          <w:sz w:val="14"/>
          <w:szCs w:val="14"/>
          <w:color w:val="auto"/>
        </w:rPr>
        <w:t>Nicholas Maestas</w:t>
      </w:r>
    </w:p>
    <w:p>
      <w:pPr>
        <w:ind w:left="3920"/>
        <w:spacing w:after="0" w:line="198" w:lineRule="auto"/>
        <w:rPr>
          <w:sz w:val="20"/>
          <w:szCs w:val="20"/>
          <w:color w:val="auto"/>
        </w:rPr>
      </w:pPr>
      <w:r>
        <w:rPr>
          <w:rFonts w:ascii="Times New Roman" w:cs="Times New Roman" w:eastAsia="Times New Roman" w:hAnsi="Times New Roman"/>
          <w:sz w:val="14"/>
          <w:szCs w:val="14"/>
          <w:color w:val="auto"/>
        </w:rPr>
        <w:t>Vice-President, Strategy and Finance (Principal</w:t>
      </w:r>
    </w:p>
    <w:p>
      <w:pPr>
        <w:ind w:left="3920"/>
        <w:spacing w:after="0"/>
        <w:rPr>
          <w:sz w:val="20"/>
          <w:szCs w:val="20"/>
          <w:color w:val="auto"/>
        </w:rPr>
      </w:pPr>
      <w:r>
        <w:rPr>
          <w:rFonts w:ascii="Times New Roman" w:cs="Times New Roman" w:eastAsia="Times New Roman" w:hAnsi="Times New Roman"/>
          <w:sz w:val="14"/>
          <w:szCs w:val="14"/>
          <w:color w:val="auto"/>
        </w:rPr>
        <w:t>Financial Officer)</w:t>
      </w:r>
    </w:p>
    <w:p>
      <w:pPr>
        <w:spacing w:after="0" w:line="1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Date: November 8, 2022</w:t>
      </w:r>
    </w:p>
    <w:p>
      <w:pPr>
        <w:sectPr>
          <w:pgSz w:w="11900" w:h="16838" w:orient="portrait"/>
          <w:cols w:equalWidth="0" w:num="1">
            <w:col w:w="10180"/>
          </w:cols>
          <w:pgMar w:left="300" w:top="321" w:right="141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4"/>
          <w:szCs w:val="14"/>
          <w:b w:val="1"/>
          <w:bCs w:val="1"/>
          <w:color w:val="auto"/>
        </w:rPr>
        <w:t>Exhibit 10.1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WRITTEN AGREEMENT &amp; CONSENT</w:t>
      </w:r>
    </w:p>
    <w:p>
      <w:pPr>
        <w:jc w:val="center"/>
        <w:spacing w:after="0" w:line="214" w:lineRule="auto"/>
        <w:rPr>
          <w:sz w:val="20"/>
          <w:szCs w:val="20"/>
          <w:color w:val="auto"/>
        </w:rPr>
      </w:pPr>
      <w:r>
        <w:rPr>
          <w:rFonts w:ascii="Times New Roman" w:cs="Times New Roman" w:eastAsia="Times New Roman" w:hAnsi="Times New Roman"/>
          <w:sz w:val="15"/>
          <w:szCs w:val="15"/>
          <w:b w:val="1"/>
          <w:bCs w:val="1"/>
          <w:color w:val="auto"/>
        </w:rPr>
        <w:t>OF WARRANT HOLDERS AND</w:t>
      </w:r>
    </w:p>
    <w:p>
      <w:pPr>
        <w:jc w:val="center"/>
        <w:spacing w:after="0"/>
        <w:rPr>
          <w:sz w:val="20"/>
          <w:szCs w:val="20"/>
          <w:color w:val="auto"/>
        </w:rPr>
      </w:pPr>
      <w:r>
        <w:rPr>
          <w:rFonts w:ascii="Times New Roman" w:cs="Times New Roman" w:eastAsia="Times New Roman" w:hAnsi="Times New Roman"/>
          <w:sz w:val="15"/>
          <w:szCs w:val="15"/>
          <w:b w:val="1"/>
          <w:bCs w:val="1"/>
          <w:color w:val="auto"/>
        </w:rPr>
        <w:t>TEMPEST THERAPEUTICS, INC.</w:t>
      </w:r>
    </w:p>
    <w:p>
      <w:pPr>
        <w:spacing w:after="0" w:line="200" w:lineRule="exact"/>
        <w:rPr>
          <w:sz w:val="20"/>
          <w:szCs w:val="20"/>
          <w:color w:val="auto"/>
        </w:rPr>
      </w:pPr>
    </w:p>
    <w:p>
      <w:pPr>
        <w:spacing w:after="0" w:line="282" w:lineRule="exact"/>
        <w:rPr>
          <w:sz w:val="20"/>
          <w:szCs w:val="20"/>
          <w:color w:val="auto"/>
        </w:rPr>
      </w:pPr>
    </w:p>
    <w:p>
      <w:pPr>
        <w:jc w:val="both"/>
        <w:ind w:right="200" w:firstLine="490"/>
        <w:spacing w:after="0" w:line="233" w:lineRule="auto"/>
        <w:rPr>
          <w:sz w:val="20"/>
          <w:szCs w:val="20"/>
          <w:color w:val="auto"/>
        </w:rPr>
      </w:pPr>
      <w:r>
        <w:rPr>
          <w:rFonts w:ascii="Times New Roman" w:cs="Times New Roman" w:eastAsia="Times New Roman" w:hAnsi="Times New Roman"/>
          <w:sz w:val="15"/>
          <w:szCs w:val="15"/>
          <w:color w:val="auto"/>
        </w:rPr>
        <w:t>This Warrant Amendment Agreement (this “</w:t>
      </w:r>
      <w:r>
        <w:rPr>
          <w:rFonts w:ascii="Times New Roman" w:cs="Times New Roman" w:eastAsia="Times New Roman" w:hAnsi="Times New Roman"/>
          <w:sz w:val="15"/>
          <w:szCs w:val="15"/>
          <w:b w:val="1"/>
          <w:bCs w:val="1"/>
          <w:i w:val="1"/>
          <w:iCs w:val="1"/>
          <w:color w:val="auto"/>
        </w:rPr>
        <w:t>Agreement</w:t>
      </w:r>
      <w:r>
        <w:rPr>
          <w:rFonts w:ascii="Times New Roman" w:cs="Times New Roman" w:eastAsia="Times New Roman" w:hAnsi="Times New Roman"/>
          <w:sz w:val="15"/>
          <w:szCs w:val="15"/>
          <w:color w:val="auto"/>
        </w:rPr>
        <w:t>”), by and among Tempest Therapeutics, Inc., a Delaware corporation (the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and the undersigned holders (the “</w:t>
      </w:r>
      <w:r>
        <w:rPr>
          <w:rFonts w:ascii="Times New Roman" w:cs="Times New Roman" w:eastAsia="Times New Roman" w:hAnsi="Times New Roman"/>
          <w:sz w:val="15"/>
          <w:szCs w:val="15"/>
          <w:b w:val="1"/>
          <w:bCs w:val="1"/>
          <w:i w:val="1"/>
          <w:iCs w:val="1"/>
          <w:color w:val="auto"/>
        </w:rPr>
        <w:t>Holders</w:t>
      </w:r>
      <w:r>
        <w:rPr>
          <w:rFonts w:ascii="Times New Roman" w:cs="Times New Roman" w:eastAsia="Times New Roman" w:hAnsi="Times New Roman"/>
          <w:sz w:val="15"/>
          <w:szCs w:val="15"/>
          <w:color w:val="auto"/>
        </w:rPr>
        <w:t>”), as the sole and original holders of the Pre-Funded Common Stock Purchase Warrants (the “</w:t>
      </w:r>
      <w:r>
        <w:rPr>
          <w:rFonts w:ascii="Times New Roman" w:cs="Times New Roman" w:eastAsia="Times New Roman" w:hAnsi="Times New Roman"/>
          <w:sz w:val="15"/>
          <w:szCs w:val="15"/>
          <w:b w:val="1"/>
          <w:bCs w:val="1"/>
          <w:i w:val="1"/>
          <w:iCs w:val="1"/>
          <w:color w:val="auto"/>
        </w:rPr>
        <w:t>Warrants</w:t>
      </w:r>
      <w:r>
        <w:rPr>
          <w:rFonts w:ascii="Times New Roman" w:cs="Times New Roman" w:eastAsia="Times New Roman" w:hAnsi="Times New Roman"/>
          <w:sz w:val="15"/>
          <w:szCs w:val="15"/>
          <w:color w:val="auto"/>
        </w:rPr>
        <w:t>”) issued pursuant to that certain Securities Purchase Agreement dated April 26, 2022 by and between the Company and the Purchasers named therein, is effective as of September 28, 2022.</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RECITALS</w:t>
      </w:r>
    </w:p>
    <w:p>
      <w:pPr>
        <w:spacing w:after="0" w:line="144" w:lineRule="exact"/>
        <w:rPr>
          <w:sz w:val="20"/>
          <w:szCs w:val="20"/>
          <w:color w:val="auto"/>
        </w:rPr>
      </w:pPr>
    </w:p>
    <w:p>
      <w:pPr>
        <w:ind w:right="280"/>
        <w:spacing w:after="0" w:line="236" w:lineRule="auto"/>
        <w:rPr>
          <w:sz w:val="20"/>
          <w:szCs w:val="20"/>
          <w:color w:val="auto"/>
        </w:rPr>
      </w:pPr>
      <w:r>
        <w:rPr>
          <w:rFonts w:ascii="Times New Roman" w:cs="Times New Roman" w:eastAsia="Times New Roman" w:hAnsi="Times New Roman"/>
          <w:sz w:val="15"/>
          <w:szCs w:val="15"/>
          <w:b w:val="1"/>
          <w:bCs w:val="1"/>
          <w:color w:val="auto"/>
        </w:rPr>
        <w:t xml:space="preserve">Whereas, </w:t>
      </w:r>
      <w:r>
        <w:rPr>
          <w:rFonts w:ascii="Times New Roman" w:cs="Times New Roman" w:eastAsia="Times New Roman" w:hAnsi="Times New Roman"/>
          <w:sz w:val="15"/>
          <w:szCs w:val="15"/>
          <w:color w:val="auto"/>
        </w:rPr>
        <w:t>the Company and the Holders mutually agree that the Warrants were not intended to include in the definition of a “Fundamental Transaction” any direct or indirect, purchase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offer, tender offer or exchange offer that has been accepted by holders of 50% or less of the outstanding common stock of the Company;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the Company and the Holders mutually desire to cure any ambiguity in the Warrants regarding the foregoing; and</w:t>
      </w:r>
    </w:p>
    <w:p>
      <w:pPr>
        <w:spacing w:after="0" w:line="144"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Section 5(k) of the Warrants provides that each Warrant may be modified or amended or the provisions thereof waived with the written consent of the Company and the Holder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such Warrant.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AGREEMENT</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NOW, THEREFORE</w:t>
      </w:r>
      <w:r>
        <w:rPr>
          <w:rFonts w:ascii="Times New Roman" w:cs="Times New Roman" w:eastAsia="Times New Roman" w:hAnsi="Times New Roman"/>
          <w:sz w:val="15"/>
          <w:szCs w:val="15"/>
          <w:color w:val="auto"/>
        </w:rPr>
        <w:t>, the undersigned parties agree that each Warrants shall be amended as set forth below.</w:t>
      </w:r>
    </w:p>
    <w:p>
      <w:pPr>
        <w:spacing w:after="0" w:line="318" w:lineRule="exact"/>
        <w:rPr>
          <w:sz w:val="20"/>
          <w:szCs w:val="20"/>
          <w:color w:val="auto"/>
        </w:rPr>
      </w:pPr>
    </w:p>
    <w:p>
      <w:pPr>
        <w:ind w:left="500" w:hanging="253"/>
        <w:spacing w:after="0"/>
        <w:tabs>
          <w:tab w:leader="none" w:pos="50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u w:val="single" w:color="auto"/>
          <w:color w:val="auto"/>
        </w:rPr>
        <w:t>Warrant Amendment</w:t>
      </w:r>
      <w:r>
        <w:rPr>
          <w:rFonts w:ascii="Times New Roman" w:cs="Times New Roman" w:eastAsia="Times New Roman" w:hAnsi="Times New Roman"/>
          <w:sz w:val="15"/>
          <w:szCs w:val="15"/>
          <w:color w:val="auto"/>
        </w:rPr>
        <w:t>. Section 3(d) of each Warrant is hereby amended and restated as follows:</w:t>
      </w:r>
    </w:p>
    <w:p>
      <w:pPr>
        <w:spacing w:after="0" w:line="168" w:lineRule="exact"/>
        <w:rPr>
          <w:rFonts w:ascii="Times New Roman" w:cs="Times New Roman" w:eastAsia="Times New Roman" w:hAnsi="Times New Roman"/>
          <w:sz w:val="15"/>
          <w:szCs w:val="15"/>
          <w:color w:val="auto"/>
        </w:rPr>
      </w:pPr>
    </w:p>
    <w:p>
      <w:pPr>
        <w:ind w:left="500" w:right="40"/>
        <w:spacing w:after="0" w:line="21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Fundamental Transaction</w:t>
      </w:r>
      <w:r>
        <w:rPr>
          <w:rFonts w:ascii="Times New Roman" w:cs="Times New Roman" w:eastAsia="Times New Roman" w:hAnsi="Times New Roman"/>
          <w:sz w:val="15"/>
          <w:szCs w:val="15"/>
          <w:color w:val="auto"/>
        </w:rPr>
        <w:t>. If, at any time while this Warrant is outstanding, (i) the Company, directly or indirectly, in one or more related transactions effects any merger or consolidation with or into another Person, (ii) the Company, directly or indirectly, effects any sale, lease, license, assignment, transfer, conveyance or other disposition of all or substantially all of its assets in one or a series of related transactions (which, for the avoidance of doubt, shall not include a license or other agreement granting rights to intellectual property),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whereby such other Person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“Fundamental Transaction”),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2(d) on the exercise of this Warrant), the number of shares of Common Stock of the successor or acquiring corporation or of the Company, if it is the surviving corporation, and any additional consideration (together, the “Alternate Consideration”), if any, receivable as a result of such Fundamental Transaction by a holder of the number of shares of Common Stock for which this Warrant is exercisable immediately prior to such Fundamental Transaction (without regard to any limitation in Section 2(d)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w:t>
      </w:r>
    </w:p>
    <w:p>
      <w:pPr>
        <w:sectPr>
          <w:pgSz w:w="11900" w:h="16838" w:orient="portrait"/>
          <w:cols w:equalWidth="0" w:num="1">
            <w:col w:w="11280"/>
          </w:cols>
          <w:pgMar w:left="300" w:top="114" w:right="319" w:bottom="1440" w:gutter="0" w:footer="0" w:header="0"/>
        </w:sectPr>
      </w:pPr>
    </w:p>
    <w:bookmarkStart w:id="67" w:name="page68"/>
    <w:bookmarkEnd w:id="67"/>
    <w:p>
      <w:pPr>
        <w:ind w:left="498" w:right="360"/>
        <w:spacing w:after="0"/>
        <w:rPr>
          <w:sz w:val="20"/>
          <w:szCs w:val="20"/>
          <w:color w:val="auto"/>
        </w:rPr>
      </w:pPr>
      <w:r>
        <w:rPr>
          <w:rFonts w:ascii="Times New Roman" w:cs="Times New Roman" w:eastAsia="Times New Roman" w:hAnsi="Times New Roman"/>
          <w:sz w:val="14"/>
          <w:szCs w:val="14"/>
          <w:color w:val="auto"/>
        </w:rPr>
        <w:t>the Holder shall be given the same choice as to the Alternate Consideration it receives upon any exercise of this Warrant following such Fundamental Transaction. Any such payment of such amount of such Alternative Consideration shall be made in the same form of consideration (whether securities, cash or property) as is given to the holders of</w:t>
      </w:r>
    </w:p>
    <w:p>
      <w:pPr>
        <w:ind w:left="498" w:right="40"/>
        <w:spacing w:after="0" w:line="220" w:lineRule="auto"/>
        <w:rPr>
          <w:sz w:val="20"/>
          <w:szCs w:val="20"/>
          <w:color w:val="auto"/>
        </w:rPr>
      </w:pPr>
      <w:r>
        <w:rPr>
          <w:rFonts w:ascii="Times New Roman" w:cs="Times New Roman" w:eastAsia="Times New Roman" w:hAnsi="Times New Roman"/>
          <w:sz w:val="14"/>
          <w:szCs w:val="14"/>
          <w:color w:val="auto"/>
        </w:rPr>
        <w:t>Common Stock in such Fundamental Transaction, and if multiple forms of consideration are given, the consideration shall be paid to the Holder in the same proportion as such consideration is paid to the holders of Common Stock. The terms of any agreement pursuant to which a Fundamental Transaction is effected shall include terms requiring any such</w:t>
      </w:r>
    </w:p>
    <w:p>
      <w:pPr>
        <w:ind w:left="498"/>
        <w:spacing w:after="0" w:line="229" w:lineRule="auto"/>
        <w:rPr>
          <w:sz w:val="20"/>
          <w:szCs w:val="20"/>
          <w:color w:val="auto"/>
        </w:rPr>
      </w:pPr>
      <w:r>
        <w:rPr>
          <w:rFonts w:ascii="Times New Roman" w:cs="Times New Roman" w:eastAsia="Times New Roman" w:hAnsi="Times New Roman"/>
          <w:sz w:val="14"/>
          <w:szCs w:val="14"/>
          <w:color w:val="auto"/>
        </w:rPr>
        <w:t>successor or surviving entity to comply with the provisions of this Section 3(f) and insuring that this Warrant (or any such replacement security) will be similarly adjusted upon any</w:t>
      </w:r>
    </w:p>
    <w:p>
      <w:pPr>
        <w:spacing w:after="0" w:line="1" w:lineRule="exact"/>
        <w:rPr>
          <w:sz w:val="20"/>
          <w:szCs w:val="20"/>
          <w:color w:val="auto"/>
        </w:rPr>
      </w:pPr>
    </w:p>
    <w:p>
      <w:pPr>
        <w:ind w:left="498"/>
        <w:spacing w:after="0" w:line="220" w:lineRule="auto"/>
        <w:rPr>
          <w:sz w:val="20"/>
          <w:szCs w:val="20"/>
          <w:color w:val="auto"/>
        </w:rPr>
      </w:pPr>
      <w:r>
        <w:rPr>
          <w:rFonts w:ascii="Times New Roman" w:cs="Times New Roman" w:eastAsia="Times New Roman" w:hAnsi="Times New Roman"/>
          <w:sz w:val="14"/>
          <w:szCs w:val="14"/>
          <w:color w:val="auto"/>
        </w:rPr>
        <w:t>subsequent Fundamental Transaction. The Company shall cause any successor entity in a Fundamental Transaction in which the Company is not the survivor (the “Successor Entity”) to assume in writing all of the obligations of the Company under this Warrant in accordance with the provisions of this Section 3(d) pursuant to written agreements in form</w:t>
      </w:r>
    </w:p>
    <w:p>
      <w:pPr>
        <w:spacing w:after="0" w:line="1" w:lineRule="exact"/>
        <w:rPr>
          <w:sz w:val="20"/>
          <w:szCs w:val="20"/>
          <w:color w:val="auto"/>
        </w:rPr>
      </w:pPr>
    </w:p>
    <w:p>
      <w:pPr>
        <w:ind w:left="498" w:right="80"/>
        <w:spacing w:after="0" w:line="220" w:lineRule="auto"/>
        <w:rPr>
          <w:sz w:val="20"/>
          <w:szCs w:val="20"/>
          <w:color w:val="auto"/>
        </w:rPr>
      </w:pPr>
      <w:r>
        <w:rPr>
          <w:rFonts w:ascii="Times New Roman" w:cs="Times New Roman" w:eastAsia="Times New Roman" w:hAnsi="Times New Roman"/>
          <w:sz w:val="14"/>
          <w:szCs w:val="14"/>
          <w:color w:val="auto"/>
        </w:rPr>
        <w:t>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w:t>
      </w:r>
    </w:p>
    <w:p>
      <w:pPr>
        <w:ind w:left="498"/>
        <w:spacing w:after="0" w:line="214" w:lineRule="auto"/>
        <w:rPr>
          <w:sz w:val="20"/>
          <w:szCs w:val="20"/>
          <w:color w:val="auto"/>
        </w:rPr>
      </w:pPr>
      <w:r>
        <w:rPr>
          <w:rFonts w:ascii="Times New Roman" w:cs="Times New Roman" w:eastAsia="Times New Roman" w:hAnsi="Times New Roman"/>
          <w:sz w:val="15"/>
          <w:szCs w:val="15"/>
          <w:color w:val="auto"/>
        </w:rPr>
        <w:t>Warrant which is exercisable for a corresponding number of shares of capital stock of such Successor Entity (or its parent entity) equivalent to the shares of Common Stock</w:t>
      </w:r>
    </w:p>
    <w:p>
      <w:pPr>
        <w:ind w:left="498" w:right="40"/>
        <w:spacing w:after="0" w:line="220" w:lineRule="auto"/>
        <w:rPr>
          <w:sz w:val="20"/>
          <w:szCs w:val="20"/>
          <w:color w:val="auto"/>
        </w:rPr>
      </w:pPr>
      <w:r>
        <w:rPr>
          <w:rFonts w:ascii="Times New Roman" w:cs="Times New Roman" w:eastAsia="Times New Roman" w:hAnsi="Times New Roman"/>
          <w:sz w:val="14"/>
          <w:szCs w:val="14"/>
          <w:color w:val="auto"/>
        </w:rPr>
        <w:t>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w:t>
      </w:r>
    </w:p>
    <w:p>
      <w:pPr>
        <w:ind w:left="498"/>
        <w:spacing w:after="0" w:line="214" w:lineRule="auto"/>
        <w:rPr>
          <w:sz w:val="20"/>
          <w:szCs w:val="20"/>
          <w:color w:val="auto"/>
        </w:rPr>
      </w:pPr>
      <w:r>
        <w:rPr>
          <w:rFonts w:ascii="Times New Roman" w:cs="Times New Roman" w:eastAsia="Times New Roman" w:hAnsi="Times New Roman"/>
          <w:sz w:val="15"/>
          <w:szCs w:val="15"/>
          <w:color w:val="auto"/>
        </w:rPr>
        <w:t>Fundamental Transaction and the value of such shares of capital stock, such adjustments to the number of shares of capital stock and such exercise price being for the purpose of</w:t>
      </w:r>
    </w:p>
    <w:p>
      <w:pPr>
        <w:ind w:left="498" w:right="200"/>
        <w:spacing w:after="0" w:line="220" w:lineRule="auto"/>
        <w:rPr>
          <w:sz w:val="20"/>
          <w:szCs w:val="20"/>
          <w:color w:val="auto"/>
        </w:rPr>
      </w:pPr>
      <w:r>
        <w:rPr>
          <w:rFonts w:ascii="Times New Roman" w:cs="Times New Roman" w:eastAsia="Times New Roman" w:hAnsi="Times New Roman"/>
          <w:sz w:val="14"/>
          <w:szCs w:val="14"/>
          <w:color w:val="auto"/>
        </w:rPr>
        <w:t>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the Company (so that from and</w:t>
      </w:r>
    </w:p>
    <w:p>
      <w:pPr>
        <w:ind w:left="498"/>
        <w:spacing w:after="0" w:line="229" w:lineRule="auto"/>
        <w:rPr>
          <w:sz w:val="20"/>
          <w:szCs w:val="20"/>
          <w:color w:val="auto"/>
        </w:rPr>
      </w:pPr>
      <w:r>
        <w:rPr>
          <w:rFonts w:ascii="Times New Roman" w:cs="Times New Roman" w:eastAsia="Times New Roman" w:hAnsi="Times New Roman"/>
          <w:sz w:val="14"/>
          <w:szCs w:val="14"/>
          <w:color w:val="auto"/>
        </w:rPr>
        <w:t>after the date of such Fundamental Transaction, the provisions of this Warrant referring to the “Company” shall refer instead to the Successor Entity), and may exercise every right</w:t>
      </w:r>
    </w:p>
    <w:p>
      <w:pPr>
        <w:spacing w:after="0" w:line="1" w:lineRule="exact"/>
        <w:rPr>
          <w:sz w:val="20"/>
          <w:szCs w:val="20"/>
          <w:color w:val="auto"/>
        </w:rPr>
      </w:pPr>
    </w:p>
    <w:p>
      <w:pPr>
        <w:ind w:left="498" w:right="60"/>
        <w:spacing w:after="0" w:line="220" w:lineRule="auto"/>
        <w:rPr>
          <w:sz w:val="20"/>
          <w:szCs w:val="20"/>
          <w:color w:val="auto"/>
        </w:rPr>
      </w:pPr>
      <w:r>
        <w:rPr>
          <w:rFonts w:ascii="Times New Roman" w:cs="Times New Roman" w:eastAsia="Times New Roman" w:hAnsi="Times New Roman"/>
          <w:sz w:val="14"/>
          <w:szCs w:val="14"/>
          <w:color w:val="auto"/>
        </w:rPr>
        <w:t>and power of the Company and shall assume all of the obligations of the Company under this Warrant with the same effect as if such Successor Entity had been named as the Company herein. Notwithstanding the foregoing, and without limiting Section 2(d) hereof, the Holder may elect, at its sole option, by delivery of written notice to the Company to</w:t>
      </w:r>
    </w:p>
    <w:p>
      <w:pPr>
        <w:spacing w:after="0" w:line="1" w:lineRule="exact"/>
        <w:rPr>
          <w:sz w:val="20"/>
          <w:szCs w:val="20"/>
          <w:color w:val="auto"/>
        </w:rPr>
      </w:pPr>
    </w:p>
    <w:p>
      <w:pPr>
        <w:ind w:left="498"/>
        <w:spacing w:after="0"/>
        <w:rPr>
          <w:sz w:val="20"/>
          <w:szCs w:val="20"/>
          <w:color w:val="auto"/>
        </w:rPr>
      </w:pPr>
      <w:r>
        <w:rPr>
          <w:rFonts w:ascii="Times New Roman" w:cs="Times New Roman" w:eastAsia="Times New Roman" w:hAnsi="Times New Roman"/>
          <w:sz w:val="15"/>
          <w:szCs w:val="15"/>
          <w:color w:val="auto"/>
        </w:rPr>
        <w:t>waive this Section 3(d) to permit a Fundamental Transaction without the assumption of this Warrant.</w:t>
      </w:r>
    </w:p>
    <w:p>
      <w:pPr>
        <w:spacing w:after="0" w:line="124" w:lineRule="exact"/>
        <w:rPr>
          <w:sz w:val="20"/>
          <w:szCs w:val="20"/>
          <w:color w:val="auto"/>
        </w:rPr>
      </w:pPr>
    </w:p>
    <w:p>
      <w:pPr>
        <w:ind w:left="258" w:hanging="258"/>
        <w:spacing w:after="0"/>
        <w:tabs>
          <w:tab w:leader="none" w:pos="258"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u w:val="single" w:color="auto"/>
          <w:color w:val="auto"/>
        </w:rPr>
        <w:t>Effect</w:t>
      </w:r>
      <w:r>
        <w:rPr>
          <w:rFonts w:ascii="Times New Roman" w:cs="Times New Roman" w:eastAsia="Times New Roman" w:hAnsi="Times New Roman"/>
          <w:sz w:val="15"/>
          <w:szCs w:val="15"/>
          <w:color w:val="auto"/>
        </w:rPr>
        <w:t>. Except as expressly amended by this Agreement, each Warrant shall continue in full force and effect.</w:t>
      </w:r>
    </w:p>
    <w:p>
      <w:pPr>
        <w:spacing w:after="0" w:line="133" w:lineRule="exact"/>
        <w:rPr>
          <w:rFonts w:ascii="Times New Roman" w:cs="Times New Roman" w:eastAsia="Times New Roman" w:hAnsi="Times New Roman"/>
          <w:sz w:val="15"/>
          <w:szCs w:val="15"/>
          <w:color w:val="auto"/>
        </w:rPr>
      </w:pPr>
    </w:p>
    <w:p>
      <w:pPr>
        <w:ind w:left="-2" w:right="420" w:firstLine="2"/>
        <w:spacing w:after="0" w:line="247" w:lineRule="auto"/>
        <w:tabs>
          <w:tab w:leader="none" w:pos="26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u w:val="single" w:color="auto"/>
          <w:color w:val="auto"/>
        </w:rPr>
        <w:t>Counterparts</w:t>
      </w:r>
      <w:r>
        <w:rPr>
          <w:rFonts w:ascii="Times New Roman" w:cs="Times New Roman" w:eastAsia="Times New Roman" w:hAnsi="Times New Roman"/>
          <w:sz w:val="15"/>
          <w:szCs w:val="15"/>
          <w:color w:val="auto"/>
        </w:rPr>
        <w:t>. This Agreement may be executed in any number of counterparts, each of which shall for all purposes be deemed to be an original, and all such counterparts shall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together constitute but one and the same instrument.</w:t>
      </w:r>
    </w:p>
    <w:p>
      <w:pPr>
        <w:spacing w:after="0" w:line="114" w:lineRule="exact"/>
        <w:rPr>
          <w:rFonts w:ascii="Times New Roman" w:cs="Times New Roman" w:eastAsia="Times New Roman" w:hAnsi="Times New Roman"/>
          <w:sz w:val="15"/>
          <w:szCs w:val="15"/>
          <w:color w:val="auto"/>
        </w:rPr>
      </w:pPr>
    </w:p>
    <w:p>
      <w:pPr>
        <w:ind w:left="-2" w:right="200" w:firstLine="2"/>
        <w:spacing w:after="0" w:line="236" w:lineRule="auto"/>
        <w:tabs>
          <w:tab w:leader="none" w:pos="298"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u w:val="single" w:color="auto"/>
          <w:color w:val="auto"/>
        </w:rPr>
        <w:t>Governing Law</w:t>
      </w:r>
      <w:r>
        <w:rPr>
          <w:rFonts w:ascii="Times New Roman" w:cs="Times New Roman" w:eastAsia="Times New Roman" w:hAnsi="Times New Roman"/>
          <w:sz w:val="15"/>
          <w:szCs w:val="15"/>
          <w:color w:val="auto"/>
        </w:rPr>
        <w:t>. This Agreement shall be governed by, and construed in accordance with, the laws of the State of New York without giving effect to the conflicts of law principles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thereof.</w:t>
      </w:r>
    </w:p>
    <w:p>
      <w:pPr>
        <w:spacing w:after="0" w:line="200" w:lineRule="exact"/>
        <w:rPr>
          <w:sz w:val="20"/>
          <w:szCs w:val="20"/>
          <w:color w:val="auto"/>
        </w:rPr>
      </w:pPr>
    </w:p>
    <w:p>
      <w:pPr>
        <w:spacing w:after="0" w:line="268" w:lineRule="exact"/>
        <w:rPr>
          <w:sz w:val="20"/>
          <w:szCs w:val="20"/>
          <w:color w:val="auto"/>
        </w:rPr>
      </w:pPr>
    </w:p>
    <w:p>
      <w:pPr>
        <w:ind w:left="5138"/>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Signature page follows</w:t>
      </w:r>
      <w:r>
        <w:rPr>
          <w:rFonts w:ascii="Times New Roman" w:cs="Times New Roman" w:eastAsia="Times New Roman" w:hAnsi="Times New Roman"/>
          <w:sz w:val="15"/>
          <w:szCs w:val="15"/>
          <w:b w:val="1"/>
          <w:bCs w:val="1"/>
          <w:color w:val="auto"/>
        </w:rPr>
        <w:t>]</w:t>
      </w:r>
    </w:p>
    <w:p>
      <w:pPr>
        <w:sectPr>
          <w:pgSz w:w="11900" w:h="16838" w:orient="portrait"/>
          <w:cols w:equalWidth="0" w:num="1">
            <w:col w:w="11258"/>
          </w:cols>
          <w:pgMar w:left="302" w:top="787" w:right="339" w:bottom="1440" w:gutter="0" w:footer="0" w:header="0"/>
        </w:sectPr>
      </w:pPr>
    </w:p>
    <w:bookmarkStart w:id="68" w:name="page69"/>
    <w:bookmarkEnd w:id="6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color w:val="auto"/>
        </w:rPr>
        <w:t>In Witness Whereof</w:t>
      </w:r>
      <w:r>
        <w:rPr>
          <w:rFonts w:ascii="Times New Roman" w:cs="Times New Roman" w:eastAsia="Times New Roman" w:hAnsi="Times New Roman"/>
          <w:sz w:val="14"/>
          <w:szCs w:val="14"/>
          <w:color w:val="auto"/>
        </w:rPr>
        <w:t>, the parties have executed this Warrant Amendment Agreement as of the date first written above.</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TEMPEST Therapeutics, Inc.</w:t>
      </w:r>
    </w:p>
    <w:p>
      <w:pPr>
        <w:spacing w:after="0" w:line="200" w:lineRule="exact"/>
        <w:rPr>
          <w:sz w:val="20"/>
          <w:szCs w:val="20"/>
          <w:color w:val="auto"/>
        </w:rPr>
      </w:pPr>
    </w:p>
    <w:p>
      <w:pPr>
        <w:spacing w:after="0" w:line="246"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30"/>
          <w:szCs w:val="30"/>
          <w:color w:val="auto"/>
          <w:vertAlign w:val="superscript"/>
        </w:rPr>
        <w:t>By:</w:t>
      </w:r>
      <w:r>
        <w:rPr>
          <w:sz w:val="20"/>
          <w:szCs w:val="20"/>
          <w:color w:val="auto"/>
        </w:rPr>
        <w:tab/>
      </w:r>
      <w:r>
        <w:rPr>
          <w:rFonts w:ascii="Times New Roman" w:cs="Times New Roman" w:eastAsia="Times New Roman" w:hAnsi="Times New Roman"/>
          <w:sz w:val="15"/>
          <w:szCs w:val="15"/>
          <w:u w:val="single" w:color="auto"/>
          <w:color w:val="auto"/>
        </w:rPr>
        <w:t>/s/ Stephen R. Brady</w:t>
      </w:r>
    </w:p>
    <w:p>
      <w:pPr>
        <w:spacing w:after="0" w:line="9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color w:val="auto"/>
        </w:rPr>
        <w:t>Name: Stephen R. Brady</w:t>
      </w:r>
    </w:p>
    <w:p>
      <w:pPr>
        <w:ind w:left="600"/>
        <w:spacing w:after="0" w:line="228" w:lineRule="auto"/>
        <w:rPr>
          <w:sz w:val="20"/>
          <w:szCs w:val="20"/>
          <w:color w:val="auto"/>
        </w:rPr>
      </w:pPr>
      <w:r>
        <w:rPr>
          <w:rFonts w:ascii="Times New Roman" w:cs="Times New Roman" w:eastAsia="Times New Roman" w:hAnsi="Times New Roman"/>
          <w:sz w:val="15"/>
          <w:szCs w:val="15"/>
          <w:color w:val="auto"/>
        </w:rPr>
        <w:t>Title: Chief Executive Officer</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color w:val="auto"/>
        </w:rPr>
        <w:t>Date: September 27, 2022</w:t>
      </w:r>
    </w:p>
    <w:p>
      <w:pPr>
        <w:spacing w:after="0" w:line="3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ECOR1 CAPITAL FUND QUALIFIED, L.P.</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By: EcoR1 Capital, LLC, its General Partner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u w:val="single" w:color="auto"/>
          <w:color w:val="auto"/>
        </w:rPr>
        <w:t>/s/ Oleg Nodelman</w:t>
      </w:r>
    </w:p>
    <w:p>
      <w:pPr>
        <w:spacing w:after="0" w:line="1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Name: Oleg Nodelman</w:t>
      </w:r>
    </w:p>
    <w:p>
      <w:pPr>
        <w:spacing w:after="0" w:line="1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Title: Manager</w:t>
      </w:r>
    </w:p>
    <w:p>
      <w:pPr>
        <w:ind w:left="560"/>
        <w:spacing w:after="0"/>
        <w:rPr>
          <w:sz w:val="20"/>
          <w:szCs w:val="20"/>
          <w:color w:val="auto"/>
        </w:rPr>
      </w:pPr>
      <w:r>
        <w:rPr>
          <w:rFonts w:ascii="Times New Roman" w:cs="Times New Roman" w:eastAsia="Times New Roman" w:hAnsi="Times New Roman"/>
          <w:sz w:val="15"/>
          <w:szCs w:val="15"/>
          <w:color w:val="auto"/>
        </w:rPr>
        <w:t>Date: September 28, 2022</w:t>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ECOR1 CAPITAL FUND, L.P.</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By: EcoR1 Capital, LLC, its General Partner</w:t>
      </w:r>
    </w:p>
    <w:p>
      <w:pPr>
        <w:spacing w:after="0" w:line="200" w:lineRule="exact"/>
        <w:rPr>
          <w:sz w:val="20"/>
          <w:szCs w:val="20"/>
          <w:color w:val="auto"/>
        </w:rPr>
      </w:pPr>
    </w:p>
    <w:p>
      <w:pPr>
        <w:spacing w:after="0" w:line="332"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u w:val="single" w:color="auto"/>
          <w:color w:val="auto"/>
        </w:rPr>
        <w:t>/s/ Oleg Nodelman</w:t>
      </w:r>
    </w:p>
    <w:p>
      <w:pPr>
        <w:spacing w:after="0" w:line="1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Name: Oleg Nodelman</w:t>
      </w:r>
    </w:p>
    <w:p>
      <w:pPr>
        <w:spacing w:after="0" w:line="1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Title: Manager</w:t>
      </w:r>
    </w:p>
    <w:p>
      <w:pPr>
        <w:ind w:left="560"/>
        <w:spacing w:after="0"/>
        <w:rPr>
          <w:sz w:val="20"/>
          <w:szCs w:val="20"/>
          <w:color w:val="auto"/>
        </w:rPr>
      </w:pPr>
      <w:r>
        <w:rPr>
          <w:rFonts w:ascii="Times New Roman" w:cs="Times New Roman" w:eastAsia="Times New Roman" w:hAnsi="Times New Roman"/>
          <w:sz w:val="15"/>
          <w:szCs w:val="15"/>
          <w:color w:val="auto"/>
        </w:rPr>
        <w:t>Date: September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2"/>
          <w:szCs w:val="12"/>
          <w:color w:val="auto"/>
        </w:rPr>
        <w:t>Signature Page to Warrant Amendment Agreement</w:t>
      </w:r>
    </w:p>
    <w:p>
      <w:pPr>
        <w:sectPr>
          <w:pgSz w:w="11900" w:h="16838" w:orient="portrait"/>
          <w:cols w:equalWidth="0" w:num="1">
            <w:col w:w="10159"/>
          </w:cols>
          <w:pgMar w:left="300" w:top="783" w:right="1440"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39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u w:val="single" w:color="auto"/>
          <w:color w:val="auto"/>
        </w:rPr>
        <w:t>CERTIFICATIONS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Stephen Brady, certify that:</w:t>
      </w:r>
    </w:p>
    <w:p>
      <w:pPr>
        <w:spacing w:after="0" w:line="186" w:lineRule="exact"/>
        <w:rPr>
          <w:sz w:val="20"/>
          <w:szCs w:val="20"/>
          <w:color w:val="auto"/>
        </w:rPr>
      </w:pPr>
    </w:p>
    <w:p>
      <w:pPr>
        <w:ind w:left="240" w:hanging="238"/>
        <w:spacing w:after="0"/>
        <w:tabs>
          <w:tab w:leader="none" w:pos="2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Form 10-Q of Tempest Therapeutics, Inc.;</w:t>
      </w:r>
    </w:p>
    <w:p>
      <w:pPr>
        <w:spacing w:after="0" w:line="186" w:lineRule="exact"/>
        <w:rPr>
          <w:rFonts w:ascii="Times New Roman" w:cs="Times New Roman" w:eastAsia="Times New Roman" w:hAnsi="Times New Roman"/>
          <w:sz w:val="14"/>
          <w:szCs w:val="14"/>
          <w:color w:val="auto"/>
        </w:rPr>
      </w:pPr>
    </w:p>
    <w:p>
      <w:pPr>
        <w:ind w:left="240" w:hanging="238"/>
        <w:spacing w:after="0" w:line="264" w:lineRule="auto"/>
        <w:tabs>
          <w:tab w:leader="none" w:pos="2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Times New Roman" w:cs="Times New Roman" w:eastAsia="Times New Roman" w:hAnsi="Times New Roman"/>
          <w:sz w:val="14"/>
          <w:szCs w:val="14"/>
          <w:color w:val="auto"/>
        </w:rPr>
      </w:pPr>
    </w:p>
    <w:p>
      <w:pPr>
        <w:ind w:left="240" w:hanging="238"/>
        <w:spacing w:after="0" w:line="264" w:lineRule="auto"/>
        <w:tabs>
          <w:tab w:leader="none" w:pos="2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Times New Roman" w:cs="Times New Roman" w:eastAsia="Times New Roman" w:hAnsi="Times New Roman"/>
          <w:sz w:val="14"/>
          <w:szCs w:val="14"/>
          <w:color w:val="auto"/>
        </w:rPr>
      </w:pPr>
    </w:p>
    <w:p>
      <w:pPr>
        <w:ind w:left="240" w:hanging="238"/>
        <w:spacing w:after="0" w:line="264" w:lineRule="auto"/>
        <w:tabs>
          <w:tab w:leader="none" w:pos="2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156" w:lineRule="exact"/>
        <w:rPr>
          <w:rFonts w:ascii="Times New Roman" w:cs="Times New Roman" w:eastAsia="Times New Roman" w:hAnsi="Times New Roman"/>
          <w:sz w:val="14"/>
          <w:szCs w:val="14"/>
          <w:color w:val="auto"/>
        </w:rPr>
      </w:pPr>
    </w:p>
    <w:p>
      <w:pPr>
        <w:ind w:left="560" w:hanging="313"/>
        <w:spacing w:after="0" w:line="264" w:lineRule="auto"/>
        <w:tabs>
          <w:tab w:leader="none" w:pos="558"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Times New Roman" w:cs="Times New Roman" w:eastAsia="Times New Roman" w:hAnsi="Times New Roman"/>
          <w:sz w:val="14"/>
          <w:szCs w:val="14"/>
          <w:color w:val="auto"/>
        </w:rPr>
      </w:pPr>
    </w:p>
    <w:p>
      <w:pPr>
        <w:ind w:left="560" w:hanging="313"/>
        <w:spacing w:after="0" w:line="264" w:lineRule="auto"/>
        <w:tabs>
          <w:tab w:leader="none" w:pos="555"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Times New Roman" w:cs="Times New Roman" w:eastAsia="Times New Roman" w:hAnsi="Times New Roman"/>
          <w:sz w:val="14"/>
          <w:szCs w:val="14"/>
          <w:color w:val="auto"/>
        </w:rPr>
      </w:pPr>
    </w:p>
    <w:p>
      <w:pPr>
        <w:ind w:left="560" w:hanging="313"/>
        <w:spacing w:after="0" w:line="264" w:lineRule="auto"/>
        <w:tabs>
          <w:tab w:leader="none" w:pos="558"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Times New Roman" w:cs="Times New Roman" w:eastAsia="Times New Roman" w:hAnsi="Times New Roman"/>
          <w:sz w:val="14"/>
          <w:szCs w:val="14"/>
          <w:color w:val="auto"/>
        </w:rPr>
      </w:pPr>
    </w:p>
    <w:p>
      <w:pPr>
        <w:ind w:left="240" w:hanging="238"/>
        <w:spacing w:after="0" w:line="264" w:lineRule="auto"/>
        <w:tabs>
          <w:tab w:leader="none" w:pos="2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Times New Roman" w:cs="Times New Roman" w:eastAsia="Times New Roman" w:hAnsi="Times New Roman"/>
          <w:sz w:val="14"/>
          <w:szCs w:val="14"/>
          <w:color w:val="auto"/>
        </w:rPr>
      </w:pPr>
    </w:p>
    <w:p>
      <w:pPr>
        <w:ind w:left="560" w:hanging="313"/>
        <w:spacing w:after="0" w:line="264" w:lineRule="auto"/>
        <w:tabs>
          <w:tab w:leader="none" w:pos="558"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Times New Roman" w:cs="Times New Roman" w:eastAsia="Times New Roman" w:hAnsi="Times New Roman"/>
          <w:sz w:val="14"/>
          <w:szCs w:val="14"/>
          <w:color w:val="auto"/>
        </w:rPr>
      </w:pPr>
    </w:p>
    <w:p>
      <w:pPr>
        <w:ind w:left="540" w:hanging="293"/>
        <w:spacing w:after="0"/>
        <w:tabs>
          <w:tab w:leader="none" w:pos="54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November 8, 2022</w:t>
      </w:r>
    </w:p>
    <w:p>
      <w:pPr>
        <w:spacing w:after="0" w:line="18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Stephen Brady</w:t>
      </w:r>
    </w:p>
    <w:p>
      <w:pPr>
        <w:ind w:left="4160"/>
        <w:spacing w:after="0" w:line="213" w:lineRule="auto"/>
        <w:rPr>
          <w:sz w:val="20"/>
          <w:szCs w:val="20"/>
          <w:color w:val="auto"/>
        </w:rPr>
      </w:pPr>
      <w:r>
        <w:rPr>
          <w:rFonts w:ascii="Times New Roman" w:cs="Times New Roman" w:eastAsia="Times New Roman" w:hAnsi="Times New Roman"/>
          <w:sz w:val="14"/>
          <w:szCs w:val="14"/>
          <w:color w:val="auto"/>
        </w:rPr>
        <w:t>Stephen Brady</w:t>
      </w:r>
    </w:p>
    <w:p>
      <w:pPr>
        <w:ind w:left="4160"/>
        <w:spacing w:after="0"/>
        <w:rPr>
          <w:sz w:val="20"/>
          <w:szCs w:val="20"/>
          <w:color w:val="auto"/>
        </w:rPr>
      </w:pPr>
      <w:r>
        <w:rPr>
          <w:rFonts w:ascii="Times New Roman" w:cs="Times New Roman" w:eastAsia="Times New Roman" w:hAnsi="Times New Roman"/>
          <w:sz w:val="14"/>
          <w:szCs w:val="14"/>
          <w:color w:val="auto"/>
        </w:rPr>
        <w:t>Chief Executive Officer</w:t>
      </w:r>
    </w:p>
    <w:p>
      <w:pPr>
        <w:sectPr>
          <w:pgSz w:w="11900" w:h="16838" w:orient="portrait"/>
          <w:cols w:equalWidth="0" w:num="1">
            <w:col w:w="11040"/>
          </w:cols>
          <w:pgMar w:left="300" w:top="1113" w:right="55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8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u w:val="single" w:color="auto"/>
          <w:color w:val="auto"/>
        </w:rPr>
        <w:t>CERTIFICATIONS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Nicholas Maestas, certify that:</w:t>
      </w:r>
    </w:p>
    <w:p>
      <w:pPr>
        <w:spacing w:after="0" w:line="186" w:lineRule="exact"/>
        <w:rPr>
          <w:sz w:val="20"/>
          <w:szCs w:val="20"/>
          <w:color w:val="auto"/>
        </w:rPr>
      </w:pPr>
    </w:p>
    <w:p>
      <w:pPr>
        <w:ind w:left="240" w:hanging="238"/>
        <w:spacing w:after="0"/>
        <w:tabs>
          <w:tab w:leader="none" w:pos="2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Form 10-Q of Tempest Therapeutics, Inc.;</w:t>
      </w:r>
    </w:p>
    <w:p>
      <w:pPr>
        <w:spacing w:after="0" w:line="186" w:lineRule="exact"/>
        <w:rPr>
          <w:rFonts w:ascii="Times New Roman" w:cs="Times New Roman" w:eastAsia="Times New Roman" w:hAnsi="Times New Roman"/>
          <w:sz w:val="14"/>
          <w:szCs w:val="14"/>
          <w:color w:val="auto"/>
        </w:rPr>
      </w:pPr>
    </w:p>
    <w:p>
      <w:pPr>
        <w:ind w:left="240" w:hanging="238"/>
        <w:spacing w:after="0" w:line="264" w:lineRule="auto"/>
        <w:tabs>
          <w:tab w:leader="none" w:pos="2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Times New Roman" w:cs="Times New Roman" w:eastAsia="Times New Roman" w:hAnsi="Times New Roman"/>
          <w:sz w:val="14"/>
          <w:szCs w:val="14"/>
          <w:color w:val="auto"/>
        </w:rPr>
      </w:pPr>
    </w:p>
    <w:p>
      <w:pPr>
        <w:ind w:left="240" w:hanging="238"/>
        <w:spacing w:after="0" w:line="264" w:lineRule="auto"/>
        <w:tabs>
          <w:tab w:leader="none" w:pos="2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Times New Roman" w:cs="Times New Roman" w:eastAsia="Times New Roman" w:hAnsi="Times New Roman"/>
          <w:sz w:val="14"/>
          <w:szCs w:val="14"/>
          <w:color w:val="auto"/>
        </w:rPr>
      </w:pPr>
    </w:p>
    <w:p>
      <w:pPr>
        <w:ind w:left="240" w:hanging="238"/>
        <w:spacing w:after="0" w:line="264" w:lineRule="auto"/>
        <w:tabs>
          <w:tab w:leader="none" w:pos="2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156" w:lineRule="exact"/>
        <w:rPr>
          <w:sz w:val="20"/>
          <w:szCs w:val="20"/>
          <w:color w:val="auto"/>
        </w:rPr>
      </w:pPr>
    </w:p>
    <w:p>
      <w:pPr>
        <w:ind w:left="500" w:hanging="244"/>
        <w:spacing w:after="0" w:line="264" w:lineRule="auto"/>
        <w:rPr>
          <w:sz w:val="20"/>
          <w:szCs w:val="20"/>
          <w:color w:val="auto"/>
        </w:rPr>
      </w:pPr>
      <w:r>
        <w:rPr>
          <w:rFonts w:ascii="Times New Roman" w:cs="Times New Roman" w:eastAsia="Times New Roman" w:hAnsi="Times New Roman"/>
          <w:sz w:val="14"/>
          <w:szCs w:val="14"/>
          <w:color w:val="auto"/>
        </w:rPr>
        <w:t>(a) Designed such disclosure controls and procedures, or caused such disclosure controls and procedures</w:t>
      </w:r>
      <w:r>
        <w:rPr>
          <w:sz w:val="20"/>
          <w:szCs w:val="20"/>
          <w:color w:val="auto"/>
        </w:rPr>
        <w:t xml:space="preserve"> </w:t>
      </w:r>
      <w:r>
        <w:rPr>
          <w:rFonts w:ascii="Times New Roman" w:cs="Times New Roman" w:eastAsia="Times New Roman" w:hAnsi="Times New Roman"/>
          <w:sz w:val="14"/>
          <w:szCs w:val="14"/>
          <w:color w:val="auto"/>
        </w:rPr>
        <w:t>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sz w:val="20"/>
          <w:szCs w:val="20"/>
          <w:color w:val="auto"/>
        </w:rPr>
      </w:pPr>
    </w:p>
    <w:p>
      <w:pPr>
        <w:ind w:left="500" w:hanging="253"/>
        <w:spacing w:after="0" w:line="264" w:lineRule="auto"/>
        <w:tabs>
          <w:tab w:leader="none" w:pos="495"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Times New Roman" w:cs="Times New Roman" w:eastAsia="Times New Roman" w:hAnsi="Times New Roman"/>
          <w:sz w:val="14"/>
          <w:szCs w:val="14"/>
          <w:color w:val="auto"/>
        </w:rPr>
      </w:pPr>
    </w:p>
    <w:p>
      <w:pPr>
        <w:ind w:left="500" w:hanging="253"/>
        <w:spacing w:after="0" w:line="264" w:lineRule="auto"/>
        <w:tabs>
          <w:tab w:leader="none" w:pos="498"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Times New Roman" w:cs="Times New Roman" w:eastAsia="Times New Roman" w:hAnsi="Times New Roman"/>
          <w:sz w:val="14"/>
          <w:szCs w:val="14"/>
          <w:color w:val="auto"/>
        </w:rPr>
      </w:pPr>
    </w:p>
    <w:p>
      <w:pPr>
        <w:ind w:left="240" w:hanging="238"/>
        <w:spacing w:after="0" w:line="264" w:lineRule="auto"/>
        <w:tabs>
          <w:tab w:leader="none" w:pos="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Times New Roman" w:cs="Times New Roman" w:eastAsia="Times New Roman" w:hAnsi="Times New Roman"/>
          <w:sz w:val="14"/>
          <w:szCs w:val="14"/>
          <w:color w:val="auto"/>
        </w:rPr>
      </w:pPr>
    </w:p>
    <w:p>
      <w:pPr>
        <w:ind w:left="500" w:hanging="253"/>
        <w:spacing w:after="0" w:line="264" w:lineRule="auto"/>
        <w:tabs>
          <w:tab w:leader="none" w:pos="498"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Times New Roman" w:cs="Times New Roman" w:eastAsia="Times New Roman" w:hAnsi="Times New Roman"/>
          <w:sz w:val="14"/>
          <w:szCs w:val="14"/>
          <w:color w:val="auto"/>
        </w:rPr>
      </w:pPr>
    </w:p>
    <w:p>
      <w:pPr>
        <w:ind w:left="480" w:hanging="233"/>
        <w:spacing w:after="0"/>
        <w:tabs>
          <w:tab w:leader="none" w:pos="48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November 8, 2022</w:t>
      </w:r>
    </w:p>
    <w:p>
      <w:pPr>
        <w:spacing w:after="0" w:line="1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Nicholas Maestas</w:t>
      </w:r>
    </w:p>
    <w:p>
      <w:pPr>
        <w:spacing w:after="0" w:line="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Nicholas Maestas</w:t>
      </w:r>
    </w:p>
    <w:p>
      <w:pPr>
        <w:spacing w:after="0" w:line="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Vice-President, Strategy and Finance</w:t>
      </w:r>
    </w:p>
    <w:p>
      <w:pPr>
        <w:sectPr>
          <w:pgSz w:w="11900" w:h="16838" w:orient="portrait"/>
          <w:cols w:equalWidth="0" w:num="1">
            <w:col w:w="11040"/>
          </w:cols>
          <w:pgMar w:left="300" w:top="1103" w:right="55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8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Pursuant to the requirement set forth in Rule 13a-14(b) of the Securities Exchange Act of 1934, as amended, (the “Exchange Act”) and Section 1350 of Chapter 63 of Title 18 of the United States Code (18 U.S.C. §1350), Stephen Brady, Chief Executive Officer of Tempest Therapeutics, Inc. (the “Company”), and Nicholas Maestas, Vice President, Strategy and Finance, of the Company, each hereby certifies that, to the best of his or her knowledge:</w:t>
      </w:r>
    </w:p>
    <w:p>
      <w:pPr>
        <w:spacing w:after="0" w:line="163" w:lineRule="exact"/>
        <w:rPr>
          <w:sz w:val="20"/>
          <w:szCs w:val="20"/>
          <w:color w:val="auto"/>
        </w:rPr>
      </w:pPr>
    </w:p>
    <w:p>
      <w:pPr>
        <w:ind w:left="240" w:hanging="238"/>
        <w:spacing w:after="0" w:line="264" w:lineRule="auto"/>
        <w:tabs>
          <w:tab w:leader="none" w:pos="2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Quarterly Report on Form 10-Q for the period ended September 30, 2022, to which this Certification is attached as Exhibit 32.1 (the “Periodic Report”), fully complies with the requirements of Section 13(a) or Section 15(d) of the Exchange Act; and</w:t>
      </w:r>
    </w:p>
    <w:p>
      <w:pPr>
        <w:spacing w:after="0" w:line="156"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Periodic Report fairly presents, in all material respects, the financial condition and results of operations of the Company.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Dated: November 8, 2022</w:t>
            </w: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47"/>
        </w:trPr>
        <w:tc>
          <w:tcPr>
            <w:tcW w:w="6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WITNESS WHEREOF</w:t>
            </w:r>
            <w:r>
              <w:rPr>
                <w:rFonts w:ascii="Times New Roman" w:cs="Times New Roman" w:eastAsia="Times New Roman" w:hAnsi="Times New Roman"/>
                <w:sz w:val="14"/>
                <w:szCs w:val="14"/>
                <w:color w:val="auto"/>
              </w:rPr>
              <w:t>, the undersigned have set their hands hereto as of the 8th day of November 2022.</w:t>
            </w: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48"/>
        </w:trPr>
        <w:tc>
          <w:tcPr>
            <w:tcW w:w="20" w:type="dxa"/>
            <w:vAlign w:val="bottom"/>
          </w:tcPr>
          <w:p>
            <w:pPr>
              <w:spacing w:after="0"/>
              <w:rPr>
                <w:sz w:val="24"/>
                <w:szCs w:val="24"/>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Stephen Brady</w:t>
            </w:r>
          </w:p>
        </w:tc>
        <w:tc>
          <w:tcPr>
            <w:tcW w:w="2640" w:type="dxa"/>
            <w:vAlign w:val="bottom"/>
            <w:gridSpan w:val="3"/>
          </w:tcPr>
          <w:p>
            <w:pPr>
              <w:ind w:left="620"/>
              <w:spacing w:after="0"/>
              <w:rPr>
                <w:sz w:val="20"/>
                <w:szCs w:val="20"/>
                <w:color w:val="auto"/>
              </w:rPr>
            </w:pPr>
            <w:r>
              <w:rPr>
                <w:rFonts w:ascii="Times New Roman" w:cs="Times New Roman" w:eastAsia="Times New Roman" w:hAnsi="Times New Roman"/>
                <w:sz w:val="14"/>
                <w:szCs w:val="14"/>
                <w:color w:val="auto"/>
              </w:rPr>
              <w:t>/s/ Nicholas Maestas</w:t>
            </w:r>
          </w:p>
        </w:tc>
      </w:tr>
      <w:tr>
        <w:trPr>
          <w:trHeight w:val="182"/>
        </w:trPr>
        <w:tc>
          <w:tcPr>
            <w:tcW w:w="20" w:type="dxa"/>
            <w:vAlign w:val="bottom"/>
          </w:tcPr>
          <w:p>
            <w:pPr>
              <w:spacing w:after="0"/>
              <w:rPr>
                <w:sz w:val="15"/>
                <w:szCs w:val="15"/>
                <w:color w:val="auto"/>
              </w:rPr>
            </w:pPr>
          </w:p>
        </w:tc>
        <w:tc>
          <w:tcPr>
            <w:tcW w:w="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Stephen Brady</w:t>
            </w:r>
          </w:p>
        </w:tc>
        <w:tc>
          <w:tcPr>
            <w:tcW w:w="5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Nicholas Maestas</w:t>
            </w:r>
          </w:p>
        </w:tc>
        <w:tc>
          <w:tcPr>
            <w:tcW w:w="88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Executive Officer</w:t>
            </w:r>
          </w:p>
        </w:tc>
        <w:tc>
          <w:tcPr>
            <w:tcW w:w="2640" w:type="dxa"/>
            <w:vAlign w:val="bottom"/>
            <w:gridSpan w:val="3"/>
          </w:tcPr>
          <w:p>
            <w:pPr>
              <w:ind w:left="620"/>
              <w:spacing w:after="0"/>
              <w:rPr>
                <w:sz w:val="20"/>
                <w:szCs w:val="20"/>
                <w:color w:val="auto"/>
              </w:rPr>
            </w:pPr>
            <w:r>
              <w:rPr>
                <w:rFonts w:ascii="Times New Roman" w:cs="Times New Roman" w:eastAsia="Times New Roman" w:hAnsi="Times New Roman"/>
                <w:sz w:val="14"/>
                <w:szCs w:val="14"/>
                <w:color w:val="auto"/>
                <w:w w:val="95"/>
              </w:rPr>
              <w:t>Vice-President, Strategy and Finance</w:t>
            </w:r>
          </w:p>
        </w:tc>
      </w:tr>
    </w:tbl>
    <w:p>
      <w:pPr>
        <w:spacing w:after="0" w:line="1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“This certification accompanies the Form 10-Q to which it relates, is not deemed filed with the Securities and Exchange Commission and is not to be incorporated by reference into any filing of Tempest Therapeutics,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040"/>
      </w:cols>
      <w:pgMar w:left="300" w:top="1103"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decimal"/>
      <w:start w:val="9"/>
    </w:lvl>
  </w:abstractNum>
  <w:abstractNum w:abstractNumId="6">
    <w:nsid w:val="189A769B"/>
    <w:multiLevelType w:val="hybridMultilevel"/>
    <w:lvl w:ilvl="0">
      <w:lvlJc w:val="left"/>
      <w:lvlText w:val="%1."/>
      <w:numFmt w:val="decimal"/>
      <w:start w:val="8"/>
    </w:lvl>
  </w:abstractNum>
  <w:abstractNum w:abstractNumId="7">
    <w:nsid w:val="54E49EB4"/>
    <w:multiLevelType w:val="hybridMultilevel"/>
    <w:lvl w:ilvl="0">
      <w:lvlJc w:val="left"/>
      <w:lvlText w:val="%1."/>
      <w:numFmt w:val="decimal"/>
      <w:start w:val="9"/>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1)"/>
      <w:numFmt w:val="lowerRoman"/>
      <w:start w:val="2"/>
    </w:lvl>
  </w:abstractNum>
  <w:abstractNum w:abstractNumId="10">
    <w:nsid w:val="836C40E"/>
    <w:multiLevelType w:val="hybridMultilevel"/>
    <w:lvl w:ilvl="0">
      <w:lvlJc w:val="left"/>
      <w:lvlText w:val="(%1)"/>
      <w:numFmt w:val="lowerRoman"/>
      <w:start w:val="1"/>
    </w:lvl>
  </w:abstractNum>
  <w:abstractNum w:abstractNumId="11">
    <w:nsid w:val="2901D82"/>
    <w:multiLevelType w:val="hybridMultilevel"/>
    <w:lvl w:ilvl="0">
      <w:lvlJc w:val="left"/>
      <w:lvlText w:val="(%1)"/>
      <w:numFmt w:val="lowerRoman"/>
      <w:start w:val="1"/>
    </w:lvl>
  </w:abstractNum>
  <w:abstractNum w:abstractNumId="12">
    <w:nsid w:val="3A95F874"/>
    <w:multiLevelType w:val="hybridMultilevel"/>
    <w:lvl w:ilvl="0">
      <w:lvlJc w:val="left"/>
      <w:lvlText w:val="(%1)"/>
      <w:numFmt w:val="lowerRoman"/>
      <w:start w:val="2"/>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lvl w:ilvl="1">
      <w:lvlJc w:val="left"/>
      <w:lvlText w:val="%2"/>
      <w:numFmt w:val="decimal"/>
      <w:start w:val="104"/>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1."/>
      <w:numFmt w:val="decimal"/>
      <w:start w:val="2"/>
    </w:lvl>
  </w:abstractNum>
  <w:abstractNum w:abstractNumId="41">
    <w:nsid w:val="725A06FB"/>
    <w:multiLevelType w:val="hybridMultilevel"/>
    <w:lvl w:ilvl="0">
      <w:lvlJc w:val="left"/>
      <w:lvlText w:val="%1."/>
      <w:numFmt w:val="decimal"/>
      <w:start w:val="1"/>
    </w:lvl>
    <w:lvl w:ilvl="1">
      <w:lvlJc w:val="left"/>
      <w:lvlText w:val="(%2)"/>
      <w:numFmt w:val="lowerLetter"/>
      <w:start w:val="1"/>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1"/>
      <w:numFmt w:val="decimal"/>
      <w:start w:val="1"/>
    </w:lvl>
    <w:lvl w:ilvl="1">
      <w:lvlJc w:val="left"/>
      <w:lvlText w:val="(%2)"/>
      <w:numFmt w:val="lowerLetter"/>
      <w:start w:val="2"/>
    </w:lvl>
  </w:abstractNum>
  <w:abstractNum w:abstractNumId="44">
    <w:nsid w:val="7A6D8D3C"/>
    <w:multiLevelType w:val="hybridMultilevel"/>
    <w:lvl w:ilvl="0">
      <w:lvlJc w:val="left"/>
      <w:lvlText w:val="%1."/>
      <w:numFmt w:val="decimal"/>
      <w:start w:val="5"/>
    </w:lvl>
    <w:lvl w:ilvl="1">
      <w:lvlJc w:val="left"/>
      <w:lvlText w:val="(%2)"/>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9" Type="http://schemas.openxmlformats.org/officeDocument/2006/relationships/image" Target="media/image76.png"/><Relationship Id="rId83" Type="http://schemas.openxmlformats.org/officeDocument/2006/relationships/hyperlink" Target="https://www.sec.gov/Archives/edgar/data/1544227/000110465921042768/tm2111026d1_ex2-1.htm" TargetMode="External"/><Relationship Id="rId84" Type="http://schemas.openxmlformats.org/officeDocument/2006/relationships/hyperlink" Target="https://www.sec.gov/Archives/edgar/data/1544227/000155837019005038/mlnd-20190331ex31b53fa83.htm" TargetMode="External"/><Relationship Id="rId85" Type="http://schemas.openxmlformats.org/officeDocument/2006/relationships/hyperlink" Target="https://www.sec.gov/Archives/edgar/data/1544227/000119312521201157/d196630dex31.htm" TargetMode="External"/><Relationship Id="rId86" Type="http://schemas.openxmlformats.org/officeDocument/2006/relationships/hyperlink" Target="https://www.sec.gov/Archives/edgar/data/1544227/000119312521201157/d196630dex32.htm" TargetMode="External"/><Relationship Id="rId87" Type="http://schemas.openxmlformats.org/officeDocument/2006/relationships/hyperlink" Target="https://www.sec.gov/Archives/edgar/data/1544227/000119312521281694/d222030dex31.htm" TargetMode="External"/><Relationship Id="rId88" Type="http://schemas.openxmlformats.org/officeDocument/2006/relationships/hyperlink" Target="https://www.sec.gov/Archives/edgar/data/1544227/000119312522135401/d212050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2022-11-08T08:08:25Z</dcterms:created>
  <dcterms:modified xsi:type="dcterms:W3CDTF">2022-11-08T08:08:25Z</dcterms:modified>
</cp:coreProperties>
</file>