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7"/>
        </w:rPr>
      </w:pPr>
      <w:bookmarkStart w:id="0" w:name="d104843ds3.htm"/>
      <w:bookmarkStart w:id="1" w:name="ksd104843ds3"/>
      <w:bookmarkEnd w:id="0"/>
      <w:bookmarkEnd w:id="1"/>
      <w:r>
        <w:rPr>
          <w:rFonts w:ascii="Times New Roman" w:hAnsi="Times New Roman"/>
          <w:b/>
          <w:sz w:val="17"/>
        </w:rPr>
        <w:t xml:space="preserve">As filed with the Securities and Exchange Commission on March 30,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0"/>
        </w:rPr>
      </w:pPr>
      <w:r>
        <w:rPr>
          <w:rFonts w:ascii="Times New Roman" w:hAnsi="Times New Roman"/>
          <w:b/>
          <w:sz w:val="40"/>
        </w:rPr>
        <w:t xml:space="preserve">TEMPEST THERAPEUTICS,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45-1472564</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60" w:after="0"/>
        <w:jc w:val="center"/>
        <w:rPr>
          <w:rFonts w:ascii="Times New Roman" w:hAnsi="Times New Roman"/>
          <w:b/>
          <w:sz w:val="17"/>
        </w:rPr>
      </w:pPr>
      <w:r>
        <w:rPr>
          <w:rFonts w:ascii="Times New Roman" w:hAnsi="Times New Roman"/>
          <w:b/>
          <w:sz w:val="17"/>
        </w:rPr>
        <w:t xml:space="preserve">200 Sierra Point Parkway, Suite 400 </w:t>
      </w:r>
    </w:p>
    <w:p>
      <w:pPr>
        <w:pStyle w:val="TextBody"/>
        <w:bidi w:val="0"/>
        <w:spacing w:before="0" w:after="0"/>
        <w:jc w:val="center"/>
        <w:rPr>
          <w:rFonts w:ascii="Times New Roman" w:hAnsi="Times New Roman"/>
          <w:b/>
          <w:sz w:val="17"/>
        </w:rPr>
      </w:pPr>
      <w:r>
        <w:rPr>
          <w:rFonts w:ascii="Times New Roman" w:hAnsi="Times New Roman"/>
          <w:b/>
          <w:sz w:val="17"/>
        </w:rPr>
        <w:t xml:space="preserve">Brisbane, California, 94005 </w:t>
      </w:r>
    </w:p>
    <w:p>
      <w:pPr>
        <w:pStyle w:val="TextBody"/>
        <w:bidi w:val="0"/>
        <w:spacing w:before="0" w:after="0"/>
        <w:jc w:val="center"/>
        <w:rPr>
          <w:rFonts w:ascii="Times New Roman" w:hAnsi="Times New Roman"/>
          <w:b/>
          <w:sz w:val="17"/>
        </w:rPr>
      </w:pPr>
      <w:r>
        <w:rPr>
          <w:rFonts w:ascii="Times New Roman" w:hAnsi="Times New Roman"/>
          <w:b/>
          <w:sz w:val="17"/>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7"/>
        </w:rPr>
      </w:pPr>
      <w:r>
        <w:rPr>
          <w:rFonts w:ascii="Times New Roman" w:hAnsi="Times New Roman"/>
          <w:b/>
          <w:sz w:val="17"/>
        </w:rPr>
        <w:t xml:space="preserve">Matthew Angel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w:t>
      </w:r>
    </w:p>
    <w:p>
      <w:pPr>
        <w:pStyle w:val="TextBody"/>
        <w:bidi w:val="0"/>
        <w:spacing w:before="0" w:after="0"/>
        <w:jc w:val="center"/>
        <w:rPr>
          <w:rFonts w:ascii="Times New Roman" w:hAnsi="Times New Roman"/>
          <w:b/>
          <w:sz w:val="17"/>
        </w:rPr>
      </w:pPr>
      <w:r>
        <w:rPr>
          <w:rFonts w:ascii="Times New Roman" w:hAnsi="Times New Roman"/>
          <w:b/>
          <w:sz w:val="17"/>
        </w:rPr>
        <w:t xml:space="preserve">200 Sierra Point Parkway, Suite 400 </w:t>
      </w:r>
    </w:p>
    <w:p>
      <w:pPr>
        <w:pStyle w:val="TextBody"/>
        <w:bidi w:val="0"/>
        <w:spacing w:before="0" w:after="0"/>
        <w:jc w:val="center"/>
        <w:rPr>
          <w:rFonts w:ascii="Times New Roman" w:hAnsi="Times New Roman"/>
          <w:b/>
          <w:sz w:val="17"/>
        </w:rPr>
      </w:pPr>
      <w:r>
        <w:rPr>
          <w:rFonts w:ascii="Times New Roman" w:hAnsi="Times New Roman"/>
          <w:b/>
          <w:sz w:val="17"/>
        </w:rPr>
        <w:t xml:space="preserve">Brisbane, CA 94005 </w:t>
      </w:r>
    </w:p>
    <w:p>
      <w:pPr>
        <w:pStyle w:val="TextBody"/>
        <w:bidi w:val="0"/>
        <w:spacing w:before="0" w:after="0"/>
        <w:jc w:val="center"/>
        <w:rPr>
          <w:rFonts w:ascii="Times New Roman" w:hAnsi="Times New Roman"/>
          <w:b/>
          <w:sz w:val="17"/>
        </w:rPr>
      </w:pPr>
      <w:r>
        <w:rPr>
          <w:rFonts w:ascii="Times New Roman" w:hAnsi="Times New Roman"/>
          <w:b/>
          <w:sz w:val="17"/>
        </w:rPr>
        <w:t xml:space="preserve">(415) 798-8589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160" w:after="0"/>
        <w:jc w:val="center"/>
        <w:rPr>
          <w:rFonts w:ascii="Times New Roman" w:hAnsi="Times New Roman"/>
          <w:b/>
          <w:sz w:val="18"/>
        </w:rPr>
      </w:pPr>
      <w:r>
        <w:rPr>
          <w:rFonts w:ascii="Times New Roman" w:hAnsi="Times New Roman"/>
          <w:b/>
          <w:sz w:val="18"/>
        </w:rPr>
        <w:t xml:space="preserve">Laura Berezin </w:t>
      </w:r>
    </w:p>
    <w:p>
      <w:pPr>
        <w:pStyle w:val="TextBody"/>
        <w:bidi w:val="0"/>
        <w:spacing w:before="0" w:after="0"/>
        <w:jc w:val="center"/>
        <w:rPr>
          <w:rFonts w:ascii="Times New Roman" w:hAnsi="Times New Roman"/>
          <w:b/>
          <w:sz w:val="18"/>
        </w:rPr>
      </w:pPr>
      <w:r>
        <w:rPr>
          <w:rFonts w:ascii="Times New Roman" w:hAnsi="Times New Roman"/>
          <w:b/>
          <w:sz w:val="18"/>
        </w:rPr>
        <w:t xml:space="preserve">Jaime L. Chase </w:t>
      </w:r>
    </w:p>
    <w:p>
      <w:pPr>
        <w:pStyle w:val="TextBody"/>
        <w:bidi w:val="0"/>
        <w:spacing w:before="0" w:after="0"/>
        <w:jc w:val="center"/>
        <w:rPr>
          <w:rFonts w:ascii="Times New Roman" w:hAnsi="Times New Roman"/>
          <w:b/>
          <w:sz w:val="18"/>
        </w:rPr>
      </w:pPr>
      <w:r>
        <w:rPr>
          <w:rFonts w:ascii="Times New Roman" w:hAnsi="Times New Roman"/>
          <w:b/>
          <w:sz w:val="18"/>
        </w:rPr>
        <w:t xml:space="preserve">Asa M. Henin </w:t>
      </w:r>
    </w:p>
    <w:p>
      <w:pPr>
        <w:pStyle w:val="TextBody"/>
        <w:bidi w:val="0"/>
        <w:spacing w:before="0" w:after="0"/>
        <w:jc w:val="center"/>
        <w:rPr>
          <w:rFonts w:ascii="Times New Roman" w:hAnsi="Times New Roman"/>
          <w:b/>
          <w:sz w:val="18"/>
        </w:rPr>
      </w:pPr>
      <w:r>
        <w:rPr>
          <w:rFonts w:ascii="Times New Roman" w:hAnsi="Times New Roman"/>
          <w:b/>
          <w:sz w:val="18"/>
        </w:rPr>
        <w:t xml:space="preserve">Cooley LLP </w:t>
      </w:r>
    </w:p>
    <w:p>
      <w:pPr>
        <w:pStyle w:val="TextBody"/>
        <w:bidi w:val="0"/>
        <w:spacing w:before="0" w:after="0"/>
        <w:jc w:val="center"/>
        <w:rPr>
          <w:rFonts w:ascii="Times New Roman" w:hAnsi="Times New Roman"/>
          <w:b/>
          <w:sz w:val="18"/>
        </w:rPr>
      </w:pPr>
      <w:r>
        <w:rPr>
          <w:rFonts w:ascii="Times New Roman" w:hAnsi="Times New Roman"/>
          <w:b/>
          <w:sz w:val="18"/>
        </w:rPr>
        <w:t xml:space="preserve">1700 Seventh Avenue, Suite 1900 </w:t>
      </w:r>
    </w:p>
    <w:p>
      <w:pPr>
        <w:pStyle w:val="TextBody"/>
        <w:bidi w:val="0"/>
        <w:spacing w:before="0" w:after="0"/>
        <w:jc w:val="center"/>
        <w:rPr>
          <w:rFonts w:ascii="Times New Roman" w:hAnsi="Times New Roman"/>
          <w:b/>
          <w:sz w:val="18"/>
        </w:rPr>
      </w:pPr>
      <w:r>
        <w:rPr>
          <w:rFonts w:ascii="Times New Roman" w:hAnsi="Times New Roman"/>
          <w:b/>
          <w:sz w:val="18"/>
        </w:rPr>
        <w:t xml:space="preserve">Seattle, Washington 98101 </w:t>
      </w:r>
    </w:p>
    <w:p>
      <w:pPr>
        <w:pStyle w:val="TextBody"/>
        <w:bidi w:val="0"/>
        <w:spacing w:before="0" w:after="0"/>
        <w:jc w:val="center"/>
        <w:rPr>
          <w:rFonts w:ascii="Times New Roman" w:hAnsi="Times New Roman"/>
          <w:b/>
          <w:sz w:val="18"/>
        </w:rPr>
      </w:pPr>
      <w:r>
        <w:rPr>
          <w:rFonts w:ascii="Times New Roman" w:hAnsi="Times New Roman"/>
          <w:b/>
          <w:sz w:val="18"/>
        </w:rPr>
        <w:t xml:space="preserve">(206) 452-8756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18"/>
        </w:rPr>
      </w:pPr>
      <w:r>
        <w:rPr>
          <w:rFonts w:ascii="Times New Roman" w:hAnsi="Times New Roman"/>
          <w:b/>
          <w:sz w:val="18"/>
        </w:rPr>
        <w:t xml:space="preserve">From time to time after the effective date of this Registration Statement </w:t>
      </w:r>
    </w:p>
    <w:p>
      <w:pPr>
        <w:pStyle w:val="TextBody"/>
        <w:bidi w:val="0"/>
        <w:spacing w:before="0" w:after="0"/>
        <w:jc w:val="center"/>
        <w:rPr>
          <w:rFonts w:ascii="Times New Roman" w:hAnsi="Times New Roman"/>
          <w:b/>
          <w:sz w:val="16"/>
        </w:rPr>
      </w:pPr>
      <w:r>
        <w:rPr>
          <w:rFonts w:ascii="Times New Roman" w:hAnsi="Times New Roman"/>
          <w:b/>
          <w:sz w:val="16"/>
        </w:rPr>
        <w:t xml:space="preserve">(Approximate date of commencement of proposed sale to the public)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16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6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6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6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6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6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The selling stockholders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MARCH 30,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8,268,495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676400" cy="422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2227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offer and resale from time to time of up to an aggregate 8,268,495 shares of our common stock, par value $0.001 per share (the “Shares”), by the selling stockholders named herein, together with any additional selling stockholders listed in a prospectus supplement (together with any of such stockholders’ transferees, pledgees, donees or successors). The Shares were acquired by the selling stockholders named herein pursuant to an asset purchase agreement, dated November 19, 2025 (the “Asset Purchase Agreement”), by and among us and the parties named therein, in a transaction more fully described in the section titled “Prospectus Summary.”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registering the offer and sale of the Shares from time to time by the selling stockholders to satisfy the registration rights granted pursuant to the Asset Purchase Agreement in connection with the issuance of the Shares. We will not receive any proceeds from the sale of the Shares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Capital Market under the trading symbol “TPST.” On March 27, 2026, the closing price of our common stock was $1.73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Before making an investment decision, please read the information under “</w:t>
      </w:r>
      <w:hyperlink w:anchor="tx104843_3">
        <w:r>
          <w:rPr>
            <w:rStyle w:val="InternetLink"/>
            <w:rFonts w:ascii="Times New Roman" w:hAnsi="Times New Roman"/>
            <w:b/>
            <w:sz w:val="24"/>
          </w:rPr>
          <w:t>Risk Factors</w:t>
        </w:r>
      </w:hyperlink>
      <w:r>
        <w:rPr>
          <w:rFonts w:ascii="Times New Roman" w:hAnsi="Times New Roman"/>
          <w:b/>
          <w:sz w:val="24"/>
        </w:rPr>
        <w:t xml:space="preserve">” on page 4 of this prospectus and under similar headings in any amendment or supplement to this prospectus or in any filing with the Securities and Exchange Commission that is incorporated by reference herein.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10">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4843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bookmarkStart w:id="3" w:name="tx10484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(“SEC”), using a “shelf” registration process. Under this registration statement, the selling stockholders may sell from time to time in one or more offerings the common stock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prospectus, the terms “we,” “us,” “our,” and our “company” refer to Tempest Therapeutics,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tx104843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certain information about us, the Asset Acquisition (as defined below)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4 of this prospectus, as well as the information incorporated herein by reference, before making an investment decision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CAR-T therapy currently in clinical development for relapsed or refractory multiple myeloma (“rrMM”). 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The study is expected to be funded by the National Cancer Institute and conducted through the Cancer Prevention Clinical Trials Network, enabling advancement with limited internal capital deployment.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information about our company, including recent developments, is contained in the documents incorporated by reference into this prospectus supplement and the accompanying prospectus, including our Annual Report on Form 10-K that we filed with the SEC on March 30,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Asset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November 19, 2025, we executed the Asset Purchase Agreement with Erigen LLC, a Delaware limited liability company (“Erigen”), and Factor Bioscience Inc., a Delaware corporation (together with Erigen, “Sellers”), pursuant to which Sellers agreed to sell and transfer to the Company all right, title and interest of Sellers in and to all of the assets primarily related to (a) the autologous BCMA/CD19 dual-targeting CAR T-cell therapy known as TPST-2003 currently being evaluated in a Phase 1/2a clinical study in patients with rrMM, (b) the autologous CD70/CD70 dual-targeting CAR T-cell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“Assets”), in exchange for an aggregate purchase price of 8,268,495 shares of our common stock issued to Erigen on behalf of both Sellers.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3, 2026, we completed the acquisition of the Assets (the “Closing”) under the Asset Purchase Agreement (the “Asset Acquisition”) and issued to Erigen 8,268,495 shares of our common stock (the “Share Issuance”).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Asset Purchase Agreement, at Closing we obtained an exclusive license to specified patents and know-how in all fields worldwide, but excluding Greater China, India, Turkey, and Russia, to exploit the TPST-2003 and TPST -2206 programs and allogeneic CAR-T therapies based on the TPST-2003 and TPST-2206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programs. We also received a right of first negotiation to negotiate a license to exploit allogeneic CAR-T therapies and in vivo CAR-T therapies in Greater China. We also obtained an exclusive license to specified patents in all fields worldwide, but excluding Greater China, India, Turkey, and Russia, to exploit the TPST-3003 and TPST-3206 programs.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Closing, it is expected that Erigen will dissolve and will distribute the shares of common stock received by it in the Shares Issuance to its members, Matthew Angel and Lotus Capital (BVI) Limited.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Asset Purchase Agreement, we agreed to prepare and file a registration statement with the SEC to register for resale the Shares, and generally to cause the registration statement to promptly become effective.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and a Non-Accelerated Filer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Rule 12b-2 of the Securities Exchange Act of 1934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as a non-accelerated filer, we may continue to take advantage of the exception from compliance with the auditor attestation requirements of Section 404 of the Sarbanes-Oxley Act of 2002, as amended.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supplement the information on, or accessible through, our website, and you should not consider it as part of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Tempest logo and other trademarks or service marks of Tempest Therapeutics, Inc. appearing in this prospectus supplement are the property of Tempest Therapeutics,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stockholders </w:t>
            </w:r>
          </w:p>
        </w:tc>
        <w:tc>
          <w:tcPr>
            <w:tcW w:w="6329" w:type="dxa"/>
            <w:tcBorders/>
          </w:tcPr>
          <w:p>
            <w:pPr>
              <w:pStyle w:val="TableContents"/>
              <w:bidi w:val="0"/>
              <w:spacing w:before="0" w:after="283"/>
              <w:jc w:val="left"/>
              <w:rPr/>
            </w:pPr>
            <w:r>
              <w:rPr/>
              <w:t xml:space="preserve">8,268,495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Terms of the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Each selling stockholder will determine when and how it will sell the common stock offered in this prospectus, as described in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will not receive any proceeds from the sale of the shares of common stock covered by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See “Risk Factors” on page 4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Nasdaq Capital Market symbol</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TPST.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selling stockholders named in this prospectus may offer and sell up to 8,268,495 shares of our common stock. Our common stock is currently listed on Nasdaq Capital Market under the symbol “TPST.” Shares of our common stock that may be offered under this prospectus are fully paid and non-assessable. We will not receive any of the proceeds from sales by the selling stockholders of any of the common stock covered by this prospectus. Throughout this prospectus, when we refer to the shares of our common stock being registered on behalf of the selling stockholders for offer and resale, we are referring to the Shares. When we refer to the selling stockholders in this prospectus, we are referring to the selling stockholders identified in this prospectus and, as applicable, their respective permitted transferees or other successors-in-interest that may be identified in a supplement to this prospectus or, if required, a post-effective amendment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tx104843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a high degree of risk. Before making an investment decision, you should carefully consider the risks described in the sections entitled “Risk Factors” in our most recent Annual Report on Form 10-K and subsequent Quarterly Reports on Form 10-Q, as filed with the SEC, which are incorporated herein by reference in their entirety, as well any amendment or updates to our risk factors reflected in subsequent filings with the SEC, including any applicable prospectus supplement.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x104843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or free writing prospectus, including the documents that we incorporate by reference herein and therein, contain “forward-looking statements” within the meaning of Section 27A of the Securities Act of 1933, as amended (the “Securities Act”), and Section 21E of the Securities Exchange Act of 1934, as amended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We discuss many of these risks in greater detail under “Risk Factors”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tx104843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or other disposition of shares of our common stock held by the selling stockholders pursuant to this prospectus.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tx104843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the selling stockholders may have sold, transferred or otherwise disposed of all or a portion of their shares of common stock since the date on which they provided information for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and the footnotes thereto regarding shares of common stock to be beneficially owned after the offering assumes the sale of all shares being offered by the selling stockholders under this prospectus, consisting of the Shares. This information has been obtained from the selling stockholders. The percentage of shares owned after the offering is based on 14,344,034 shares outstanding as of March 25, 2026.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“selling stockholders” includes the selling stockholders listed in the table below, together with any additional selling stockholders listed in a prospectus supplement, and their donees, pledgees, assignees, transferees, distributees and successors-in-interest that receive Shares in any non-sale transfer after the date of this prospectus. </w:t>
      </w:r>
    </w:p>
    <w:p>
      <w:pPr>
        <w:pStyle w:val="TextBody"/>
        <w:bidi w:val="0"/>
        <w:spacing w:before="0" w:after="0"/>
        <w:jc w:val="left"/>
        <w:rPr/>
      </w:pPr>
      <w:r>
        <w:rPr/>
        <w:t> </w:t>
      </w:r>
    </w:p>
    <w:tbl>
      <w:tblPr>
        <w:tblW w:w="11880" w:type="dxa"/>
        <w:jc w:val="center"/>
        <w:tblInd w:w="0" w:type="dxa"/>
        <w:tblLayout w:type="fixed"/>
        <w:tblCellMar>
          <w:top w:w="0" w:type="dxa"/>
          <w:left w:w="0" w:type="dxa"/>
          <w:bottom w:w="0" w:type="dxa"/>
          <w:right w:w="0" w:type="dxa"/>
        </w:tblCellMar>
      </w:tblPr>
      <w:tblGrid>
        <w:gridCol w:w="2075"/>
        <w:gridCol w:w="60"/>
        <w:gridCol w:w="150"/>
        <w:gridCol w:w="2450"/>
        <w:gridCol w:w="60"/>
        <w:gridCol w:w="60"/>
        <w:gridCol w:w="78"/>
        <w:gridCol w:w="1277"/>
        <w:gridCol w:w="60"/>
        <w:gridCol w:w="60"/>
        <w:gridCol w:w="177"/>
        <w:gridCol w:w="2369"/>
        <w:gridCol w:w="177"/>
        <w:gridCol w:w="177"/>
        <w:gridCol w:w="322"/>
        <w:gridCol w:w="2053"/>
        <w:gridCol w:w="27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6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of Common Stock</w:t>
              <w:br/>
              <w:t>Beneficially Owned prior</w:t>
              <w:br/>
              <w:t>to this Offering</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 this Offering(1)</w:t>
            </w:r>
          </w:p>
        </w:tc>
        <w:tc>
          <w:tcPr>
            <w:tcW w:w="275"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60" w:type="dxa"/>
            <w:vMerge w:val="continue"/>
            <w:tcBorders/>
            <w:vAlign w:val="bottom"/>
          </w:tcPr>
          <w:p>
            <w:pPr>
              <w:pStyle w:val="Normal"/>
              <w:bidi w:val="0"/>
              <w:jc w:val="left"/>
              <w:rPr/>
            </w:pPr>
            <w:r>
              <w:rPr/>
            </w:r>
          </w:p>
        </w:tc>
        <w:tc>
          <w:tcPr>
            <w:tcW w:w="26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Being</w:t>
              <w:br/>
              <w:t>Offered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7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 Outstanding</w:t>
              <w:br/>
              <w:t>Common Stock</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Matthew Angel(2)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right"/>
              <w:rPr/>
            </w:pPr>
            <w:r>
              <w:rPr/>
              <w:t>5,531,516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4,837,070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369" w:type="dxa"/>
            <w:tcBorders/>
            <w:shd w:fill="CCEEFF" w:val="clear"/>
            <w:vAlign w:val="bottom"/>
          </w:tcPr>
          <w:p>
            <w:pPr>
              <w:pStyle w:val="TableContents"/>
              <w:bidi w:val="0"/>
              <w:spacing w:before="0" w:after="283"/>
              <w:jc w:val="right"/>
              <w:rPr/>
            </w:pPr>
            <w:r>
              <w:rPr/>
              <w:t>694,446</w:t>
            </w:r>
          </w:p>
        </w:tc>
        <w:tc>
          <w:tcPr>
            <w:tcW w:w="17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53"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Lotus Capital (BVI) Limited(3)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pPr>
            <w:r>
              <w:rPr/>
              <w:t>3,431,425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3,431,425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5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selling stockholders sell all Shares registered under this prospectus, but that each such selling stockholder does not sell or otherwise dispose of any of the other shares of common stock that it beneficially owns as of the date hereof.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4,837,070 shares of common stock held by the selling stockholder, (ii) 231,482 shares of common stock held by Factor Bioscience Inc. (“Factor”) and (iii) 462,964 shares of common stock issuable upon the exercise of warrants held by Factor. Dr. Angel is the majority equityholder of the parent of Factor and Chairman of the Board of Directors of Factor and exercises voting and investment power over the shares held by Factor.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3,431,425 shares of common stock. The principal business address of Lotus Capital (BVI) Limited is Mandar House, 3rd Floor, Johnson’s Ghut, Tortola VG1110, British Virgin Islands. Bangxia Yang has sole voting and dispositive power over the shares held by Lotus Capital (BVI) Limited.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Selling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greater detail above under the section “Prospectus Summary—Asset Purchase Agreement,” on November 19, 2025, we entered into the Asset Purchase Agreement pursuant to which we issued shares of common stock, and agreed with Sellers to file a registration statement to enable the resale of the shares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covered by this prospectus. On February 3, 2026, following the Closing of the Asset Acquisition, Dr. Angel was appointed to serve as our President and Chief Executive Officer and as a member of our board of directors. No other selling stockholder or any persons having control over such selling stockholder has held any position or office with us or our affiliates within the last three years or has had a material relationship with us or any of our predecessors or affiliates within the past three years, other than as a result of the ownership of 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tx104843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may become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reserves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such time as the selling stockholder no longer owns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x104843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including the validity of the shares of common stock offered by this prospectus, will be passed upon by Cooley LLP. </w:t>
      </w:r>
    </w:p>
    <w:p>
      <w:pPr>
        <w:pStyle w:val="TextBody"/>
        <w:bidi w:val="0"/>
        <w:spacing w:before="480" w:after="0"/>
        <w:jc w:val="center"/>
        <w:rPr>
          <w:rFonts w:ascii="Times New Roman" w:hAnsi="Times New Roman"/>
          <w:b/>
          <w:sz w:val="20"/>
        </w:rPr>
      </w:pPr>
      <w:bookmarkStart w:id="11" w:name="tx104843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12" w:name="tx104843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www.tempesttx.com. Information contained in or accessible through our website does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x104843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 SEC (File No. 001-35890):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3">
              <w:r>
                <w:rPr>
                  <w:rStyle w:val="InternetLink"/>
                  <w:rFonts w:ascii="Times New Roman" w:hAnsi="Times New Roman"/>
                  <w:sz w:val="20"/>
                </w:rPr>
                <w:t>March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4">
              <w:r>
                <w:rPr>
                  <w:rStyle w:val="InternetLink"/>
                  <w:rFonts w:ascii="Times New Roman" w:hAnsi="Times New Roman"/>
                  <w:sz w:val="20"/>
                </w:rPr>
                <w:t>January 9, 2026</w:t>
              </w:r>
            </w:hyperlink>
            <w:r>
              <w:rPr>
                <w:rFonts w:ascii="Times New Roman" w:hAnsi="Times New Roman"/>
                <w:sz w:val="20"/>
              </w:rPr>
              <w:t xml:space="preserve">, </w:t>
            </w:r>
            <w:hyperlink r:id="rId5">
              <w:r>
                <w:rPr>
                  <w:rStyle w:val="InternetLink"/>
                  <w:rFonts w:ascii="Times New Roman" w:hAnsi="Times New Roman"/>
                  <w:sz w:val="20"/>
                </w:rPr>
                <w:t>January  28, 2026</w:t>
              </w:r>
            </w:hyperlink>
            <w:r>
              <w:rPr>
                <w:rFonts w:ascii="Times New Roman" w:hAnsi="Times New Roman"/>
                <w:sz w:val="20"/>
              </w:rPr>
              <w:t xml:space="preserve">, </w:t>
            </w:r>
            <w:hyperlink r:id="rId6">
              <w:r>
                <w:rPr>
                  <w:rStyle w:val="InternetLink"/>
                  <w:rFonts w:ascii="Times New Roman" w:hAnsi="Times New Roman"/>
                  <w:sz w:val="20"/>
                </w:rPr>
                <w:t>February  6, 2026</w:t>
              </w:r>
            </w:hyperlink>
            <w:r>
              <w:rPr>
                <w:rFonts w:ascii="Times New Roman" w:hAnsi="Times New Roman"/>
                <w:sz w:val="20"/>
              </w:rPr>
              <w:t xml:space="preserve">, </w:t>
            </w:r>
            <w:hyperlink r:id="rId7">
              <w:r>
                <w:rPr>
                  <w:rStyle w:val="InternetLink"/>
                  <w:rFonts w:ascii="Times New Roman" w:hAnsi="Times New Roman"/>
                  <w:sz w:val="20"/>
                </w:rPr>
                <w:t>February  25, 2026</w:t>
              </w:r>
            </w:hyperlink>
            <w:r>
              <w:rPr>
                <w:rFonts w:ascii="Times New Roman" w:hAnsi="Times New Roman"/>
                <w:sz w:val="20"/>
              </w:rPr>
              <w:t xml:space="preserve"> and </w:t>
            </w:r>
            <w:hyperlink r:id="rId8">
              <w:r>
                <w:rPr>
                  <w:rStyle w:val="InternetLink"/>
                  <w:rFonts w:ascii="Times New Roman" w:hAnsi="Times New Roman"/>
                  <w:sz w:val="20"/>
                </w:rPr>
                <w:t>March 23, 2026</w:t>
              </w:r>
            </w:hyperlink>
            <w:r>
              <w:rPr>
                <w:rFonts w:ascii="Times New Roman" w:hAnsi="Times New Roman"/>
                <w:sz w:val="20"/>
              </w:rPr>
              <w:t xml:space="preserve">,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(File No. 001-35890), filed with the SEC on April 25, 2013, including any amendments thereto or reports filed for the purposes of updating this description, including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2025 filed with the SEC on March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all documents (other than current reports furnished under Item 2.02 or Item 7.01 of Form 8-K and exhibits filed on such form that are related to such items, and other information that is furnished or is otherwise not incorporated into registrations statements pursuant to applicable SEC rules)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an estimate of the fees and expenses payable by us in connection with the sale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35"/>
        <w:gridCol w:w="412"/>
        <w:gridCol w:w="147"/>
        <w:gridCol w:w="783"/>
        <w:gridCol w:w="62"/>
      </w:tblGrid>
      <w:tr>
        <w:trPr/>
        <w:tc>
          <w:tcPr>
            <w:tcW w:w="5535"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35"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9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fees</w:t>
            </w:r>
          </w:p>
        </w:tc>
        <w:tc>
          <w:tcPr>
            <w:tcW w:w="41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1,896</w:t>
            </w:r>
          </w:p>
        </w:tc>
        <w:tc>
          <w:tcPr>
            <w:tcW w:w="62"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15,000</w:t>
            </w:r>
          </w:p>
        </w:tc>
        <w:tc>
          <w:tcPr>
            <w:tcW w:w="62" w:type="dxa"/>
            <w:tcBorders/>
            <w:vAlign w:val="bottom"/>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30,000</w:t>
            </w:r>
          </w:p>
        </w:tc>
        <w:tc>
          <w:tcPr>
            <w:tcW w:w="62" w:type="dxa"/>
            <w:tcBorders/>
            <w:shd w:fill="CCEEFF" w:val="clear"/>
            <w:vAlign w:val="bottom"/>
          </w:tcPr>
          <w:p>
            <w:pPr>
              <w:pStyle w:val="TableContents"/>
              <w:bidi w:val="0"/>
              <w:spacing w:before="0" w:after="283"/>
              <w:jc w:val="left"/>
              <w:rPr/>
            </w:pPr>
            <w:r>
              <w:rPr/>
              <w:t> </w:t>
            </w:r>
          </w:p>
        </w:tc>
      </w:tr>
      <w:tr>
        <w:trPr/>
        <w:tc>
          <w:tcPr>
            <w:tcW w:w="5535"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3,104</w:t>
            </w:r>
          </w:p>
        </w:tc>
        <w:tc>
          <w:tcPr>
            <w:tcW w:w="62" w:type="dxa"/>
            <w:tcBorders/>
            <w:vAlign w:val="bottom"/>
          </w:tcPr>
          <w:p>
            <w:pPr>
              <w:pStyle w:val="TableContents"/>
              <w:bidi w:val="0"/>
              <w:spacing w:before="0" w:after="283"/>
              <w:jc w:val="left"/>
              <w:rPr/>
            </w:pPr>
            <w:r>
              <w:rPr/>
              <w:t> </w:t>
            </w:r>
          </w:p>
        </w:tc>
      </w:tr>
      <w:tr>
        <w:trPr/>
        <w:tc>
          <w:tcPr>
            <w:tcW w:w="5535"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50,000</w:t>
            </w:r>
          </w:p>
        </w:tc>
        <w:tc>
          <w:tcPr>
            <w:tcW w:w="62" w:type="dxa"/>
            <w:tcBorders/>
            <w:shd w:fill="CCEEFF" w:val="clear"/>
            <w:vAlign w:val="bottom"/>
          </w:tcPr>
          <w:p>
            <w:pPr>
              <w:pStyle w:val="TableContents"/>
              <w:bidi w:val="0"/>
              <w:spacing w:before="0" w:after="283"/>
              <w:jc w:val="left"/>
              <w:rPr/>
            </w:pPr>
            <w:r>
              <w:rPr/>
              <w:t> </w:t>
            </w:r>
          </w:p>
        </w:tc>
      </w:tr>
      <w:tr>
        <w:trPr/>
        <w:tc>
          <w:tcPr>
            <w:tcW w:w="5535"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our directors, officers, employees and other agents to the maximum extent permitted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5"/>
        <w:gridCol w:w="315"/>
        <w:gridCol w:w="3519"/>
        <w:gridCol w:w="194"/>
        <w:gridCol w:w="60"/>
        <w:gridCol w:w="1035"/>
        <w:gridCol w:w="60"/>
        <w:gridCol w:w="194"/>
        <w:gridCol w:w="1017"/>
        <w:gridCol w:w="194"/>
        <w:gridCol w:w="771"/>
        <w:gridCol w:w="193"/>
        <w:gridCol w:w="1758"/>
      </w:tblGrid>
      <w:tr>
        <w:trPr/>
        <w:tc>
          <w:tcPr>
            <w:tcW w:w="895"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3519"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895"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315" w:type="dxa"/>
            <w:tcBorders/>
            <w:vAlign w:val="bottom"/>
          </w:tcPr>
          <w:p>
            <w:pPr>
              <w:pStyle w:val="TableContents"/>
              <w:bidi w:val="0"/>
              <w:spacing w:before="0" w:after="283"/>
              <w:jc w:val="left"/>
              <w:rPr/>
            </w:pPr>
            <w:r>
              <w:rPr/>
              <w:t>  </w:t>
            </w:r>
          </w:p>
        </w:tc>
        <w:tc>
          <w:tcPr>
            <w:tcW w:w="35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94"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 /</w:t>
              <w:br/>
              <w:t>Form</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7" w:type="dxa"/>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194" w:type="dxa"/>
            <w:tcBorders/>
            <w:vAlign w:val="bottom"/>
          </w:tcPr>
          <w:p>
            <w:pPr>
              <w:pStyle w:val="TableContents"/>
              <w:bidi w:val="0"/>
              <w:spacing w:before="0" w:after="283"/>
              <w:jc w:val="left"/>
              <w:rPr/>
            </w:pPr>
            <w:r>
              <w:rPr/>
              <w:t>  </w:t>
            </w:r>
          </w:p>
        </w:tc>
        <w:tc>
          <w:tcPr>
            <w:tcW w:w="771"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3" w:type="dxa"/>
            <w:tcBorders/>
            <w:vAlign w:val="bottom"/>
          </w:tcPr>
          <w:p>
            <w:pPr>
              <w:pStyle w:val="TableContents"/>
              <w:bidi w:val="0"/>
              <w:spacing w:before="0" w:after="283"/>
              <w:jc w:val="left"/>
              <w:rPr/>
            </w:pPr>
            <w:r>
              <w:rPr/>
              <w:t>  </w:t>
            </w:r>
          </w:p>
        </w:tc>
        <w:tc>
          <w:tcPr>
            <w:tcW w:w="1758" w:type="dxa"/>
            <w:tcBorders>
              <w:bottom w:val="single" w:sz="8" w:space="0" w:color="000000"/>
            </w:tcBorders>
            <w:tcMar>
              <w:bottom w:w="28" w:type="dxa"/>
            </w:tcMar>
            <w:vAlign w:val="bottom"/>
          </w:tcPr>
          <w:p>
            <w:pPr>
              <w:pStyle w:val="TableContents"/>
              <w:bidi w:val="0"/>
              <w:spacing w:before="0" w:after="283"/>
              <w:jc w:val="center"/>
              <w:rPr>
                <w:b/>
              </w:rPr>
            </w:pPr>
            <w:r>
              <w:rPr>
                <w:b/>
              </w:rPr>
              <w:t>File Date</w:t>
            </w:r>
          </w:p>
        </w:tc>
      </w:tr>
      <w:tr>
        <w:trPr>
          <w:trHeight w:val="120" w:hRule="atLeast"/>
        </w:trPr>
        <w:tc>
          <w:tcPr>
            <w:tcW w:w="895" w:type="dxa"/>
            <w:tcBorders/>
            <w:vAlign w:val="center"/>
          </w:tcPr>
          <w:p>
            <w:pPr>
              <w:pStyle w:val="TableContents"/>
              <w:bidi w:val="0"/>
              <w:spacing w:before="0" w:after="283"/>
              <w:jc w:val="left"/>
              <w:rPr>
                <w:sz w:val="4"/>
                <w:szCs w:val="4"/>
              </w:rPr>
            </w:pPr>
            <w:r>
              <w:rPr>
                <w:sz w:val="4"/>
                <w:szCs w:val="4"/>
              </w:rPr>
            </w:r>
          </w:p>
        </w:tc>
        <w:tc>
          <w:tcPr>
            <w:tcW w:w="3834" w:type="dxa"/>
            <w:gridSpan w:val="2"/>
            <w:tcBorders/>
            <w:vAlign w:val="center"/>
          </w:tcPr>
          <w:p>
            <w:pPr>
              <w:pStyle w:val="TableContents"/>
              <w:bidi w:val="0"/>
              <w:spacing w:before="0" w:after="283"/>
              <w:jc w:val="left"/>
              <w:rPr>
                <w:sz w:val="4"/>
                <w:szCs w:val="4"/>
              </w:rPr>
            </w:pPr>
            <w:r>
              <w:rPr>
                <w:sz w:val="4"/>
                <w:szCs w:val="4"/>
              </w:rPr>
            </w:r>
          </w:p>
        </w:tc>
        <w:tc>
          <w:tcPr>
            <w:tcW w:w="1349" w:type="dxa"/>
            <w:gridSpan w:val="4"/>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895" w:type="dxa"/>
            <w:tcBorders/>
          </w:tcPr>
          <w:p>
            <w:pPr>
              <w:pStyle w:val="TableContents"/>
              <w:bidi w:val="0"/>
              <w:spacing w:before="0" w:after="283"/>
              <w:jc w:val="left"/>
              <w:rPr/>
            </w:pPr>
            <w:r>
              <w:rPr/>
              <w:t>  </w:t>
            </w:r>
            <w:r>
              <w:rPr/>
              <w:t>4.1</w:t>
            </w:r>
          </w:p>
        </w:tc>
        <w:tc>
          <w:tcPr>
            <w:tcW w:w="315" w:type="dxa"/>
            <w:tcBorders/>
            <w:vAlign w:val="bottom"/>
          </w:tcPr>
          <w:p>
            <w:pPr>
              <w:pStyle w:val="TableContents"/>
              <w:bidi w:val="0"/>
              <w:spacing w:before="0" w:after="283"/>
              <w:jc w:val="left"/>
              <w:rPr/>
            </w:pPr>
            <w:r>
              <w:rPr/>
              <w:t>  </w:t>
            </w:r>
          </w:p>
        </w:tc>
        <w:tc>
          <w:tcPr>
            <w:tcW w:w="3519" w:type="dxa"/>
            <w:tcBorders/>
          </w:tcPr>
          <w:p>
            <w:pPr>
              <w:pStyle w:val="TableContents"/>
              <w:bidi w:val="0"/>
              <w:spacing w:before="0" w:after="283"/>
              <w:jc w:val="left"/>
              <w:rPr/>
            </w:pPr>
            <w:hyperlink r:id="rId11">
              <w:r>
                <w:rPr>
                  <w:rStyle w:val="InternetLink"/>
                </w:rPr>
                <w:t>Restated Certificate of Incorporation of the Registrant, as amended</w:t>
              </w:r>
            </w:hyperlink>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Form 10-Q</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center"/>
              <w:rPr/>
            </w:pPr>
            <w:r>
              <w:rPr/>
              <w:t>3.1</w:t>
            </w:r>
          </w:p>
        </w:tc>
        <w:tc>
          <w:tcPr>
            <w:tcW w:w="193"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center"/>
              <w:rPr/>
            </w:pPr>
            <w:r>
              <w:rPr/>
              <w:t>May 15, 2019</w:t>
            </w:r>
          </w:p>
        </w:tc>
      </w:tr>
      <w:tr>
        <w:trPr>
          <w:trHeight w:val="120" w:hRule="atLeast"/>
        </w:trPr>
        <w:tc>
          <w:tcPr>
            <w:tcW w:w="895" w:type="dxa"/>
            <w:tcBorders/>
            <w:vAlign w:val="center"/>
          </w:tcPr>
          <w:p>
            <w:pPr>
              <w:pStyle w:val="TableContents"/>
              <w:bidi w:val="0"/>
              <w:spacing w:before="0" w:after="283"/>
              <w:jc w:val="left"/>
              <w:rPr>
                <w:sz w:val="4"/>
                <w:szCs w:val="4"/>
              </w:rPr>
            </w:pPr>
            <w:r>
              <w:rPr>
                <w:sz w:val="4"/>
                <w:szCs w:val="4"/>
              </w:rPr>
            </w:r>
          </w:p>
        </w:tc>
        <w:tc>
          <w:tcPr>
            <w:tcW w:w="3834" w:type="dxa"/>
            <w:gridSpan w:val="2"/>
            <w:tcBorders/>
            <w:vAlign w:val="center"/>
          </w:tcPr>
          <w:p>
            <w:pPr>
              <w:pStyle w:val="TableContents"/>
              <w:bidi w:val="0"/>
              <w:spacing w:before="0" w:after="283"/>
              <w:jc w:val="left"/>
              <w:rPr>
                <w:sz w:val="4"/>
                <w:szCs w:val="4"/>
              </w:rPr>
            </w:pPr>
            <w:r>
              <w:rPr>
                <w:sz w:val="4"/>
                <w:szCs w:val="4"/>
              </w:rPr>
            </w:r>
          </w:p>
        </w:tc>
        <w:tc>
          <w:tcPr>
            <w:tcW w:w="1349" w:type="dxa"/>
            <w:gridSpan w:val="4"/>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895" w:type="dxa"/>
            <w:tcBorders/>
          </w:tcPr>
          <w:p>
            <w:pPr>
              <w:pStyle w:val="TableContents"/>
              <w:bidi w:val="0"/>
              <w:spacing w:before="0" w:after="283"/>
              <w:jc w:val="left"/>
              <w:rPr/>
            </w:pPr>
            <w:r>
              <w:rPr/>
              <w:t>  </w:t>
            </w:r>
            <w:r>
              <w:rPr/>
              <w:t>4.2</w:t>
            </w:r>
          </w:p>
        </w:tc>
        <w:tc>
          <w:tcPr>
            <w:tcW w:w="315" w:type="dxa"/>
            <w:tcBorders/>
            <w:vAlign w:val="bottom"/>
          </w:tcPr>
          <w:p>
            <w:pPr>
              <w:pStyle w:val="TableContents"/>
              <w:bidi w:val="0"/>
              <w:spacing w:before="0" w:after="283"/>
              <w:jc w:val="left"/>
              <w:rPr/>
            </w:pPr>
            <w:r>
              <w:rPr/>
              <w:t>  </w:t>
            </w:r>
          </w:p>
        </w:tc>
        <w:tc>
          <w:tcPr>
            <w:tcW w:w="3519" w:type="dxa"/>
            <w:tcBorders/>
          </w:tcPr>
          <w:p>
            <w:pPr>
              <w:pStyle w:val="TableContents"/>
              <w:bidi w:val="0"/>
              <w:spacing w:before="0" w:after="283"/>
              <w:jc w:val="left"/>
              <w:rPr/>
            </w:pPr>
            <w:hyperlink r:id="rId12">
              <w:r>
                <w:rPr>
                  <w:rStyle w:val="InternetLink"/>
                </w:rPr>
                <w:t>Certificate of Amendment to the Restated Certificate of Incorporation of the Company, as filed with the Secretary of State of the State of Delaware on June 24, 2021</w:t>
              </w:r>
            </w:hyperlink>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Form 8-K</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center"/>
              <w:rPr/>
            </w:pPr>
            <w:r>
              <w:rPr/>
              <w:t>3.1</w:t>
            </w:r>
          </w:p>
        </w:tc>
        <w:tc>
          <w:tcPr>
            <w:tcW w:w="193"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center"/>
              <w:rPr/>
            </w:pPr>
            <w:r>
              <w:rPr/>
              <w:t>June 28, 2021</w:t>
            </w:r>
          </w:p>
        </w:tc>
      </w:tr>
      <w:tr>
        <w:trPr>
          <w:trHeight w:val="120" w:hRule="atLeast"/>
        </w:trPr>
        <w:tc>
          <w:tcPr>
            <w:tcW w:w="895" w:type="dxa"/>
            <w:tcBorders/>
            <w:vAlign w:val="center"/>
          </w:tcPr>
          <w:p>
            <w:pPr>
              <w:pStyle w:val="TableContents"/>
              <w:bidi w:val="0"/>
              <w:spacing w:before="0" w:after="283"/>
              <w:jc w:val="left"/>
              <w:rPr>
                <w:sz w:val="4"/>
                <w:szCs w:val="4"/>
              </w:rPr>
            </w:pPr>
            <w:r>
              <w:rPr>
                <w:sz w:val="4"/>
                <w:szCs w:val="4"/>
              </w:rPr>
            </w:r>
          </w:p>
        </w:tc>
        <w:tc>
          <w:tcPr>
            <w:tcW w:w="3834" w:type="dxa"/>
            <w:gridSpan w:val="2"/>
            <w:tcBorders/>
            <w:vAlign w:val="center"/>
          </w:tcPr>
          <w:p>
            <w:pPr>
              <w:pStyle w:val="TableContents"/>
              <w:bidi w:val="0"/>
              <w:spacing w:before="0" w:after="283"/>
              <w:jc w:val="left"/>
              <w:rPr>
                <w:sz w:val="4"/>
                <w:szCs w:val="4"/>
              </w:rPr>
            </w:pPr>
            <w:r>
              <w:rPr>
                <w:sz w:val="4"/>
                <w:szCs w:val="4"/>
              </w:rPr>
            </w:r>
          </w:p>
        </w:tc>
        <w:tc>
          <w:tcPr>
            <w:tcW w:w="1349" w:type="dxa"/>
            <w:gridSpan w:val="4"/>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895" w:type="dxa"/>
            <w:tcBorders/>
          </w:tcPr>
          <w:p>
            <w:pPr>
              <w:pStyle w:val="TableContents"/>
              <w:bidi w:val="0"/>
              <w:spacing w:before="0" w:after="283"/>
              <w:jc w:val="left"/>
              <w:rPr/>
            </w:pPr>
            <w:r>
              <w:rPr/>
              <w:t>  </w:t>
            </w:r>
            <w:r>
              <w:rPr/>
              <w:t>4.3</w:t>
            </w:r>
          </w:p>
        </w:tc>
        <w:tc>
          <w:tcPr>
            <w:tcW w:w="315" w:type="dxa"/>
            <w:tcBorders/>
            <w:vAlign w:val="bottom"/>
          </w:tcPr>
          <w:p>
            <w:pPr>
              <w:pStyle w:val="TableContents"/>
              <w:bidi w:val="0"/>
              <w:spacing w:before="0" w:after="283"/>
              <w:jc w:val="left"/>
              <w:rPr/>
            </w:pPr>
            <w:r>
              <w:rPr/>
              <w:t>  </w:t>
            </w:r>
          </w:p>
        </w:tc>
        <w:tc>
          <w:tcPr>
            <w:tcW w:w="3519" w:type="dxa"/>
            <w:tcBorders/>
          </w:tcPr>
          <w:p>
            <w:pPr>
              <w:pStyle w:val="TableContents"/>
              <w:bidi w:val="0"/>
              <w:spacing w:before="0" w:after="283"/>
              <w:jc w:val="left"/>
              <w:rPr/>
            </w:pPr>
            <w:hyperlink r:id="rId13">
              <w:r>
                <w:rPr>
                  <w:rStyle w:val="InternetLink"/>
                </w:rPr>
                <w:t>Certificate of Amendment to the Restated Certificate of Incorporation of the Company, as filed with the Secretary of State of the State of Delaware on June 25, 2021</w:t>
              </w:r>
            </w:hyperlink>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Form 8-K</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center"/>
              <w:rPr/>
            </w:pPr>
            <w:r>
              <w:rPr/>
              <w:t>3.2</w:t>
            </w:r>
          </w:p>
        </w:tc>
        <w:tc>
          <w:tcPr>
            <w:tcW w:w="193"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center"/>
              <w:rPr/>
            </w:pPr>
            <w:r>
              <w:rPr/>
              <w:t>June 28, 2021</w:t>
            </w:r>
          </w:p>
        </w:tc>
      </w:tr>
      <w:tr>
        <w:trPr>
          <w:trHeight w:val="120" w:hRule="atLeast"/>
        </w:trPr>
        <w:tc>
          <w:tcPr>
            <w:tcW w:w="895" w:type="dxa"/>
            <w:tcBorders/>
            <w:vAlign w:val="center"/>
          </w:tcPr>
          <w:p>
            <w:pPr>
              <w:pStyle w:val="TableContents"/>
              <w:bidi w:val="0"/>
              <w:spacing w:before="0" w:after="283"/>
              <w:jc w:val="left"/>
              <w:rPr>
                <w:sz w:val="4"/>
                <w:szCs w:val="4"/>
              </w:rPr>
            </w:pPr>
            <w:r>
              <w:rPr>
                <w:sz w:val="4"/>
                <w:szCs w:val="4"/>
              </w:rPr>
            </w:r>
          </w:p>
        </w:tc>
        <w:tc>
          <w:tcPr>
            <w:tcW w:w="3834" w:type="dxa"/>
            <w:gridSpan w:val="2"/>
            <w:tcBorders/>
            <w:vAlign w:val="center"/>
          </w:tcPr>
          <w:p>
            <w:pPr>
              <w:pStyle w:val="TableContents"/>
              <w:bidi w:val="0"/>
              <w:spacing w:before="0" w:after="283"/>
              <w:jc w:val="left"/>
              <w:rPr>
                <w:sz w:val="4"/>
                <w:szCs w:val="4"/>
              </w:rPr>
            </w:pPr>
            <w:r>
              <w:rPr>
                <w:sz w:val="4"/>
                <w:szCs w:val="4"/>
              </w:rPr>
            </w:r>
          </w:p>
        </w:tc>
        <w:tc>
          <w:tcPr>
            <w:tcW w:w="1349" w:type="dxa"/>
            <w:gridSpan w:val="4"/>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951" w:type="dxa"/>
            <w:gridSpan w:val="2"/>
            <w:tcBorders/>
            <w:vAlign w:val="center"/>
          </w:tcPr>
          <w:p>
            <w:pPr>
              <w:pStyle w:val="TableContents"/>
              <w:bidi w:val="0"/>
              <w:spacing w:before="0" w:after="283"/>
              <w:jc w:val="left"/>
              <w:rPr>
                <w:sz w:val="4"/>
                <w:szCs w:val="4"/>
              </w:rPr>
            </w:pPr>
            <w:r>
              <w:rPr>
                <w:sz w:val="4"/>
                <w:szCs w:val="4"/>
              </w:rPr>
            </w:r>
          </w:p>
        </w:tc>
      </w:tr>
      <w:tr>
        <w:trPr/>
        <w:tc>
          <w:tcPr>
            <w:tcW w:w="895" w:type="dxa"/>
            <w:tcBorders/>
          </w:tcPr>
          <w:p>
            <w:pPr>
              <w:pStyle w:val="TableContents"/>
              <w:bidi w:val="0"/>
              <w:spacing w:before="0" w:after="283"/>
              <w:jc w:val="left"/>
              <w:rPr/>
            </w:pPr>
            <w:r>
              <w:rPr/>
              <w:t>  </w:t>
            </w:r>
            <w:r>
              <w:rPr/>
              <w:t>4.4</w:t>
            </w:r>
          </w:p>
        </w:tc>
        <w:tc>
          <w:tcPr>
            <w:tcW w:w="315" w:type="dxa"/>
            <w:tcBorders/>
            <w:vAlign w:val="bottom"/>
          </w:tcPr>
          <w:p>
            <w:pPr>
              <w:pStyle w:val="TableContents"/>
              <w:bidi w:val="0"/>
              <w:spacing w:before="0" w:after="283"/>
              <w:jc w:val="left"/>
              <w:rPr/>
            </w:pPr>
            <w:r>
              <w:rPr/>
              <w:t>  </w:t>
            </w:r>
          </w:p>
        </w:tc>
        <w:tc>
          <w:tcPr>
            <w:tcW w:w="3519" w:type="dxa"/>
            <w:tcBorders/>
          </w:tcPr>
          <w:p>
            <w:pPr>
              <w:pStyle w:val="TableContents"/>
              <w:bidi w:val="0"/>
              <w:spacing w:before="0" w:after="283"/>
              <w:jc w:val="left"/>
              <w:rPr/>
            </w:pPr>
            <w:hyperlink r:id="rId14">
              <w:r>
                <w:rPr>
                  <w:rStyle w:val="InternetLink"/>
                </w:rPr>
                <w:t>Certificate of Designation of Series A Junior Participating Preferred Stock filed with the Secretary of State of the State of Delaware on October  10, 2023</w:t>
              </w:r>
            </w:hyperlink>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Form 8-K</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center"/>
              <w:rPr/>
            </w:pPr>
            <w:r>
              <w:rPr/>
              <w:t>001-35890</w:t>
            </w:r>
          </w:p>
        </w:tc>
        <w:tc>
          <w:tcPr>
            <w:tcW w:w="19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center"/>
              <w:rPr/>
            </w:pPr>
            <w:r>
              <w:rPr/>
              <w:t>3.1</w:t>
            </w:r>
          </w:p>
        </w:tc>
        <w:tc>
          <w:tcPr>
            <w:tcW w:w="193"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center"/>
              <w:rPr/>
            </w:pPr>
            <w:r>
              <w:rPr/>
              <w:t>October 11,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90"/>
        <w:gridCol w:w="259"/>
        <w:gridCol w:w="3877"/>
        <w:gridCol w:w="124"/>
        <w:gridCol w:w="60"/>
        <w:gridCol w:w="891"/>
        <w:gridCol w:w="60"/>
        <w:gridCol w:w="124"/>
        <w:gridCol w:w="958"/>
        <w:gridCol w:w="124"/>
        <w:gridCol w:w="773"/>
        <w:gridCol w:w="124"/>
        <w:gridCol w:w="1941"/>
      </w:tblGrid>
      <w:tr>
        <w:trPr/>
        <w:tc>
          <w:tcPr>
            <w:tcW w:w="89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259" w:type="dxa"/>
            <w:tcBorders/>
            <w:vAlign w:val="bottom"/>
          </w:tcPr>
          <w:p>
            <w:pPr>
              <w:pStyle w:val="TableContents"/>
              <w:bidi w:val="0"/>
              <w:spacing w:before="0" w:after="283"/>
              <w:jc w:val="left"/>
              <w:rPr/>
            </w:pPr>
            <w:r>
              <w:rPr/>
              <w:t>  </w:t>
            </w:r>
          </w:p>
        </w:tc>
        <w:tc>
          <w:tcPr>
            <w:tcW w:w="38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24"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 /</w:t>
              <w:br/>
              <w:t>Form</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58" w:type="dxa"/>
            <w:tcBorders>
              <w:bottom w:val="single" w:sz="8" w:space="0" w:color="000000"/>
            </w:tcBorders>
            <w:tcMar>
              <w:bottom w:w="28" w:type="dxa"/>
            </w:tcMar>
            <w:vAlign w:val="bottom"/>
          </w:tcPr>
          <w:p>
            <w:pPr>
              <w:pStyle w:val="TableContents"/>
              <w:bidi w:val="0"/>
              <w:spacing w:before="0" w:after="283"/>
              <w:jc w:val="center"/>
              <w:rPr/>
            </w:pPr>
            <w:r>
              <w:rPr>
                <w:b/>
              </w:rPr>
              <w:t>File</w:t>
            </w:r>
            <w:r>
              <w:rPr/>
              <w:br/>
            </w:r>
            <w:r>
              <w:rPr>
                <w:b/>
              </w:rPr>
              <w:t>Number</w:t>
            </w:r>
          </w:p>
        </w:tc>
        <w:tc>
          <w:tcPr>
            <w:tcW w:w="124" w:type="dxa"/>
            <w:tcBorders/>
            <w:vAlign w:val="bottom"/>
          </w:tcPr>
          <w:p>
            <w:pPr>
              <w:pStyle w:val="TableContents"/>
              <w:bidi w:val="0"/>
              <w:spacing w:before="0" w:after="283"/>
              <w:jc w:val="left"/>
              <w:rPr/>
            </w:pPr>
            <w:r>
              <w:rPr/>
              <w:t>  </w:t>
            </w:r>
          </w:p>
        </w:tc>
        <w:tc>
          <w:tcPr>
            <w:tcW w:w="773"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24" w:type="dxa"/>
            <w:tcBorders/>
            <w:vAlign w:val="bottom"/>
          </w:tcPr>
          <w:p>
            <w:pPr>
              <w:pStyle w:val="TableContents"/>
              <w:bidi w:val="0"/>
              <w:spacing w:before="0" w:after="283"/>
              <w:jc w:val="left"/>
              <w:rPr/>
            </w:pPr>
            <w:r>
              <w:rPr/>
              <w:t>  </w:t>
            </w:r>
          </w:p>
        </w:tc>
        <w:tc>
          <w:tcPr>
            <w:tcW w:w="1941" w:type="dxa"/>
            <w:tcBorders>
              <w:bottom w:val="single" w:sz="8" w:space="0" w:color="000000"/>
            </w:tcBorders>
            <w:tcMar>
              <w:bottom w:w="28" w:type="dxa"/>
            </w:tcMar>
            <w:vAlign w:val="bottom"/>
          </w:tcPr>
          <w:p>
            <w:pPr>
              <w:pStyle w:val="TableContents"/>
              <w:bidi w:val="0"/>
              <w:spacing w:before="0" w:after="283"/>
              <w:jc w:val="center"/>
              <w:rPr>
                <w:b/>
              </w:rPr>
            </w:pPr>
            <w:r>
              <w:rPr>
                <w:b/>
              </w:rPr>
              <w:t>File Date</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082" w:type="dxa"/>
            <w:gridSpan w:val="2"/>
            <w:tcBorders/>
            <w:vAlign w:val="center"/>
          </w:tcPr>
          <w:p>
            <w:pPr>
              <w:pStyle w:val="TableContents"/>
              <w:bidi w:val="0"/>
              <w:spacing w:before="0" w:after="283"/>
              <w:jc w:val="left"/>
              <w:rPr>
                <w:sz w:val="4"/>
                <w:szCs w:val="4"/>
              </w:rPr>
            </w:pPr>
            <w:r>
              <w:rPr>
                <w:sz w:val="4"/>
                <w:szCs w:val="4"/>
              </w:rPr>
            </w:r>
          </w:p>
        </w:tc>
        <w:tc>
          <w:tcPr>
            <w:tcW w:w="897" w:type="dxa"/>
            <w:gridSpan w:val="2"/>
            <w:tcBorders/>
            <w:vAlign w:val="center"/>
          </w:tcPr>
          <w:p>
            <w:pPr>
              <w:pStyle w:val="TableContents"/>
              <w:bidi w:val="0"/>
              <w:spacing w:before="0" w:after="283"/>
              <w:jc w:val="left"/>
              <w:rPr>
                <w:sz w:val="4"/>
                <w:szCs w:val="4"/>
              </w:rPr>
            </w:pPr>
            <w:r>
              <w:rPr>
                <w:sz w:val="4"/>
                <w:szCs w:val="4"/>
              </w:rPr>
            </w:r>
          </w:p>
        </w:tc>
        <w:tc>
          <w:tcPr>
            <w:tcW w:w="206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  </w:t>
            </w:r>
            <w:r>
              <w:rPr/>
              <w:t>4.5</w:t>
            </w:r>
          </w:p>
        </w:tc>
        <w:tc>
          <w:tcPr>
            <w:tcW w:w="259"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283"/>
              <w:jc w:val="left"/>
              <w:rPr/>
            </w:pPr>
            <w:hyperlink r:id="rId15">
              <w:r>
                <w:rPr>
                  <w:rStyle w:val="InternetLink"/>
                </w:rPr>
                <w:t>Certificate of Amendment to the Restated Certificate of Incorporation of the Company, as filed with the Secretary of State of the State of Delaware on April 4, 2025</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Form 8-K</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center"/>
              <w:rPr/>
            </w:pPr>
            <w:r>
              <w:rPr/>
              <w:t>001-35890</w:t>
            </w:r>
          </w:p>
        </w:tc>
        <w:tc>
          <w:tcPr>
            <w:tcW w:w="124"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3.1</w:t>
            </w:r>
          </w:p>
        </w:tc>
        <w:tc>
          <w:tcPr>
            <w:tcW w:w="124"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center"/>
              <w:rPr/>
            </w:pPr>
            <w:r>
              <w:rPr/>
              <w:t>April 7, 2025</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082" w:type="dxa"/>
            <w:gridSpan w:val="2"/>
            <w:tcBorders/>
            <w:vAlign w:val="center"/>
          </w:tcPr>
          <w:p>
            <w:pPr>
              <w:pStyle w:val="TableContents"/>
              <w:bidi w:val="0"/>
              <w:spacing w:before="0" w:after="283"/>
              <w:jc w:val="left"/>
              <w:rPr>
                <w:sz w:val="4"/>
                <w:szCs w:val="4"/>
              </w:rPr>
            </w:pPr>
            <w:r>
              <w:rPr>
                <w:sz w:val="4"/>
                <w:szCs w:val="4"/>
              </w:rPr>
            </w:r>
          </w:p>
        </w:tc>
        <w:tc>
          <w:tcPr>
            <w:tcW w:w="897" w:type="dxa"/>
            <w:gridSpan w:val="2"/>
            <w:tcBorders/>
            <w:vAlign w:val="center"/>
          </w:tcPr>
          <w:p>
            <w:pPr>
              <w:pStyle w:val="TableContents"/>
              <w:bidi w:val="0"/>
              <w:spacing w:before="0" w:after="283"/>
              <w:jc w:val="left"/>
              <w:rPr>
                <w:sz w:val="4"/>
                <w:szCs w:val="4"/>
              </w:rPr>
            </w:pPr>
            <w:r>
              <w:rPr>
                <w:sz w:val="4"/>
                <w:szCs w:val="4"/>
              </w:rPr>
            </w:r>
          </w:p>
        </w:tc>
        <w:tc>
          <w:tcPr>
            <w:tcW w:w="206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  </w:t>
            </w:r>
            <w:r>
              <w:rPr/>
              <w:t>4.6</w:t>
            </w:r>
          </w:p>
        </w:tc>
        <w:tc>
          <w:tcPr>
            <w:tcW w:w="259"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283"/>
              <w:jc w:val="left"/>
              <w:rPr/>
            </w:pPr>
            <w:hyperlink r:id="rId16">
              <w:r>
                <w:rPr>
                  <w:rStyle w:val="InternetLink"/>
                </w:rPr>
                <w:t>Amended and Restated Bylaws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Form 8-K</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center"/>
              <w:rPr/>
            </w:pPr>
            <w:r>
              <w:rPr/>
              <w:t>001-35890</w:t>
            </w:r>
          </w:p>
        </w:tc>
        <w:tc>
          <w:tcPr>
            <w:tcW w:w="124"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3.1</w:t>
            </w:r>
          </w:p>
        </w:tc>
        <w:tc>
          <w:tcPr>
            <w:tcW w:w="124"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center"/>
              <w:rPr/>
            </w:pPr>
            <w:r>
              <w:rPr/>
              <w:t>September 24, 2021</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082" w:type="dxa"/>
            <w:gridSpan w:val="2"/>
            <w:tcBorders/>
            <w:vAlign w:val="center"/>
          </w:tcPr>
          <w:p>
            <w:pPr>
              <w:pStyle w:val="TableContents"/>
              <w:bidi w:val="0"/>
              <w:spacing w:before="0" w:after="283"/>
              <w:jc w:val="left"/>
              <w:rPr>
                <w:sz w:val="4"/>
                <w:szCs w:val="4"/>
              </w:rPr>
            </w:pPr>
            <w:r>
              <w:rPr>
                <w:sz w:val="4"/>
                <w:szCs w:val="4"/>
              </w:rPr>
            </w:r>
          </w:p>
        </w:tc>
        <w:tc>
          <w:tcPr>
            <w:tcW w:w="897" w:type="dxa"/>
            <w:gridSpan w:val="2"/>
            <w:tcBorders/>
            <w:vAlign w:val="center"/>
          </w:tcPr>
          <w:p>
            <w:pPr>
              <w:pStyle w:val="TableContents"/>
              <w:bidi w:val="0"/>
              <w:spacing w:before="0" w:after="283"/>
              <w:jc w:val="left"/>
              <w:rPr>
                <w:sz w:val="4"/>
                <w:szCs w:val="4"/>
              </w:rPr>
            </w:pPr>
            <w:r>
              <w:rPr>
                <w:sz w:val="4"/>
                <w:szCs w:val="4"/>
              </w:rPr>
            </w:r>
          </w:p>
        </w:tc>
        <w:tc>
          <w:tcPr>
            <w:tcW w:w="206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  </w:t>
            </w:r>
            <w:r>
              <w:rPr/>
              <w:t>4.7</w:t>
            </w:r>
          </w:p>
        </w:tc>
        <w:tc>
          <w:tcPr>
            <w:tcW w:w="259"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283"/>
              <w:jc w:val="left"/>
              <w:rPr/>
            </w:pPr>
            <w:hyperlink r:id="rId17">
              <w:r>
                <w:rPr>
                  <w:rStyle w:val="InternetLink"/>
                </w:rPr>
                <w:t xml:space="preserve">Asset Purchase Agreement, dated November  19, 2025, by and among Erigen LLC, Factor Bioscience Inc., and Tempest Therapeutics, Inc.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Form 8-K</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center"/>
              <w:rPr/>
            </w:pPr>
            <w:r>
              <w:rPr/>
              <w:t>001-35890</w:t>
            </w:r>
          </w:p>
        </w:tc>
        <w:tc>
          <w:tcPr>
            <w:tcW w:w="124"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center"/>
              <w:rPr/>
            </w:pPr>
            <w:r>
              <w:rPr/>
              <w:t>10.1</w:t>
            </w:r>
          </w:p>
        </w:tc>
        <w:tc>
          <w:tcPr>
            <w:tcW w:w="124"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center"/>
              <w:rPr/>
            </w:pPr>
            <w:r>
              <w:rPr/>
              <w:t>November 19, 2025</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082" w:type="dxa"/>
            <w:gridSpan w:val="2"/>
            <w:tcBorders/>
            <w:vAlign w:val="center"/>
          </w:tcPr>
          <w:p>
            <w:pPr>
              <w:pStyle w:val="TableContents"/>
              <w:bidi w:val="0"/>
              <w:spacing w:before="0" w:after="283"/>
              <w:jc w:val="left"/>
              <w:rPr>
                <w:sz w:val="4"/>
                <w:szCs w:val="4"/>
              </w:rPr>
            </w:pPr>
            <w:r>
              <w:rPr>
                <w:sz w:val="4"/>
                <w:szCs w:val="4"/>
              </w:rPr>
            </w:r>
          </w:p>
        </w:tc>
        <w:tc>
          <w:tcPr>
            <w:tcW w:w="897" w:type="dxa"/>
            <w:gridSpan w:val="2"/>
            <w:tcBorders/>
            <w:vAlign w:val="center"/>
          </w:tcPr>
          <w:p>
            <w:pPr>
              <w:pStyle w:val="TableContents"/>
              <w:bidi w:val="0"/>
              <w:spacing w:before="0" w:after="283"/>
              <w:jc w:val="left"/>
              <w:rPr>
                <w:sz w:val="4"/>
                <w:szCs w:val="4"/>
              </w:rPr>
            </w:pPr>
            <w:r>
              <w:rPr>
                <w:sz w:val="4"/>
                <w:szCs w:val="4"/>
              </w:rPr>
            </w:r>
          </w:p>
        </w:tc>
        <w:tc>
          <w:tcPr>
            <w:tcW w:w="206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  </w:t>
            </w:r>
            <w:r>
              <w:rPr/>
              <w:t>5.1</w:t>
            </w:r>
          </w:p>
        </w:tc>
        <w:tc>
          <w:tcPr>
            <w:tcW w:w="259"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283"/>
              <w:jc w:val="left"/>
              <w:rPr/>
            </w:pPr>
            <w:hyperlink w:anchor="d104843dex51.htm">
              <w:r>
                <w:rPr>
                  <w:rStyle w:val="InternetLink"/>
                </w:rPr>
                <w:t xml:space="preserve">Opinion of Cooley LLP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center"/>
              <w:rPr/>
            </w:pPr>
            <w:r>
              <w:rPr/>
              <w:t>*</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082" w:type="dxa"/>
            <w:gridSpan w:val="2"/>
            <w:tcBorders/>
            <w:vAlign w:val="center"/>
          </w:tcPr>
          <w:p>
            <w:pPr>
              <w:pStyle w:val="TableContents"/>
              <w:bidi w:val="0"/>
              <w:spacing w:before="0" w:after="283"/>
              <w:jc w:val="left"/>
              <w:rPr>
                <w:sz w:val="4"/>
                <w:szCs w:val="4"/>
              </w:rPr>
            </w:pPr>
            <w:r>
              <w:rPr>
                <w:sz w:val="4"/>
                <w:szCs w:val="4"/>
              </w:rPr>
            </w:r>
          </w:p>
        </w:tc>
        <w:tc>
          <w:tcPr>
            <w:tcW w:w="897" w:type="dxa"/>
            <w:gridSpan w:val="2"/>
            <w:tcBorders/>
            <w:vAlign w:val="center"/>
          </w:tcPr>
          <w:p>
            <w:pPr>
              <w:pStyle w:val="TableContents"/>
              <w:bidi w:val="0"/>
              <w:spacing w:before="0" w:after="283"/>
              <w:jc w:val="left"/>
              <w:rPr>
                <w:sz w:val="4"/>
                <w:szCs w:val="4"/>
              </w:rPr>
            </w:pPr>
            <w:r>
              <w:rPr>
                <w:sz w:val="4"/>
                <w:szCs w:val="4"/>
              </w:rPr>
            </w:r>
          </w:p>
        </w:tc>
        <w:tc>
          <w:tcPr>
            <w:tcW w:w="206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 </w:t>
            </w:r>
            <w:r>
              <w:rPr/>
              <w:t>23.1</w:t>
            </w:r>
          </w:p>
        </w:tc>
        <w:tc>
          <w:tcPr>
            <w:tcW w:w="259"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283"/>
              <w:jc w:val="left"/>
              <w:rPr/>
            </w:pPr>
            <w:hyperlink w:anchor="d104843dex231.htm">
              <w:r>
                <w:rPr>
                  <w:rStyle w:val="InternetLink"/>
                </w:rPr>
                <w:t xml:space="preserve">Consent of Ernst &amp; Young LLP, independent registered public accounting firm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center"/>
              <w:rPr/>
            </w:pPr>
            <w:r>
              <w:rPr/>
              <w:t>*</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082" w:type="dxa"/>
            <w:gridSpan w:val="2"/>
            <w:tcBorders/>
            <w:vAlign w:val="center"/>
          </w:tcPr>
          <w:p>
            <w:pPr>
              <w:pStyle w:val="TableContents"/>
              <w:bidi w:val="0"/>
              <w:spacing w:before="0" w:after="283"/>
              <w:jc w:val="left"/>
              <w:rPr>
                <w:sz w:val="4"/>
                <w:szCs w:val="4"/>
              </w:rPr>
            </w:pPr>
            <w:r>
              <w:rPr>
                <w:sz w:val="4"/>
                <w:szCs w:val="4"/>
              </w:rPr>
            </w:r>
          </w:p>
        </w:tc>
        <w:tc>
          <w:tcPr>
            <w:tcW w:w="897" w:type="dxa"/>
            <w:gridSpan w:val="2"/>
            <w:tcBorders/>
            <w:vAlign w:val="center"/>
          </w:tcPr>
          <w:p>
            <w:pPr>
              <w:pStyle w:val="TableContents"/>
              <w:bidi w:val="0"/>
              <w:spacing w:before="0" w:after="283"/>
              <w:jc w:val="left"/>
              <w:rPr>
                <w:sz w:val="4"/>
                <w:szCs w:val="4"/>
              </w:rPr>
            </w:pPr>
            <w:r>
              <w:rPr>
                <w:sz w:val="4"/>
                <w:szCs w:val="4"/>
              </w:rPr>
            </w:r>
          </w:p>
        </w:tc>
        <w:tc>
          <w:tcPr>
            <w:tcW w:w="206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 </w:t>
            </w:r>
            <w:r>
              <w:rPr/>
              <w:t>24.1</w:t>
            </w:r>
          </w:p>
        </w:tc>
        <w:tc>
          <w:tcPr>
            <w:tcW w:w="259"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283"/>
              <w:jc w:val="left"/>
              <w:rPr/>
            </w:pPr>
            <w:hyperlink w:anchor="sig">
              <w:r>
                <w:rPr>
                  <w:rStyle w:val="InternetLink"/>
                </w:rPr>
                <w:t xml:space="preserve">Power of Attorney (see signature page to this registration statement)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center"/>
              <w:rPr/>
            </w:pPr>
            <w:r>
              <w:rPr/>
              <w:t>*</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4136"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c>
          <w:tcPr>
            <w:tcW w:w="1082" w:type="dxa"/>
            <w:gridSpan w:val="2"/>
            <w:tcBorders/>
            <w:vAlign w:val="center"/>
          </w:tcPr>
          <w:p>
            <w:pPr>
              <w:pStyle w:val="TableContents"/>
              <w:bidi w:val="0"/>
              <w:spacing w:before="0" w:after="283"/>
              <w:jc w:val="left"/>
              <w:rPr>
                <w:sz w:val="4"/>
                <w:szCs w:val="4"/>
              </w:rPr>
            </w:pPr>
            <w:r>
              <w:rPr>
                <w:sz w:val="4"/>
                <w:szCs w:val="4"/>
              </w:rPr>
            </w:r>
          </w:p>
        </w:tc>
        <w:tc>
          <w:tcPr>
            <w:tcW w:w="897" w:type="dxa"/>
            <w:gridSpan w:val="2"/>
            <w:tcBorders/>
            <w:vAlign w:val="center"/>
          </w:tcPr>
          <w:p>
            <w:pPr>
              <w:pStyle w:val="TableContents"/>
              <w:bidi w:val="0"/>
              <w:spacing w:before="0" w:after="283"/>
              <w:jc w:val="left"/>
              <w:rPr>
                <w:sz w:val="4"/>
                <w:szCs w:val="4"/>
              </w:rPr>
            </w:pPr>
            <w:r>
              <w:rPr>
                <w:sz w:val="4"/>
                <w:szCs w:val="4"/>
              </w:rPr>
            </w:r>
          </w:p>
        </w:tc>
        <w:tc>
          <w:tcPr>
            <w:tcW w:w="206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107</w:t>
            </w:r>
          </w:p>
        </w:tc>
        <w:tc>
          <w:tcPr>
            <w:tcW w:w="259"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283"/>
              <w:jc w:val="left"/>
              <w:rPr/>
            </w:pPr>
            <w:hyperlink w:anchor="d104843dexfilingfees.htm">
              <w:r>
                <w:rPr>
                  <w:rStyle w:val="InternetLink"/>
                </w:rPr>
                <w:t xml:space="preserve">Filing Fee Table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941" w:type="dxa"/>
            <w:tcBorders/>
            <w:vAlign w:val="bottom"/>
          </w:tcPr>
          <w:p>
            <w:pPr>
              <w:pStyle w:val="TableContents"/>
              <w:bidi w:val="0"/>
              <w:spacing w:before="0" w:after="283"/>
              <w:jc w:val="center"/>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ig"/>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Brisbane, State of California, on March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Matthew Angel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Matthew Angel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Matthew Angel and Nicholas Maestas, and each of them, as true and lawful attorneys-in-fact and agents, with full powers of substitution and resubstitution, for them and in their name, place and stead, in any and all capacities, to sign any and all amendments (including pre-effective and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Tempest Therapeutics,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10"/>
        <w:gridCol w:w="121"/>
        <w:gridCol w:w="3877"/>
        <w:gridCol w:w="186"/>
        <w:gridCol w:w="1911"/>
      </w:tblGrid>
      <w:tr>
        <w:trPr/>
        <w:tc>
          <w:tcPr>
            <w:tcW w:w="411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41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38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86" w:type="dxa"/>
            <w:tcBorders/>
            <w:vAlign w:val="bottom"/>
          </w:tcPr>
          <w:p>
            <w:pPr>
              <w:pStyle w:val="TableContents"/>
              <w:bidi w:val="0"/>
              <w:spacing w:before="0" w:after="283"/>
              <w:jc w:val="left"/>
              <w:rPr/>
            </w:pPr>
            <w:r>
              <w:rPr/>
              <w:t> </w:t>
            </w:r>
          </w:p>
        </w:tc>
        <w:tc>
          <w:tcPr>
            <w:tcW w:w="19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110" w:type="dxa"/>
            <w:tcBorders/>
            <w:vAlign w:val="center"/>
          </w:tcPr>
          <w:p>
            <w:pPr>
              <w:pStyle w:val="TableContents"/>
              <w:bidi w:val="0"/>
              <w:spacing w:before="0" w:after="283"/>
              <w:jc w:val="left"/>
              <w:rPr>
                <w:sz w:val="4"/>
                <w:szCs w:val="4"/>
              </w:rPr>
            </w:pPr>
            <w:r>
              <w:rPr>
                <w:sz w:val="4"/>
                <w:szCs w:val="4"/>
              </w:rPr>
            </w:r>
          </w:p>
        </w:tc>
        <w:tc>
          <w:tcPr>
            <w:tcW w:w="3998"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411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Matthew Angel</w:t>
            </w:r>
          </w:p>
          <w:p>
            <w:pPr>
              <w:pStyle w:val="TableContents"/>
              <w:bidi w:val="0"/>
              <w:spacing w:before="0" w:after="20"/>
              <w:jc w:val="center"/>
              <w:rPr>
                <w:rFonts w:ascii="Times New Roman" w:hAnsi="Times New Roman"/>
                <w:sz w:val="20"/>
              </w:rPr>
            </w:pPr>
            <w:r>
              <w:rPr>
                <w:rFonts w:ascii="Times New Roman" w:hAnsi="Times New Roman"/>
                <w:sz w:val="20"/>
              </w:rPr>
              <w:t>Matthew Angel</w:t>
            </w:r>
          </w:p>
        </w:tc>
        <w:tc>
          <w:tcPr>
            <w:tcW w:w="121"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86"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center"/>
              <w:rPr/>
            </w:pPr>
            <w:r>
              <w:rPr/>
              <w:t>March 30, 2026</w:t>
            </w:r>
          </w:p>
        </w:tc>
      </w:tr>
      <w:tr>
        <w:trPr>
          <w:trHeight w:val="240" w:hRule="atLeast"/>
        </w:trPr>
        <w:tc>
          <w:tcPr>
            <w:tcW w:w="4110" w:type="dxa"/>
            <w:tcBorders/>
            <w:vAlign w:val="center"/>
          </w:tcPr>
          <w:p>
            <w:pPr>
              <w:pStyle w:val="TableContents"/>
              <w:bidi w:val="0"/>
              <w:spacing w:before="0" w:after="283"/>
              <w:jc w:val="left"/>
              <w:rPr>
                <w:sz w:val="4"/>
                <w:szCs w:val="4"/>
              </w:rPr>
            </w:pPr>
            <w:r>
              <w:rPr>
                <w:sz w:val="4"/>
                <w:szCs w:val="4"/>
              </w:rPr>
            </w:r>
          </w:p>
        </w:tc>
        <w:tc>
          <w:tcPr>
            <w:tcW w:w="3998"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411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Nicholas Maestas</w:t>
            </w:r>
          </w:p>
          <w:p>
            <w:pPr>
              <w:pStyle w:val="TableContents"/>
              <w:bidi w:val="0"/>
              <w:spacing w:before="0" w:after="20"/>
              <w:jc w:val="center"/>
              <w:rPr>
                <w:rFonts w:ascii="Times New Roman" w:hAnsi="Times New Roman"/>
                <w:sz w:val="20"/>
              </w:rPr>
            </w:pPr>
            <w:r>
              <w:rPr>
                <w:rFonts w:ascii="Times New Roman" w:hAnsi="Times New Roman"/>
                <w:sz w:val="20"/>
              </w:rPr>
              <w:t>Nicholas Maestas</w:t>
            </w:r>
          </w:p>
        </w:tc>
        <w:tc>
          <w:tcPr>
            <w:tcW w:w="121"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c>
          <w:tcPr>
            <w:tcW w:w="186"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center"/>
              <w:rPr/>
            </w:pPr>
            <w:r>
              <w:rPr/>
              <w:t>March 30, 2026</w:t>
            </w:r>
          </w:p>
        </w:tc>
      </w:tr>
      <w:tr>
        <w:trPr>
          <w:trHeight w:val="240" w:hRule="atLeast"/>
        </w:trPr>
        <w:tc>
          <w:tcPr>
            <w:tcW w:w="4110" w:type="dxa"/>
            <w:tcBorders/>
            <w:vAlign w:val="center"/>
          </w:tcPr>
          <w:p>
            <w:pPr>
              <w:pStyle w:val="TableContents"/>
              <w:bidi w:val="0"/>
              <w:spacing w:before="0" w:after="283"/>
              <w:jc w:val="left"/>
              <w:rPr>
                <w:sz w:val="4"/>
                <w:szCs w:val="4"/>
              </w:rPr>
            </w:pPr>
            <w:r>
              <w:rPr>
                <w:sz w:val="4"/>
                <w:szCs w:val="4"/>
              </w:rPr>
            </w:r>
          </w:p>
        </w:tc>
        <w:tc>
          <w:tcPr>
            <w:tcW w:w="3998"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411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Justin Trojanowski</w:t>
            </w:r>
          </w:p>
          <w:p>
            <w:pPr>
              <w:pStyle w:val="TableContents"/>
              <w:bidi w:val="0"/>
              <w:spacing w:before="0" w:after="20"/>
              <w:jc w:val="center"/>
              <w:rPr>
                <w:rFonts w:ascii="Times New Roman" w:hAnsi="Times New Roman"/>
                <w:i/>
                <w:sz w:val="20"/>
              </w:rPr>
            </w:pPr>
            <w:r>
              <w:rPr>
                <w:rFonts w:ascii="Times New Roman" w:hAnsi="Times New Roman"/>
                <w:i/>
                <w:sz w:val="20"/>
              </w:rPr>
              <w:t>Justin Trojanowski</w:t>
            </w:r>
          </w:p>
        </w:tc>
        <w:tc>
          <w:tcPr>
            <w:tcW w:w="121"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left"/>
              <w:rPr>
                <w:rFonts w:ascii="Times New Roman" w:hAnsi="Times New Roman"/>
                <w:sz w:val="20"/>
              </w:rPr>
            </w:pPr>
            <w:r>
              <w:rPr>
                <w:rFonts w:ascii="Times New Roman" w:hAnsi="Times New Roman"/>
                <w:sz w:val="20"/>
              </w:rPr>
              <w:t>Corporate Controller, Treasurer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Accounting Officer</w:t>
            </w:r>
            <w:r>
              <w:rPr>
                <w:rFonts w:ascii="Times New Roman" w:hAnsi="Times New Roman"/>
                <w:sz w:val="20"/>
              </w:rPr>
              <w:t>)</w:t>
            </w:r>
          </w:p>
        </w:tc>
        <w:tc>
          <w:tcPr>
            <w:tcW w:w="186"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center"/>
              <w:rPr/>
            </w:pPr>
            <w:r>
              <w:rPr/>
              <w:t>March 30, 2026</w:t>
            </w:r>
          </w:p>
        </w:tc>
      </w:tr>
      <w:tr>
        <w:trPr>
          <w:trHeight w:val="240" w:hRule="atLeast"/>
        </w:trPr>
        <w:tc>
          <w:tcPr>
            <w:tcW w:w="4110" w:type="dxa"/>
            <w:tcBorders/>
            <w:vAlign w:val="center"/>
          </w:tcPr>
          <w:p>
            <w:pPr>
              <w:pStyle w:val="TableContents"/>
              <w:bidi w:val="0"/>
              <w:spacing w:before="0" w:after="283"/>
              <w:jc w:val="left"/>
              <w:rPr>
                <w:sz w:val="4"/>
                <w:szCs w:val="4"/>
              </w:rPr>
            </w:pPr>
            <w:r>
              <w:rPr>
                <w:sz w:val="4"/>
                <w:szCs w:val="4"/>
              </w:rPr>
            </w:r>
          </w:p>
        </w:tc>
        <w:tc>
          <w:tcPr>
            <w:tcW w:w="3998"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411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Stephen Brady</w:t>
            </w:r>
          </w:p>
          <w:p>
            <w:pPr>
              <w:pStyle w:val="TableContents"/>
              <w:bidi w:val="0"/>
              <w:spacing w:before="0" w:after="20"/>
              <w:jc w:val="center"/>
              <w:rPr>
                <w:rFonts w:ascii="Times New Roman" w:hAnsi="Times New Roman"/>
                <w:sz w:val="20"/>
              </w:rPr>
            </w:pPr>
            <w:r>
              <w:rPr>
                <w:rFonts w:ascii="Times New Roman" w:hAnsi="Times New Roman"/>
                <w:sz w:val="20"/>
              </w:rPr>
              <w:t>Stephen Brady</w:t>
            </w:r>
          </w:p>
        </w:tc>
        <w:tc>
          <w:tcPr>
            <w:tcW w:w="121"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w:t>
            </w:r>
          </w:p>
        </w:tc>
        <w:tc>
          <w:tcPr>
            <w:tcW w:w="186"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center"/>
              <w:rPr/>
            </w:pPr>
            <w:r>
              <w:rPr/>
              <w:t>March 30, 2026</w:t>
            </w:r>
          </w:p>
        </w:tc>
      </w:tr>
      <w:tr>
        <w:trPr>
          <w:trHeight w:val="240" w:hRule="atLeast"/>
        </w:trPr>
        <w:tc>
          <w:tcPr>
            <w:tcW w:w="4110" w:type="dxa"/>
            <w:tcBorders/>
            <w:vAlign w:val="center"/>
          </w:tcPr>
          <w:p>
            <w:pPr>
              <w:pStyle w:val="TableContents"/>
              <w:bidi w:val="0"/>
              <w:spacing w:before="0" w:after="283"/>
              <w:jc w:val="left"/>
              <w:rPr>
                <w:sz w:val="4"/>
                <w:szCs w:val="4"/>
              </w:rPr>
            </w:pPr>
            <w:r>
              <w:rPr>
                <w:sz w:val="4"/>
                <w:szCs w:val="4"/>
              </w:rPr>
            </w:r>
          </w:p>
        </w:tc>
        <w:tc>
          <w:tcPr>
            <w:tcW w:w="3998" w:type="dxa"/>
            <w:gridSpan w:val="2"/>
            <w:tcBorders/>
            <w:vAlign w:val="center"/>
          </w:tcPr>
          <w:p>
            <w:pPr>
              <w:pStyle w:val="TableContents"/>
              <w:bidi w:val="0"/>
              <w:spacing w:before="0" w:after="283"/>
              <w:jc w:val="left"/>
              <w:rPr>
                <w:sz w:val="4"/>
                <w:szCs w:val="4"/>
              </w:rPr>
            </w:pPr>
            <w:r>
              <w:rPr>
                <w:sz w:val="4"/>
                <w:szCs w:val="4"/>
              </w:rPr>
            </w:r>
          </w:p>
        </w:tc>
        <w:tc>
          <w:tcPr>
            <w:tcW w:w="2097" w:type="dxa"/>
            <w:gridSpan w:val="2"/>
            <w:tcBorders/>
            <w:vAlign w:val="center"/>
          </w:tcPr>
          <w:p>
            <w:pPr>
              <w:pStyle w:val="TableContents"/>
              <w:bidi w:val="0"/>
              <w:spacing w:before="0" w:after="283"/>
              <w:jc w:val="left"/>
              <w:rPr>
                <w:sz w:val="4"/>
                <w:szCs w:val="4"/>
              </w:rPr>
            </w:pPr>
            <w:r>
              <w:rPr>
                <w:sz w:val="4"/>
                <w:szCs w:val="4"/>
              </w:rPr>
            </w:r>
          </w:p>
        </w:tc>
      </w:tr>
      <w:tr>
        <w:trPr/>
        <w:tc>
          <w:tcPr>
            <w:tcW w:w="4110"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Christine Pellizzari</w:t>
            </w:r>
          </w:p>
          <w:p>
            <w:pPr>
              <w:pStyle w:val="TableContents"/>
              <w:bidi w:val="0"/>
              <w:spacing w:before="0" w:after="20"/>
              <w:jc w:val="center"/>
              <w:rPr>
                <w:rFonts w:ascii="Times New Roman" w:hAnsi="Times New Roman"/>
                <w:sz w:val="20"/>
              </w:rPr>
            </w:pPr>
            <w:r>
              <w:rPr>
                <w:rFonts w:ascii="Times New Roman" w:hAnsi="Times New Roman"/>
                <w:sz w:val="20"/>
              </w:rPr>
              <w:t>Christine Pellizzari</w:t>
            </w:r>
          </w:p>
        </w:tc>
        <w:tc>
          <w:tcPr>
            <w:tcW w:w="121" w:type="dxa"/>
            <w:tcBorders/>
            <w:vAlign w:val="bottom"/>
          </w:tcPr>
          <w:p>
            <w:pPr>
              <w:pStyle w:val="TableContents"/>
              <w:bidi w:val="0"/>
              <w:spacing w:before="0" w:after="283"/>
              <w:jc w:val="left"/>
              <w:rPr/>
            </w:pPr>
            <w:r>
              <w:rPr/>
              <w:t>  </w:t>
            </w:r>
          </w:p>
        </w:tc>
        <w:tc>
          <w:tcPr>
            <w:tcW w:w="387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86"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center"/>
              <w:rPr/>
            </w:pPr>
            <w:r>
              <w:rPr/>
              <w:t>March 30,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445"/>
        <w:gridCol w:w="121"/>
        <w:gridCol w:w="3471"/>
        <w:gridCol w:w="202"/>
        <w:gridCol w:w="1966"/>
      </w:tblGrid>
      <w:tr>
        <w:trPr/>
        <w:tc>
          <w:tcPr>
            <w:tcW w:w="44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44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9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445" w:type="dxa"/>
            <w:tcBorders/>
            <w:vAlign w:val="center"/>
          </w:tcPr>
          <w:p>
            <w:pPr>
              <w:pStyle w:val="TableContents"/>
              <w:bidi w:val="0"/>
              <w:spacing w:before="0" w:after="283"/>
              <w:jc w:val="left"/>
              <w:rPr>
                <w:sz w:val="4"/>
                <w:szCs w:val="4"/>
              </w:rPr>
            </w:pPr>
            <w:r>
              <w:rPr>
                <w:sz w:val="4"/>
                <w:szCs w:val="4"/>
              </w:rPr>
            </w:r>
          </w:p>
        </w:tc>
        <w:tc>
          <w:tcPr>
            <w:tcW w:w="3592" w:type="dxa"/>
            <w:gridSpan w:val="2"/>
            <w:tcBorders/>
            <w:vAlign w:val="center"/>
          </w:tcPr>
          <w:p>
            <w:pPr>
              <w:pStyle w:val="TableContents"/>
              <w:bidi w:val="0"/>
              <w:spacing w:before="0" w:after="283"/>
              <w:jc w:val="left"/>
              <w:rPr>
                <w:sz w:val="4"/>
                <w:szCs w:val="4"/>
              </w:rPr>
            </w:pPr>
            <w:r>
              <w:rPr>
                <w:sz w:val="4"/>
                <w:szCs w:val="4"/>
              </w:rPr>
            </w:r>
          </w:p>
        </w:tc>
        <w:tc>
          <w:tcPr>
            <w:tcW w:w="2168" w:type="dxa"/>
            <w:gridSpan w:val="2"/>
            <w:tcBorders/>
            <w:vAlign w:val="center"/>
          </w:tcPr>
          <w:p>
            <w:pPr>
              <w:pStyle w:val="TableContents"/>
              <w:bidi w:val="0"/>
              <w:spacing w:before="0" w:after="283"/>
              <w:jc w:val="left"/>
              <w:rPr>
                <w:sz w:val="4"/>
                <w:szCs w:val="4"/>
              </w:rPr>
            </w:pPr>
            <w:r>
              <w:rPr>
                <w:sz w:val="4"/>
                <w:szCs w:val="4"/>
              </w:rPr>
            </w:r>
          </w:p>
        </w:tc>
      </w:tr>
      <w:tr>
        <w:trPr/>
        <w:tc>
          <w:tcPr>
            <w:tcW w:w="4445"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Michael Raab</w:t>
            </w:r>
          </w:p>
          <w:p>
            <w:pPr>
              <w:pStyle w:val="TableContents"/>
              <w:bidi w:val="0"/>
              <w:spacing w:before="0" w:after="20"/>
              <w:jc w:val="center"/>
              <w:rPr>
                <w:rFonts w:ascii="Times New Roman" w:hAnsi="Times New Roman"/>
                <w:sz w:val="20"/>
              </w:rPr>
            </w:pPr>
            <w:r>
              <w:rPr>
                <w:rFonts w:ascii="Times New Roman" w:hAnsi="Times New Roman"/>
                <w:sz w:val="20"/>
              </w:rPr>
              <w:t>Michael Raab</w:t>
            </w:r>
          </w:p>
        </w:tc>
        <w:tc>
          <w:tcPr>
            <w:tcW w:w="121"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March 30, 2026</w:t>
            </w:r>
          </w:p>
        </w:tc>
      </w:tr>
      <w:tr>
        <w:trPr>
          <w:trHeight w:val="240" w:hRule="atLeast"/>
        </w:trPr>
        <w:tc>
          <w:tcPr>
            <w:tcW w:w="4445" w:type="dxa"/>
            <w:tcBorders/>
            <w:vAlign w:val="center"/>
          </w:tcPr>
          <w:p>
            <w:pPr>
              <w:pStyle w:val="TableContents"/>
              <w:bidi w:val="0"/>
              <w:spacing w:before="0" w:after="283"/>
              <w:jc w:val="left"/>
              <w:rPr>
                <w:sz w:val="4"/>
                <w:szCs w:val="4"/>
              </w:rPr>
            </w:pPr>
            <w:r>
              <w:rPr>
                <w:sz w:val="4"/>
                <w:szCs w:val="4"/>
              </w:rPr>
            </w:r>
          </w:p>
        </w:tc>
        <w:tc>
          <w:tcPr>
            <w:tcW w:w="3592" w:type="dxa"/>
            <w:gridSpan w:val="2"/>
            <w:tcBorders/>
            <w:vAlign w:val="center"/>
          </w:tcPr>
          <w:p>
            <w:pPr>
              <w:pStyle w:val="TableContents"/>
              <w:bidi w:val="0"/>
              <w:spacing w:before="0" w:after="283"/>
              <w:jc w:val="left"/>
              <w:rPr>
                <w:sz w:val="4"/>
                <w:szCs w:val="4"/>
              </w:rPr>
            </w:pPr>
            <w:r>
              <w:rPr>
                <w:sz w:val="4"/>
                <w:szCs w:val="4"/>
              </w:rPr>
            </w:r>
          </w:p>
        </w:tc>
        <w:tc>
          <w:tcPr>
            <w:tcW w:w="2168" w:type="dxa"/>
            <w:gridSpan w:val="2"/>
            <w:tcBorders/>
            <w:vAlign w:val="center"/>
          </w:tcPr>
          <w:p>
            <w:pPr>
              <w:pStyle w:val="TableContents"/>
              <w:bidi w:val="0"/>
              <w:spacing w:before="0" w:after="283"/>
              <w:jc w:val="left"/>
              <w:rPr>
                <w:sz w:val="4"/>
                <w:szCs w:val="4"/>
              </w:rPr>
            </w:pPr>
            <w:r>
              <w:rPr>
                <w:sz w:val="4"/>
                <w:szCs w:val="4"/>
              </w:rPr>
            </w:r>
          </w:p>
        </w:tc>
      </w:tr>
      <w:tr>
        <w:trPr/>
        <w:tc>
          <w:tcPr>
            <w:tcW w:w="4445" w:type="dxa"/>
            <w:tcBorders/>
          </w:tcPr>
          <w:p>
            <w:pPr>
              <w:pStyle w:val="TableContents"/>
              <w:pBdr>
                <w:bottom w:val="single" w:sz="2" w:space="1" w:color="000000"/>
              </w:pBdr>
              <w:bidi w:val="0"/>
              <w:spacing w:before="0" w:after="0"/>
              <w:jc w:val="center"/>
              <w:rPr>
                <w:rFonts w:ascii="Times New Roman" w:hAnsi="Times New Roman"/>
                <w:i/>
                <w:sz w:val="20"/>
              </w:rPr>
            </w:pPr>
            <w:r>
              <w:rPr>
                <w:rFonts w:ascii="Times New Roman" w:hAnsi="Times New Roman"/>
                <w:i/>
                <w:sz w:val="20"/>
              </w:rPr>
              <w:t>/s/ Ronit Simantov</w:t>
            </w:r>
          </w:p>
          <w:p>
            <w:pPr>
              <w:pStyle w:val="TableContents"/>
              <w:bidi w:val="0"/>
              <w:spacing w:before="0" w:after="20"/>
              <w:jc w:val="center"/>
              <w:rPr>
                <w:rFonts w:ascii="Times New Roman" w:hAnsi="Times New Roman"/>
                <w:sz w:val="20"/>
              </w:rPr>
            </w:pPr>
            <w:r>
              <w:rPr>
                <w:rFonts w:ascii="Times New Roman" w:hAnsi="Times New Roman"/>
                <w:sz w:val="20"/>
              </w:rPr>
              <w:t>Ronit Simantov</w:t>
            </w:r>
          </w:p>
        </w:tc>
        <w:tc>
          <w:tcPr>
            <w:tcW w:w="121"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March 30,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Arial" w:hAnsi="Arial"/>
          <w:b/>
          <w:sz w:val="20"/>
        </w:rPr>
      </w:pPr>
      <w:bookmarkStart w:id="15" w:name="d104843dex51.htm"/>
      <w:bookmarkStart w:id="16" w:name="ksd104843dex51"/>
      <w:bookmarkEnd w:id="15"/>
      <w:bookmarkEnd w:id="16"/>
      <w:r>
        <w:rPr>
          <w:rFonts w:ascii="Arial" w:hAnsi="Arial"/>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both"/>
        <w:rPr>
          <w:rFonts w:ascii="Arial" w:hAnsi="Arial"/>
          <w:sz w:val="20"/>
        </w:rPr>
      </w:pPr>
      <w:r>
        <w:rPr>
          <w:rFonts w:ascii="Arial" w:hAnsi="Arial"/>
          <w:sz w:val="20"/>
        </w:rPr>
        <w:t xml:space="preserve">Jaime L. Chase </w:t>
      </w:r>
    </w:p>
    <w:p>
      <w:pPr>
        <w:pStyle w:val="TextBody"/>
        <w:bidi w:val="0"/>
        <w:spacing w:before="0" w:after="0"/>
        <w:jc w:val="both"/>
        <w:rPr>
          <w:rFonts w:ascii="Arial" w:hAnsi="Arial"/>
          <w:sz w:val="20"/>
        </w:rPr>
      </w:pPr>
      <w:r>
        <w:rPr>
          <w:rFonts w:ascii="Arial" w:hAnsi="Arial"/>
          <w:sz w:val="20"/>
        </w:rPr>
        <w:t xml:space="preserve">+1 202 728-7096 </w:t>
      </w:r>
    </w:p>
    <w:p>
      <w:pPr>
        <w:pStyle w:val="TextBody"/>
        <w:bidi w:val="0"/>
        <w:spacing w:before="0" w:after="0"/>
        <w:jc w:val="both"/>
        <w:rPr>
          <w:rFonts w:ascii="Arial" w:hAnsi="Arial"/>
          <w:sz w:val="20"/>
        </w:rPr>
      </w:pPr>
      <w:r>
        <w:rPr>
          <w:rFonts w:ascii="Arial" w:hAnsi="Arial"/>
          <w:sz w:val="20"/>
        </w:rPr>
        <w:t xml:space="preserve">jchase@cooley.com </w:t>
      </w:r>
    </w:p>
    <w:p>
      <w:pPr>
        <w:pStyle w:val="TextBody"/>
        <w:bidi w:val="0"/>
        <w:spacing w:before="240" w:after="0"/>
        <w:jc w:val="both"/>
        <w:rPr>
          <w:rFonts w:ascii="Arial" w:hAnsi="Arial"/>
          <w:sz w:val="20"/>
        </w:rPr>
      </w:pPr>
      <w:r>
        <w:rPr>
          <w:rFonts w:ascii="Arial" w:hAnsi="Arial"/>
          <w:sz w:val="20"/>
        </w:rPr>
        <w:t xml:space="preserve">March 30, 2026 </w:t>
      </w:r>
    </w:p>
    <w:p>
      <w:pPr>
        <w:pStyle w:val="TextBody"/>
        <w:bidi w:val="0"/>
        <w:spacing w:before="240" w:after="0"/>
        <w:jc w:val="both"/>
        <w:rPr>
          <w:rFonts w:ascii="Arial" w:hAnsi="Arial"/>
          <w:sz w:val="20"/>
        </w:rPr>
      </w:pPr>
      <w:r>
        <w:rPr>
          <w:rFonts w:ascii="Arial" w:hAnsi="Arial"/>
          <w:sz w:val="20"/>
        </w:rPr>
        <w:t xml:space="preserve">Tempest Therapeutics, Inc. </w:t>
      </w:r>
    </w:p>
    <w:p>
      <w:pPr>
        <w:pStyle w:val="TextBody"/>
        <w:bidi w:val="0"/>
        <w:spacing w:before="0" w:after="0"/>
        <w:jc w:val="both"/>
        <w:rPr>
          <w:rFonts w:ascii="Arial" w:hAnsi="Arial"/>
          <w:sz w:val="20"/>
        </w:rPr>
      </w:pPr>
      <w:r>
        <w:rPr>
          <w:rFonts w:ascii="Arial" w:hAnsi="Arial"/>
          <w:sz w:val="20"/>
        </w:rPr>
        <w:t xml:space="preserve">2000 Sierra Point Parkway, Suite 400 </w:t>
      </w:r>
    </w:p>
    <w:p>
      <w:pPr>
        <w:pStyle w:val="TextBody"/>
        <w:bidi w:val="0"/>
        <w:spacing w:before="0" w:after="0"/>
        <w:jc w:val="both"/>
        <w:rPr>
          <w:rFonts w:ascii="Arial" w:hAnsi="Arial"/>
          <w:sz w:val="20"/>
        </w:rPr>
      </w:pPr>
      <w:r>
        <w:rPr>
          <w:rFonts w:ascii="Arial" w:hAnsi="Arial"/>
          <w:sz w:val="20"/>
        </w:rPr>
        <w:t xml:space="preserve">Brisbane, CA 94005 </w:t>
      </w:r>
    </w:p>
    <w:p>
      <w:pPr>
        <w:pStyle w:val="TextBody"/>
        <w:bidi w:val="0"/>
        <w:spacing w:before="240" w:after="0"/>
        <w:jc w:val="both"/>
        <w:rPr>
          <w:rFonts w:ascii="Arial" w:hAnsi="Arial"/>
          <w:sz w:val="20"/>
        </w:rPr>
      </w:pPr>
      <w:r>
        <w:rPr>
          <w:rFonts w:ascii="Arial" w:hAnsi="Arial"/>
          <w:sz w:val="20"/>
        </w:rPr>
        <w:t xml:space="preserve">Ladies and Gentlemen: </w:t>
      </w:r>
    </w:p>
    <w:p>
      <w:pPr>
        <w:pStyle w:val="TextBody"/>
        <w:bidi w:val="0"/>
        <w:spacing w:before="120" w:after="0"/>
        <w:jc w:val="both"/>
        <w:rPr>
          <w:rFonts w:ascii="Arial" w:hAnsi="Arial"/>
          <w:sz w:val="20"/>
        </w:rPr>
      </w:pPr>
      <w:r>
        <w:rPr>
          <w:rFonts w:ascii="Arial" w:hAnsi="Arial"/>
          <w:sz w:val="20"/>
        </w:rPr>
        <w:t>We have acted as counsel to Tempest Therapeutics, Inc., a Delaware corporation (the “</w:t>
      </w:r>
      <w:r>
        <w:rPr>
          <w:rFonts w:ascii="Arial" w:hAnsi="Arial"/>
          <w:b/>
          <w:i/>
          <w:sz w:val="20"/>
        </w:rPr>
        <w:t>Company</w:t>
      </w:r>
      <w:r>
        <w:rPr>
          <w:rFonts w:ascii="Arial" w:hAnsi="Arial"/>
          <w:sz w:val="20"/>
        </w:rPr>
        <w:t>”), in connection with the filing by the Company of a Registration Statement on Form S-3 (the “</w:t>
      </w:r>
      <w:r>
        <w:rPr>
          <w:rFonts w:ascii="Arial" w:hAnsi="Arial"/>
          <w:b/>
          <w:i/>
          <w:sz w:val="20"/>
        </w:rPr>
        <w:t>Registration Statement</w:t>
      </w:r>
      <w:r>
        <w:rPr>
          <w:rFonts w:ascii="Arial" w:hAnsi="Arial"/>
          <w:sz w:val="20"/>
        </w:rPr>
        <w:t>”) with the Securities and Exchange Commission (the “</w:t>
      </w:r>
      <w:r>
        <w:rPr>
          <w:rFonts w:ascii="Arial" w:hAnsi="Arial"/>
          <w:b/>
          <w:i/>
          <w:sz w:val="20"/>
        </w:rPr>
        <w:t>Commission</w:t>
      </w:r>
      <w:r>
        <w:rPr>
          <w:rFonts w:ascii="Arial" w:hAnsi="Arial"/>
          <w:sz w:val="20"/>
        </w:rPr>
        <w:t>”) under the Securities Act of 1933, as amended (the “</w:t>
      </w:r>
      <w:r>
        <w:rPr>
          <w:rFonts w:ascii="Arial" w:hAnsi="Arial"/>
          <w:b/>
          <w:i/>
          <w:sz w:val="20"/>
        </w:rPr>
        <w:t>Securities Act</w:t>
      </w:r>
      <w:r>
        <w:rPr>
          <w:rFonts w:ascii="Arial" w:hAnsi="Arial"/>
          <w:sz w:val="20"/>
        </w:rPr>
        <w:t>”), covering the resale by the selling stockholders identified therein (the “</w:t>
      </w:r>
      <w:r>
        <w:rPr>
          <w:rFonts w:ascii="Arial" w:hAnsi="Arial"/>
          <w:b/>
          <w:i/>
          <w:sz w:val="20"/>
        </w:rPr>
        <w:t>Selling Stockholders</w:t>
      </w:r>
      <w:r>
        <w:rPr>
          <w:rFonts w:ascii="Arial" w:hAnsi="Arial"/>
          <w:sz w:val="20"/>
        </w:rPr>
        <w:t>”) of 8,268,495 shares (the “</w:t>
      </w:r>
      <w:r>
        <w:rPr>
          <w:rFonts w:ascii="Arial" w:hAnsi="Arial"/>
          <w:b/>
          <w:i/>
          <w:sz w:val="20"/>
        </w:rPr>
        <w:t>Shares</w:t>
      </w:r>
      <w:r>
        <w:rPr>
          <w:rFonts w:ascii="Arial" w:hAnsi="Arial"/>
          <w:sz w:val="20"/>
        </w:rPr>
        <w:t>”) of the Company’s Common Stock, par value $0.001 per share (“</w:t>
      </w:r>
      <w:r>
        <w:rPr>
          <w:rFonts w:ascii="Arial" w:hAnsi="Arial"/>
          <w:b/>
          <w:i/>
          <w:sz w:val="20"/>
        </w:rPr>
        <w:t>Common Stock</w:t>
      </w:r>
      <w:r>
        <w:rPr>
          <w:rFonts w:ascii="Arial" w:hAnsi="Arial"/>
          <w:sz w:val="20"/>
        </w:rPr>
        <w:t>”). The Shares were issued to the Selling Stockholders pursuant to the Asset Purchase Agreement, dated November 19, 2025, by and among the Company, Erigen LLC and Factor Bioscience Inc. (the “</w:t>
      </w:r>
      <w:r>
        <w:rPr>
          <w:rFonts w:ascii="Arial" w:hAnsi="Arial"/>
          <w:b/>
          <w:i/>
          <w:sz w:val="20"/>
        </w:rPr>
        <w:t>Agreement</w:t>
      </w:r>
      <w:r>
        <w:rPr>
          <w:rFonts w:ascii="Arial" w:hAnsi="Arial"/>
          <w:sz w:val="20"/>
        </w:rPr>
        <w:t>”). Each share of Common Stock includes a preferred share purchase right (each, a “</w:t>
      </w:r>
      <w:r>
        <w:rPr>
          <w:rFonts w:ascii="Arial" w:hAnsi="Arial"/>
          <w:b/>
          <w:i/>
          <w:sz w:val="20"/>
        </w:rPr>
        <w:t>Right</w:t>
      </w:r>
      <w:r>
        <w:rPr>
          <w:rFonts w:ascii="Arial" w:hAnsi="Arial"/>
          <w:sz w:val="20"/>
        </w:rPr>
        <w:t>,” collectively, the “</w:t>
      </w:r>
      <w:r>
        <w:rPr>
          <w:rFonts w:ascii="Arial" w:hAnsi="Arial"/>
          <w:b/>
          <w:i/>
          <w:sz w:val="20"/>
        </w:rPr>
        <w:t>Rights</w:t>
      </w:r>
      <w:r>
        <w:rPr>
          <w:rFonts w:ascii="Arial" w:hAnsi="Arial"/>
          <w:sz w:val="20"/>
        </w:rPr>
        <w:t>”) as set forth in the Rights Agreement (the “</w:t>
      </w:r>
      <w:r>
        <w:rPr>
          <w:rFonts w:ascii="Arial" w:hAnsi="Arial"/>
          <w:b/>
          <w:i/>
          <w:sz w:val="20"/>
        </w:rPr>
        <w:t>Rights Plan</w:t>
      </w:r>
      <w:r>
        <w:rPr>
          <w:rFonts w:ascii="Arial" w:hAnsi="Arial"/>
          <w:sz w:val="20"/>
        </w:rPr>
        <w:t>”), dated as of October 10, 2023, as amended. between the Company and Computershare Trust Company, N.A., as rights agent (the “</w:t>
      </w:r>
      <w:r>
        <w:rPr>
          <w:rFonts w:ascii="Arial" w:hAnsi="Arial"/>
          <w:b/>
          <w:i/>
          <w:sz w:val="20"/>
        </w:rPr>
        <w:t>Rights Agent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In connection with this opinion, we have examined and relied upon the Registration Statement and related prospectus, the Company’s certificate of incorporation and Bylaws, each as currently in effect, the Agreement, and such other documents, records,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both"/>
        <w:rPr>
          <w:rFonts w:ascii="Arial" w:hAnsi="Arial"/>
          <w:sz w:val="20"/>
        </w:rPr>
      </w:pPr>
      <w:r>
        <w:rPr>
          <w:rFonts w:ascii="Arial" w:hAnsi="Arial"/>
          <w:sz w:val="20"/>
        </w:rPr>
        <w:t xml:space="preserve">With respect to our opinion concerning the Rights: </w:t>
      </w:r>
    </w:p>
    <w:p>
      <w:pPr>
        <w:pStyle w:val="TextBody"/>
        <w:bidi w:val="0"/>
        <w:spacing w:before="120" w:after="0"/>
        <w:jc w:val="both"/>
        <w:rPr>
          <w:rFonts w:ascii="Arial" w:hAnsi="Arial"/>
          <w:sz w:val="20"/>
        </w:rPr>
      </w:pPr>
      <w:r>
        <w:rPr>
          <w:rFonts w:ascii="Arial" w:hAnsi="Arial"/>
          <w:sz w:val="20"/>
        </w:rPr>
        <w:t>(i) Our opinion does not address the determination a court of competent jurisdiction may make regarding whether the Company’s board of directors (the “</w:t>
      </w:r>
      <w:r>
        <w:rPr>
          <w:rFonts w:ascii="Arial" w:hAnsi="Arial"/>
          <w:b/>
          <w:i/>
          <w:sz w:val="20"/>
        </w:rPr>
        <w:t>Board</w:t>
      </w:r>
      <w:r>
        <w:rPr>
          <w:rFonts w:ascii="Arial" w:hAnsi="Arial"/>
          <w:sz w:val="20"/>
        </w:rPr>
        <w:t xml:space="preserve">”) may be required to redeem or terminate, or take other action with respect to, the Rights or the Rights Plan in the future based on the facts and circumstances then existing. </w:t>
      </w:r>
    </w:p>
    <w:p>
      <w:pPr>
        <w:pStyle w:val="TextBody"/>
        <w:bidi w:val="0"/>
        <w:spacing w:before="240" w:after="0"/>
        <w:jc w:val="both"/>
        <w:rPr>
          <w:rFonts w:ascii="Arial" w:hAnsi="Arial"/>
          <w:sz w:val="20"/>
        </w:rPr>
      </w:pPr>
      <w:r>
        <w:rPr>
          <w:rFonts w:ascii="Arial" w:hAnsi="Arial"/>
          <w:sz w:val="20"/>
        </w:rPr>
        <w:t xml:space="preserve">(ii) Our opinion assumes that the Rights Plan has been duly authorized, executed and delivered by the Rights Agent and that members of the Board have acted in a manner consistent with their fiduciary duties as required under applicable law in adopting the Rights Plan. With respect to Rights associated with Shares to be issued in the future, our opinion assumes the Rights Plan has not been terminated by the Company or expired by its terms and the Rights have not expired or been redeemed or exchanged by the Company, in each case, prior to the issuance and resale of such Shares.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Cooley LLP 1299 Pennsylvania Avenue NW Suite 700 Washington, DC 20004-2400 </w:t>
      </w:r>
    </w:p>
    <w:p>
      <w:pPr>
        <w:pStyle w:val="TextBody"/>
        <w:bidi w:val="0"/>
        <w:spacing w:before="0" w:after="0"/>
        <w:jc w:val="center"/>
        <w:rPr>
          <w:rFonts w:ascii="Arial" w:hAnsi="Arial"/>
          <w:sz w:val="20"/>
        </w:rPr>
      </w:pPr>
      <w:r>
        <w:rPr>
          <w:rFonts w:ascii="Arial" w:hAnsi="Arial"/>
          <w:sz w:val="20"/>
        </w:rPr>
        <w:t xml:space="preserve">t: +1 202 842 7800 f: +1 202 842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both"/>
        <w:rPr>
          <w:rFonts w:ascii="Arial" w:hAnsi="Arial"/>
          <w:sz w:val="20"/>
        </w:rPr>
      </w:pPr>
      <w:r>
        <w:rPr>
          <w:rFonts w:ascii="Arial" w:hAnsi="Arial"/>
          <w:sz w:val="20"/>
        </w:rPr>
        <w:t xml:space="preserve">Tempest Therapeutics, Inc. </w:t>
      </w:r>
    </w:p>
    <w:p>
      <w:pPr>
        <w:pStyle w:val="TextBody"/>
        <w:bidi w:val="0"/>
        <w:spacing w:before="0" w:after="0"/>
        <w:jc w:val="both"/>
        <w:rPr>
          <w:rFonts w:ascii="Arial" w:hAnsi="Arial"/>
          <w:sz w:val="20"/>
        </w:rPr>
      </w:pPr>
      <w:r>
        <w:rPr>
          <w:rFonts w:ascii="Arial" w:hAnsi="Arial"/>
          <w:sz w:val="20"/>
        </w:rPr>
        <w:t xml:space="preserve">March 30, 2026 </w:t>
      </w:r>
    </w:p>
    <w:p>
      <w:pPr>
        <w:pStyle w:val="TextBody"/>
        <w:bidi w:val="0"/>
        <w:spacing w:before="0" w:after="0"/>
        <w:jc w:val="both"/>
        <w:rPr>
          <w:rFonts w:ascii="Arial" w:hAnsi="Arial"/>
          <w:sz w:val="20"/>
        </w:rPr>
      </w:pPr>
      <w:r>
        <w:rPr>
          <w:rFonts w:ascii="Arial" w:hAnsi="Arial"/>
          <w:sz w:val="20"/>
        </w:rPr>
        <w:t xml:space="preserve">Page Two </w:t>
      </w:r>
    </w:p>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(iii) Our opinion addresses corporate procedures in connection with the issuance of the Rights associated with the Shares, and not any particular provision of the Rights or the Rights Plan. It should be understood that it is not settled whether the invalidity of any particular provision of a rights agreement or purchase rights issued thereunder would invalidate such rights in their entirety. </w:t>
      </w:r>
    </w:p>
    <w:p>
      <w:pPr>
        <w:pStyle w:val="TextBody"/>
        <w:bidi w:val="0"/>
        <w:spacing w:before="240" w:after="0"/>
        <w:jc w:val="both"/>
        <w:rPr>
          <w:rFonts w:ascii="Arial" w:hAnsi="Arial"/>
          <w:sz w:val="20"/>
        </w:rPr>
      </w:pPr>
      <w:r>
        <w:rPr>
          <w:rFonts w:ascii="Arial" w:hAnsi="Arial"/>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both"/>
        <w:rPr>
          <w:rFonts w:ascii="Arial" w:hAnsi="Arial"/>
          <w:sz w:val="20"/>
        </w:rPr>
      </w:pPr>
      <w:r>
        <w:rPr>
          <w:rFonts w:ascii="Arial" w:hAnsi="Arial"/>
          <w:sz w:val="20"/>
        </w:rPr>
        <w:t xml:space="preserve">On the basis of the foregoing, and in reliance thereon and subject to the assumptions, exceptions, limitations and qualifications set forth herein, we are of the opinion that the Shares and any associated Rights are validly issued and that the Shares are fully paid and nonassessable. </w:t>
      </w:r>
    </w:p>
    <w:p>
      <w:pPr>
        <w:pStyle w:val="TextBody"/>
        <w:bidi w:val="0"/>
        <w:spacing w:before="240" w:after="0"/>
        <w:jc w:val="both"/>
        <w:rPr>
          <w:rFonts w:ascii="Arial" w:hAnsi="Arial"/>
          <w:sz w:val="20"/>
        </w:rPr>
      </w:pPr>
      <w:r>
        <w:rPr>
          <w:rFonts w:ascii="Arial" w:hAnsi="Arial"/>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both"/>
        <w:rPr>
          <w:rFonts w:ascii="Arial" w:hAnsi="Arial"/>
          <w:sz w:val="20"/>
        </w:rPr>
      </w:pPr>
      <w:r>
        <w:rPr>
          <w:rFonts w:ascii="Arial" w:hAnsi="Arial"/>
          <w:sz w:val="20"/>
        </w:rPr>
        <w:t xml:space="preserve">We consent to the reference to our firm under the caption “Legal Matters” in the prospectus included in the Registration Statement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Cooley LLP 1299 Pennsylvania Avenue NW Suite 700 Washington, DC 20004-2400 </w:t>
      </w:r>
    </w:p>
    <w:p>
      <w:pPr>
        <w:pStyle w:val="TextBody"/>
        <w:bidi w:val="0"/>
        <w:spacing w:before="0" w:after="0"/>
        <w:jc w:val="center"/>
        <w:rPr>
          <w:rFonts w:ascii="Arial" w:hAnsi="Arial"/>
          <w:sz w:val="20"/>
        </w:rPr>
      </w:pPr>
      <w:r>
        <w:rPr>
          <w:rFonts w:ascii="Arial" w:hAnsi="Arial"/>
          <w:sz w:val="20"/>
        </w:rPr>
        <w:t xml:space="preserve">t: +1 202 842 7800 f: +1 202 842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0"/>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both"/>
        <w:rPr>
          <w:rFonts w:ascii="Arial" w:hAnsi="Arial"/>
          <w:sz w:val="20"/>
        </w:rPr>
      </w:pPr>
      <w:r>
        <w:rPr>
          <w:rFonts w:ascii="Arial" w:hAnsi="Arial"/>
          <w:sz w:val="20"/>
        </w:rPr>
        <w:t xml:space="preserve">Tempest Therapeutics, Inc. </w:t>
      </w:r>
    </w:p>
    <w:p>
      <w:pPr>
        <w:pStyle w:val="TextBody"/>
        <w:bidi w:val="0"/>
        <w:spacing w:before="0" w:after="0"/>
        <w:jc w:val="both"/>
        <w:rPr>
          <w:rFonts w:ascii="Arial" w:hAnsi="Arial"/>
          <w:sz w:val="20"/>
        </w:rPr>
      </w:pPr>
      <w:r>
        <w:rPr>
          <w:rFonts w:ascii="Arial" w:hAnsi="Arial"/>
          <w:sz w:val="20"/>
        </w:rPr>
        <w:t xml:space="preserve">March 30, 2026 </w:t>
      </w:r>
    </w:p>
    <w:p>
      <w:pPr>
        <w:pStyle w:val="TextBody"/>
        <w:bidi w:val="0"/>
        <w:spacing w:before="0" w:after="0"/>
        <w:jc w:val="both"/>
        <w:rPr>
          <w:rFonts w:ascii="Arial" w:hAnsi="Arial"/>
          <w:sz w:val="20"/>
        </w:rPr>
      </w:pPr>
      <w:r>
        <w:rPr>
          <w:rFonts w:ascii="Arial" w:hAnsi="Arial"/>
          <w:sz w:val="20"/>
        </w:rPr>
        <w:t xml:space="preserve">Page Three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7"/>
        <w:gridCol w:w="61"/>
        <w:gridCol w:w="3654"/>
      </w:tblGrid>
      <w:tr>
        <w:trPr/>
        <w:tc>
          <w:tcPr>
            <w:tcW w:w="36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sz w:val="20"/>
              </w:rPr>
            </w:pPr>
            <w:r>
              <w:rPr>
                <w:rFonts w:ascii="Arial" w:hAnsi="Arial"/>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sz w:val="20"/>
              </w:rPr>
            </w:pPr>
            <w:r>
              <w:rPr>
                <w:rFonts w:ascii="Arial" w:hAnsi="Arial"/>
                <w:sz w:val="20"/>
              </w:rPr>
              <w:t>COOLEY LLP</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0"/>
              <w:jc w:val="both"/>
              <w:rPr>
                <w:rFonts w:ascii="Arial" w:hAnsi="Arial"/>
                <w:sz w:val="20"/>
              </w:rPr>
            </w:pPr>
            <w:r>
              <w:rPr>
                <w:rFonts w:ascii="Arial" w:hAnsi="Arial"/>
                <w:sz w:val="20"/>
              </w:rPr>
              <w:t>By:</w:t>
            </w:r>
          </w:p>
        </w:tc>
        <w:tc>
          <w:tcPr>
            <w:tcW w:w="61" w:type="dxa"/>
            <w:tcBorders/>
            <w:vAlign w:val="bottom"/>
          </w:tcPr>
          <w:p>
            <w:pPr>
              <w:pStyle w:val="TableContents"/>
              <w:bidi w:val="0"/>
              <w:spacing w:before="0" w:after="283"/>
              <w:jc w:val="left"/>
              <w:rPr/>
            </w:pPr>
            <w:r>
              <w:rPr/>
              <w:t> </w:t>
            </w:r>
          </w:p>
        </w:tc>
        <w:tc>
          <w:tcPr>
            <w:tcW w:w="3654" w:type="dxa"/>
            <w:tcBorders/>
          </w:tcPr>
          <w:p>
            <w:pPr>
              <w:pStyle w:val="TableContents"/>
              <w:pBdr>
                <w:bottom w:val="single" w:sz="2" w:space="1" w:color="000000"/>
              </w:pBdr>
              <w:bidi w:val="0"/>
              <w:spacing w:before="0" w:after="20"/>
              <w:jc w:val="both"/>
              <w:rPr>
                <w:rFonts w:ascii="Arial" w:hAnsi="Arial"/>
                <w:sz w:val="20"/>
              </w:rPr>
            </w:pPr>
            <w:r>
              <w:rPr>
                <w:rFonts w:ascii="Arial" w:hAnsi="Arial"/>
                <w:sz w:val="20"/>
              </w:rPr>
              <w:t>/s/ Jaime L. Chase</w:t>
            </w:r>
          </w:p>
        </w:tc>
      </w:tr>
      <w:tr>
        <w:trPr/>
        <w:tc>
          <w:tcPr>
            <w:tcW w:w="36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0"/>
              <w:jc w:val="both"/>
              <w:rPr>
                <w:rFonts w:ascii="Arial" w:hAnsi="Arial"/>
                <w:sz w:val="20"/>
              </w:rPr>
            </w:pPr>
            <w:r>
              <w:rPr>
                <w:rFonts w:ascii="Arial" w:hAnsi="Arial"/>
                <w:sz w:val="20"/>
              </w:rPr>
              <w:t>Jaime L. Chase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Cooley LLP 1299 Pennsylvania Avenue NW Suite 700 Washington, DC 20004-2400 </w:t>
      </w:r>
    </w:p>
    <w:p>
      <w:pPr>
        <w:pStyle w:val="TextBody"/>
        <w:bidi w:val="0"/>
        <w:spacing w:before="0" w:after="0"/>
        <w:jc w:val="center"/>
        <w:rPr>
          <w:rFonts w:ascii="Arial" w:hAnsi="Arial"/>
          <w:sz w:val="20"/>
        </w:rPr>
      </w:pPr>
      <w:r>
        <w:rPr>
          <w:rFonts w:ascii="Arial" w:hAnsi="Arial"/>
          <w:sz w:val="20"/>
        </w:rPr>
        <w:t xml:space="preserve">t: +1 202 842 7800 f: +1 202 842 7899 cooley.com </w:t>
      </w:r>
    </w:p>
    <w:p>
      <w:pPr>
        <w:pStyle w:val="TextBody"/>
        <w:bidi w:val="0"/>
        <w:spacing w:before="0" w:after="0"/>
        <w:jc w:val="right"/>
        <w:rPr>
          <w:rFonts w:ascii="Times New Roman" w:hAnsi="Times New Roman"/>
          <w:b/>
          <w:sz w:val="20"/>
        </w:rPr>
      </w:pPr>
      <w:bookmarkStart w:id="17" w:name="d104843dex231.htm"/>
      <w:bookmarkStart w:id="18" w:name="ksd104843dex231"/>
      <w:bookmarkEnd w:id="17"/>
      <w:bookmarkEnd w:id="18"/>
      <w:r>
        <w:rPr>
          <w:rFonts w:ascii="Times New Roman" w:hAnsi="Times New Roman"/>
          <w:b/>
          <w:sz w:val="20"/>
        </w:rPr>
        <w:t xml:space="preserve">Exhibit 23.1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S-3) and related Prospectus of Tempest Therapeutics, Inc. for the registration of 8,268,495 shares of its common stock and to the incorporation by reference therein of our report dated March 30, 2026, with respect to the consolidated financial statements of Tempest Therapeutics, Inc.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March 30, 2026 </w:t>
      </w:r>
    </w:p>
    <w:p>
      <w:pPr>
        <w:pStyle w:val="Normal"/>
        <w:bidi w:val="0"/>
        <w:spacing w:before="0" w:after="0"/>
        <w:jc w:val="left"/>
        <w:rPr>
          <w:sz w:val="4"/>
          <w:szCs w:val="4"/>
        </w:rPr>
      </w:pPr>
      <w:r>
        <w:rPr>
          <w:sz w:val="4"/>
          <w:szCs w:val="4"/>
        </w:rPr>
      </w:r>
      <w:bookmarkStart w:id="19" w:name="d104843dexfilingfees.htm"/>
      <w:bookmarkStart w:id="20" w:name="ksd104843dexfilingfees"/>
      <w:bookmarkStart w:id="21" w:name="d104843dexfilingfees.htm"/>
      <w:bookmarkStart w:id="22" w:name="ksd104843dexfilingfees"/>
      <w:bookmarkEnd w:id="21"/>
      <w:bookmarkEnd w:id="22"/>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Tempest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8,268,495 </w:t>
            </w:r>
          </w:p>
        </w:tc>
        <w:tc>
          <w:tcPr>
            <w:tcW w:w="1156" w:type="dxa"/>
            <w:tcBorders/>
            <w:shd w:fill="E7E7E2" w:val="clear"/>
            <w:vAlign w:val="center"/>
          </w:tcPr>
          <w:p>
            <w:pPr>
              <w:pStyle w:val="TableContents"/>
              <w:bidi w:val="0"/>
              <w:spacing w:before="0" w:after="283"/>
              <w:jc w:val="right"/>
              <w:rPr/>
            </w:pPr>
            <w:r>
              <w:rPr/>
              <w:t xml:space="preserve">$ 1.66 </w:t>
            </w:r>
          </w:p>
        </w:tc>
        <w:tc>
          <w:tcPr>
            <w:tcW w:w="1666" w:type="dxa"/>
            <w:tcBorders/>
            <w:shd w:fill="E7E7E2" w:val="clear"/>
            <w:vAlign w:val="center"/>
          </w:tcPr>
          <w:p>
            <w:pPr>
              <w:pStyle w:val="TableContents"/>
              <w:bidi w:val="0"/>
              <w:spacing w:before="0" w:after="283"/>
              <w:jc w:val="right"/>
              <w:rPr/>
            </w:pPr>
            <w:r>
              <w:rPr/>
              <w:t xml:space="preserve">$ 13,725,701.70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$ 1,895.52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3" w:name="MaxAggtOfferingPrice"/>
            <w:bookmarkEnd w:id="23"/>
            <w:r>
              <w:rPr/>
              <w:t xml:space="preserve">$ 13,725,701.70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$ 1,895.52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$ 1,895.52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 Consists of 8,268,495 shares of the Registrant's common stock, par value $0.001 per share, issued by the Registrant pursuant to the Asset Purchase Agreement on February 3, 2026 and held by certain selling stockholders. Pursuant to Rule 416 under the Securities Act of 1933, as amended, the shares of common stock being registered hereunder include such indeterminate number of shares of common stock as may be issuable with respect to the shares of common stock being registered hereunder as a result of stock splits, stock dividends or similar transactions. (b) Pursuant to Rule 457(c) under the Securities Act, calculated on the basis of the average of the high and low prices per share of common stock reported on The Nasdaq Stock Market on March 27, 2026.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44227/000119312526130490/tpst-20251231.htm" TargetMode="External"/><Relationship Id="rId4" Type="http://schemas.openxmlformats.org/officeDocument/2006/relationships/hyperlink" Target="http://www.sec.gov/Archives/edgar/data/../../../ix?doc=/Archives/edgar/data/1544227/000119312526008938/d30095d8k.htm" TargetMode="External"/><Relationship Id="rId5" Type="http://schemas.openxmlformats.org/officeDocument/2006/relationships/hyperlink" Target="http://www.sec.gov/Archives/edgar/data/../../../ix?doc=/Archives/edgar/data/1544227/000119312526027203/d70064d8k.htm" TargetMode="External"/><Relationship Id="rId6" Type="http://schemas.openxmlformats.org/officeDocument/2006/relationships/hyperlink" Target="http://www.sec.gov/Archives/edgar/data/../../../ix?doc=/Archives/edgar/data/1544227/000119312526041190/d159400d8k.htm" TargetMode="External"/><Relationship Id="rId7" Type="http://schemas.openxmlformats.org/officeDocument/2006/relationships/hyperlink" Target="http://www.sec.gov/Archives/edgar/data/../../../ix?doc=/Archives/edgar/data/1544227/000119312526068614/d22967d8k.htm" TargetMode="External"/><Relationship Id="rId8" Type="http://schemas.openxmlformats.org/officeDocument/2006/relationships/hyperlink" Target="http://www.sec.gov/Archives/edgar/data/../../../ix?doc=/Archives/edgar/data/1544227/000119312526118618/d85035d8k.htm" TargetMode="External"/><Relationship Id="rId9" Type="http://schemas.openxmlformats.org/officeDocument/2006/relationships/hyperlink" Target="http://www.sec.gov/Archives/edgar/data/1544227/000110465913033085/a13-9660_28a12b.htm" TargetMode="External"/><Relationship Id="rId10" Type="http://schemas.openxmlformats.org/officeDocument/2006/relationships/hyperlink" Target="http://www.sec.gov/Archives/edgar/data/1544227/000119312526130490/tpst-ex4_1.htm" TargetMode="External"/><Relationship Id="rId11" Type="http://schemas.openxmlformats.org/officeDocument/2006/relationships/hyperlink" Target="http://www.sec.gov/Archives/edgar/data/1544227/000155837019005038/mlnd-20190331ex31b53fa83.htm" TargetMode="External"/><Relationship Id="rId12" Type="http://schemas.openxmlformats.org/officeDocument/2006/relationships/hyperlink" Target="http://www.sec.gov/Archives/edgar/data/1544227/000119312521201157/d196630dex31.htm" TargetMode="External"/><Relationship Id="rId13" Type="http://schemas.openxmlformats.org/officeDocument/2006/relationships/hyperlink" Target="http://www.sec.gov/Archives/edgar/data/1544227/000119312521201157/d196630dex32.htm" TargetMode="External"/><Relationship Id="rId14" Type="http://schemas.openxmlformats.org/officeDocument/2006/relationships/hyperlink" Target="http://www.sec.gov/Archives/edgar/data/1544227/000119312523253882/d547808dex31.htm" TargetMode="External"/><Relationship Id="rId15" Type="http://schemas.openxmlformats.org/officeDocument/2006/relationships/hyperlink" Target="http://www.sec.gov/Archives/edgar/data/1544227/000119312525073987/d905141dex31.htm" TargetMode="External"/><Relationship Id="rId16" Type="http://schemas.openxmlformats.org/officeDocument/2006/relationships/hyperlink" Target="http://www.sec.gov/Archives/edgar/data/1544227/000119312521281694/d222030dex31.htm" TargetMode="External"/><Relationship Id="rId17" Type="http://schemas.openxmlformats.org/officeDocument/2006/relationships/hyperlink" Target="http://www.sec.gov/Archives/edgar/data/0001544227/000119312522135401/d212050dex41.htm" TargetMode="External"/><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9374</Words>
  <Characters>50491</Characters>
  <CharactersWithSpaces>60129</CharactersWithSpaces>
  <Paragraphs>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