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November 05,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Tempest Therapeutics,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880" w:type="dxa"/>
        <w:tblCellMar>
          <w:top w:w="0" w:type="dxa"/>
          <w:left w:w="0" w:type="dxa"/>
          <w:bottom w:w="0" w:type="dxa"/>
          <w:right w:w="0" w:type="dxa"/>
        </w:tblCellMar>
      </w:tblPr>
      <w:tr>
        <w:trPr>
          <w:trHeight w:val="222"/>
        </w:trPr>
        <w:tc>
          <w:tcPr>
            <w:tcW w:w="3420" w:type="dxa"/>
            <w:vAlign w:val="bottom"/>
          </w:tcPr>
          <w:p>
            <w:pPr>
              <w:jc w:val="center"/>
              <w:ind w:right="46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12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001-35890</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45-1472564</w:t>
            </w:r>
          </w:p>
        </w:tc>
      </w:tr>
      <w:tr>
        <w:trPr>
          <w:trHeight w:val="149"/>
        </w:trPr>
        <w:tc>
          <w:tcPr>
            <w:tcW w:w="3420" w:type="dxa"/>
            <w:vAlign w:val="bottom"/>
          </w:tcPr>
          <w:p>
            <w:pPr>
              <w:jc w:val="center"/>
              <w:ind w:right="46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120" w:type="dxa"/>
            <w:vAlign w:val="bottom"/>
          </w:tcPr>
          <w:p>
            <w:pPr>
              <w:jc w:val="center"/>
              <w:ind w:right="38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420" w:type="dxa"/>
            <w:vAlign w:val="bottom"/>
          </w:tcPr>
          <w:p>
            <w:pPr>
              <w:jc w:val="center"/>
              <w:ind w:right="46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12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420" w:type="dxa"/>
            <w:vAlign w:val="bottom"/>
          </w:tcPr>
          <w:p>
            <w:pPr>
              <w:jc w:val="center"/>
              <w:ind w:right="461"/>
              <w:spacing w:after="0"/>
              <w:rPr>
                <w:sz w:val="20"/>
                <w:szCs w:val="20"/>
                <w:color w:val="auto"/>
              </w:rPr>
            </w:pPr>
            <w:r>
              <w:rPr>
                <w:rFonts w:ascii="Times New Roman" w:cs="Times New Roman" w:eastAsia="Times New Roman" w:hAnsi="Times New Roman"/>
                <w:sz w:val="18"/>
                <w:szCs w:val="18"/>
                <w:b w:val="1"/>
                <w:bCs w:val="1"/>
                <w:color w:val="auto"/>
              </w:rPr>
              <w:t>2000 Sierra Point Parkway, Suite 400</w:t>
            </w:r>
          </w:p>
        </w:tc>
        <w:tc>
          <w:tcPr>
            <w:tcW w:w="312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420" w:type="dxa"/>
            <w:vAlign w:val="bottom"/>
          </w:tcPr>
          <w:p>
            <w:pPr>
              <w:jc w:val="center"/>
              <w:ind w:right="461"/>
              <w:spacing w:after="0"/>
              <w:rPr>
                <w:sz w:val="20"/>
                <w:szCs w:val="20"/>
                <w:color w:val="auto"/>
              </w:rPr>
            </w:pPr>
            <w:r>
              <w:rPr>
                <w:rFonts w:ascii="Times New Roman" w:cs="Times New Roman" w:eastAsia="Times New Roman" w:hAnsi="Times New Roman"/>
                <w:sz w:val="18"/>
                <w:szCs w:val="18"/>
                <w:b w:val="1"/>
                <w:bCs w:val="1"/>
                <w:color w:val="auto"/>
                <w:w w:val="99"/>
              </w:rPr>
              <w:t>Brisbane, California</w:t>
            </w:r>
          </w:p>
        </w:tc>
        <w:tc>
          <w:tcPr>
            <w:tcW w:w="312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94005</w:t>
            </w:r>
          </w:p>
        </w:tc>
      </w:tr>
      <w:tr>
        <w:trPr>
          <w:trHeight w:val="178"/>
        </w:trPr>
        <w:tc>
          <w:tcPr>
            <w:tcW w:w="3420" w:type="dxa"/>
            <w:vAlign w:val="bottom"/>
          </w:tcPr>
          <w:p>
            <w:pPr>
              <w:jc w:val="center"/>
              <w:ind w:right="46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12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(415) 798-8589</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1"/>
        </w:trPr>
        <w:tc>
          <w:tcPr>
            <w:tcW w:w="42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$0.001 par value</w:t>
            </w:r>
          </w:p>
        </w:tc>
        <w:tc>
          <w:tcPr>
            <w:tcW w:w="120" w:type="dxa"/>
            <w:vAlign w:val="bottom"/>
          </w:tcPr>
          <w:p>
            <w:pPr>
              <w:spacing w:after="0"/>
              <w:rPr>
                <w:sz w:val="16"/>
                <w:szCs w:val="16"/>
                <w:color w:val="auto"/>
              </w:rPr>
            </w:pPr>
          </w:p>
        </w:tc>
        <w:tc>
          <w:tcPr>
            <w:tcW w:w="16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TPST</w:t>
            </w:r>
          </w:p>
        </w:tc>
        <w:tc>
          <w:tcPr>
            <w:tcW w:w="120" w:type="dxa"/>
            <w:vAlign w:val="bottom"/>
          </w:tcPr>
          <w:p>
            <w:pPr>
              <w:spacing w:after="0"/>
              <w:rPr>
                <w:sz w:val="16"/>
                <w:szCs w:val="16"/>
                <w:color w:val="auto"/>
              </w:rPr>
            </w:pPr>
          </w:p>
        </w:tc>
        <w:tc>
          <w:tcPr>
            <w:tcW w:w="50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Series A Junior Participating Preferred Purchase Rights</w:t>
            </w:r>
          </w:p>
        </w:tc>
        <w:tc>
          <w:tcPr>
            <w:tcW w:w="1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12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ind w:right="60"/>
        <w:spacing w:after="0" w:line="312" w:lineRule="auto"/>
        <w:rPr>
          <w:sz w:val="20"/>
          <w:szCs w:val="20"/>
          <w:color w:val="auto"/>
        </w:rPr>
      </w:pPr>
      <w:r>
        <w:rPr>
          <w:rFonts w:ascii="Times New Roman" w:cs="Times New Roman" w:eastAsia="Times New Roman" w:hAnsi="Times New Roman"/>
          <w:sz w:val="17"/>
          <w:szCs w:val="17"/>
          <w:color w:val="auto"/>
        </w:rPr>
        <w:t>On November 5, 2025, Tempest Therapeutics, Inc. (the “Company”) issued a press release announcing its financial results for the quarter ended September 30, 2025 and other business highlights. A copy of the Company’s press release is attached hereto as Exhibit 99.1 and is incorporated herein by reference.</w:t>
      </w:r>
    </w:p>
    <w:p>
      <w:pPr>
        <w:spacing w:after="0" w:line="14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foregoing information (including Exhibit 99.1 hereto) is being furnished under “Item 2.02 Results of Operations and Financial Condition” and shall not be deemed “filed” for purposes of Section 18 of the Securities Exchange Act of 1934, as amended, or otherwise subject to the liabilities of that section, nor shall it be deemed incorporated by reference in any filing under the Securities Act of 1933, as amended, except as shall be expressly set forth by specific reference in such filing.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567"/>
        </w:trPr>
        <w:tc>
          <w:tcPr>
            <w:tcW w:w="1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99.1</w:t>
            </w:r>
          </w:p>
        </w:tc>
        <w:tc>
          <w:tcPr>
            <w:tcW w:w="98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Press release dated November 5, 2025</w:t>
            </w:r>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2760" w:type="dxa"/>
            <w:vAlign w:val="bottom"/>
            <w:tcBorders>
              <w:right w:val="single" w:sz="8" w:color="0000EE"/>
            </w:tcBorders>
            <w:shd w:val="clear" w:color="auto" w:fill="0000FF"/>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r>
      <w:tr>
        <w:trPr>
          <w:trHeight w:val="493"/>
        </w:trPr>
        <w:tc>
          <w:tcPr>
            <w:tcW w:w="1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104</w:t>
            </w:r>
          </w:p>
        </w:tc>
        <w:tc>
          <w:tcPr>
            <w:tcW w:w="9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019"/>
        </w:trPr>
        <w:tc>
          <w:tcPr>
            <w:tcW w:w="1400" w:type="dxa"/>
            <w:vAlign w:val="bottom"/>
            <w:tcBorders>
              <w:bottom w:val="single" w:sz="8" w:color="9A9A9A"/>
            </w:tcBorders>
          </w:tcPr>
          <w:p>
            <w:pPr>
              <w:spacing w:after="0"/>
              <w:rPr>
                <w:sz w:val="24"/>
                <w:szCs w:val="24"/>
                <w:color w:val="auto"/>
              </w:rPr>
            </w:pPr>
          </w:p>
        </w:tc>
        <w:tc>
          <w:tcPr>
            <w:tcW w:w="2760" w:type="dxa"/>
            <w:vAlign w:val="bottom"/>
            <w:tcBorders>
              <w:bottom w:val="single" w:sz="8" w:color="9A9A9A"/>
            </w:tcBorders>
          </w:tcPr>
          <w:p>
            <w:pPr>
              <w:spacing w:after="0"/>
              <w:rPr>
                <w:sz w:val="24"/>
                <w:szCs w:val="24"/>
                <w:color w:val="auto"/>
              </w:rPr>
            </w:pPr>
          </w:p>
        </w:tc>
        <w:tc>
          <w:tcPr>
            <w:tcW w:w="7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TEMPEST THERAPEUTICS, INC.</w:t>
            </w:r>
          </w:p>
        </w:tc>
      </w:tr>
      <w:tr>
        <w:trPr>
          <w:trHeight w:val="580"/>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5, 2025</w:t>
            </w:r>
          </w:p>
        </w:tc>
        <w:tc>
          <w:tcPr>
            <w:tcW w:w="242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Stephen Brady</w:t>
            </w:r>
          </w:p>
        </w:tc>
      </w:tr>
      <w:tr>
        <w:trPr>
          <w:trHeight w:val="191"/>
        </w:trPr>
        <w:tc>
          <w:tcPr>
            <w:tcW w:w="3780" w:type="dxa"/>
            <w:vAlign w:val="bottom"/>
          </w:tcPr>
          <w:p>
            <w:pPr>
              <w:spacing w:after="0"/>
              <w:rPr>
                <w:sz w:val="16"/>
                <w:szCs w:val="16"/>
                <w:color w:val="auto"/>
              </w:rPr>
            </w:pPr>
          </w:p>
        </w:tc>
        <w:tc>
          <w:tcPr>
            <w:tcW w:w="2420" w:type="dxa"/>
            <w:vAlign w:val="bottom"/>
          </w:tcPr>
          <w:p>
            <w:pPr>
              <w:ind w:left="17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Stephen Brady</w:t>
            </w:r>
          </w:p>
        </w:tc>
      </w:tr>
      <w:tr>
        <w:trPr>
          <w:trHeight w:val="248"/>
        </w:trPr>
        <w:tc>
          <w:tcPr>
            <w:tcW w:w="3780" w:type="dxa"/>
            <w:vAlign w:val="bottom"/>
          </w:tcPr>
          <w:p>
            <w:pPr>
              <w:spacing w:after="0"/>
              <w:rPr>
                <w:sz w:val="21"/>
                <w:szCs w:val="21"/>
                <w:color w:val="auto"/>
              </w:rPr>
            </w:pPr>
          </w:p>
        </w:tc>
        <w:tc>
          <w:tcPr>
            <w:tcW w:w="242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1141"/>
        </w:trPr>
        <w:tc>
          <w:tcPr>
            <w:tcW w:w="378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5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2525395</wp:posOffset>
            </wp:positionH>
            <wp:positionV relativeFrom="paragraph">
              <wp:posOffset>431165</wp:posOffset>
            </wp:positionV>
            <wp:extent cx="2280285" cy="5911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280285" cy="591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Tempest Reports Third Quarter 2025 Financial Results and</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Provides Business Update</w:t>
      </w:r>
    </w:p>
    <w:p>
      <w:pPr>
        <w:spacing w:after="0" w:line="172" w:lineRule="exact"/>
        <w:rPr>
          <w:sz w:val="20"/>
          <w:szCs w:val="20"/>
          <w:color w:val="auto"/>
        </w:rPr>
      </w:pPr>
    </w:p>
    <w:p>
      <w:pPr>
        <w:jc w:val="both"/>
        <w:spacing w:after="0" w:line="227" w:lineRule="auto"/>
        <w:rPr>
          <w:sz w:val="20"/>
          <w:szCs w:val="20"/>
          <w:color w:val="auto"/>
        </w:rPr>
      </w:pPr>
      <w:r>
        <w:rPr>
          <w:rFonts w:ascii="Arial" w:cs="Arial" w:eastAsia="Arial" w:hAnsi="Arial"/>
          <w:sz w:val="22"/>
          <w:szCs w:val="22"/>
          <w:b w:val="1"/>
          <w:bCs w:val="1"/>
          <w:color w:val="auto"/>
        </w:rPr>
        <w:t>Brisbane, CA</w:t>
      </w:r>
      <w:r>
        <w:rPr>
          <w:rFonts w:ascii="Arial" w:cs="Arial" w:eastAsia="Arial" w:hAnsi="Arial"/>
          <w:sz w:val="22"/>
          <w:szCs w:val="22"/>
          <w:color w:val="auto"/>
        </w:rPr>
        <w:t>, November 5, 2025</w:t>
      </w:r>
      <w:r>
        <w:rPr>
          <w:rFonts w:ascii="Arial" w:cs="Arial" w:eastAsia="Arial" w:hAnsi="Arial"/>
          <w:sz w:val="22"/>
          <w:szCs w:val="22"/>
          <w:b w:val="1"/>
          <w:bCs w:val="1"/>
          <w:color w:val="auto"/>
        </w:rPr>
        <w:t xml:space="preserve"> – </w:t>
      </w:r>
      <w:r>
        <w:rPr>
          <w:rFonts w:ascii="Arial" w:cs="Arial" w:eastAsia="Arial" w:hAnsi="Arial"/>
          <w:sz w:val="22"/>
          <w:szCs w:val="22"/>
          <w:color w:val="auto"/>
        </w:rPr>
        <w:t>Tempest Therapeutics, Inc. (Nasdaq: TPST), a clinical-stage biotechnology</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with a pipeline of first-in-class</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targeted and immune-mediated therapeutics to fight cancer, today reported financial results for the quarter ended September 30, 2025 and provided a corporate update.</w:t>
      </w:r>
    </w:p>
    <w:p>
      <w:pPr>
        <w:spacing w:after="0" w:line="110"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“We are continuing our strategic alternatives process with the goal of maximizing value for stockholders,” said Stephen Brady, president and chief executive officer of Tempest. “In addition, we look forward to the start of the TPST-1495 Phase 2 in collaboration with the NCI and the Cancer Prevention Clinical Trials Network and remain confident in the potential of amezalpat to transform the treatment of first-line HCC and bring meaningful benefit to patients and their families.”</w:t>
      </w:r>
    </w:p>
    <w:p>
      <w:pPr>
        <w:spacing w:after="0" w:line="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Financial Results</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Third Quarter 2025</w:t>
      </w:r>
    </w:p>
    <w:p>
      <w:pPr>
        <w:spacing w:after="0" w:line="98" w:lineRule="exact"/>
        <w:rPr>
          <w:sz w:val="20"/>
          <w:szCs w:val="20"/>
          <w:color w:val="auto"/>
        </w:rPr>
      </w:pPr>
    </w:p>
    <w:p>
      <w:pPr>
        <w:jc w:val="both"/>
        <w:ind w:left="760" w:hanging="378"/>
        <w:spacing w:after="0" w:line="239" w:lineRule="auto"/>
        <w:tabs>
          <w:tab w:leader="none" w:pos="760" w:val="left"/>
        </w:tabs>
        <w:numPr>
          <w:ilvl w:val="0"/>
          <w:numId w:val="2"/>
        </w:numPr>
        <w:rPr>
          <w:rFonts w:ascii="Times New Roman" w:cs="Times New Roman" w:eastAsia="Times New Roman" w:hAnsi="Times New Roman"/>
          <w:sz w:val="22"/>
          <w:szCs w:val="22"/>
          <w:color w:val="auto"/>
        </w:rPr>
      </w:pPr>
      <w:r>
        <w:rPr>
          <w:rFonts w:ascii="Arial" w:cs="Arial" w:eastAsia="Arial" w:hAnsi="Arial"/>
          <w:sz w:val="22"/>
          <w:szCs w:val="22"/>
          <w:color w:val="auto"/>
        </w:rPr>
        <w:t>Tempest ended the quarter with $7.5 million in cash and cash equivalents, compared to $30.3 million on December 31, 2024. The decrease was primarily due to cash used in operating activities, offset by $4.1 million in net proceeds from the June 2025 registered direct offering, as well as $2.8 million in net proceeds from the company’s at-the-market offering program.</w:t>
      </w:r>
    </w:p>
    <w:p>
      <w:pPr>
        <w:spacing w:after="0" w:line="71" w:lineRule="exact"/>
        <w:rPr>
          <w:rFonts w:ascii="Times New Roman" w:cs="Times New Roman" w:eastAsia="Times New Roman" w:hAnsi="Times New Roman"/>
          <w:sz w:val="22"/>
          <w:szCs w:val="22"/>
          <w:color w:val="auto"/>
        </w:rPr>
      </w:pPr>
    </w:p>
    <w:p>
      <w:pPr>
        <w:ind w:left="760" w:hanging="378"/>
        <w:spacing w:after="0" w:line="258" w:lineRule="auto"/>
        <w:tabs>
          <w:tab w:leader="none" w:pos="760" w:val="left"/>
        </w:tabs>
        <w:numPr>
          <w:ilvl w:val="0"/>
          <w:numId w:val="2"/>
        </w:numPr>
        <w:rPr>
          <w:rFonts w:ascii="Times New Roman" w:cs="Times New Roman" w:eastAsia="Times New Roman" w:hAnsi="Times New Roman"/>
          <w:sz w:val="22"/>
          <w:szCs w:val="22"/>
          <w:color w:val="auto"/>
        </w:rPr>
      </w:pPr>
      <w:r>
        <w:rPr>
          <w:rFonts w:ascii="Arial" w:cs="Arial" w:eastAsia="Arial" w:hAnsi="Arial"/>
          <w:sz w:val="22"/>
          <w:szCs w:val="22"/>
          <w:color w:val="auto"/>
        </w:rPr>
        <w:t>Net loss and net loss per share for the quarter were $3.5 million and $0.79, respectively, compared to $10.6 million and $5.32, respectively, for the same period in 2024.</w:t>
      </w:r>
    </w:p>
    <w:p>
      <w:pPr>
        <w:spacing w:after="0" w:line="49" w:lineRule="exact"/>
        <w:rPr>
          <w:rFonts w:ascii="Times New Roman" w:cs="Times New Roman" w:eastAsia="Times New Roman" w:hAnsi="Times New Roman"/>
          <w:sz w:val="22"/>
          <w:szCs w:val="22"/>
          <w:color w:val="auto"/>
        </w:rPr>
      </w:pPr>
    </w:p>
    <w:p>
      <w:pPr>
        <w:jc w:val="both"/>
        <w:ind w:left="760" w:hanging="378"/>
        <w:spacing w:after="0" w:line="244" w:lineRule="auto"/>
        <w:tabs>
          <w:tab w:leader="none" w:pos="760" w:val="left"/>
        </w:tabs>
        <w:numPr>
          <w:ilvl w:val="0"/>
          <w:numId w:val="2"/>
        </w:numPr>
        <w:rPr>
          <w:rFonts w:ascii="Times New Roman" w:cs="Times New Roman" w:eastAsia="Times New Roman" w:hAnsi="Times New Roman"/>
          <w:sz w:val="22"/>
          <w:szCs w:val="22"/>
          <w:color w:val="auto"/>
        </w:rPr>
      </w:pPr>
      <w:r>
        <w:rPr>
          <w:rFonts w:ascii="Arial" w:cs="Arial" w:eastAsia="Arial" w:hAnsi="Arial"/>
          <w:sz w:val="22"/>
          <w:szCs w:val="22"/>
          <w:color w:val="auto"/>
        </w:rPr>
        <w:t>Research and development expenses for the quarter were $0.6 million, compared to $7.6 million for the same period in 2024. The $7.0 million decrease was primarily due to a decrease in costs incurred as a result of re-prioritizing efforts towards exploring strategic alternatives.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1688465" cy="508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688465" cy="50800"/>
                    </a:xfrm>
                    <a:prstGeom prst="rect">
                      <a:avLst/>
                    </a:prstGeom>
                    <a:noFill/>
                  </pic:spPr>
                </pic:pic>
              </a:graphicData>
            </a:graphic>
          </wp:anchor>
        </w:drawing>
      </w:r>
    </w:p>
    <w:p>
      <w:pPr>
        <w:spacing w:after="0" w:line="173" w:lineRule="exact"/>
        <w:rPr>
          <w:sz w:val="20"/>
          <w:szCs w:val="20"/>
          <w:color w:val="auto"/>
        </w:rPr>
      </w:pPr>
    </w:p>
    <w:p>
      <w:pPr>
        <w:ind w:left="120" w:hanging="112"/>
        <w:spacing w:after="0"/>
        <w:tabs>
          <w:tab w:leader="none" w:pos="120" w:val="left"/>
        </w:tabs>
        <w:numPr>
          <w:ilvl w:val="0"/>
          <w:numId w:val="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If approved by the U.S. Food and Drug Administration (FDA).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878840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 w:name="page5"/>
    <w:bookmarkEnd w:id="4"/>
    <w:p>
      <w:pPr>
        <w:ind w:left="760" w:hanging="378"/>
        <w:spacing w:after="0" w:line="258" w:lineRule="auto"/>
        <w:tabs>
          <w:tab w:leader="none" w:pos="760" w:val="left"/>
        </w:tabs>
        <w:numPr>
          <w:ilvl w:val="0"/>
          <w:numId w:val="4"/>
        </w:numPr>
        <w:rPr>
          <w:rFonts w:ascii="Times New Roman" w:cs="Times New Roman" w:eastAsia="Times New Roman" w:hAnsi="Times New Roman"/>
          <w:sz w:val="22"/>
          <w:szCs w:val="22"/>
          <w:color w:val="auto"/>
        </w:rPr>
      </w:pPr>
      <w:r>
        <w:rPr>
          <w:rFonts w:ascii="Arial" w:cs="Arial" w:eastAsia="Arial" w:hAnsi="Arial"/>
          <w:sz w:val="22"/>
          <w:szCs w:val="22"/>
          <w:color w:val="auto"/>
        </w:rPr>
        <w:t>General and administrative expenses for the quarter were $3.0 million, compared to $3.0 million for the same period in 2024, and were primarily related to consulting and professional services.</w:t>
      </w:r>
    </w:p>
    <w:p>
      <w:pPr>
        <w:spacing w:after="0" w:line="400"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Year-to-Date</w:t>
      </w:r>
    </w:p>
    <w:p>
      <w:pPr>
        <w:spacing w:after="0" w:line="98" w:lineRule="exact"/>
        <w:rPr>
          <w:sz w:val="20"/>
          <w:szCs w:val="20"/>
          <w:color w:val="auto"/>
        </w:rPr>
      </w:pPr>
    </w:p>
    <w:p>
      <w:pPr>
        <w:ind w:left="760" w:hanging="378"/>
        <w:spacing w:after="0"/>
        <w:tabs>
          <w:tab w:leader="none" w:pos="760" w:val="left"/>
        </w:tabs>
        <w:numPr>
          <w:ilvl w:val="0"/>
          <w:numId w:val="5"/>
        </w:numPr>
        <w:rPr>
          <w:rFonts w:ascii="Times New Roman" w:cs="Times New Roman" w:eastAsia="Times New Roman" w:hAnsi="Times New Roman"/>
          <w:sz w:val="22"/>
          <w:szCs w:val="22"/>
          <w:color w:val="auto"/>
        </w:rPr>
      </w:pPr>
      <w:r>
        <w:rPr>
          <w:rFonts w:ascii="Arial" w:cs="Arial" w:eastAsia="Arial" w:hAnsi="Arial"/>
          <w:sz w:val="22"/>
          <w:szCs w:val="22"/>
          <w:color w:val="auto"/>
        </w:rPr>
        <w:t>Cash used in operating activities for the nine months ended September 30, 2025 was $23.2 million.</w:t>
      </w:r>
    </w:p>
    <w:p>
      <w:pPr>
        <w:spacing w:after="0" w:line="97" w:lineRule="exact"/>
        <w:rPr>
          <w:rFonts w:ascii="Times New Roman" w:cs="Times New Roman" w:eastAsia="Times New Roman" w:hAnsi="Times New Roman"/>
          <w:sz w:val="22"/>
          <w:szCs w:val="22"/>
          <w:color w:val="auto"/>
        </w:rPr>
      </w:pPr>
    </w:p>
    <w:p>
      <w:pPr>
        <w:ind w:left="760" w:hanging="378"/>
        <w:spacing w:after="0" w:line="258" w:lineRule="auto"/>
        <w:tabs>
          <w:tab w:leader="none" w:pos="760" w:val="left"/>
        </w:tabs>
        <w:numPr>
          <w:ilvl w:val="0"/>
          <w:numId w:val="5"/>
        </w:numPr>
        <w:rPr>
          <w:rFonts w:ascii="Times New Roman" w:cs="Times New Roman" w:eastAsia="Times New Roman" w:hAnsi="Times New Roman"/>
          <w:sz w:val="22"/>
          <w:szCs w:val="22"/>
          <w:color w:val="auto"/>
        </w:rPr>
      </w:pPr>
      <w:r>
        <w:rPr>
          <w:rFonts w:ascii="Arial" w:cs="Arial" w:eastAsia="Arial" w:hAnsi="Arial"/>
          <w:sz w:val="22"/>
          <w:szCs w:val="22"/>
          <w:color w:val="auto"/>
        </w:rPr>
        <w:t>Net loss and net loss per share for the nine months ended September 30, 2025 were $22.2 million and $5.71, respectively, compared to $28.0 million and $15.48, respectively, for the same period in 2024.</w:t>
      </w:r>
    </w:p>
    <w:p>
      <w:pPr>
        <w:spacing w:after="0" w:line="49" w:lineRule="exact"/>
        <w:rPr>
          <w:rFonts w:ascii="Times New Roman" w:cs="Times New Roman" w:eastAsia="Times New Roman" w:hAnsi="Times New Roman"/>
          <w:sz w:val="22"/>
          <w:szCs w:val="22"/>
          <w:color w:val="auto"/>
        </w:rPr>
      </w:pPr>
    </w:p>
    <w:p>
      <w:pPr>
        <w:jc w:val="both"/>
        <w:ind w:left="760" w:hanging="378"/>
        <w:spacing w:after="0" w:line="244" w:lineRule="auto"/>
        <w:tabs>
          <w:tab w:leader="none" w:pos="760" w:val="left"/>
        </w:tabs>
        <w:numPr>
          <w:ilvl w:val="0"/>
          <w:numId w:val="5"/>
        </w:numPr>
        <w:rPr>
          <w:rFonts w:ascii="Times New Roman" w:cs="Times New Roman" w:eastAsia="Times New Roman" w:hAnsi="Times New Roman"/>
          <w:sz w:val="22"/>
          <w:szCs w:val="22"/>
          <w:color w:val="auto"/>
        </w:rPr>
      </w:pPr>
      <w:r>
        <w:rPr>
          <w:rFonts w:ascii="Arial" w:cs="Arial" w:eastAsia="Arial" w:hAnsi="Arial"/>
          <w:sz w:val="22"/>
          <w:szCs w:val="22"/>
          <w:color w:val="auto"/>
        </w:rPr>
        <w:t>Research and development expenses for the nine months ended September 30, 2025 were $12.1 million, compared to $17.7 million for the same period in 2024. The $5.6 million decrease was primarily due to a decrease in costs incurred as a result of re-prioritizing efforts towards exploring strategic alternatives.</w:t>
      </w:r>
    </w:p>
    <w:p>
      <w:pPr>
        <w:spacing w:after="0" w:line="64" w:lineRule="exact"/>
        <w:rPr>
          <w:rFonts w:ascii="Times New Roman" w:cs="Times New Roman" w:eastAsia="Times New Roman" w:hAnsi="Times New Roman"/>
          <w:sz w:val="22"/>
          <w:szCs w:val="22"/>
          <w:color w:val="auto"/>
        </w:rPr>
      </w:pPr>
    </w:p>
    <w:p>
      <w:pPr>
        <w:jc w:val="both"/>
        <w:ind w:left="760" w:hanging="378"/>
        <w:spacing w:after="0" w:line="239" w:lineRule="auto"/>
        <w:tabs>
          <w:tab w:leader="none" w:pos="760" w:val="left"/>
        </w:tabs>
        <w:numPr>
          <w:ilvl w:val="0"/>
          <w:numId w:val="5"/>
        </w:numPr>
        <w:rPr>
          <w:rFonts w:ascii="Times New Roman" w:cs="Times New Roman" w:eastAsia="Times New Roman" w:hAnsi="Times New Roman"/>
          <w:sz w:val="22"/>
          <w:szCs w:val="22"/>
          <w:color w:val="auto"/>
        </w:rPr>
      </w:pPr>
      <w:r>
        <w:rPr>
          <w:rFonts w:ascii="Arial" w:cs="Arial" w:eastAsia="Arial" w:hAnsi="Arial"/>
          <w:sz w:val="22"/>
          <w:szCs w:val="22"/>
          <w:color w:val="auto"/>
        </w:rPr>
        <w:t>General and administrative expenses for the nine months ended September 30, 2025 were $10.4 million, compared to $10.4 million for the same period in 2024, and were primarily related to employee compensation costs, inclusive of one-time separation costs for employees terminated during the nine months ended September 30, 2025, as well as consulting and professional services.</w:t>
      </w:r>
    </w:p>
    <w:p>
      <w:pPr>
        <w:spacing w:after="0" w:line="3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Tempest Therapeutics</w:t>
      </w:r>
    </w:p>
    <w:p>
      <w:pPr>
        <w:spacing w:after="0" w:line="100" w:lineRule="exact"/>
        <w:rPr>
          <w:sz w:val="20"/>
          <w:szCs w:val="20"/>
          <w:color w:val="auto"/>
        </w:rPr>
      </w:pPr>
    </w:p>
    <w:p>
      <w:pPr>
        <w:jc w:val="both"/>
        <w:spacing w:after="0"/>
        <w:rPr>
          <w:sz w:val="20"/>
          <w:szCs w:val="20"/>
          <w:color w:val="auto"/>
        </w:rPr>
      </w:pPr>
      <w:r>
        <w:rPr>
          <w:rFonts w:ascii="Arial" w:cs="Arial" w:eastAsia="Arial" w:hAnsi="Arial"/>
          <w:sz w:val="22"/>
          <w:szCs w:val="22"/>
          <w:color w:val="auto"/>
        </w:rPr>
        <w:t>Tempest Therapeutics is a clinical-stage biotechnology company advancing a diverse portfolio of small molecule product candidates containing tumor-targeted and/or immune-mediated mechanisms with the potential to treat a wide range of tumors. Tempest is headquartered in Brisbane, California. More information about Tempest can be found on the company’s website at www.tempesttx.com.</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35"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This press release contains forward-looking statements (including within the meaning of Section 21E of the Securities Exchange Act of 1934, as amended, and Section 27A of the Securities Act of 1933, as amended (the “Securities Act”)) concerning Tempest Therapeutics, Inc. These statements may discuss goals, intentions, and expectations as to future plans, trends, events, results of operations or financial condition, or otherwise, based on current beliefs of the management of Tempest Therapeutics, as well as assumptions made by, and information currently available to, management of Tempest Therapeutics. Forward-looking statements contained in this press release include but are not limited to statements relating to Tempest Therapeutics’ evaluation of strategic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964565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5" w:name="page6"/>
    <w:bookmarkEnd w:id="5"/>
    <w:p>
      <w:pPr>
        <w:jc w:val="both"/>
        <w:spacing w:after="0" w:line="232" w:lineRule="auto"/>
        <w:rPr>
          <w:sz w:val="20"/>
          <w:szCs w:val="20"/>
          <w:color w:val="auto"/>
        </w:rPr>
      </w:pPr>
      <w:r>
        <w:rPr>
          <w:rFonts w:ascii="Arial" w:cs="Arial" w:eastAsia="Arial" w:hAnsi="Arial"/>
          <w:sz w:val="22"/>
          <w:szCs w:val="22"/>
          <w:color w:val="auto"/>
        </w:rPr>
        <w:t>alternatives available to the company to maximize value for stockholders and patients and anticipated therapeutic benefit and regulatory development of Tempest Therapeutic’ product candidates. Any forward-looking statements in this press release are based on Tempest Therapeutics’ current expectations, estimates and projections about its industry as well as management’s current beliefs and expectations of future events only as of today and are subject to a number of risks and uncertainties that could cause actual results to differ materially and adversely from those set forth in or implied by such forward-looking statements. These risks and uncertainties include, but are not limited to, risks relating to volatility and uncertainty in the capital markets for biotechnology companies; Tempest Therapeutics’ ability to continue to operate as a going concern; availability of suitable third parties with which to conduct contemplated strategic transactions; whether we will be able to pursue a strategic transaction, or whether any transaction, if pursued, will be completed on attractive terms or at all; unexpected safety or efficacy data observed during preclinical or clinical trials; clinical trial site activation or enrollment rates that are lower than expected; changes in expected or existing competition; changes in the regulatory environment; and unexpected litigation or other disputes. These and other factors that may cause actual results to differ from those expressed or implied are discussed in greater detail in the “Risk Factors” section of the Company’s Quarterly Report on Form 10-Q for the quarter ended September 30, 2025 and other documents filed by the Company from time to time with the Securities and Exchange Commission. Except as required by applicable law, Tempest Therapeutics undertakes no obligation to revise or update any forward-looking statement, or to make any other forward-looking statements, whether as a result of new information, future events or otherwise. These forward-looking statements should not be relied upon as representing Tempest Therapeutics’ views as of any date subsequent to the date of this press release and should not be relied upon as prediction of future events. In light of the foregoing, investors are urged not to rely on any forward-looking statement in reaching any conclusion or making any investment decision about any securities of Tempest Therapeutics.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1602740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6" w:name="page7"/>
    <w:bookmarkEnd w:id="6"/>
    <w:p>
      <w:pPr>
        <w:jc w:val="center"/>
        <w:ind w:right="80"/>
        <w:spacing w:after="0"/>
        <w:rPr>
          <w:sz w:val="20"/>
          <w:szCs w:val="20"/>
          <w:color w:val="auto"/>
        </w:rPr>
      </w:pPr>
      <w:r>
        <w:rPr>
          <w:rFonts w:ascii="Arial" w:cs="Arial" w:eastAsia="Arial" w:hAnsi="Arial"/>
          <w:sz w:val="25"/>
          <w:szCs w:val="25"/>
          <w:b w:val="1"/>
          <w:bCs w:val="1"/>
          <w:color w:val="auto"/>
        </w:rPr>
        <w:t>TEMPEST THERAPEUTICS, INC.</w:t>
      </w:r>
    </w:p>
    <w:p>
      <w:pPr>
        <w:spacing w:after="0" w:line="36" w:lineRule="exact"/>
        <w:rPr>
          <w:sz w:val="20"/>
          <w:szCs w:val="20"/>
          <w:color w:val="auto"/>
        </w:rPr>
      </w:pPr>
    </w:p>
    <w:p>
      <w:pPr>
        <w:jc w:val="center"/>
        <w:ind w:right="80"/>
        <w:spacing w:after="0"/>
        <w:rPr>
          <w:sz w:val="20"/>
          <w:szCs w:val="20"/>
          <w:color w:val="auto"/>
        </w:rPr>
      </w:pPr>
      <w:r>
        <w:rPr>
          <w:rFonts w:ascii="Arial" w:cs="Arial" w:eastAsia="Arial" w:hAnsi="Arial"/>
          <w:sz w:val="25"/>
          <w:szCs w:val="25"/>
          <w:b w:val="1"/>
          <w:bCs w:val="1"/>
          <w:color w:val="auto"/>
        </w:rPr>
        <w:t>Consolidated Balance Sheets</w:t>
      </w:r>
    </w:p>
    <w:p>
      <w:pPr>
        <w:spacing w:after="0" w:line="10" w:lineRule="exact"/>
        <w:rPr>
          <w:sz w:val="20"/>
          <w:szCs w:val="20"/>
          <w:color w:val="auto"/>
        </w:rPr>
      </w:pPr>
    </w:p>
    <w:p>
      <w:pPr>
        <w:jc w:val="center"/>
        <w:ind w:right="80"/>
        <w:spacing w:after="0"/>
        <w:rPr>
          <w:sz w:val="20"/>
          <w:szCs w:val="20"/>
          <w:color w:val="auto"/>
        </w:rPr>
      </w:pPr>
      <w:r>
        <w:rPr>
          <w:rFonts w:ascii="Arial" w:cs="Arial" w:eastAsia="Arial" w:hAnsi="Arial"/>
          <w:sz w:val="25"/>
          <w:szCs w:val="25"/>
          <w:b w:val="1"/>
          <w:bCs w:val="1"/>
          <w:color w:val="auto"/>
        </w:rPr>
        <w:t>(in thousands)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6100" w:type="dxa"/>
            <w:vAlign w:val="bottom"/>
            <w:vMerge w:val="restart"/>
          </w:tcPr>
          <w:p>
            <w:pPr>
              <w:ind w:left="2700"/>
              <w:spacing w:after="0"/>
              <w:rPr>
                <w:sz w:val="20"/>
                <w:szCs w:val="20"/>
                <w:color w:val="auto"/>
              </w:rPr>
            </w:pPr>
            <w:r>
              <w:rPr>
                <w:rFonts w:ascii="Arial" w:cs="Arial" w:eastAsia="Arial" w:hAnsi="Arial"/>
                <w:sz w:val="22"/>
                <w:szCs w:val="22"/>
                <w:b w:val="1"/>
                <w:bCs w:val="1"/>
                <w:color w:val="auto"/>
              </w:rPr>
              <w:t>Assets</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00" w:type="dxa"/>
            <w:vAlign w:val="bottom"/>
            <w:gridSpan w:val="2"/>
          </w:tcPr>
          <w:p>
            <w:pPr>
              <w:jc w:val="right"/>
              <w:ind w:right="600"/>
              <w:spacing w:after="0"/>
              <w:rPr>
                <w:sz w:val="20"/>
                <w:szCs w:val="20"/>
                <w:color w:val="auto"/>
              </w:rPr>
            </w:pPr>
            <w:r>
              <w:rPr>
                <w:rFonts w:ascii="Arial" w:cs="Arial" w:eastAsia="Arial" w:hAnsi="Arial"/>
                <w:sz w:val="20"/>
                <w:szCs w:val="20"/>
                <w:b w:val="1"/>
                <w:bCs w:val="1"/>
                <w:color w:val="auto"/>
              </w:rPr>
              <w:t>September 30, 2025</w:t>
            </w:r>
          </w:p>
        </w:tc>
        <w:tc>
          <w:tcPr>
            <w:tcW w:w="200" w:type="dxa"/>
            <w:vAlign w:val="bottom"/>
          </w:tcPr>
          <w:p>
            <w:pPr>
              <w:spacing w:after="0"/>
              <w:rPr>
                <w:sz w:val="20"/>
                <w:szCs w:val="20"/>
                <w:color w:val="auto"/>
              </w:rPr>
            </w:pPr>
          </w:p>
        </w:tc>
        <w:tc>
          <w:tcPr>
            <w:tcW w:w="2220" w:type="dxa"/>
            <w:vAlign w:val="bottom"/>
            <w:gridSpan w:val="2"/>
          </w:tcPr>
          <w:p>
            <w:pPr>
              <w:jc w:val="right"/>
              <w:ind w:right="360"/>
              <w:spacing w:after="0"/>
              <w:rPr>
                <w:sz w:val="20"/>
                <w:szCs w:val="20"/>
                <w:color w:val="auto"/>
              </w:rPr>
            </w:pPr>
            <w:r>
              <w:rPr>
                <w:rFonts w:ascii="Arial" w:cs="Arial" w:eastAsia="Arial" w:hAnsi="Arial"/>
                <w:sz w:val="20"/>
                <w:szCs w:val="20"/>
                <w:b w:val="1"/>
                <w:bCs w:val="1"/>
                <w:color w:val="auto"/>
              </w:rPr>
              <w:t>December 31, 2024</w:t>
            </w:r>
          </w:p>
        </w:tc>
        <w:tc>
          <w:tcPr>
            <w:tcW w:w="0" w:type="dxa"/>
            <w:vAlign w:val="bottom"/>
          </w:tcPr>
          <w:p>
            <w:pPr>
              <w:spacing w:after="0"/>
              <w:rPr>
                <w:sz w:val="1"/>
                <w:szCs w:val="1"/>
                <w:color w:val="auto"/>
              </w:rPr>
            </w:pPr>
          </w:p>
        </w:tc>
      </w:tr>
      <w:tr>
        <w:trPr>
          <w:trHeight w:val="210"/>
        </w:trPr>
        <w:tc>
          <w:tcPr>
            <w:tcW w:w="61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1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1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100" w:type="dxa"/>
            <w:vAlign w:val="bottom"/>
          </w:tcPr>
          <w:p>
            <w:pPr>
              <w:spacing w:after="0" w:line="243" w:lineRule="exact"/>
              <w:rPr>
                <w:sz w:val="20"/>
                <w:szCs w:val="20"/>
                <w:color w:val="auto"/>
              </w:rPr>
            </w:pPr>
            <w:r>
              <w:rPr>
                <w:rFonts w:ascii="Arial" w:cs="Arial" w:eastAsia="Arial" w:hAnsi="Arial"/>
                <w:sz w:val="22"/>
                <w:szCs w:val="22"/>
                <w:color w:val="auto"/>
              </w:rPr>
              <w:t>Current assets</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00" w:type="dxa"/>
            <w:vAlign w:val="bottom"/>
          </w:tcPr>
          <w:p>
            <w:pPr>
              <w:ind w:left="80"/>
              <w:spacing w:after="0" w:line="243" w:lineRule="exact"/>
              <w:rPr>
                <w:sz w:val="20"/>
                <w:szCs w:val="20"/>
                <w:color w:val="auto"/>
              </w:rPr>
            </w:pPr>
            <w:r>
              <w:rPr>
                <w:rFonts w:ascii="Arial" w:cs="Arial" w:eastAsia="Arial" w:hAnsi="Arial"/>
                <w:sz w:val="22"/>
                <w:szCs w:val="22"/>
                <w:color w:val="auto"/>
              </w:rPr>
              <w:t>Cash and cash equivalents</w:t>
            </w:r>
          </w:p>
        </w:tc>
        <w:tc>
          <w:tcPr>
            <w:tcW w:w="180" w:type="dxa"/>
            <w:vAlign w:val="bottom"/>
            <w:gridSpan w:val="2"/>
          </w:tcPr>
          <w:p>
            <w:pPr>
              <w:jc w:val="right"/>
              <w:spacing w:after="0" w:line="243" w:lineRule="exact"/>
              <w:rPr>
                <w:sz w:val="20"/>
                <w:szCs w:val="20"/>
                <w:color w:val="auto"/>
              </w:rPr>
            </w:pPr>
            <w:r>
              <w:rPr>
                <w:rFonts w:ascii="Arial" w:cs="Arial" w:eastAsia="Arial" w:hAnsi="Arial"/>
                <w:sz w:val="22"/>
                <w:szCs w:val="22"/>
                <w:color w:val="auto"/>
                <w:w w:val="81"/>
              </w:rPr>
              <w:t>$</w:t>
            </w:r>
          </w:p>
        </w:tc>
        <w:tc>
          <w:tcPr>
            <w:tcW w:w="2160" w:type="dxa"/>
            <w:vAlign w:val="bottom"/>
          </w:tcPr>
          <w:p>
            <w:pPr>
              <w:jc w:val="right"/>
              <w:spacing w:after="0" w:line="243" w:lineRule="exact"/>
              <w:rPr>
                <w:sz w:val="20"/>
                <w:szCs w:val="20"/>
                <w:color w:val="auto"/>
              </w:rPr>
            </w:pPr>
            <w:r>
              <w:rPr>
                <w:rFonts w:ascii="Arial" w:cs="Arial" w:eastAsia="Arial" w:hAnsi="Arial"/>
                <w:sz w:val="22"/>
                <w:szCs w:val="22"/>
                <w:color w:val="auto"/>
              </w:rPr>
              <w:t>7,514</w:t>
            </w:r>
          </w:p>
        </w:tc>
        <w:tc>
          <w:tcPr>
            <w:tcW w:w="340" w:type="dxa"/>
            <w:vAlign w:val="bottom"/>
          </w:tcPr>
          <w:p>
            <w:pPr>
              <w:spacing w:after="0"/>
              <w:rPr>
                <w:sz w:val="21"/>
                <w:szCs w:val="21"/>
                <w:color w:val="auto"/>
              </w:rPr>
            </w:pPr>
          </w:p>
        </w:tc>
        <w:tc>
          <w:tcPr>
            <w:tcW w:w="200" w:type="dxa"/>
            <w:vAlign w:val="bottom"/>
          </w:tcPr>
          <w:p>
            <w:pPr>
              <w:jc w:val="right"/>
              <w:spacing w:after="0" w:line="243" w:lineRule="exact"/>
              <w:rPr>
                <w:sz w:val="20"/>
                <w:szCs w:val="20"/>
                <w:color w:val="auto"/>
              </w:rPr>
            </w:pPr>
            <w:r>
              <w:rPr>
                <w:rFonts w:ascii="Arial" w:cs="Arial" w:eastAsia="Arial" w:hAnsi="Arial"/>
                <w:sz w:val="22"/>
                <w:szCs w:val="22"/>
                <w:color w:val="auto"/>
                <w:w w:val="81"/>
              </w:rPr>
              <w:t>$</w:t>
            </w:r>
          </w:p>
        </w:tc>
        <w:tc>
          <w:tcPr>
            <w:tcW w:w="2160" w:type="dxa"/>
            <w:vAlign w:val="bottom"/>
          </w:tcPr>
          <w:p>
            <w:pPr>
              <w:jc w:val="right"/>
              <w:spacing w:after="0" w:line="243" w:lineRule="exact"/>
              <w:rPr>
                <w:sz w:val="20"/>
                <w:szCs w:val="20"/>
                <w:color w:val="auto"/>
              </w:rPr>
            </w:pPr>
            <w:r>
              <w:rPr>
                <w:rFonts w:ascii="Arial" w:cs="Arial" w:eastAsia="Arial" w:hAnsi="Arial"/>
                <w:sz w:val="22"/>
                <w:szCs w:val="22"/>
                <w:color w:val="auto"/>
              </w:rPr>
              <w:t>30,268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6100" w:type="dxa"/>
            <w:vAlign w:val="bottom"/>
          </w:tcPr>
          <w:p>
            <w:pPr>
              <w:ind w:left="80"/>
              <w:spacing w:after="0"/>
              <w:rPr>
                <w:sz w:val="20"/>
                <w:szCs w:val="20"/>
                <w:color w:val="auto"/>
              </w:rPr>
            </w:pPr>
            <w:r>
              <w:rPr>
                <w:rFonts w:ascii="Arial" w:cs="Arial" w:eastAsia="Arial" w:hAnsi="Arial"/>
                <w:sz w:val="22"/>
                <w:szCs w:val="22"/>
                <w:color w:val="auto"/>
              </w:rPr>
              <w:t>Prepaid expenses and other current assets</w:t>
            </w:r>
          </w:p>
        </w:tc>
        <w:tc>
          <w:tcPr>
            <w:tcW w:w="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590</w:t>
            </w:r>
          </w:p>
        </w:tc>
        <w:tc>
          <w:tcPr>
            <w:tcW w:w="34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1,206</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6100" w:type="dxa"/>
            <w:vAlign w:val="bottom"/>
          </w:tcPr>
          <w:p>
            <w:pPr>
              <w:ind w:left="240"/>
              <w:spacing w:after="0" w:line="237" w:lineRule="exact"/>
              <w:rPr>
                <w:sz w:val="20"/>
                <w:szCs w:val="20"/>
                <w:color w:val="auto"/>
              </w:rPr>
            </w:pPr>
            <w:r>
              <w:rPr>
                <w:rFonts w:ascii="Arial" w:cs="Arial" w:eastAsia="Arial" w:hAnsi="Arial"/>
                <w:sz w:val="22"/>
                <w:szCs w:val="22"/>
                <w:color w:val="auto"/>
              </w:rPr>
              <w:t>Total current assets</w:t>
            </w: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8,104</w:t>
            </w:r>
          </w:p>
        </w:tc>
        <w:tc>
          <w:tcPr>
            <w:tcW w:w="3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31,474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6100" w:type="dxa"/>
            <w:vAlign w:val="bottom"/>
          </w:tcPr>
          <w:p>
            <w:pPr>
              <w:spacing w:after="0"/>
              <w:rPr>
                <w:sz w:val="20"/>
                <w:szCs w:val="20"/>
                <w:color w:val="auto"/>
              </w:rPr>
            </w:pPr>
            <w:r>
              <w:rPr>
                <w:rFonts w:ascii="Arial" w:cs="Arial" w:eastAsia="Arial" w:hAnsi="Arial"/>
                <w:sz w:val="22"/>
                <w:szCs w:val="22"/>
                <w:color w:val="auto"/>
              </w:rPr>
              <w:t>Property and equipment, net</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60" w:type="dxa"/>
            <w:vAlign w:val="bottom"/>
          </w:tcPr>
          <w:p>
            <w:pPr>
              <w:jc w:val="right"/>
              <w:spacing w:after="0"/>
              <w:rPr>
                <w:sz w:val="20"/>
                <w:szCs w:val="20"/>
                <w:color w:val="auto"/>
              </w:rPr>
            </w:pPr>
            <w:r>
              <w:rPr>
                <w:rFonts w:ascii="Arial" w:cs="Arial" w:eastAsia="Arial" w:hAnsi="Arial"/>
                <w:sz w:val="22"/>
                <w:szCs w:val="22"/>
                <w:color w:val="auto"/>
              </w:rPr>
              <w:t>681</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60" w:type="dxa"/>
            <w:vAlign w:val="bottom"/>
          </w:tcPr>
          <w:p>
            <w:pPr>
              <w:jc w:val="right"/>
              <w:spacing w:after="0"/>
              <w:rPr>
                <w:sz w:val="20"/>
                <w:szCs w:val="20"/>
                <w:color w:val="auto"/>
              </w:rPr>
            </w:pPr>
            <w:r>
              <w:rPr>
                <w:rFonts w:ascii="Arial" w:cs="Arial" w:eastAsia="Arial" w:hAnsi="Arial"/>
                <w:sz w:val="22"/>
                <w:szCs w:val="22"/>
                <w:color w:val="auto"/>
              </w:rPr>
              <w:t>886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100" w:type="dxa"/>
            <w:vAlign w:val="bottom"/>
          </w:tcPr>
          <w:p>
            <w:pPr>
              <w:spacing w:after="0" w:line="243" w:lineRule="exact"/>
              <w:rPr>
                <w:sz w:val="20"/>
                <w:szCs w:val="20"/>
                <w:color w:val="auto"/>
              </w:rPr>
            </w:pPr>
            <w:r>
              <w:rPr>
                <w:rFonts w:ascii="Arial" w:cs="Arial" w:eastAsia="Arial" w:hAnsi="Arial"/>
                <w:sz w:val="22"/>
                <w:szCs w:val="22"/>
                <w:color w:val="auto"/>
              </w:rPr>
              <w:t>Operating lease right-of-use assets</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160" w:type="dxa"/>
            <w:vAlign w:val="bottom"/>
          </w:tcPr>
          <w:p>
            <w:pPr>
              <w:jc w:val="right"/>
              <w:spacing w:after="0" w:line="243" w:lineRule="exact"/>
              <w:rPr>
                <w:sz w:val="20"/>
                <w:szCs w:val="20"/>
                <w:color w:val="auto"/>
              </w:rPr>
            </w:pPr>
            <w:r>
              <w:rPr>
                <w:rFonts w:ascii="Arial" w:cs="Arial" w:eastAsia="Arial" w:hAnsi="Arial"/>
                <w:sz w:val="22"/>
                <w:szCs w:val="22"/>
                <w:color w:val="auto"/>
              </w:rPr>
              <w:t>7,825</w:t>
            </w: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160" w:type="dxa"/>
            <w:vAlign w:val="bottom"/>
          </w:tcPr>
          <w:p>
            <w:pPr>
              <w:jc w:val="right"/>
              <w:spacing w:after="0" w:line="243" w:lineRule="exact"/>
              <w:rPr>
                <w:sz w:val="20"/>
                <w:szCs w:val="20"/>
                <w:color w:val="auto"/>
              </w:rPr>
            </w:pPr>
            <w:r>
              <w:rPr>
                <w:rFonts w:ascii="Arial" w:cs="Arial" w:eastAsia="Arial" w:hAnsi="Arial"/>
                <w:sz w:val="22"/>
                <w:szCs w:val="22"/>
                <w:color w:val="auto"/>
              </w:rPr>
              <w:t>8,643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6100" w:type="dxa"/>
            <w:vAlign w:val="bottom"/>
          </w:tcPr>
          <w:p>
            <w:pPr>
              <w:spacing w:after="0"/>
              <w:rPr>
                <w:sz w:val="20"/>
                <w:szCs w:val="20"/>
                <w:color w:val="auto"/>
              </w:rPr>
            </w:pPr>
            <w:r>
              <w:rPr>
                <w:rFonts w:ascii="Arial" w:cs="Arial" w:eastAsia="Arial" w:hAnsi="Arial"/>
                <w:sz w:val="22"/>
                <w:szCs w:val="22"/>
                <w:color w:val="auto"/>
              </w:rPr>
              <w:t>Other noncurrent assets</w:t>
            </w:r>
          </w:p>
        </w:tc>
        <w:tc>
          <w:tcPr>
            <w:tcW w:w="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519</w:t>
            </w:r>
          </w:p>
        </w:tc>
        <w:tc>
          <w:tcPr>
            <w:tcW w:w="34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485</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79"/>
        </w:trPr>
        <w:tc>
          <w:tcPr>
            <w:tcW w:w="6100" w:type="dxa"/>
            <w:vAlign w:val="bottom"/>
          </w:tcPr>
          <w:p>
            <w:pPr>
              <w:ind w:left="240"/>
              <w:spacing w:after="0"/>
              <w:rPr>
                <w:sz w:val="20"/>
                <w:szCs w:val="20"/>
                <w:color w:val="auto"/>
              </w:rPr>
            </w:pPr>
            <w:r>
              <w:rPr>
                <w:rFonts w:ascii="Arial" w:cs="Arial" w:eastAsia="Arial" w:hAnsi="Arial"/>
                <w:sz w:val="22"/>
                <w:szCs w:val="22"/>
                <w:color w:val="auto"/>
              </w:rPr>
              <w:t>Total assets</w:t>
            </w:r>
          </w:p>
        </w:tc>
        <w:tc>
          <w:tcPr>
            <w:tcW w:w="180" w:type="dxa"/>
            <w:vAlign w:val="bottom"/>
            <w:gridSpan w:val="2"/>
          </w:tcPr>
          <w:p>
            <w:pPr>
              <w:jc w:val="right"/>
              <w:spacing w:after="0"/>
              <w:rPr>
                <w:sz w:val="20"/>
                <w:szCs w:val="20"/>
                <w:color w:val="auto"/>
              </w:rPr>
            </w:pPr>
            <w:r>
              <w:rPr>
                <w:rFonts w:ascii="Arial" w:cs="Arial" w:eastAsia="Arial" w:hAnsi="Arial"/>
                <w:sz w:val="22"/>
                <w:szCs w:val="22"/>
                <w:color w:val="auto"/>
                <w:w w:val="81"/>
              </w:rPr>
              <w:t>$</w:t>
            </w:r>
          </w:p>
        </w:tc>
        <w:tc>
          <w:tcPr>
            <w:tcW w:w="2160" w:type="dxa"/>
            <w:vAlign w:val="bottom"/>
          </w:tcPr>
          <w:p>
            <w:pPr>
              <w:jc w:val="right"/>
              <w:spacing w:after="0"/>
              <w:rPr>
                <w:sz w:val="20"/>
                <w:szCs w:val="20"/>
                <w:color w:val="auto"/>
              </w:rPr>
            </w:pPr>
            <w:r>
              <w:rPr>
                <w:rFonts w:ascii="Arial" w:cs="Arial" w:eastAsia="Arial" w:hAnsi="Arial"/>
                <w:sz w:val="22"/>
                <w:szCs w:val="22"/>
                <w:color w:val="auto"/>
              </w:rPr>
              <w:t>17,129</w:t>
            </w:r>
          </w:p>
        </w:tc>
        <w:tc>
          <w:tcPr>
            <w:tcW w:w="34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2160" w:type="dxa"/>
            <w:vAlign w:val="bottom"/>
          </w:tcPr>
          <w:p>
            <w:pPr>
              <w:jc w:val="right"/>
              <w:spacing w:after="0"/>
              <w:rPr>
                <w:sz w:val="20"/>
                <w:szCs w:val="20"/>
                <w:color w:val="auto"/>
              </w:rPr>
            </w:pPr>
            <w:r>
              <w:rPr>
                <w:rFonts w:ascii="Arial" w:cs="Arial" w:eastAsia="Arial" w:hAnsi="Arial"/>
                <w:sz w:val="22"/>
                <w:szCs w:val="22"/>
                <w:color w:val="auto"/>
              </w:rPr>
              <w:t>41,488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100" w:type="dxa"/>
            <w:vAlign w:val="bottom"/>
            <w:vMerge w:val="restart"/>
          </w:tcPr>
          <w:p>
            <w:pPr>
              <w:ind w:left="1220"/>
              <w:spacing w:after="0"/>
              <w:rPr>
                <w:sz w:val="20"/>
                <w:szCs w:val="20"/>
                <w:color w:val="auto"/>
              </w:rPr>
            </w:pPr>
            <w:r>
              <w:rPr>
                <w:rFonts w:ascii="Arial" w:cs="Arial" w:eastAsia="Arial" w:hAnsi="Arial"/>
                <w:sz w:val="22"/>
                <w:szCs w:val="22"/>
                <w:b w:val="1"/>
                <w:bCs w:val="1"/>
                <w:color w:val="auto"/>
              </w:rPr>
              <w:t>Liabilities and Stockholders' Equity</w:t>
            </w: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61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100" w:type="dxa"/>
            <w:vAlign w:val="bottom"/>
          </w:tcPr>
          <w:p>
            <w:pPr>
              <w:spacing w:after="0" w:line="243" w:lineRule="exact"/>
              <w:rPr>
                <w:sz w:val="20"/>
                <w:szCs w:val="20"/>
                <w:color w:val="auto"/>
              </w:rPr>
            </w:pPr>
            <w:r>
              <w:rPr>
                <w:rFonts w:ascii="Arial" w:cs="Arial" w:eastAsia="Arial" w:hAnsi="Arial"/>
                <w:sz w:val="22"/>
                <w:szCs w:val="22"/>
                <w:color w:val="auto"/>
              </w:rPr>
              <w:t>Current liabilities</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00" w:type="dxa"/>
            <w:vAlign w:val="bottom"/>
          </w:tcPr>
          <w:p>
            <w:pPr>
              <w:ind w:left="80"/>
              <w:spacing w:after="0" w:line="243" w:lineRule="exact"/>
              <w:rPr>
                <w:sz w:val="20"/>
                <w:szCs w:val="20"/>
                <w:color w:val="auto"/>
              </w:rPr>
            </w:pPr>
            <w:r>
              <w:rPr>
                <w:rFonts w:ascii="Arial" w:cs="Arial" w:eastAsia="Arial" w:hAnsi="Arial"/>
                <w:sz w:val="22"/>
                <w:szCs w:val="22"/>
                <w:color w:val="auto"/>
              </w:rPr>
              <w:t>Accounts payable</w:t>
            </w:r>
          </w:p>
        </w:tc>
        <w:tc>
          <w:tcPr>
            <w:tcW w:w="180" w:type="dxa"/>
            <w:vAlign w:val="bottom"/>
            <w:gridSpan w:val="2"/>
          </w:tcPr>
          <w:p>
            <w:pPr>
              <w:jc w:val="right"/>
              <w:spacing w:after="0" w:line="243" w:lineRule="exact"/>
              <w:rPr>
                <w:sz w:val="20"/>
                <w:szCs w:val="20"/>
                <w:color w:val="auto"/>
              </w:rPr>
            </w:pPr>
            <w:r>
              <w:rPr>
                <w:rFonts w:ascii="Arial" w:cs="Arial" w:eastAsia="Arial" w:hAnsi="Arial"/>
                <w:sz w:val="22"/>
                <w:szCs w:val="22"/>
                <w:color w:val="auto"/>
                <w:w w:val="81"/>
              </w:rPr>
              <w:t>$</w:t>
            </w:r>
          </w:p>
        </w:tc>
        <w:tc>
          <w:tcPr>
            <w:tcW w:w="2160" w:type="dxa"/>
            <w:vAlign w:val="bottom"/>
          </w:tcPr>
          <w:p>
            <w:pPr>
              <w:jc w:val="right"/>
              <w:spacing w:after="0" w:line="243" w:lineRule="exact"/>
              <w:rPr>
                <w:sz w:val="20"/>
                <w:szCs w:val="20"/>
                <w:color w:val="auto"/>
              </w:rPr>
            </w:pPr>
            <w:r>
              <w:rPr>
                <w:rFonts w:ascii="Arial" w:cs="Arial" w:eastAsia="Arial" w:hAnsi="Arial"/>
                <w:sz w:val="22"/>
                <w:szCs w:val="22"/>
                <w:color w:val="auto"/>
              </w:rPr>
              <w:t>922</w:t>
            </w:r>
          </w:p>
        </w:tc>
        <w:tc>
          <w:tcPr>
            <w:tcW w:w="340" w:type="dxa"/>
            <w:vAlign w:val="bottom"/>
          </w:tcPr>
          <w:p>
            <w:pPr>
              <w:spacing w:after="0"/>
              <w:rPr>
                <w:sz w:val="21"/>
                <w:szCs w:val="21"/>
                <w:color w:val="auto"/>
              </w:rPr>
            </w:pPr>
          </w:p>
        </w:tc>
        <w:tc>
          <w:tcPr>
            <w:tcW w:w="200" w:type="dxa"/>
            <w:vAlign w:val="bottom"/>
          </w:tcPr>
          <w:p>
            <w:pPr>
              <w:jc w:val="right"/>
              <w:spacing w:after="0" w:line="243" w:lineRule="exact"/>
              <w:rPr>
                <w:sz w:val="20"/>
                <w:szCs w:val="20"/>
                <w:color w:val="auto"/>
              </w:rPr>
            </w:pPr>
            <w:r>
              <w:rPr>
                <w:rFonts w:ascii="Arial" w:cs="Arial" w:eastAsia="Arial" w:hAnsi="Arial"/>
                <w:sz w:val="22"/>
                <w:szCs w:val="22"/>
                <w:color w:val="auto"/>
                <w:w w:val="81"/>
              </w:rPr>
              <w:t>$</w:t>
            </w:r>
          </w:p>
        </w:tc>
        <w:tc>
          <w:tcPr>
            <w:tcW w:w="2160" w:type="dxa"/>
            <w:vAlign w:val="bottom"/>
          </w:tcPr>
          <w:p>
            <w:pPr>
              <w:jc w:val="right"/>
              <w:spacing w:after="0" w:line="243" w:lineRule="exact"/>
              <w:rPr>
                <w:sz w:val="20"/>
                <w:szCs w:val="20"/>
                <w:color w:val="auto"/>
              </w:rPr>
            </w:pPr>
            <w:r>
              <w:rPr>
                <w:rFonts w:ascii="Arial" w:cs="Arial" w:eastAsia="Arial" w:hAnsi="Arial"/>
                <w:sz w:val="22"/>
                <w:szCs w:val="22"/>
                <w:color w:val="auto"/>
              </w:rPr>
              <w:t>2,450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00" w:type="dxa"/>
            <w:vAlign w:val="bottom"/>
          </w:tcPr>
          <w:p>
            <w:pPr>
              <w:ind w:left="80"/>
              <w:spacing w:after="0" w:line="243" w:lineRule="exact"/>
              <w:rPr>
                <w:sz w:val="20"/>
                <w:szCs w:val="20"/>
                <w:color w:val="auto"/>
              </w:rPr>
            </w:pPr>
            <w:r>
              <w:rPr>
                <w:rFonts w:ascii="Arial" w:cs="Arial" w:eastAsia="Arial" w:hAnsi="Arial"/>
                <w:sz w:val="22"/>
                <w:szCs w:val="22"/>
                <w:color w:val="auto"/>
              </w:rPr>
              <w:t>Accrued expenses</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160" w:type="dxa"/>
            <w:vAlign w:val="bottom"/>
          </w:tcPr>
          <w:p>
            <w:pPr>
              <w:jc w:val="right"/>
              <w:spacing w:after="0" w:line="243" w:lineRule="exact"/>
              <w:rPr>
                <w:sz w:val="20"/>
                <w:szCs w:val="20"/>
                <w:color w:val="auto"/>
              </w:rPr>
            </w:pPr>
            <w:r>
              <w:rPr>
                <w:rFonts w:ascii="Arial" w:cs="Arial" w:eastAsia="Arial" w:hAnsi="Arial"/>
                <w:sz w:val="22"/>
                <w:szCs w:val="22"/>
                <w:color w:val="auto"/>
              </w:rPr>
              <w:t>1,353</w:t>
            </w: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160" w:type="dxa"/>
            <w:vAlign w:val="bottom"/>
          </w:tcPr>
          <w:p>
            <w:pPr>
              <w:jc w:val="right"/>
              <w:spacing w:after="0" w:line="243" w:lineRule="exact"/>
              <w:rPr>
                <w:sz w:val="20"/>
                <w:szCs w:val="20"/>
                <w:color w:val="auto"/>
              </w:rPr>
            </w:pPr>
            <w:r>
              <w:rPr>
                <w:rFonts w:ascii="Arial" w:cs="Arial" w:eastAsia="Arial" w:hAnsi="Arial"/>
                <w:sz w:val="22"/>
                <w:szCs w:val="22"/>
                <w:color w:val="auto"/>
              </w:rPr>
              <w:t>2,726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00" w:type="dxa"/>
            <w:vAlign w:val="bottom"/>
          </w:tcPr>
          <w:p>
            <w:pPr>
              <w:ind w:left="80"/>
              <w:spacing w:after="0" w:line="243" w:lineRule="exact"/>
              <w:rPr>
                <w:sz w:val="20"/>
                <w:szCs w:val="20"/>
                <w:color w:val="auto"/>
              </w:rPr>
            </w:pPr>
            <w:r>
              <w:rPr>
                <w:rFonts w:ascii="Arial" w:cs="Arial" w:eastAsia="Arial" w:hAnsi="Arial"/>
                <w:sz w:val="22"/>
                <w:szCs w:val="22"/>
                <w:color w:val="auto"/>
              </w:rPr>
              <w:t>Current loan payable, net</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16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160" w:type="dxa"/>
            <w:vAlign w:val="bottom"/>
          </w:tcPr>
          <w:p>
            <w:pPr>
              <w:jc w:val="right"/>
              <w:spacing w:after="0" w:line="243" w:lineRule="exact"/>
              <w:rPr>
                <w:sz w:val="20"/>
                <w:szCs w:val="20"/>
                <w:color w:val="auto"/>
              </w:rPr>
            </w:pPr>
            <w:r>
              <w:rPr>
                <w:rFonts w:ascii="Arial" w:cs="Arial" w:eastAsia="Arial" w:hAnsi="Arial"/>
                <w:sz w:val="22"/>
                <w:szCs w:val="22"/>
                <w:color w:val="auto"/>
              </w:rPr>
              <w:t>6,354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00" w:type="dxa"/>
            <w:vAlign w:val="bottom"/>
          </w:tcPr>
          <w:p>
            <w:pPr>
              <w:ind w:left="80"/>
              <w:spacing w:after="0" w:line="243" w:lineRule="exact"/>
              <w:rPr>
                <w:sz w:val="20"/>
                <w:szCs w:val="20"/>
                <w:color w:val="auto"/>
              </w:rPr>
            </w:pPr>
            <w:r>
              <w:rPr>
                <w:rFonts w:ascii="Arial" w:cs="Arial" w:eastAsia="Arial" w:hAnsi="Arial"/>
                <w:sz w:val="22"/>
                <w:szCs w:val="22"/>
                <w:color w:val="auto"/>
              </w:rPr>
              <w:t>Current operating lease liabilities</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160" w:type="dxa"/>
            <w:vAlign w:val="bottom"/>
          </w:tcPr>
          <w:p>
            <w:pPr>
              <w:jc w:val="right"/>
              <w:spacing w:after="0" w:line="243" w:lineRule="exact"/>
              <w:rPr>
                <w:sz w:val="20"/>
                <w:szCs w:val="20"/>
                <w:color w:val="auto"/>
              </w:rPr>
            </w:pPr>
            <w:r>
              <w:rPr>
                <w:rFonts w:ascii="Arial" w:cs="Arial" w:eastAsia="Arial" w:hAnsi="Arial"/>
                <w:sz w:val="22"/>
                <w:szCs w:val="22"/>
                <w:color w:val="auto"/>
              </w:rPr>
              <w:t>1,147</w:t>
            </w: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160" w:type="dxa"/>
            <w:vAlign w:val="bottom"/>
          </w:tcPr>
          <w:p>
            <w:pPr>
              <w:jc w:val="right"/>
              <w:spacing w:after="0" w:line="243" w:lineRule="exact"/>
              <w:rPr>
                <w:sz w:val="20"/>
                <w:szCs w:val="20"/>
                <w:color w:val="auto"/>
              </w:rPr>
            </w:pPr>
            <w:r>
              <w:rPr>
                <w:rFonts w:ascii="Arial" w:cs="Arial" w:eastAsia="Arial" w:hAnsi="Arial"/>
                <w:sz w:val="22"/>
                <w:szCs w:val="22"/>
                <w:color w:val="auto"/>
              </w:rPr>
              <w:t>869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00" w:type="dxa"/>
            <w:vAlign w:val="bottom"/>
          </w:tcPr>
          <w:p>
            <w:pPr>
              <w:ind w:left="80"/>
              <w:spacing w:after="0" w:line="243" w:lineRule="exact"/>
              <w:rPr>
                <w:sz w:val="20"/>
                <w:szCs w:val="20"/>
                <w:color w:val="auto"/>
              </w:rPr>
            </w:pPr>
            <w:r>
              <w:rPr>
                <w:rFonts w:ascii="Arial" w:cs="Arial" w:eastAsia="Arial" w:hAnsi="Arial"/>
                <w:sz w:val="22"/>
                <w:szCs w:val="22"/>
                <w:color w:val="auto"/>
              </w:rPr>
              <w:t>Accrued compensation</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160" w:type="dxa"/>
            <w:vAlign w:val="bottom"/>
          </w:tcPr>
          <w:p>
            <w:pPr>
              <w:jc w:val="right"/>
              <w:spacing w:after="0" w:line="243" w:lineRule="exact"/>
              <w:rPr>
                <w:sz w:val="20"/>
                <w:szCs w:val="20"/>
                <w:color w:val="auto"/>
              </w:rPr>
            </w:pPr>
            <w:r>
              <w:rPr>
                <w:rFonts w:ascii="Arial" w:cs="Arial" w:eastAsia="Arial" w:hAnsi="Arial"/>
                <w:sz w:val="22"/>
                <w:szCs w:val="22"/>
                <w:color w:val="auto"/>
              </w:rPr>
              <w:t>103</w:t>
            </w: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160" w:type="dxa"/>
            <w:vAlign w:val="bottom"/>
          </w:tcPr>
          <w:p>
            <w:pPr>
              <w:jc w:val="right"/>
              <w:spacing w:after="0" w:line="243" w:lineRule="exact"/>
              <w:rPr>
                <w:sz w:val="20"/>
                <w:szCs w:val="20"/>
                <w:color w:val="auto"/>
              </w:rPr>
            </w:pPr>
            <w:r>
              <w:rPr>
                <w:rFonts w:ascii="Arial" w:cs="Arial" w:eastAsia="Arial" w:hAnsi="Arial"/>
                <w:sz w:val="22"/>
                <w:szCs w:val="22"/>
                <w:color w:val="auto"/>
              </w:rPr>
              <w:t>1,762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6100" w:type="dxa"/>
            <w:vAlign w:val="bottom"/>
          </w:tcPr>
          <w:p>
            <w:pPr>
              <w:ind w:left="80"/>
              <w:spacing w:after="0"/>
              <w:rPr>
                <w:sz w:val="20"/>
                <w:szCs w:val="20"/>
                <w:color w:val="auto"/>
              </w:rPr>
            </w:pPr>
            <w:r>
              <w:rPr>
                <w:rFonts w:ascii="Arial" w:cs="Arial" w:eastAsia="Arial" w:hAnsi="Arial"/>
                <w:sz w:val="22"/>
                <w:szCs w:val="22"/>
                <w:color w:val="auto"/>
              </w:rPr>
              <w:t>Interest payable</w:t>
            </w:r>
          </w:p>
        </w:tc>
        <w:tc>
          <w:tcPr>
            <w:tcW w:w="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34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59</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6100" w:type="dxa"/>
            <w:vAlign w:val="bottom"/>
          </w:tcPr>
          <w:p>
            <w:pPr>
              <w:ind w:left="240"/>
              <w:spacing w:after="0"/>
              <w:rPr>
                <w:sz w:val="20"/>
                <w:szCs w:val="20"/>
                <w:color w:val="auto"/>
              </w:rPr>
            </w:pPr>
            <w:r>
              <w:rPr>
                <w:rFonts w:ascii="Arial" w:cs="Arial" w:eastAsia="Arial" w:hAnsi="Arial"/>
                <w:sz w:val="22"/>
                <w:szCs w:val="22"/>
                <w:color w:val="auto"/>
              </w:rPr>
              <w:t>Total current liabilities</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60" w:type="dxa"/>
            <w:vAlign w:val="bottom"/>
          </w:tcPr>
          <w:p>
            <w:pPr>
              <w:jc w:val="right"/>
              <w:spacing w:after="0"/>
              <w:rPr>
                <w:sz w:val="20"/>
                <w:szCs w:val="20"/>
                <w:color w:val="auto"/>
              </w:rPr>
            </w:pPr>
            <w:r>
              <w:rPr>
                <w:rFonts w:ascii="Arial" w:cs="Arial" w:eastAsia="Arial" w:hAnsi="Arial"/>
                <w:sz w:val="22"/>
                <w:szCs w:val="22"/>
                <w:color w:val="auto"/>
              </w:rPr>
              <w:t>3,525</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60" w:type="dxa"/>
            <w:vAlign w:val="bottom"/>
          </w:tcPr>
          <w:p>
            <w:pPr>
              <w:jc w:val="right"/>
              <w:spacing w:after="0"/>
              <w:rPr>
                <w:sz w:val="20"/>
                <w:szCs w:val="20"/>
                <w:color w:val="auto"/>
              </w:rPr>
            </w:pPr>
            <w:r>
              <w:rPr>
                <w:rFonts w:ascii="Arial" w:cs="Arial" w:eastAsia="Arial" w:hAnsi="Arial"/>
                <w:sz w:val="22"/>
                <w:szCs w:val="22"/>
                <w:color w:val="auto"/>
              </w:rPr>
              <w:t>14,220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6100" w:type="dxa"/>
            <w:vAlign w:val="bottom"/>
          </w:tcPr>
          <w:p>
            <w:pPr>
              <w:spacing w:after="0"/>
              <w:rPr>
                <w:sz w:val="20"/>
                <w:szCs w:val="20"/>
                <w:color w:val="auto"/>
              </w:rPr>
            </w:pPr>
            <w:r>
              <w:rPr>
                <w:rFonts w:ascii="Arial" w:cs="Arial" w:eastAsia="Arial" w:hAnsi="Arial"/>
                <w:sz w:val="22"/>
                <w:szCs w:val="22"/>
                <w:color w:val="auto"/>
              </w:rPr>
              <w:t>Operating lease liabilities</w:t>
            </w:r>
          </w:p>
        </w:tc>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7,258</w:t>
            </w:r>
          </w:p>
        </w:tc>
        <w:tc>
          <w:tcPr>
            <w:tcW w:w="3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8,142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100" w:type="dxa"/>
            <w:vAlign w:val="bottom"/>
          </w:tcPr>
          <w:p>
            <w:pPr>
              <w:ind w:left="240"/>
              <w:spacing w:after="0" w:line="237" w:lineRule="exact"/>
              <w:rPr>
                <w:sz w:val="20"/>
                <w:szCs w:val="20"/>
                <w:color w:val="auto"/>
              </w:rPr>
            </w:pPr>
            <w:r>
              <w:rPr>
                <w:rFonts w:ascii="Arial" w:cs="Arial" w:eastAsia="Arial" w:hAnsi="Arial"/>
                <w:sz w:val="22"/>
                <w:szCs w:val="22"/>
                <w:color w:val="auto"/>
              </w:rPr>
              <w:t>Total liabilities</w:t>
            </w: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10,783</w:t>
            </w:r>
          </w:p>
        </w:tc>
        <w:tc>
          <w:tcPr>
            <w:tcW w:w="3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22,362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9"/>
        </w:trPr>
        <w:tc>
          <w:tcPr>
            <w:tcW w:w="6100" w:type="dxa"/>
            <w:vAlign w:val="bottom"/>
          </w:tcPr>
          <w:p>
            <w:pPr>
              <w:spacing w:after="0"/>
              <w:rPr>
                <w:sz w:val="20"/>
                <w:szCs w:val="20"/>
                <w:color w:val="auto"/>
              </w:rPr>
            </w:pPr>
            <w:r>
              <w:rPr>
                <w:rFonts w:ascii="Arial" w:cs="Arial" w:eastAsia="Arial" w:hAnsi="Arial"/>
                <w:sz w:val="22"/>
                <w:szCs w:val="22"/>
                <w:color w:val="auto"/>
              </w:rPr>
              <w:t>Stockholders' equity</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100" w:type="dxa"/>
            <w:vAlign w:val="bottom"/>
          </w:tcPr>
          <w:p>
            <w:pPr>
              <w:ind w:left="80"/>
              <w:spacing w:after="0" w:line="243" w:lineRule="exact"/>
              <w:rPr>
                <w:sz w:val="20"/>
                <w:szCs w:val="20"/>
                <w:color w:val="auto"/>
              </w:rPr>
            </w:pPr>
            <w:r>
              <w:rPr>
                <w:rFonts w:ascii="Arial" w:cs="Arial" w:eastAsia="Arial" w:hAnsi="Arial"/>
                <w:sz w:val="22"/>
                <w:szCs w:val="22"/>
                <w:color w:val="auto"/>
              </w:rPr>
              <w:t>Common stock</w:t>
            </w:r>
            <w:r>
              <w:rPr>
                <w:rFonts w:ascii="Arial" w:cs="Arial" w:eastAsia="Arial" w:hAnsi="Arial"/>
                <w:sz w:val="28"/>
                <w:szCs w:val="28"/>
                <w:color w:val="auto"/>
                <w:vertAlign w:val="superscript"/>
              </w:rPr>
              <w:t>(1)</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160" w:type="dxa"/>
            <w:vAlign w:val="bottom"/>
          </w:tcPr>
          <w:p>
            <w:pPr>
              <w:jc w:val="right"/>
              <w:spacing w:after="0" w:line="243" w:lineRule="exact"/>
              <w:rPr>
                <w:sz w:val="20"/>
                <w:szCs w:val="20"/>
                <w:color w:val="auto"/>
              </w:rPr>
            </w:pPr>
            <w:r>
              <w:rPr>
                <w:rFonts w:ascii="Arial" w:cs="Arial" w:eastAsia="Arial" w:hAnsi="Arial"/>
                <w:sz w:val="22"/>
                <w:szCs w:val="22"/>
                <w:color w:val="auto"/>
              </w:rPr>
              <w:t>4</w:t>
            </w: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160" w:type="dxa"/>
            <w:vAlign w:val="bottom"/>
          </w:tcPr>
          <w:p>
            <w:pPr>
              <w:jc w:val="right"/>
              <w:spacing w:after="0" w:line="243" w:lineRule="exact"/>
              <w:rPr>
                <w:sz w:val="20"/>
                <w:szCs w:val="20"/>
                <w:color w:val="auto"/>
              </w:rPr>
            </w:pPr>
            <w:r>
              <w:rPr>
                <w:rFonts w:ascii="Arial" w:cs="Arial" w:eastAsia="Arial" w:hAnsi="Arial"/>
                <w:sz w:val="22"/>
                <w:szCs w:val="22"/>
                <w:color w:val="auto"/>
              </w:rPr>
              <w:t>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7"/>
        </w:trPr>
        <w:tc>
          <w:tcPr>
            <w:tcW w:w="6100" w:type="dxa"/>
            <w:vAlign w:val="bottom"/>
          </w:tcPr>
          <w:p>
            <w:pPr>
              <w:ind w:left="80"/>
              <w:spacing w:after="0" w:line="267" w:lineRule="exact"/>
              <w:rPr>
                <w:sz w:val="20"/>
                <w:szCs w:val="20"/>
                <w:color w:val="auto"/>
              </w:rPr>
            </w:pPr>
            <w:r>
              <w:rPr>
                <w:rFonts w:ascii="Arial" w:cs="Arial" w:eastAsia="Arial" w:hAnsi="Arial"/>
                <w:sz w:val="22"/>
                <w:szCs w:val="22"/>
                <w:color w:val="auto"/>
              </w:rPr>
              <w:t>Additional paid-in capital</w:t>
            </w:r>
            <w:r>
              <w:rPr>
                <w:rFonts w:ascii="Arial" w:cs="Arial" w:eastAsia="Arial" w:hAnsi="Arial"/>
                <w:sz w:val="28"/>
                <w:szCs w:val="28"/>
                <w:color w:val="auto"/>
                <w:vertAlign w:val="superscript"/>
              </w:rPr>
              <w:t>(1)</w:t>
            </w: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160" w:type="dxa"/>
            <w:vAlign w:val="bottom"/>
          </w:tcPr>
          <w:p>
            <w:pPr>
              <w:jc w:val="right"/>
              <w:spacing w:after="0"/>
              <w:rPr>
                <w:sz w:val="20"/>
                <w:szCs w:val="20"/>
                <w:color w:val="auto"/>
              </w:rPr>
            </w:pPr>
            <w:r>
              <w:rPr>
                <w:rFonts w:ascii="Arial" w:cs="Arial" w:eastAsia="Arial" w:hAnsi="Arial"/>
                <w:sz w:val="22"/>
                <w:szCs w:val="22"/>
                <w:color w:val="auto"/>
              </w:rPr>
              <w:t>235,689</w:t>
            </w: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160" w:type="dxa"/>
            <w:vAlign w:val="bottom"/>
          </w:tcPr>
          <w:p>
            <w:pPr>
              <w:jc w:val="right"/>
              <w:spacing w:after="0"/>
              <w:rPr>
                <w:sz w:val="20"/>
                <w:szCs w:val="20"/>
                <w:color w:val="auto"/>
              </w:rPr>
            </w:pPr>
            <w:r>
              <w:rPr>
                <w:rFonts w:ascii="Arial" w:cs="Arial" w:eastAsia="Arial" w:hAnsi="Arial"/>
                <w:sz w:val="22"/>
                <w:szCs w:val="22"/>
                <w:color w:val="auto"/>
              </w:rPr>
              <w:t>226,229</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6100" w:type="dxa"/>
            <w:vAlign w:val="bottom"/>
          </w:tcPr>
          <w:p>
            <w:pPr>
              <w:ind w:left="80"/>
              <w:spacing w:after="0"/>
              <w:rPr>
                <w:sz w:val="20"/>
                <w:szCs w:val="20"/>
                <w:color w:val="auto"/>
              </w:rPr>
            </w:pPr>
            <w:r>
              <w:rPr>
                <w:rFonts w:ascii="Arial" w:cs="Arial" w:eastAsia="Arial" w:hAnsi="Arial"/>
                <w:sz w:val="22"/>
                <w:szCs w:val="22"/>
                <w:color w:val="auto"/>
              </w:rPr>
              <w:t>Accumulated deficit</w:t>
            </w: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500" w:type="dxa"/>
            <w:vAlign w:val="bottom"/>
            <w:gridSpan w:val="2"/>
          </w:tcPr>
          <w:p>
            <w:pPr>
              <w:jc w:val="right"/>
              <w:ind w:right="260"/>
              <w:spacing w:after="0"/>
              <w:rPr>
                <w:sz w:val="20"/>
                <w:szCs w:val="20"/>
                <w:color w:val="auto"/>
              </w:rPr>
            </w:pPr>
            <w:r>
              <w:rPr>
                <w:rFonts w:ascii="Arial" w:cs="Arial" w:eastAsia="Arial" w:hAnsi="Arial"/>
                <w:sz w:val="22"/>
                <w:szCs w:val="22"/>
                <w:color w:val="auto"/>
              </w:rPr>
              <w:t>(229,347)</w:t>
            </w:r>
          </w:p>
        </w:tc>
        <w:tc>
          <w:tcPr>
            <w:tcW w:w="200" w:type="dxa"/>
            <w:vAlign w:val="bottom"/>
          </w:tcPr>
          <w:p>
            <w:pPr>
              <w:spacing w:after="0"/>
              <w:rPr>
                <w:sz w:val="23"/>
                <w:szCs w:val="23"/>
                <w:color w:val="auto"/>
              </w:rPr>
            </w:pPr>
          </w:p>
        </w:tc>
        <w:tc>
          <w:tcPr>
            <w:tcW w:w="2220" w:type="dxa"/>
            <w:vAlign w:val="bottom"/>
            <w:gridSpan w:val="2"/>
          </w:tcPr>
          <w:p>
            <w:pPr>
              <w:jc w:val="right"/>
              <w:spacing w:after="0"/>
              <w:rPr>
                <w:sz w:val="20"/>
                <w:szCs w:val="20"/>
                <w:color w:val="auto"/>
              </w:rPr>
            </w:pPr>
            <w:r>
              <w:rPr>
                <w:rFonts w:ascii="Arial" w:cs="Arial" w:eastAsia="Arial" w:hAnsi="Arial"/>
                <w:sz w:val="22"/>
                <w:szCs w:val="22"/>
                <w:color w:val="auto"/>
              </w:rPr>
              <w:t>(207,106)</w:t>
            </w:r>
          </w:p>
        </w:tc>
        <w:tc>
          <w:tcPr>
            <w:tcW w:w="0" w:type="dxa"/>
            <w:vAlign w:val="bottom"/>
          </w:tcPr>
          <w:p>
            <w:pPr>
              <w:spacing w:after="0"/>
              <w:rPr>
                <w:sz w:val="1"/>
                <w:szCs w:val="1"/>
                <w:color w:val="auto"/>
              </w:rPr>
            </w:pPr>
          </w:p>
        </w:tc>
      </w:tr>
      <w:tr>
        <w:trPr>
          <w:trHeight w:val="237"/>
        </w:trPr>
        <w:tc>
          <w:tcPr>
            <w:tcW w:w="6100" w:type="dxa"/>
            <w:vAlign w:val="bottom"/>
          </w:tcPr>
          <w:p>
            <w:pPr>
              <w:ind w:left="240"/>
              <w:spacing w:after="0" w:line="237" w:lineRule="exact"/>
              <w:rPr>
                <w:sz w:val="20"/>
                <w:szCs w:val="20"/>
                <w:color w:val="auto"/>
              </w:rPr>
            </w:pPr>
            <w:r>
              <w:rPr>
                <w:rFonts w:ascii="Arial" w:cs="Arial" w:eastAsia="Arial" w:hAnsi="Arial"/>
                <w:sz w:val="22"/>
                <w:szCs w:val="22"/>
                <w:color w:val="auto"/>
              </w:rPr>
              <w:t>Total stockholders' equity</w:t>
            </w:r>
          </w:p>
        </w:tc>
        <w:tc>
          <w:tcPr>
            <w:tcW w:w="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2160" w:type="dxa"/>
            <w:vAlign w:val="bottom"/>
            <w:tcBorders>
              <w:top w:val="single" w:sz="8" w:color="auto"/>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6,346</w:t>
            </w:r>
          </w:p>
        </w:tc>
        <w:tc>
          <w:tcPr>
            <w:tcW w:w="3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2160" w:type="dxa"/>
            <w:vAlign w:val="bottom"/>
            <w:tcBorders>
              <w:top w:val="single" w:sz="8" w:color="auto"/>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19,126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100" w:type="dxa"/>
            <w:vAlign w:val="bottom"/>
          </w:tcPr>
          <w:p>
            <w:pPr>
              <w:ind w:left="240"/>
              <w:spacing w:after="0" w:line="237" w:lineRule="exact"/>
              <w:rPr>
                <w:sz w:val="20"/>
                <w:szCs w:val="20"/>
                <w:color w:val="auto"/>
              </w:rPr>
            </w:pPr>
            <w:r>
              <w:rPr>
                <w:rFonts w:ascii="Arial" w:cs="Arial" w:eastAsia="Arial" w:hAnsi="Arial"/>
                <w:sz w:val="22"/>
                <w:szCs w:val="22"/>
                <w:color w:val="auto"/>
              </w:rPr>
              <w:t>Total liabilities and stockholders' equity</w:t>
            </w: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216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17,129</w:t>
            </w:r>
          </w:p>
        </w:tc>
        <w:tc>
          <w:tcPr>
            <w:tcW w:w="340" w:type="dxa"/>
            <w:vAlign w:val="bottom"/>
          </w:tcPr>
          <w:p>
            <w:pPr>
              <w:spacing w:after="0"/>
              <w:rPr>
                <w:sz w:val="20"/>
                <w:szCs w:val="20"/>
                <w:color w:val="auto"/>
              </w:rPr>
            </w:pPr>
          </w:p>
        </w:tc>
        <w:tc>
          <w:tcPr>
            <w:tcW w:w="20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w w:val="81"/>
              </w:rPr>
              <w:t>$</w:t>
            </w:r>
          </w:p>
        </w:tc>
        <w:tc>
          <w:tcPr>
            <w:tcW w:w="216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41,488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5" w:lineRule="exact"/>
        <w:rPr>
          <w:sz w:val="20"/>
          <w:szCs w:val="20"/>
          <w:color w:val="auto"/>
        </w:rPr>
      </w:pPr>
    </w:p>
    <w:p>
      <w:pPr>
        <w:ind w:left="200" w:hanging="192"/>
        <w:spacing w:after="0"/>
        <w:tabs>
          <w:tab w:leader="none" w:pos="200" w:val="left"/>
        </w:tabs>
        <w:numPr>
          <w:ilvl w:val="0"/>
          <w:numId w:val="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Results have been adjusted to reflect the one-for-thirteen reverse stock split effected in April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1153160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1" w:right="379" w:bottom="1440" w:gutter="0" w:footer="0" w:header="0"/>
        </w:sectPr>
      </w:pPr>
    </w:p>
    <w:bookmarkStart w:id="7" w:name="page8"/>
    <w:bookmarkEnd w:id="7"/>
    <w:p>
      <w:pPr>
        <w:jc w:val="center"/>
        <w:ind w:right="80"/>
        <w:spacing w:after="0"/>
        <w:rPr>
          <w:sz w:val="20"/>
          <w:szCs w:val="20"/>
          <w:color w:val="auto"/>
        </w:rPr>
      </w:pPr>
      <w:r>
        <w:rPr>
          <w:rFonts w:ascii="Arial" w:cs="Arial" w:eastAsia="Arial" w:hAnsi="Arial"/>
          <w:sz w:val="25"/>
          <w:szCs w:val="25"/>
          <w:b w:val="1"/>
          <w:bCs w:val="1"/>
          <w:color w:val="auto"/>
        </w:rPr>
        <w:t>TEMPEST THERAPEUTICS, INC.</w:t>
      </w:r>
    </w:p>
    <w:p>
      <w:pPr>
        <w:spacing w:after="0" w:line="36" w:lineRule="exact"/>
        <w:rPr>
          <w:sz w:val="20"/>
          <w:szCs w:val="20"/>
          <w:color w:val="auto"/>
        </w:rPr>
      </w:pPr>
    </w:p>
    <w:p>
      <w:pPr>
        <w:jc w:val="center"/>
        <w:ind w:right="80"/>
        <w:spacing w:after="0"/>
        <w:rPr>
          <w:sz w:val="20"/>
          <w:szCs w:val="20"/>
          <w:color w:val="auto"/>
        </w:rPr>
      </w:pPr>
      <w:r>
        <w:rPr>
          <w:rFonts w:ascii="Arial" w:cs="Arial" w:eastAsia="Arial" w:hAnsi="Arial"/>
          <w:sz w:val="25"/>
          <w:szCs w:val="25"/>
          <w:b w:val="1"/>
          <w:bCs w:val="1"/>
          <w:color w:val="auto"/>
        </w:rPr>
        <w:t>Consolidated Statements of Operations</w:t>
      </w:r>
    </w:p>
    <w:p>
      <w:pPr>
        <w:spacing w:after="0" w:line="10" w:lineRule="exact"/>
        <w:rPr>
          <w:sz w:val="20"/>
          <w:szCs w:val="20"/>
          <w:color w:val="auto"/>
        </w:rPr>
      </w:pPr>
    </w:p>
    <w:p>
      <w:pPr>
        <w:jc w:val="center"/>
        <w:ind w:right="80"/>
        <w:spacing w:after="0"/>
        <w:rPr>
          <w:sz w:val="20"/>
          <w:szCs w:val="20"/>
          <w:color w:val="auto"/>
        </w:rPr>
      </w:pPr>
      <w:r>
        <w:rPr>
          <w:rFonts w:ascii="Arial" w:cs="Arial" w:eastAsia="Arial" w:hAnsi="Arial"/>
          <w:sz w:val="25"/>
          <w:szCs w:val="25"/>
          <w:b w:val="1"/>
          <w:bCs w:val="1"/>
          <w:color w:val="auto"/>
        </w:rPr>
        <w:t>(in thousands, except per share amounts)</w:t>
      </w: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20" w:type="dxa"/>
            <w:vAlign w:val="bottom"/>
            <w:gridSpan w:val="3"/>
          </w:tcPr>
          <w:p>
            <w:pPr>
              <w:jc w:val="center"/>
              <w:ind w:right="480"/>
              <w:spacing w:after="0"/>
              <w:rPr>
                <w:sz w:val="20"/>
                <w:szCs w:val="20"/>
                <w:color w:val="auto"/>
              </w:rPr>
            </w:pPr>
            <w:r>
              <w:rPr>
                <w:rFonts w:ascii="Arial" w:cs="Arial" w:eastAsia="Arial" w:hAnsi="Arial"/>
                <w:sz w:val="20"/>
                <w:szCs w:val="20"/>
                <w:b w:val="1"/>
                <w:bCs w:val="1"/>
                <w:color w:val="auto"/>
                <w:w w:val="99"/>
              </w:rPr>
              <w:t>Three months</w:t>
            </w:r>
          </w:p>
        </w:tc>
        <w:tc>
          <w:tcPr>
            <w:tcW w:w="160" w:type="dxa"/>
            <w:vAlign w:val="bottom"/>
          </w:tcPr>
          <w:p>
            <w:pPr>
              <w:spacing w:after="0"/>
              <w:rPr>
                <w:sz w:val="19"/>
                <w:szCs w:val="19"/>
                <w:color w:val="auto"/>
              </w:rPr>
            </w:pPr>
          </w:p>
        </w:tc>
        <w:tc>
          <w:tcPr>
            <w:tcW w:w="1920" w:type="dxa"/>
            <w:vAlign w:val="bottom"/>
            <w:gridSpan w:val="2"/>
          </w:tcPr>
          <w:p>
            <w:pPr>
              <w:jc w:val="center"/>
              <w:ind w:right="500"/>
              <w:spacing w:after="0"/>
              <w:rPr>
                <w:sz w:val="20"/>
                <w:szCs w:val="20"/>
                <w:color w:val="auto"/>
              </w:rPr>
            </w:pPr>
            <w:r>
              <w:rPr>
                <w:rFonts w:ascii="Arial" w:cs="Arial" w:eastAsia="Arial" w:hAnsi="Arial"/>
                <w:sz w:val="20"/>
                <w:szCs w:val="20"/>
                <w:b w:val="1"/>
                <w:bCs w:val="1"/>
                <w:color w:val="auto"/>
                <w:w w:val="98"/>
              </w:rPr>
              <w:t>Three months</w:t>
            </w:r>
          </w:p>
        </w:tc>
        <w:tc>
          <w:tcPr>
            <w:tcW w:w="160" w:type="dxa"/>
            <w:vAlign w:val="bottom"/>
          </w:tcPr>
          <w:p>
            <w:pPr>
              <w:spacing w:after="0"/>
              <w:rPr>
                <w:sz w:val="19"/>
                <w:szCs w:val="19"/>
                <w:color w:val="auto"/>
              </w:rPr>
            </w:pPr>
          </w:p>
        </w:tc>
        <w:tc>
          <w:tcPr>
            <w:tcW w:w="1920" w:type="dxa"/>
            <w:vAlign w:val="bottom"/>
            <w:gridSpan w:val="3"/>
          </w:tcPr>
          <w:p>
            <w:pPr>
              <w:jc w:val="center"/>
              <w:ind w:right="480"/>
              <w:spacing w:after="0"/>
              <w:rPr>
                <w:sz w:val="20"/>
                <w:szCs w:val="20"/>
                <w:color w:val="auto"/>
              </w:rPr>
            </w:pPr>
            <w:r>
              <w:rPr>
                <w:rFonts w:ascii="Arial" w:cs="Arial" w:eastAsia="Arial" w:hAnsi="Arial"/>
                <w:sz w:val="20"/>
                <w:szCs w:val="20"/>
                <w:b w:val="1"/>
                <w:bCs w:val="1"/>
                <w:color w:val="auto"/>
                <w:w w:val="99"/>
              </w:rPr>
              <w:t>Nine months</w:t>
            </w:r>
          </w:p>
        </w:tc>
        <w:tc>
          <w:tcPr>
            <w:tcW w:w="160" w:type="dxa"/>
            <w:vAlign w:val="bottom"/>
          </w:tcPr>
          <w:p>
            <w:pPr>
              <w:spacing w:after="0"/>
              <w:rPr>
                <w:sz w:val="19"/>
                <w:szCs w:val="19"/>
                <w:color w:val="auto"/>
              </w:rPr>
            </w:pPr>
          </w:p>
        </w:tc>
        <w:tc>
          <w:tcPr>
            <w:tcW w:w="1720" w:type="dxa"/>
            <w:vAlign w:val="bottom"/>
            <w:gridSpan w:val="2"/>
          </w:tcPr>
          <w:p>
            <w:pPr>
              <w:jc w:val="center"/>
              <w:ind w:right="280"/>
              <w:spacing w:after="0"/>
              <w:rPr>
                <w:sz w:val="20"/>
                <w:szCs w:val="20"/>
                <w:color w:val="auto"/>
              </w:rPr>
            </w:pPr>
            <w:r>
              <w:rPr>
                <w:rFonts w:ascii="Arial" w:cs="Arial" w:eastAsia="Arial" w:hAnsi="Arial"/>
                <w:sz w:val="20"/>
                <w:szCs w:val="20"/>
                <w:b w:val="1"/>
                <w:bCs w:val="1"/>
                <w:color w:val="auto"/>
                <w:w w:val="99"/>
              </w:rPr>
              <w:t>Nine months</w:t>
            </w:r>
          </w:p>
        </w:tc>
        <w:tc>
          <w:tcPr>
            <w:tcW w:w="0" w:type="dxa"/>
            <w:vAlign w:val="bottom"/>
          </w:tcPr>
          <w:p>
            <w:pPr>
              <w:spacing w:after="0"/>
              <w:rPr>
                <w:sz w:val="1"/>
                <w:szCs w:val="1"/>
                <w:color w:val="auto"/>
              </w:rPr>
            </w:pPr>
          </w:p>
        </w:tc>
      </w:tr>
      <w:tr>
        <w:trPr>
          <w:trHeight w:val="216"/>
        </w:trPr>
        <w:tc>
          <w:tcPr>
            <w:tcW w:w="3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20" w:type="dxa"/>
            <w:vAlign w:val="bottom"/>
            <w:gridSpan w:val="3"/>
          </w:tcPr>
          <w:p>
            <w:pPr>
              <w:jc w:val="center"/>
              <w:ind w:right="420"/>
              <w:spacing w:after="0" w:line="216" w:lineRule="exact"/>
              <w:rPr>
                <w:sz w:val="20"/>
                <w:szCs w:val="20"/>
                <w:color w:val="auto"/>
              </w:rPr>
            </w:pPr>
            <w:r>
              <w:rPr>
                <w:rFonts w:ascii="Arial" w:cs="Arial" w:eastAsia="Arial" w:hAnsi="Arial"/>
                <w:sz w:val="20"/>
                <w:szCs w:val="20"/>
                <w:b w:val="1"/>
                <w:bCs w:val="1"/>
                <w:color w:val="auto"/>
                <w:w w:val="98"/>
              </w:rPr>
              <w:t>ended</w:t>
            </w:r>
          </w:p>
        </w:tc>
        <w:tc>
          <w:tcPr>
            <w:tcW w:w="160" w:type="dxa"/>
            <w:vAlign w:val="bottom"/>
          </w:tcPr>
          <w:p>
            <w:pPr>
              <w:spacing w:after="0"/>
              <w:rPr>
                <w:sz w:val="18"/>
                <w:szCs w:val="18"/>
                <w:color w:val="auto"/>
              </w:rPr>
            </w:pPr>
          </w:p>
        </w:tc>
        <w:tc>
          <w:tcPr>
            <w:tcW w:w="1920" w:type="dxa"/>
            <w:vAlign w:val="bottom"/>
            <w:gridSpan w:val="2"/>
          </w:tcPr>
          <w:p>
            <w:pPr>
              <w:jc w:val="center"/>
              <w:ind w:right="420"/>
              <w:spacing w:after="0" w:line="216" w:lineRule="exact"/>
              <w:rPr>
                <w:sz w:val="20"/>
                <w:szCs w:val="20"/>
                <w:color w:val="auto"/>
              </w:rPr>
            </w:pPr>
            <w:r>
              <w:rPr>
                <w:rFonts w:ascii="Arial" w:cs="Arial" w:eastAsia="Arial" w:hAnsi="Arial"/>
                <w:sz w:val="20"/>
                <w:szCs w:val="20"/>
                <w:b w:val="1"/>
                <w:bCs w:val="1"/>
                <w:color w:val="auto"/>
                <w:w w:val="98"/>
              </w:rPr>
              <w:t>ended</w:t>
            </w:r>
          </w:p>
        </w:tc>
        <w:tc>
          <w:tcPr>
            <w:tcW w:w="160" w:type="dxa"/>
            <w:vAlign w:val="bottom"/>
          </w:tcPr>
          <w:p>
            <w:pPr>
              <w:spacing w:after="0"/>
              <w:rPr>
                <w:sz w:val="18"/>
                <w:szCs w:val="18"/>
                <w:color w:val="auto"/>
              </w:rPr>
            </w:pPr>
          </w:p>
        </w:tc>
        <w:tc>
          <w:tcPr>
            <w:tcW w:w="1920" w:type="dxa"/>
            <w:vAlign w:val="bottom"/>
            <w:gridSpan w:val="3"/>
          </w:tcPr>
          <w:p>
            <w:pPr>
              <w:jc w:val="center"/>
              <w:ind w:right="420"/>
              <w:spacing w:after="0" w:line="216" w:lineRule="exact"/>
              <w:rPr>
                <w:sz w:val="20"/>
                <w:szCs w:val="20"/>
                <w:color w:val="auto"/>
              </w:rPr>
            </w:pPr>
            <w:r>
              <w:rPr>
                <w:rFonts w:ascii="Arial" w:cs="Arial" w:eastAsia="Arial" w:hAnsi="Arial"/>
                <w:sz w:val="20"/>
                <w:szCs w:val="20"/>
                <w:b w:val="1"/>
                <w:bCs w:val="1"/>
                <w:color w:val="auto"/>
                <w:w w:val="98"/>
              </w:rPr>
              <w:t>ended</w:t>
            </w:r>
          </w:p>
        </w:tc>
        <w:tc>
          <w:tcPr>
            <w:tcW w:w="160" w:type="dxa"/>
            <w:vAlign w:val="bottom"/>
          </w:tcPr>
          <w:p>
            <w:pPr>
              <w:spacing w:after="0"/>
              <w:rPr>
                <w:sz w:val="18"/>
                <w:szCs w:val="18"/>
                <w:color w:val="auto"/>
              </w:rPr>
            </w:pPr>
          </w:p>
        </w:tc>
        <w:tc>
          <w:tcPr>
            <w:tcW w:w="1720" w:type="dxa"/>
            <w:vAlign w:val="bottom"/>
            <w:gridSpan w:val="2"/>
          </w:tcPr>
          <w:p>
            <w:pPr>
              <w:jc w:val="center"/>
              <w:ind w:right="240"/>
              <w:spacing w:after="0" w:line="216" w:lineRule="exact"/>
              <w:rPr>
                <w:sz w:val="20"/>
                <w:szCs w:val="20"/>
                <w:color w:val="auto"/>
              </w:rPr>
            </w:pPr>
            <w:r>
              <w:rPr>
                <w:rFonts w:ascii="Arial" w:cs="Arial" w:eastAsia="Arial" w:hAnsi="Arial"/>
                <w:sz w:val="20"/>
                <w:szCs w:val="20"/>
                <w:b w:val="1"/>
                <w:bCs w:val="1"/>
                <w:color w:val="auto"/>
              </w:rPr>
              <w:t>ended</w:t>
            </w:r>
          </w:p>
        </w:tc>
        <w:tc>
          <w:tcPr>
            <w:tcW w:w="0" w:type="dxa"/>
            <w:vAlign w:val="bottom"/>
          </w:tcPr>
          <w:p>
            <w:pPr>
              <w:spacing w:after="0"/>
              <w:rPr>
                <w:sz w:val="1"/>
                <w:szCs w:val="1"/>
                <w:color w:val="auto"/>
              </w:rPr>
            </w:pPr>
          </w:p>
        </w:tc>
      </w:tr>
      <w:tr>
        <w:trPr>
          <w:trHeight w:val="216"/>
        </w:trPr>
        <w:tc>
          <w:tcPr>
            <w:tcW w:w="3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20" w:type="dxa"/>
            <w:vAlign w:val="bottom"/>
            <w:gridSpan w:val="3"/>
          </w:tcPr>
          <w:p>
            <w:pPr>
              <w:jc w:val="center"/>
              <w:ind w:right="480"/>
              <w:spacing w:after="0" w:line="216" w:lineRule="exact"/>
              <w:rPr>
                <w:sz w:val="20"/>
                <w:szCs w:val="20"/>
                <w:color w:val="auto"/>
              </w:rPr>
            </w:pPr>
            <w:r>
              <w:rPr>
                <w:rFonts w:ascii="Arial" w:cs="Arial" w:eastAsia="Arial" w:hAnsi="Arial"/>
                <w:sz w:val="20"/>
                <w:szCs w:val="20"/>
                <w:b w:val="1"/>
                <w:bCs w:val="1"/>
                <w:color w:val="auto"/>
                <w:w w:val="99"/>
              </w:rPr>
              <w:t>September 30,</w:t>
            </w:r>
          </w:p>
        </w:tc>
        <w:tc>
          <w:tcPr>
            <w:tcW w:w="160" w:type="dxa"/>
            <w:vAlign w:val="bottom"/>
          </w:tcPr>
          <w:p>
            <w:pPr>
              <w:spacing w:after="0"/>
              <w:rPr>
                <w:sz w:val="18"/>
                <w:szCs w:val="18"/>
                <w:color w:val="auto"/>
              </w:rPr>
            </w:pPr>
          </w:p>
        </w:tc>
        <w:tc>
          <w:tcPr>
            <w:tcW w:w="1920" w:type="dxa"/>
            <w:vAlign w:val="bottom"/>
            <w:gridSpan w:val="2"/>
          </w:tcPr>
          <w:p>
            <w:pPr>
              <w:jc w:val="center"/>
              <w:ind w:right="480"/>
              <w:spacing w:after="0" w:line="216" w:lineRule="exact"/>
              <w:rPr>
                <w:sz w:val="20"/>
                <w:szCs w:val="20"/>
                <w:color w:val="auto"/>
              </w:rPr>
            </w:pPr>
            <w:r>
              <w:rPr>
                <w:rFonts w:ascii="Arial" w:cs="Arial" w:eastAsia="Arial" w:hAnsi="Arial"/>
                <w:sz w:val="20"/>
                <w:szCs w:val="20"/>
                <w:b w:val="1"/>
                <w:bCs w:val="1"/>
                <w:color w:val="auto"/>
                <w:w w:val="99"/>
              </w:rPr>
              <w:t>September 30,</w:t>
            </w:r>
          </w:p>
        </w:tc>
        <w:tc>
          <w:tcPr>
            <w:tcW w:w="160" w:type="dxa"/>
            <w:vAlign w:val="bottom"/>
          </w:tcPr>
          <w:p>
            <w:pPr>
              <w:spacing w:after="0"/>
              <w:rPr>
                <w:sz w:val="18"/>
                <w:szCs w:val="18"/>
                <w:color w:val="auto"/>
              </w:rPr>
            </w:pPr>
          </w:p>
        </w:tc>
        <w:tc>
          <w:tcPr>
            <w:tcW w:w="1920" w:type="dxa"/>
            <w:vAlign w:val="bottom"/>
            <w:gridSpan w:val="3"/>
          </w:tcPr>
          <w:p>
            <w:pPr>
              <w:jc w:val="center"/>
              <w:ind w:right="480"/>
              <w:spacing w:after="0" w:line="216" w:lineRule="exact"/>
              <w:rPr>
                <w:sz w:val="20"/>
                <w:szCs w:val="20"/>
                <w:color w:val="auto"/>
              </w:rPr>
            </w:pPr>
            <w:r>
              <w:rPr>
                <w:rFonts w:ascii="Arial" w:cs="Arial" w:eastAsia="Arial" w:hAnsi="Arial"/>
                <w:sz w:val="20"/>
                <w:szCs w:val="20"/>
                <w:b w:val="1"/>
                <w:bCs w:val="1"/>
                <w:color w:val="auto"/>
                <w:w w:val="99"/>
              </w:rPr>
              <w:t>September 30,</w:t>
            </w:r>
          </w:p>
        </w:tc>
        <w:tc>
          <w:tcPr>
            <w:tcW w:w="160" w:type="dxa"/>
            <w:vAlign w:val="bottom"/>
          </w:tcPr>
          <w:p>
            <w:pPr>
              <w:spacing w:after="0"/>
              <w:rPr>
                <w:sz w:val="18"/>
                <w:szCs w:val="18"/>
                <w:color w:val="auto"/>
              </w:rPr>
            </w:pPr>
          </w:p>
        </w:tc>
        <w:tc>
          <w:tcPr>
            <w:tcW w:w="1720" w:type="dxa"/>
            <w:vAlign w:val="bottom"/>
            <w:gridSpan w:val="2"/>
          </w:tcPr>
          <w:p>
            <w:pPr>
              <w:jc w:val="center"/>
              <w:ind w:right="280"/>
              <w:spacing w:after="0" w:line="216" w:lineRule="exact"/>
              <w:rPr>
                <w:sz w:val="20"/>
                <w:szCs w:val="20"/>
                <w:color w:val="auto"/>
              </w:rPr>
            </w:pPr>
            <w:r>
              <w:rPr>
                <w:rFonts w:ascii="Arial" w:cs="Arial" w:eastAsia="Arial" w:hAnsi="Arial"/>
                <w:sz w:val="20"/>
                <w:szCs w:val="20"/>
                <w:b w:val="1"/>
                <w:bCs w:val="1"/>
                <w:color w:val="auto"/>
                <w:w w:val="99"/>
              </w:rPr>
              <w:t>September 30,</w:t>
            </w:r>
          </w:p>
        </w:tc>
        <w:tc>
          <w:tcPr>
            <w:tcW w:w="0" w:type="dxa"/>
            <w:vAlign w:val="bottom"/>
          </w:tcPr>
          <w:p>
            <w:pPr>
              <w:spacing w:after="0"/>
              <w:rPr>
                <w:sz w:val="1"/>
                <w:szCs w:val="1"/>
                <w:color w:val="auto"/>
              </w:rPr>
            </w:pPr>
          </w:p>
        </w:tc>
      </w:tr>
      <w:tr>
        <w:trPr>
          <w:trHeight w:val="240"/>
        </w:trPr>
        <w:tc>
          <w:tcPr>
            <w:tcW w:w="3080" w:type="dxa"/>
            <w:vAlign w:val="bottom"/>
            <w:vMerge w:val="restart"/>
          </w:tcPr>
          <w:p>
            <w:pPr>
              <w:spacing w:after="0"/>
              <w:rPr>
                <w:sz w:val="20"/>
                <w:szCs w:val="20"/>
                <w:color w:val="auto"/>
              </w:rPr>
            </w:pPr>
            <w:r>
              <w:rPr>
                <w:rFonts w:ascii="Arial" w:cs="Arial" w:eastAsia="Arial" w:hAnsi="Arial"/>
                <w:sz w:val="22"/>
                <w:szCs w:val="22"/>
                <w:b w:val="1"/>
                <w:bCs w:val="1"/>
                <w:color w:val="auto"/>
              </w:rPr>
              <w:t>Expenses:</w:t>
            </w:r>
          </w:p>
        </w:tc>
        <w:tc>
          <w:tcPr>
            <w:tcW w:w="1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center"/>
              <w:ind w:right="75"/>
              <w:spacing w:after="0"/>
              <w:rPr>
                <w:sz w:val="20"/>
                <w:szCs w:val="20"/>
                <w:color w:val="auto"/>
              </w:rPr>
            </w:pPr>
            <w:r>
              <w:rPr>
                <w:rFonts w:ascii="Arial" w:cs="Arial" w:eastAsia="Arial" w:hAnsi="Arial"/>
                <w:sz w:val="20"/>
                <w:szCs w:val="20"/>
                <w:b w:val="1"/>
                <w:bCs w:val="1"/>
                <w:color w:val="auto"/>
                <w:w w:val="98"/>
              </w:rPr>
              <w:t>2025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center"/>
              <w:ind w:right="75"/>
              <w:spacing w:after="0"/>
              <w:rPr>
                <w:sz w:val="20"/>
                <w:szCs w:val="20"/>
                <w:color w:val="auto"/>
              </w:rPr>
            </w:pPr>
            <w:r>
              <w:rPr>
                <w:rFonts w:ascii="Arial" w:cs="Arial" w:eastAsia="Arial" w:hAnsi="Arial"/>
                <w:sz w:val="20"/>
                <w:szCs w:val="20"/>
                <w:b w:val="1"/>
                <w:bCs w:val="1"/>
                <w:color w:val="auto"/>
                <w:w w:val="98"/>
              </w:rPr>
              <w:t>2024</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center"/>
              <w:ind w:right="75"/>
              <w:spacing w:after="0"/>
              <w:rPr>
                <w:sz w:val="20"/>
                <w:szCs w:val="20"/>
                <w:color w:val="auto"/>
              </w:rPr>
            </w:pPr>
            <w:r>
              <w:rPr>
                <w:rFonts w:ascii="Arial" w:cs="Arial" w:eastAsia="Arial" w:hAnsi="Arial"/>
                <w:sz w:val="20"/>
                <w:szCs w:val="20"/>
                <w:b w:val="1"/>
                <w:bCs w:val="1"/>
                <w:color w:val="auto"/>
                <w:w w:val="98"/>
              </w:rPr>
              <w:t>2025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center"/>
              <w:ind w:right="75"/>
              <w:spacing w:after="0"/>
              <w:rPr>
                <w:sz w:val="20"/>
                <w:szCs w:val="20"/>
                <w:color w:val="auto"/>
              </w:rPr>
            </w:pPr>
            <w:r>
              <w:rPr>
                <w:rFonts w:ascii="Arial" w:cs="Arial" w:eastAsia="Arial" w:hAnsi="Arial"/>
                <w:sz w:val="20"/>
                <w:szCs w:val="20"/>
                <w:b w:val="1"/>
                <w:bCs w:val="1"/>
                <w:color w:val="auto"/>
                <w:w w:val="98"/>
              </w:rPr>
              <w:t>2024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0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080" w:type="dxa"/>
            <w:vAlign w:val="bottom"/>
          </w:tcPr>
          <w:p>
            <w:pPr>
              <w:ind w:left="40"/>
              <w:spacing w:after="0" w:line="243" w:lineRule="exact"/>
              <w:rPr>
                <w:sz w:val="20"/>
                <w:szCs w:val="20"/>
                <w:color w:val="auto"/>
              </w:rPr>
            </w:pPr>
            <w:r>
              <w:rPr>
                <w:rFonts w:ascii="Arial" w:cs="Arial" w:eastAsia="Arial" w:hAnsi="Arial"/>
                <w:sz w:val="22"/>
                <w:szCs w:val="22"/>
                <w:color w:val="auto"/>
              </w:rPr>
              <w:t>Research and development</w:t>
            </w:r>
          </w:p>
        </w:tc>
        <w:tc>
          <w:tcPr>
            <w:tcW w:w="160" w:type="dxa"/>
            <w:vAlign w:val="bottom"/>
          </w:tcPr>
          <w:p>
            <w:pPr>
              <w:jc w:val="right"/>
              <w:spacing w:after="0" w:line="243" w:lineRule="exact"/>
              <w:rPr>
                <w:sz w:val="20"/>
                <w:szCs w:val="20"/>
                <w:color w:val="auto"/>
              </w:rPr>
            </w:pPr>
            <w:r>
              <w:rPr>
                <w:rFonts w:ascii="Arial" w:cs="Arial" w:eastAsia="Arial" w:hAnsi="Arial"/>
                <w:sz w:val="22"/>
                <w:szCs w:val="22"/>
                <w:color w:val="auto"/>
                <w:w w:val="81"/>
              </w:rPr>
              <w:t>$</w:t>
            </w:r>
          </w:p>
        </w:tc>
        <w:tc>
          <w:tcPr>
            <w:tcW w:w="1660" w:type="dxa"/>
            <w:vAlign w:val="bottom"/>
          </w:tcPr>
          <w:p>
            <w:pPr>
              <w:jc w:val="right"/>
              <w:spacing w:after="0" w:line="243" w:lineRule="exact"/>
              <w:rPr>
                <w:sz w:val="20"/>
                <w:szCs w:val="20"/>
                <w:color w:val="auto"/>
              </w:rPr>
            </w:pPr>
            <w:r>
              <w:rPr>
                <w:rFonts w:ascii="Arial" w:cs="Arial" w:eastAsia="Arial" w:hAnsi="Arial"/>
                <w:sz w:val="22"/>
                <w:szCs w:val="22"/>
                <w:color w:val="auto"/>
              </w:rPr>
              <w:t>570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jc w:val="right"/>
              <w:spacing w:after="0" w:line="243" w:lineRule="exact"/>
              <w:rPr>
                <w:sz w:val="20"/>
                <w:szCs w:val="20"/>
                <w:color w:val="auto"/>
              </w:rPr>
            </w:pPr>
            <w:r>
              <w:rPr>
                <w:rFonts w:ascii="Arial" w:cs="Arial" w:eastAsia="Arial" w:hAnsi="Arial"/>
                <w:sz w:val="22"/>
                <w:szCs w:val="22"/>
                <w:color w:val="auto"/>
                <w:w w:val="81"/>
              </w:rPr>
              <w:t>$</w:t>
            </w:r>
          </w:p>
        </w:tc>
        <w:tc>
          <w:tcPr>
            <w:tcW w:w="1660" w:type="dxa"/>
            <w:vAlign w:val="bottom"/>
          </w:tcPr>
          <w:p>
            <w:pPr>
              <w:jc w:val="right"/>
              <w:spacing w:after="0" w:line="243" w:lineRule="exact"/>
              <w:rPr>
                <w:sz w:val="20"/>
                <w:szCs w:val="20"/>
                <w:color w:val="auto"/>
              </w:rPr>
            </w:pPr>
            <w:r>
              <w:rPr>
                <w:rFonts w:ascii="Arial" w:cs="Arial" w:eastAsia="Arial" w:hAnsi="Arial"/>
                <w:sz w:val="22"/>
                <w:szCs w:val="22"/>
                <w:color w:val="auto"/>
              </w:rPr>
              <w:t>7,557</w:t>
            </w:r>
          </w:p>
        </w:tc>
        <w:tc>
          <w:tcPr>
            <w:tcW w:w="260" w:type="dxa"/>
            <w:vAlign w:val="bottom"/>
          </w:tcPr>
          <w:p>
            <w:pPr>
              <w:spacing w:after="0"/>
              <w:rPr>
                <w:sz w:val="21"/>
                <w:szCs w:val="21"/>
                <w:color w:val="auto"/>
              </w:rPr>
            </w:pPr>
          </w:p>
        </w:tc>
        <w:tc>
          <w:tcPr>
            <w:tcW w:w="160" w:type="dxa"/>
            <w:vAlign w:val="bottom"/>
          </w:tcPr>
          <w:p>
            <w:pPr>
              <w:jc w:val="right"/>
              <w:spacing w:after="0" w:line="243" w:lineRule="exact"/>
              <w:rPr>
                <w:sz w:val="20"/>
                <w:szCs w:val="20"/>
                <w:color w:val="auto"/>
              </w:rPr>
            </w:pPr>
            <w:r>
              <w:rPr>
                <w:rFonts w:ascii="Arial" w:cs="Arial" w:eastAsia="Arial" w:hAnsi="Arial"/>
                <w:sz w:val="22"/>
                <w:szCs w:val="22"/>
                <w:color w:val="auto"/>
                <w:w w:val="81"/>
              </w:rPr>
              <w:t>$</w:t>
            </w:r>
          </w:p>
        </w:tc>
        <w:tc>
          <w:tcPr>
            <w:tcW w:w="1660" w:type="dxa"/>
            <w:vAlign w:val="bottom"/>
          </w:tcPr>
          <w:p>
            <w:pPr>
              <w:jc w:val="right"/>
              <w:spacing w:after="0" w:line="243" w:lineRule="exact"/>
              <w:rPr>
                <w:sz w:val="20"/>
                <w:szCs w:val="20"/>
                <w:color w:val="auto"/>
              </w:rPr>
            </w:pPr>
            <w:r>
              <w:rPr>
                <w:rFonts w:ascii="Arial" w:cs="Arial" w:eastAsia="Arial" w:hAnsi="Arial"/>
                <w:sz w:val="22"/>
                <w:szCs w:val="22"/>
                <w:color w:val="auto"/>
              </w:rPr>
              <w:t>12,067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jc w:val="right"/>
              <w:spacing w:after="0" w:line="243" w:lineRule="exact"/>
              <w:rPr>
                <w:sz w:val="20"/>
                <w:szCs w:val="20"/>
                <w:color w:val="auto"/>
              </w:rPr>
            </w:pPr>
            <w:r>
              <w:rPr>
                <w:rFonts w:ascii="Arial" w:cs="Arial" w:eastAsia="Arial" w:hAnsi="Arial"/>
                <w:sz w:val="22"/>
                <w:szCs w:val="22"/>
                <w:color w:val="auto"/>
                <w:w w:val="81"/>
              </w:rPr>
              <w:t>$</w:t>
            </w:r>
          </w:p>
        </w:tc>
        <w:tc>
          <w:tcPr>
            <w:tcW w:w="1660" w:type="dxa"/>
            <w:vAlign w:val="bottom"/>
          </w:tcPr>
          <w:p>
            <w:pPr>
              <w:jc w:val="right"/>
              <w:spacing w:after="0" w:line="243" w:lineRule="exact"/>
              <w:rPr>
                <w:sz w:val="20"/>
                <w:szCs w:val="20"/>
                <w:color w:val="auto"/>
              </w:rPr>
            </w:pPr>
            <w:r>
              <w:rPr>
                <w:rFonts w:ascii="Arial" w:cs="Arial" w:eastAsia="Arial" w:hAnsi="Arial"/>
                <w:sz w:val="22"/>
                <w:szCs w:val="22"/>
                <w:color w:val="auto"/>
              </w:rPr>
              <w:t>17,734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3080" w:type="dxa"/>
            <w:vAlign w:val="bottom"/>
          </w:tcPr>
          <w:p>
            <w:pPr>
              <w:ind w:left="40"/>
              <w:spacing w:after="0"/>
              <w:rPr>
                <w:sz w:val="20"/>
                <w:szCs w:val="20"/>
                <w:color w:val="auto"/>
              </w:rPr>
            </w:pPr>
            <w:r>
              <w:rPr>
                <w:rFonts w:ascii="Arial" w:cs="Arial" w:eastAsia="Arial" w:hAnsi="Arial"/>
                <w:sz w:val="22"/>
                <w:szCs w:val="22"/>
                <w:color w:val="auto"/>
              </w:rPr>
              <w:t>General and administrative</w:t>
            </w:r>
          </w:p>
        </w:tc>
        <w:tc>
          <w:tcPr>
            <w:tcW w:w="16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3,027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2,994</w:t>
            </w:r>
          </w:p>
        </w:tc>
        <w:tc>
          <w:tcPr>
            <w:tcW w:w="2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10,431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10,374</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0"/>
        </w:trPr>
        <w:tc>
          <w:tcPr>
            <w:tcW w:w="3080" w:type="dxa"/>
            <w:vAlign w:val="bottom"/>
          </w:tcPr>
          <w:p>
            <w:pPr>
              <w:spacing w:after="0"/>
              <w:rPr>
                <w:sz w:val="20"/>
                <w:szCs w:val="20"/>
                <w:color w:val="auto"/>
              </w:rPr>
            </w:pPr>
            <w:r>
              <w:rPr>
                <w:rFonts w:ascii="Arial" w:cs="Arial" w:eastAsia="Arial" w:hAnsi="Arial"/>
                <w:sz w:val="22"/>
                <w:szCs w:val="22"/>
                <w:b w:val="1"/>
                <w:bCs w:val="1"/>
                <w:color w:val="auto"/>
              </w:rPr>
              <w:t>Operating loss</w:t>
            </w:r>
          </w:p>
        </w:tc>
        <w:tc>
          <w:tcPr>
            <w:tcW w:w="160" w:type="dxa"/>
            <w:vAlign w:val="bottom"/>
          </w:tcPr>
          <w:p>
            <w:pPr>
              <w:spacing w:after="0"/>
              <w:rPr>
                <w:sz w:val="24"/>
                <w:szCs w:val="24"/>
                <w:color w:val="auto"/>
              </w:rPr>
            </w:pPr>
          </w:p>
        </w:tc>
        <w:tc>
          <w:tcPr>
            <w:tcW w:w="1760" w:type="dxa"/>
            <w:vAlign w:val="bottom"/>
            <w:gridSpan w:val="2"/>
          </w:tcPr>
          <w:p>
            <w:pPr>
              <w:jc w:val="right"/>
              <w:ind w:right="40"/>
              <w:spacing w:after="0"/>
              <w:rPr>
                <w:sz w:val="20"/>
                <w:szCs w:val="20"/>
                <w:color w:val="auto"/>
              </w:rPr>
            </w:pPr>
            <w:r>
              <w:rPr>
                <w:rFonts w:ascii="Arial" w:cs="Arial" w:eastAsia="Arial" w:hAnsi="Arial"/>
                <w:sz w:val="22"/>
                <w:szCs w:val="22"/>
                <w:color w:val="auto"/>
              </w:rPr>
              <w:t>(3,597)</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20" w:type="dxa"/>
            <w:vAlign w:val="bottom"/>
            <w:gridSpan w:val="2"/>
          </w:tcPr>
          <w:p>
            <w:pPr>
              <w:jc w:val="right"/>
              <w:ind w:right="200"/>
              <w:spacing w:after="0"/>
              <w:rPr>
                <w:sz w:val="20"/>
                <w:szCs w:val="20"/>
                <w:color w:val="auto"/>
              </w:rPr>
            </w:pPr>
            <w:r>
              <w:rPr>
                <w:rFonts w:ascii="Arial" w:cs="Arial" w:eastAsia="Arial" w:hAnsi="Arial"/>
                <w:sz w:val="22"/>
                <w:szCs w:val="22"/>
                <w:color w:val="auto"/>
              </w:rPr>
              <w:t>(10,551)</w:t>
            </w:r>
          </w:p>
        </w:tc>
        <w:tc>
          <w:tcPr>
            <w:tcW w:w="160" w:type="dxa"/>
            <w:vAlign w:val="bottom"/>
          </w:tcPr>
          <w:p>
            <w:pPr>
              <w:spacing w:after="0"/>
              <w:rPr>
                <w:sz w:val="24"/>
                <w:szCs w:val="24"/>
                <w:color w:val="auto"/>
              </w:rPr>
            </w:pPr>
          </w:p>
        </w:tc>
        <w:tc>
          <w:tcPr>
            <w:tcW w:w="1760" w:type="dxa"/>
            <w:vAlign w:val="bottom"/>
            <w:gridSpan w:val="2"/>
          </w:tcPr>
          <w:p>
            <w:pPr>
              <w:jc w:val="right"/>
              <w:ind w:right="40"/>
              <w:spacing w:after="0"/>
              <w:rPr>
                <w:sz w:val="20"/>
                <w:szCs w:val="20"/>
                <w:color w:val="auto"/>
              </w:rPr>
            </w:pPr>
            <w:r>
              <w:rPr>
                <w:rFonts w:ascii="Arial" w:cs="Arial" w:eastAsia="Arial" w:hAnsi="Arial"/>
                <w:sz w:val="22"/>
                <w:szCs w:val="22"/>
                <w:color w:val="auto"/>
              </w:rPr>
              <w:t>(22,498)</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gridSpan w:val="2"/>
          </w:tcPr>
          <w:p>
            <w:pPr>
              <w:jc w:val="right"/>
              <w:spacing w:after="0"/>
              <w:rPr>
                <w:sz w:val="20"/>
                <w:szCs w:val="20"/>
                <w:color w:val="auto"/>
              </w:rPr>
            </w:pPr>
            <w:r>
              <w:rPr>
                <w:rFonts w:ascii="Arial" w:cs="Arial" w:eastAsia="Arial" w:hAnsi="Arial"/>
                <w:sz w:val="22"/>
                <w:szCs w:val="22"/>
                <w:color w:val="auto"/>
              </w:rPr>
              <w:t>(28,108)</w:t>
            </w:r>
          </w:p>
        </w:tc>
        <w:tc>
          <w:tcPr>
            <w:tcW w:w="0" w:type="dxa"/>
            <w:vAlign w:val="bottom"/>
          </w:tcPr>
          <w:p>
            <w:pPr>
              <w:spacing w:after="0"/>
              <w:rPr>
                <w:sz w:val="1"/>
                <w:szCs w:val="1"/>
                <w:color w:val="auto"/>
              </w:rPr>
            </w:pPr>
          </w:p>
        </w:tc>
      </w:tr>
      <w:tr>
        <w:trPr>
          <w:trHeight w:val="453"/>
        </w:trPr>
        <w:tc>
          <w:tcPr>
            <w:tcW w:w="3080" w:type="dxa"/>
            <w:vAlign w:val="bottom"/>
          </w:tcPr>
          <w:p>
            <w:pPr>
              <w:spacing w:after="0"/>
              <w:rPr>
                <w:sz w:val="20"/>
                <w:szCs w:val="20"/>
                <w:color w:val="auto"/>
              </w:rPr>
            </w:pPr>
            <w:r>
              <w:rPr>
                <w:rFonts w:ascii="Arial" w:cs="Arial" w:eastAsia="Arial" w:hAnsi="Arial"/>
                <w:sz w:val="22"/>
                <w:szCs w:val="22"/>
                <w:b w:val="1"/>
                <w:bCs w:val="1"/>
                <w:color w:val="auto"/>
              </w:rPr>
              <w:t>Other income (expense), net:</w:t>
            </w:r>
          </w:p>
        </w:tc>
        <w:tc>
          <w:tcPr>
            <w:tcW w:w="160" w:type="dxa"/>
            <w:vAlign w:val="bottom"/>
            <w:tcBorders>
              <w:top w:val="single" w:sz="8" w:color="auto"/>
            </w:tcBorders>
          </w:tcPr>
          <w:p>
            <w:pPr>
              <w:spacing w:after="0"/>
              <w:rPr>
                <w:sz w:val="24"/>
                <w:szCs w:val="24"/>
                <w:color w:val="auto"/>
              </w:rPr>
            </w:pPr>
          </w:p>
        </w:tc>
        <w:tc>
          <w:tcPr>
            <w:tcW w:w="1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66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6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080" w:type="dxa"/>
            <w:vAlign w:val="bottom"/>
          </w:tcPr>
          <w:p>
            <w:pPr>
              <w:ind w:left="40"/>
              <w:spacing w:after="0" w:line="243" w:lineRule="exact"/>
              <w:rPr>
                <w:sz w:val="20"/>
                <w:szCs w:val="20"/>
                <w:color w:val="auto"/>
              </w:rPr>
            </w:pPr>
            <w:r>
              <w:rPr>
                <w:rFonts w:ascii="Arial" w:cs="Arial" w:eastAsia="Arial" w:hAnsi="Arial"/>
                <w:sz w:val="22"/>
                <w:szCs w:val="22"/>
                <w:color w:val="auto"/>
              </w:rPr>
              <w:t>Interest expense</w:t>
            </w:r>
          </w:p>
        </w:tc>
        <w:tc>
          <w:tcPr>
            <w:tcW w:w="160" w:type="dxa"/>
            <w:vAlign w:val="bottom"/>
          </w:tcPr>
          <w:p>
            <w:pPr>
              <w:spacing w:after="0"/>
              <w:rPr>
                <w:sz w:val="21"/>
                <w:szCs w:val="21"/>
                <w:color w:val="auto"/>
              </w:rPr>
            </w:pPr>
          </w:p>
        </w:tc>
        <w:tc>
          <w:tcPr>
            <w:tcW w:w="166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20" w:type="dxa"/>
            <w:vAlign w:val="bottom"/>
            <w:gridSpan w:val="2"/>
          </w:tcPr>
          <w:p>
            <w:pPr>
              <w:jc w:val="right"/>
              <w:ind w:right="200"/>
              <w:spacing w:after="0" w:line="243" w:lineRule="exact"/>
              <w:rPr>
                <w:sz w:val="20"/>
                <w:szCs w:val="20"/>
                <w:color w:val="auto"/>
              </w:rPr>
            </w:pPr>
            <w:r>
              <w:rPr>
                <w:rFonts w:ascii="Arial" w:cs="Arial" w:eastAsia="Arial" w:hAnsi="Arial"/>
                <w:sz w:val="22"/>
                <w:szCs w:val="22"/>
                <w:color w:val="auto"/>
              </w:rPr>
              <w:t>(329)</w:t>
            </w:r>
          </w:p>
        </w:tc>
        <w:tc>
          <w:tcPr>
            <w:tcW w:w="160" w:type="dxa"/>
            <w:vAlign w:val="bottom"/>
          </w:tcPr>
          <w:p>
            <w:pPr>
              <w:spacing w:after="0"/>
              <w:rPr>
                <w:sz w:val="21"/>
                <w:szCs w:val="21"/>
                <w:color w:val="auto"/>
              </w:rPr>
            </w:pPr>
          </w:p>
        </w:tc>
        <w:tc>
          <w:tcPr>
            <w:tcW w:w="176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(207)</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(1,069)</w:t>
            </w:r>
          </w:p>
        </w:tc>
        <w:tc>
          <w:tcPr>
            <w:tcW w:w="0" w:type="dxa"/>
            <w:vAlign w:val="bottom"/>
          </w:tcPr>
          <w:p>
            <w:pPr>
              <w:spacing w:after="0"/>
              <w:rPr>
                <w:sz w:val="1"/>
                <w:szCs w:val="1"/>
                <w:color w:val="auto"/>
              </w:rPr>
            </w:pPr>
          </w:p>
        </w:tc>
      </w:tr>
      <w:tr>
        <w:trPr>
          <w:trHeight w:val="269"/>
        </w:trPr>
        <w:tc>
          <w:tcPr>
            <w:tcW w:w="3080" w:type="dxa"/>
            <w:vAlign w:val="bottom"/>
          </w:tcPr>
          <w:p>
            <w:pPr>
              <w:ind w:left="40"/>
              <w:spacing w:after="0"/>
              <w:rPr>
                <w:sz w:val="20"/>
                <w:szCs w:val="20"/>
                <w:color w:val="auto"/>
              </w:rPr>
            </w:pPr>
            <w:r>
              <w:rPr>
                <w:rFonts w:ascii="Arial" w:cs="Arial" w:eastAsia="Arial" w:hAnsi="Arial"/>
                <w:sz w:val="22"/>
                <w:szCs w:val="22"/>
                <w:color w:val="auto"/>
              </w:rPr>
              <w:t>Interest and other income, net</w:t>
            </w:r>
          </w:p>
        </w:tc>
        <w:tc>
          <w:tcPr>
            <w:tcW w:w="16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86</w:t>
            </w:r>
          </w:p>
        </w:tc>
        <w:tc>
          <w:tcPr>
            <w:tcW w:w="10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324</w:t>
            </w:r>
          </w:p>
        </w:tc>
        <w:tc>
          <w:tcPr>
            <w:tcW w:w="2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464</w:t>
            </w:r>
          </w:p>
        </w:tc>
        <w:tc>
          <w:tcPr>
            <w:tcW w:w="10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1,147</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0"/>
        </w:trPr>
        <w:tc>
          <w:tcPr>
            <w:tcW w:w="3080" w:type="dxa"/>
            <w:vAlign w:val="bottom"/>
          </w:tcPr>
          <w:p>
            <w:pPr>
              <w:spacing w:after="0"/>
              <w:rPr>
                <w:sz w:val="20"/>
                <w:szCs w:val="20"/>
                <w:color w:val="auto"/>
              </w:rPr>
            </w:pPr>
            <w:r>
              <w:rPr>
                <w:rFonts w:ascii="Arial" w:cs="Arial" w:eastAsia="Arial" w:hAnsi="Arial"/>
                <w:sz w:val="22"/>
                <w:szCs w:val="22"/>
                <w:b w:val="1"/>
                <w:bCs w:val="1"/>
                <w:color w:val="auto"/>
              </w:rPr>
              <w:t>Net loss</w:t>
            </w:r>
          </w:p>
        </w:tc>
        <w:tc>
          <w:tcPr>
            <w:tcW w:w="16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760" w:type="dxa"/>
            <w:vAlign w:val="bottom"/>
            <w:gridSpan w:val="2"/>
          </w:tcPr>
          <w:p>
            <w:pPr>
              <w:jc w:val="right"/>
              <w:ind w:right="40"/>
              <w:spacing w:after="0"/>
              <w:rPr>
                <w:sz w:val="20"/>
                <w:szCs w:val="20"/>
                <w:color w:val="auto"/>
              </w:rPr>
            </w:pPr>
            <w:r>
              <w:rPr>
                <w:rFonts w:ascii="Arial" w:cs="Arial" w:eastAsia="Arial" w:hAnsi="Arial"/>
                <w:sz w:val="22"/>
                <w:szCs w:val="22"/>
                <w:color w:val="auto"/>
              </w:rPr>
              <w:t>(3,511)</w:t>
            </w:r>
          </w:p>
        </w:tc>
        <w:tc>
          <w:tcPr>
            <w:tcW w:w="16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920" w:type="dxa"/>
            <w:vAlign w:val="bottom"/>
            <w:gridSpan w:val="2"/>
          </w:tcPr>
          <w:p>
            <w:pPr>
              <w:jc w:val="right"/>
              <w:ind w:right="200"/>
              <w:spacing w:after="0"/>
              <w:rPr>
                <w:sz w:val="20"/>
                <w:szCs w:val="20"/>
                <w:color w:val="auto"/>
              </w:rPr>
            </w:pPr>
            <w:r>
              <w:rPr>
                <w:rFonts w:ascii="Arial" w:cs="Arial" w:eastAsia="Arial" w:hAnsi="Arial"/>
                <w:sz w:val="22"/>
                <w:szCs w:val="22"/>
                <w:color w:val="auto"/>
              </w:rPr>
              <w:t>(10,556)</w:t>
            </w:r>
          </w:p>
        </w:tc>
        <w:tc>
          <w:tcPr>
            <w:tcW w:w="16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760" w:type="dxa"/>
            <w:vAlign w:val="bottom"/>
            <w:gridSpan w:val="2"/>
          </w:tcPr>
          <w:p>
            <w:pPr>
              <w:jc w:val="right"/>
              <w:ind w:right="40"/>
              <w:spacing w:after="0"/>
              <w:rPr>
                <w:sz w:val="20"/>
                <w:szCs w:val="20"/>
                <w:color w:val="auto"/>
              </w:rPr>
            </w:pPr>
            <w:r>
              <w:rPr>
                <w:rFonts w:ascii="Arial" w:cs="Arial" w:eastAsia="Arial" w:hAnsi="Arial"/>
                <w:sz w:val="22"/>
                <w:szCs w:val="22"/>
                <w:color w:val="auto"/>
              </w:rPr>
              <w:t>(22,241)</w:t>
            </w:r>
          </w:p>
        </w:tc>
        <w:tc>
          <w:tcPr>
            <w:tcW w:w="16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720" w:type="dxa"/>
            <w:vAlign w:val="bottom"/>
            <w:gridSpan w:val="2"/>
          </w:tcPr>
          <w:p>
            <w:pPr>
              <w:jc w:val="right"/>
              <w:spacing w:after="0"/>
              <w:rPr>
                <w:sz w:val="20"/>
                <w:szCs w:val="20"/>
                <w:color w:val="auto"/>
              </w:rPr>
            </w:pPr>
            <w:r>
              <w:rPr>
                <w:rFonts w:ascii="Arial" w:cs="Arial" w:eastAsia="Arial" w:hAnsi="Arial"/>
                <w:sz w:val="22"/>
                <w:szCs w:val="22"/>
                <w:color w:val="auto"/>
              </w:rPr>
              <w:t>(28,030)</w:t>
            </w:r>
          </w:p>
        </w:tc>
        <w:tc>
          <w:tcPr>
            <w:tcW w:w="0" w:type="dxa"/>
            <w:vAlign w:val="bottom"/>
          </w:tcPr>
          <w:p>
            <w:pPr>
              <w:spacing w:after="0"/>
              <w:rPr>
                <w:sz w:val="1"/>
                <w:szCs w:val="1"/>
                <w:color w:val="auto"/>
              </w:rPr>
            </w:pPr>
          </w:p>
        </w:tc>
      </w:tr>
      <w:tr>
        <w:trPr>
          <w:trHeight w:val="20"/>
        </w:trPr>
        <w:tc>
          <w:tcPr>
            <w:tcW w:w="3080" w:type="dxa"/>
            <w:vAlign w:val="bottom"/>
            <w:vMerge w:val="restart"/>
          </w:tcPr>
          <w:p>
            <w:pPr>
              <w:spacing w:after="0" w:line="263" w:lineRule="exact"/>
              <w:rPr>
                <w:sz w:val="20"/>
                <w:szCs w:val="20"/>
                <w:color w:val="auto"/>
              </w:rPr>
            </w:pPr>
            <w:r>
              <w:rPr>
                <w:rFonts w:ascii="Arial" w:cs="Arial" w:eastAsia="Arial" w:hAnsi="Arial"/>
                <w:sz w:val="22"/>
                <w:szCs w:val="22"/>
                <w:b w:val="1"/>
                <w:bCs w:val="1"/>
                <w:color w:val="auto"/>
              </w:rPr>
              <w:t>Net loss per share</w:t>
            </w:r>
            <w:r>
              <w:rPr>
                <w:rFonts w:ascii="Arial" w:cs="Arial" w:eastAsia="Arial" w:hAnsi="Arial"/>
                <w:sz w:val="28"/>
                <w:szCs w:val="28"/>
                <w:b w:val="1"/>
                <w:bCs w:val="1"/>
                <w:color w:val="auto"/>
                <w:vertAlign w:val="superscript"/>
              </w:rPr>
              <w:t>(1)</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080" w:type="dxa"/>
            <w:vAlign w:val="bottom"/>
            <w:vMerge w:val="continue"/>
          </w:tcPr>
          <w:p>
            <w:pPr>
              <w:spacing w:after="0"/>
              <w:rPr>
                <w:sz w:val="19"/>
                <w:szCs w:val="19"/>
                <w:color w:val="auto"/>
              </w:rPr>
            </w:pPr>
          </w:p>
        </w:tc>
        <w:tc>
          <w:tcPr>
            <w:tcW w:w="160" w:type="dxa"/>
            <w:vAlign w:val="bottom"/>
            <w:tcBorders>
              <w:bottom w:val="single" w:sz="8" w:color="auto"/>
            </w:tcBorders>
          </w:tcPr>
          <w:p>
            <w:pPr>
              <w:jc w:val="right"/>
              <w:spacing w:after="0" w:line="224" w:lineRule="exact"/>
              <w:rPr>
                <w:sz w:val="20"/>
                <w:szCs w:val="20"/>
                <w:color w:val="auto"/>
              </w:rPr>
            </w:pPr>
            <w:r>
              <w:rPr>
                <w:rFonts w:ascii="Arial" w:cs="Arial" w:eastAsia="Arial" w:hAnsi="Arial"/>
                <w:sz w:val="22"/>
                <w:szCs w:val="22"/>
                <w:color w:val="auto"/>
                <w:w w:val="81"/>
              </w:rPr>
              <w:t>$</w:t>
            </w:r>
          </w:p>
        </w:tc>
        <w:tc>
          <w:tcPr>
            <w:tcW w:w="1660" w:type="dxa"/>
            <w:vAlign w:val="bottom"/>
            <w:tcBorders>
              <w:bottom w:val="single" w:sz="8" w:color="auto"/>
            </w:tcBorders>
          </w:tcPr>
          <w:p>
            <w:pPr>
              <w:jc w:val="right"/>
              <w:spacing w:after="0" w:line="224" w:lineRule="exact"/>
              <w:rPr>
                <w:sz w:val="20"/>
                <w:szCs w:val="20"/>
                <w:color w:val="auto"/>
              </w:rPr>
            </w:pPr>
            <w:r>
              <w:rPr>
                <w:rFonts w:ascii="Arial" w:cs="Arial" w:eastAsia="Arial" w:hAnsi="Arial"/>
                <w:sz w:val="22"/>
                <w:szCs w:val="22"/>
                <w:color w:val="auto"/>
              </w:rPr>
              <w:t>(0.79)</w:t>
            </w:r>
          </w:p>
        </w:tc>
        <w:tc>
          <w:tcPr>
            <w:tcW w:w="10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bottom w:val="single" w:sz="8" w:color="auto"/>
            </w:tcBorders>
          </w:tcPr>
          <w:p>
            <w:pPr>
              <w:jc w:val="right"/>
              <w:spacing w:after="0" w:line="224" w:lineRule="exact"/>
              <w:rPr>
                <w:sz w:val="20"/>
                <w:szCs w:val="20"/>
                <w:color w:val="auto"/>
              </w:rPr>
            </w:pPr>
            <w:r>
              <w:rPr>
                <w:rFonts w:ascii="Arial" w:cs="Arial" w:eastAsia="Arial" w:hAnsi="Arial"/>
                <w:sz w:val="22"/>
                <w:szCs w:val="22"/>
                <w:color w:val="auto"/>
                <w:w w:val="81"/>
              </w:rPr>
              <w:t>$</w:t>
            </w:r>
          </w:p>
        </w:tc>
        <w:tc>
          <w:tcPr>
            <w:tcW w:w="1660" w:type="dxa"/>
            <w:vAlign w:val="bottom"/>
            <w:tcBorders>
              <w:bottom w:val="single" w:sz="8" w:color="auto"/>
            </w:tcBorders>
          </w:tcPr>
          <w:p>
            <w:pPr>
              <w:jc w:val="right"/>
              <w:spacing w:after="0" w:line="224" w:lineRule="exact"/>
              <w:rPr>
                <w:sz w:val="20"/>
                <w:szCs w:val="20"/>
                <w:color w:val="auto"/>
              </w:rPr>
            </w:pPr>
            <w:r>
              <w:rPr>
                <w:rFonts w:ascii="Arial" w:cs="Arial" w:eastAsia="Arial" w:hAnsi="Arial"/>
                <w:sz w:val="22"/>
                <w:szCs w:val="22"/>
                <w:color w:val="auto"/>
              </w:rPr>
              <w:t>(5.32)</w:t>
            </w:r>
          </w:p>
        </w:tc>
        <w:tc>
          <w:tcPr>
            <w:tcW w:w="260" w:type="dxa"/>
            <w:vAlign w:val="bottom"/>
            <w:vMerge w:val="continue"/>
          </w:tcPr>
          <w:p>
            <w:pPr>
              <w:spacing w:after="0"/>
              <w:rPr>
                <w:sz w:val="19"/>
                <w:szCs w:val="19"/>
                <w:color w:val="auto"/>
              </w:rPr>
            </w:pPr>
          </w:p>
        </w:tc>
        <w:tc>
          <w:tcPr>
            <w:tcW w:w="160" w:type="dxa"/>
            <w:vAlign w:val="bottom"/>
            <w:tcBorders>
              <w:bottom w:val="single" w:sz="8" w:color="auto"/>
            </w:tcBorders>
          </w:tcPr>
          <w:p>
            <w:pPr>
              <w:jc w:val="right"/>
              <w:spacing w:after="0" w:line="224" w:lineRule="exact"/>
              <w:rPr>
                <w:sz w:val="20"/>
                <w:szCs w:val="20"/>
                <w:color w:val="auto"/>
              </w:rPr>
            </w:pPr>
            <w:r>
              <w:rPr>
                <w:rFonts w:ascii="Arial" w:cs="Arial" w:eastAsia="Arial" w:hAnsi="Arial"/>
                <w:sz w:val="22"/>
                <w:szCs w:val="22"/>
                <w:color w:val="auto"/>
                <w:w w:val="81"/>
              </w:rPr>
              <w:t>$</w:t>
            </w:r>
          </w:p>
        </w:tc>
        <w:tc>
          <w:tcPr>
            <w:tcW w:w="1660" w:type="dxa"/>
            <w:vAlign w:val="bottom"/>
            <w:tcBorders>
              <w:bottom w:val="single" w:sz="8" w:color="auto"/>
            </w:tcBorders>
          </w:tcPr>
          <w:p>
            <w:pPr>
              <w:jc w:val="right"/>
              <w:spacing w:after="0" w:line="224" w:lineRule="exact"/>
              <w:rPr>
                <w:sz w:val="20"/>
                <w:szCs w:val="20"/>
                <w:color w:val="auto"/>
              </w:rPr>
            </w:pPr>
            <w:r>
              <w:rPr>
                <w:rFonts w:ascii="Arial" w:cs="Arial" w:eastAsia="Arial" w:hAnsi="Arial"/>
                <w:sz w:val="22"/>
                <w:szCs w:val="22"/>
                <w:color w:val="auto"/>
              </w:rPr>
              <w:t>(5.71)</w:t>
            </w:r>
          </w:p>
        </w:tc>
        <w:tc>
          <w:tcPr>
            <w:tcW w:w="10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bottom w:val="single" w:sz="8" w:color="auto"/>
            </w:tcBorders>
          </w:tcPr>
          <w:p>
            <w:pPr>
              <w:jc w:val="right"/>
              <w:spacing w:after="0" w:line="224" w:lineRule="exact"/>
              <w:rPr>
                <w:sz w:val="20"/>
                <w:szCs w:val="20"/>
                <w:color w:val="auto"/>
              </w:rPr>
            </w:pPr>
            <w:r>
              <w:rPr>
                <w:rFonts w:ascii="Arial" w:cs="Arial" w:eastAsia="Arial" w:hAnsi="Arial"/>
                <w:sz w:val="22"/>
                <w:szCs w:val="22"/>
                <w:color w:val="auto"/>
                <w:w w:val="81"/>
              </w:rPr>
              <w:t>$</w:t>
            </w:r>
          </w:p>
        </w:tc>
        <w:tc>
          <w:tcPr>
            <w:tcW w:w="1660" w:type="dxa"/>
            <w:vAlign w:val="bottom"/>
            <w:tcBorders>
              <w:bottom w:val="single" w:sz="8" w:color="auto"/>
            </w:tcBorders>
          </w:tcPr>
          <w:p>
            <w:pPr>
              <w:jc w:val="right"/>
              <w:spacing w:after="0" w:line="224" w:lineRule="exact"/>
              <w:rPr>
                <w:sz w:val="20"/>
                <w:szCs w:val="20"/>
                <w:color w:val="auto"/>
              </w:rPr>
            </w:pPr>
            <w:r>
              <w:rPr>
                <w:rFonts w:ascii="Arial" w:cs="Arial" w:eastAsia="Arial" w:hAnsi="Arial"/>
                <w:sz w:val="22"/>
                <w:szCs w:val="22"/>
                <w:color w:val="auto"/>
              </w:rPr>
              <w:t>(15.48)</w:t>
            </w:r>
          </w:p>
        </w:tc>
        <w:tc>
          <w:tcPr>
            <w:tcW w:w="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200" w:hanging="192"/>
        <w:spacing w:after="0" w:line="199" w:lineRule="auto"/>
        <w:tabs>
          <w:tab w:leader="none" w:pos="200" w:val="left"/>
        </w:tabs>
        <w:numPr>
          <w:ilvl w:val="0"/>
          <w:numId w:val="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Results have been adjusted to reflect the one-for-thirteen reverse stock split effected in April 2025.</w:t>
      </w:r>
    </w:p>
    <w:p>
      <w:pPr>
        <w:spacing w:after="0" w:line="3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Investor Contacts:</w:t>
      </w:r>
    </w:p>
    <w:p>
      <w:pPr>
        <w:spacing w:after="0" w:line="127" w:lineRule="exact"/>
        <w:rPr>
          <w:sz w:val="20"/>
          <w:szCs w:val="20"/>
          <w:color w:val="auto"/>
        </w:rPr>
      </w:pPr>
    </w:p>
    <w:p>
      <w:pPr>
        <w:spacing w:after="0"/>
        <w:rPr>
          <w:sz w:val="20"/>
          <w:szCs w:val="20"/>
          <w:color w:val="auto"/>
        </w:rPr>
      </w:pPr>
      <w:r>
        <w:rPr>
          <w:rFonts w:ascii="Arial" w:cs="Arial" w:eastAsia="Arial" w:hAnsi="Arial"/>
          <w:sz w:val="22"/>
          <w:szCs w:val="22"/>
          <w:color w:val="auto"/>
        </w:rPr>
        <w:t>Sylvia Wheeler</w:t>
      </w:r>
    </w:p>
    <w:p>
      <w:pPr>
        <w:spacing w:after="0"/>
        <w:rPr>
          <w:sz w:val="20"/>
          <w:szCs w:val="20"/>
          <w:color w:val="auto"/>
        </w:rPr>
      </w:pPr>
      <w:r>
        <w:rPr>
          <w:rFonts w:ascii="Arial" w:cs="Arial" w:eastAsia="Arial" w:hAnsi="Arial"/>
          <w:sz w:val="22"/>
          <w:szCs w:val="22"/>
          <w:color w:val="auto"/>
        </w:rPr>
        <w:t>Wheelhouse Life Science Advisors</w:t>
      </w:r>
    </w:p>
    <w:p>
      <w:pPr>
        <w:spacing w:after="0"/>
        <w:rPr>
          <w:sz w:val="20"/>
          <w:szCs w:val="20"/>
          <w:color w:val="auto"/>
        </w:rPr>
      </w:pPr>
      <w:r>
        <w:rPr>
          <w:rFonts w:ascii="Arial" w:cs="Arial" w:eastAsia="Arial" w:hAnsi="Arial"/>
          <w:sz w:val="22"/>
          <w:szCs w:val="22"/>
          <w:color w:val="0563C1"/>
        </w:rPr>
        <w:t>swheeler@wheelhouselsa.com</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Aljanae Reynolds</w:t>
      </w:r>
    </w:p>
    <w:p>
      <w:pPr>
        <w:spacing w:after="0"/>
        <w:rPr>
          <w:sz w:val="20"/>
          <w:szCs w:val="20"/>
          <w:color w:val="auto"/>
        </w:rPr>
      </w:pPr>
      <w:r>
        <w:rPr>
          <w:rFonts w:ascii="Arial" w:cs="Arial" w:eastAsia="Arial" w:hAnsi="Arial"/>
          <w:sz w:val="22"/>
          <w:szCs w:val="22"/>
          <w:color w:val="auto"/>
        </w:rPr>
        <w:t>Wheelhouse Life Science Advisors</w:t>
      </w:r>
    </w:p>
    <w:p>
      <w:pPr>
        <w:spacing w:after="0"/>
        <w:rPr>
          <w:sz w:val="20"/>
          <w:szCs w:val="20"/>
          <w:color w:val="auto"/>
        </w:rPr>
      </w:pPr>
      <w:r>
        <w:rPr>
          <w:rFonts w:ascii="Arial" w:cs="Arial" w:eastAsia="Arial" w:hAnsi="Arial"/>
          <w:sz w:val="22"/>
          <w:szCs w:val="22"/>
          <w:color w:val="0563C1"/>
        </w:rPr>
        <w:t>areynolds@wheelhouselsa.com</w:t>
      </w:r>
    </w:p>
    <w:p>
      <w:pPr>
        <w:spacing w:after="0" w:line="170" w:lineRule="exact"/>
        <w:rPr>
          <w:sz w:val="20"/>
          <w:szCs w:val="20"/>
          <w:color w:val="auto"/>
        </w:rPr>
      </w:pPr>
    </w:p>
    <w:p>
      <w:pPr>
        <w:ind w:left="80" w:hanging="72"/>
        <w:spacing w:after="0"/>
        <w:tabs>
          <w:tab w:leader="none" w:pos="80" w:val="left"/>
        </w:tabs>
        <w:numPr>
          <w:ilvl w:val="0"/>
          <w:numId w:val="8"/>
        </w:numPr>
        <w:rPr>
          <w:rFonts w:ascii="Arial" w:cs="Arial" w:eastAsia="Arial" w:hAnsi="Arial"/>
          <w:sz w:val="24"/>
          <w:szCs w:val="24"/>
          <w:color w:val="auto"/>
          <w:vertAlign w:val="superscript"/>
        </w:rPr>
      </w:pPr>
      <w:r>
        <w:rPr>
          <w:rFonts w:ascii="Arial" w:cs="Arial" w:eastAsia="Arial" w:hAnsi="Arial"/>
          <w:sz w:val="18"/>
          <w:szCs w:val="18"/>
          <w:color w:val="auto"/>
        </w:rPr>
        <w:t>If approved by the FDA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1141730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-147955</wp:posOffset>
            </wp:positionV>
            <wp:extent cx="263144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631440" cy="8890"/>
                    </a:xfrm>
                    <a:prstGeom prst="rect">
                      <a:avLst/>
                    </a:prstGeom>
                    <a:noFill/>
                  </pic:spPr>
                </pic:pic>
              </a:graphicData>
            </a:graphic>
          </wp:anchor>
        </w:drawing>
      </w:r>
    </w:p>
    <w:p>
      <w:pPr>
        <w:sectPr>
          <w:pgSz w:w="11900" w:h="16838" w:orient="portrait"/>
          <w:cols w:equalWidth="0" w:num="1">
            <w:col w:w="11200"/>
          </w:cols>
          <w:pgMar w:left="320" w:top="1411" w:right="379" w:bottom="1440" w:gutter="0" w:footer="0" w:header="0"/>
        </w:sectPr>
      </w:pPr>
    </w:p>
    <w:bookmarkStart w:id="8" w:name="page9"/>
    <w:bookmarkEnd w:id="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1)"/>
      <w:numFmt w:val="decimal"/>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i"/>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2025-11-05T08:08:04Z</dcterms:created>
  <dcterms:modified xsi:type="dcterms:W3CDTF">2025-11-05T08:08:04Z</dcterms:modified>
</cp:coreProperties>
</file>