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On January 27, 2026, the stockholders of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the Company’s limited duration stockholder rights plan, as amended, as set forth in that certain Rights Agreement, dated as of October 10, 2023, by and between the Company and Computershare &amp; Trust Company N.A., as rights agent (as amended or otherwise modified prior to date, the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stockholder approval extended the final expiration date of the Rights Agreement until October 10, 2026, unless the rights thereunder are earlier redeemed or exchanged by the Company. The Rights Agreement otherwise remains unmodified and in full force and effect in accordance with its terms. A copy of the Rights Agreement is filed as </w:t>
      </w:r>
      <w:hyperlink r:id="rId1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Current Report on Form 8-K, filed with the Securities and Exchange Commission on October 11, 2023, and is incorporated herein by reference.</w:t>
      </w:r>
    </w:p>
    <w:p>
      <w:pPr>
        <w:sectPr>
          <w:pgSz w:w="11900" w:h="16838" w:orient="portrait"/>
          <w:cols w:equalWidth="0" w:num="1">
            <w:col w:w="10980"/>
          </w:cols>
          <w:pgMar w:left="440" w:top="293" w:right="479" w:bottom="1440" w:gutter="0" w:footer="0" w:header="0"/>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w:t>
      </w:r>
    </w:p>
    <w:p>
      <w:pPr>
        <w:sectPr>
          <w:pgSz w:w="11900" w:h="16838" w:orient="portrait"/>
          <w:cols w:equalWidth="0" w:num="1">
            <w:col w:w="10980"/>
          </w:cols>
          <w:pgMar w:left="440" w:top="293" w:right="479" w:bottom="1440" w:gutter="0" w:footer="0" w:header="0"/>
          <w:type w:val="continuous"/>
        </w:sectPr>
      </w:pP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On January 27, 2026, the Company’s stockholders approved Amendment No. 1 (the “</w:t>
      </w:r>
      <w:r>
        <w:rPr>
          <w:rFonts w:ascii="Times New Roman" w:cs="Times New Roman" w:eastAsia="Times New Roman" w:hAnsi="Times New Roman"/>
          <w:sz w:val="18"/>
          <w:szCs w:val="18"/>
          <w:b w:val="1"/>
          <w:bCs w:val="1"/>
          <w:i w:val="1"/>
          <w:iCs w:val="1"/>
          <w:color w:val="auto"/>
        </w:rPr>
        <w:t>Plan Amendment</w:t>
      </w:r>
      <w:r>
        <w:rPr>
          <w:rFonts w:ascii="Times New Roman" w:cs="Times New Roman" w:eastAsia="Times New Roman" w:hAnsi="Times New Roman"/>
          <w:sz w:val="18"/>
          <w:szCs w:val="18"/>
          <w:color w:val="auto"/>
        </w:rPr>
        <w:t>”) to the Company’s Amended and Restated 2023 Equity Incentive Plan (the “</w:t>
      </w:r>
      <w:r>
        <w:rPr>
          <w:rFonts w:ascii="Times New Roman" w:cs="Times New Roman" w:eastAsia="Times New Roman" w:hAnsi="Times New Roman"/>
          <w:sz w:val="18"/>
          <w:szCs w:val="18"/>
          <w:b w:val="1"/>
          <w:bCs w:val="1"/>
          <w:i w:val="1"/>
          <w:iCs w:val="1"/>
          <w:color w:val="auto"/>
        </w:rPr>
        <w:t>2023 EIP</w:t>
      </w:r>
      <w:r>
        <w:rPr>
          <w:rFonts w:ascii="Times New Roman" w:cs="Times New Roman" w:eastAsia="Times New Roman" w:hAnsi="Times New Roman"/>
          <w:sz w:val="18"/>
          <w:szCs w:val="18"/>
          <w:color w:val="auto"/>
        </w:rPr>
        <w:t>”) to increase the number of shares of the Company’s common stock issuable under such plan by 1,410,000 shares. A summary of the principal features of the 2023 EIP and the Plan Amendment is set forth under the heading “Proposal 6 – The Incentive Plan Proposal” contained in the Company’s definitive proxy statement filed with the Securities and Exchange Commission on December 31, 2025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On January 27, 2026, the Company held its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final results for each of the proposals submitted to a vote of the Company’s stockholders at the Annual Meeting are set forth below. These proposals are described in detail in the Proxy Statement.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person listed below as a Class I director, to serve until the Company’s 2028 Annual Meeting of Stockholders or until his successor is duly elected and qualified or until his earlier death, resignation or removal. The final voting results were as follows: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3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3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3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8"/>
                <w:szCs w:val="18"/>
                <w:color w:val="auto"/>
                <w:w w:val="98"/>
              </w:rPr>
              <w:t>Geoff Nichol</w:t>
            </w:r>
          </w:p>
        </w:tc>
        <w:tc>
          <w:tcPr>
            <w:tcW w:w="22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1,003,845</w:t>
            </w:r>
          </w:p>
        </w:tc>
        <w:tc>
          <w:tcPr>
            <w:tcW w:w="23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599,242</w:t>
            </w:r>
          </w:p>
        </w:tc>
        <w:tc>
          <w:tcPr>
            <w:tcW w:w="23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1,075,928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Approval, on an advisory basis, of the compensation of the Company’s named executive officers.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as disclosed in the Proxy Statement. The final voting results were as follows: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2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38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816,856</w:t>
            </w:r>
          </w:p>
        </w:tc>
        <w:tc>
          <w:tcPr>
            <w:tcW w:w="24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428,524</w:t>
            </w:r>
          </w:p>
        </w:tc>
        <w:tc>
          <w:tcPr>
            <w:tcW w:w="222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357,707</w:t>
            </w:r>
          </w:p>
        </w:tc>
        <w:tc>
          <w:tcPr>
            <w:tcW w:w="23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1,075,928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the Selection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selection of Ernst &amp; Young LLP by the Audit Committee of the Company’s Board of Directors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2025. The final voting results were as follows:</w:t>
      </w:r>
    </w:p>
    <w:p>
      <w:pPr>
        <w:sectPr>
          <w:pgSz w:w="11900" w:h="16838" w:orient="portrait"/>
          <w:cols w:equalWidth="0" w:num="1">
            <w:col w:w="10980"/>
          </w:cols>
          <w:pgMar w:left="440" w:top="293" w:right="479" w:bottom="1440" w:gutter="0" w:footer="0" w:header="0"/>
          <w:type w:val="continuous"/>
        </w:sectPr>
      </w:pPr>
    </w:p>
    <w:bookmarkStart w:id="2" w:name="page3"/>
    <w:bookmarkEnd w:id="2"/>
    <w:tbl>
      <w:tblPr>
        <w:tblLayout w:type="fixed"/>
        <w:tblInd w:w="1320" w:type="dxa"/>
        <w:tblCellMar>
          <w:top w:w="0" w:type="dxa"/>
          <w:left w:w="0" w:type="dxa"/>
          <w:bottom w:w="0" w:type="dxa"/>
          <w:right w:w="0" w:type="dxa"/>
        </w:tblCellMar>
      </w:tblPr>
      <w:tr>
        <w:trPr>
          <w:trHeight w:val="173"/>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30"/>
        </w:trPr>
        <w:tc>
          <w:tcPr>
            <w:tcW w:w="282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1,908,927</w:t>
            </w:r>
          </w:p>
        </w:tc>
        <w:tc>
          <w:tcPr>
            <w:tcW w:w="28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395,747</w:t>
            </w:r>
          </w:p>
        </w:tc>
        <w:tc>
          <w:tcPr>
            <w:tcW w:w="268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374,341</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Approval of the Company’s limited duration stockholder rights plan, as amended.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Company’s limited duration stockholder rights plan, as amended. The final voting results were as follows: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0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4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9"/>
        </w:trPr>
        <w:tc>
          <w:tcPr>
            <w:tcW w:w="2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707,924</w:t>
            </w:r>
          </w:p>
        </w:tc>
        <w:tc>
          <w:tcPr>
            <w:tcW w:w="22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541,271</w:t>
            </w:r>
          </w:p>
        </w:tc>
        <w:tc>
          <w:tcPr>
            <w:tcW w:w="20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353,892</w:t>
            </w:r>
          </w:p>
        </w:tc>
        <w:tc>
          <w:tcPr>
            <w:tcW w:w="21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1,075,928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 Approval of the issuance of the Company’s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the issuance of 8,268,495 shares of the Company’s common stock in satisfaction of the Company’s obligations under that certain Asset Purchase Agreement, dated November 19, 2025, by and among the Company, Erigen LLC and Factor Bioscience Inc., for purposes of Nasdaq Stock Market Rules 5635(a) and 5635(b). The final voting results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860" w:type="dxa"/>
            <w:vAlign w:val="bottom"/>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60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860" w:type="dxa"/>
            <w:vAlign w:val="bottom"/>
            <w:vMerge w:val="continue"/>
          </w:tcPr>
          <w:p>
            <w:pPr>
              <w:spacing w:after="0"/>
              <w:rPr>
                <w:sz w:val="15"/>
                <w:szCs w:val="15"/>
                <w:color w:val="auto"/>
              </w:rPr>
            </w:pPr>
          </w:p>
        </w:tc>
        <w:tc>
          <w:tcPr>
            <w:tcW w:w="260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vMerge w:val="continue"/>
          </w:tcPr>
          <w:p>
            <w:pPr>
              <w:spacing w:after="0"/>
              <w:rPr>
                <w:sz w:val="15"/>
                <w:szCs w:val="15"/>
                <w:color w:val="auto"/>
              </w:rPr>
            </w:pPr>
          </w:p>
        </w:tc>
        <w:tc>
          <w:tcPr>
            <w:tcW w:w="15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1,281,862</w:t>
            </w:r>
          </w:p>
        </w:tc>
        <w:tc>
          <w:tcPr>
            <w:tcW w:w="2600" w:type="dxa"/>
            <w:vAlign w:val="bottom"/>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w w:val="99"/>
              </w:rPr>
              <w:t>319,400</w:t>
            </w:r>
          </w:p>
        </w:tc>
        <w:tc>
          <w:tcPr>
            <w:tcW w:w="22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1,825</w:t>
            </w:r>
          </w:p>
        </w:tc>
        <w:tc>
          <w:tcPr>
            <w:tcW w:w="1520" w:type="dxa"/>
            <w:vAlign w:val="bottom"/>
            <w:shd w:val="clear" w:color="auto" w:fill="CCEEFF"/>
          </w:tcPr>
          <w:p>
            <w:pPr>
              <w:jc w:val="center"/>
              <w:ind w:left="682"/>
              <w:spacing w:after="0"/>
              <w:rPr>
                <w:sz w:val="20"/>
                <w:szCs w:val="20"/>
                <w:color w:val="auto"/>
              </w:rPr>
            </w:pPr>
            <w:r>
              <w:rPr>
                <w:rFonts w:ascii="Times New Roman" w:cs="Times New Roman" w:eastAsia="Times New Roman" w:hAnsi="Times New Roman"/>
                <w:sz w:val="18"/>
                <w:szCs w:val="18"/>
                <w:color w:val="auto"/>
                <w:w w:val="99"/>
              </w:rPr>
              <w:t>1,075,928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6. Approval of an amendment to the Company’s Amended and Restated 2023 Equity Incentive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Plan Amendment. The final voting results were as follows: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9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62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00" w:type="dxa"/>
            <w:vAlign w:val="bottom"/>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262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20" w:type="dxa"/>
            <w:vAlign w:val="bottom"/>
            <w:vMerge w:val="continue"/>
          </w:tcPr>
          <w:p>
            <w:pPr>
              <w:spacing w:after="0"/>
              <w:rPr>
                <w:sz w:val="15"/>
                <w:szCs w:val="15"/>
                <w:color w:val="auto"/>
              </w:rPr>
            </w:pPr>
          </w:p>
        </w:tc>
        <w:tc>
          <w:tcPr>
            <w:tcW w:w="1500" w:type="dxa"/>
            <w:vAlign w:val="bottom"/>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646,079</w:t>
            </w:r>
          </w:p>
        </w:tc>
        <w:tc>
          <w:tcPr>
            <w:tcW w:w="2620" w:type="dxa"/>
            <w:vAlign w:val="bottom"/>
            <w:shd w:val="clear" w:color="auto" w:fill="CCEEFF"/>
          </w:tcPr>
          <w:p>
            <w:pPr>
              <w:jc w:val="center"/>
              <w:ind w:left="422"/>
              <w:spacing w:after="0"/>
              <w:rPr>
                <w:sz w:val="20"/>
                <w:szCs w:val="20"/>
                <w:color w:val="auto"/>
              </w:rPr>
            </w:pPr>
            <w:r>
              <w:rPr>
                <w:rFonts w:ascii="Times New Roman" w:cs="Times New Roman" w:eastAsia="Times New Roman" w:hAnsi="Times New Roman"/>
                <w:sz w:val="18"/>
                <w:szCs w:val="18"/>
                <w:color w:val="auto"/>
              </w:rPr>
              <w:t>600,412</w:t>
            </w:r>
          </w:p>
        </w:tc>
        <w:tc>
          <w:tcPr>
            <w:tcW w:w="22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356,596</w:t>
            </w:r>
          </w:p>
        </w:tc>
        <w:tc>
          <w:tcPr>
            <w:tcW w:w="150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8"/>
                <w:szCs w:val="18"/>
                <w:color w:val="auto"/>
                <w:w w:val="99"/>
              </w:rPr>
              <w:t>1,075,928</w:t>
            </w:r>
          </w:p>
        </w:tc>
        <w:tc>
          <w:tcPr>
            <w:tcW w:w="0" w:type="dxa"/>
            <w:vAlign w:val="bottom"/>
          </w:tcPr>
          <w:p>
            <w:pPr>
              <w:spacing w:after="0"/>
              <w:rPr>
                <w:sz w:val="1"/>
                <w:szCs w:val="1"/>
                <w:color w:val="auto"/>
              </w:rPr>
            </w:pPr>
          </w:p>
        </w:tc>
      </w:tr>
    </w:tbl>
    <w:p>
      <w:pPr>
        <w:sectPr>
          <w:pgSz w:w="11900" w:h="16838" w:orient="portrait"/>
          <w:cols w:equalWidth="0" w:num="1">
            <w:col w:w="10820"/>
          </w:cols>
          <w:pgMar w:left="440" w:top="290"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2026</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544227/000119312523253882/d5478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2026-01-28T15:22:38Z</dcterms:created>
  <dcterms:modified xsi:type="dcterms:W3CDTF">2026-01-28T15:22:38Z</dcterms:modified>
</cp:coreProperties>
</file>