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3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161290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Date of Report (Date of earliest event reported): November 08,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222885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9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Tempest Therapeutics, Inc.</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247650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880" w:type="dxa"/>
        <w:tblCellMar>
          <w:top w:w="0" w:type="dxa"/>
          <w:left w:w="0" w:type="dxa"/>
          <w:bottom w:w="0" w:type="dxa"/>
          <w:right w:w="0" w:type="dxa"/>
        </w:tblCellMar>
      </w:tblPr>
      <w:tr>
        <w:trPr>
          <w:trHeight w:val="234"/>
        </w:trPr>
        <w:tc>
          <w:tcPr>
            <w:tcW w:w="3420" w:type="dxa"/>
            <w:vAlign w:val="bottom"/>
          </w:tcPr>
          <w:p>
            <w:pPr>
              <w:jc w:val="center"/>
              <w:ind w:right="461"/>
              <w:spacing w:after="0"/>
              <w:rPr>
                <w:sz w:val="20"/>
                <w:szCs w:val="20"/>
                <w:color w:val="auto"/>
              </w:rPr>
            </w:pPr>
            <w:r>
              <w:rPr>
                <w:rFonts w:ascii="Arial" w:cs="Arial" w:eastAsia="Arial" w:hAnsi="Arial"/>
                <w:sz w:val="18"/>
                <w:szCs w:val="18"/>
                <w:b w:val="1"/>
                <w:bCs w:val="1"/>
                <w:color w:val="auto"/>
                <w:w w:val="91"/>
              </w:rPr>
              <w:t>Delaware</w:t>
            </w:r>
          </w:p>
        </w:tc>
        <w:tc>
          <w:tcPr>
            <w:tcW w:w="3120" w:type="dxa"/>
            <w:vAlign w:val="bottom"/>
          </w:tcPr>
          <w:p>
            <w:pPr>
              <w:jc w:val="right"/>
              <w:ind w:right="1321"/>
              <w:spacing w:after="0"/>
              <w:rPr>
                <w:sz w:val="20"/>
                <w:szCs w:val="20"/>
                <w:color w:val="auto"/>
              </w:rPr>
            </w:pPr>
            <w:r>
              <w:rPr>
                <w:rFonts w:ascii="Arial" w:cs="Arial" w:eastAsia="Arial" w:hAnsi="Arial"/>
                <w:sz w:val="18"/>
                <w:szCs w:val="18"/>
                <w:b w:val="1"/>
                <w:bCs w:val="1"/>
                <w:color w:val="auto"/>
              </w:rPr>
              <w:t>001-35890</w:t>
            </w:r>
          </w:p>
        </w:tc>
        <w:tc>
          <w:tcPr>
            <w:tcW w:w="2040" w:type="dxa"/>
            <w:vAlign w:val="bottom"/>
          </w:tcPr>
          <w:p>
            <w:pPr>
              <w:jc w:val="right"/>
              <w:ind w:right="4"/>
              <w:spacing w:after="0"/>
              <w:rPr>
                <w:sz w:val="20"/>
                <w:szCs w:val="20"/>
                <w:color w:val="auto"/>
              </w:rPr>
            </w:pPr>
            <w:r>
              <w:rPr>
                <w:rFonts w:ascii="Arial" w:cs="Arial" w:eastAsia="Arial" w:hAnsi="Arial"/>
                <w:sz w:val="18"/>
                <w:szCs w:val="18"/>
                <w:b w:val="1"/>
                <w:bCs w:val="1"/>
                <w:color w:val="auto"/>
              </w:rPr>
              <w:t>45-1472564</w:t>
            </w:r>
          </w:p>
        </w:tc>
      </w:tr>
      <w:tr>
        <w:trPr>
          <w:trHeight w:val="149"/>
        </w:trPr>
        <w:tc>
          <w:tcPr>
            <w:tcW w:w="3420" w:type="dxa"/>
            <w:vAlign w:val="bottom"/>
          </w:tcPr>
          <w:p>
            <w:pPr>
              <w:jc w:val="center"/>
              <w:ind w:right="461"/>
              <w:spacing w:after="0"/>
              <w:rPr>
                <w:sz w:val="20"/>
                <w:szCs w:val="20"/>
                <w:color w:val="auto"/>
              </w:rPr>
            </w:pPr>
            <w:r>
              <w:rPr>
                <w:rFonts w:ascii="Arial" w:cs="Arial" w:eastAsia="Arial" w:hAnsi="Arial"/>
                <w:sz w:val="13"/>
                <w:szCs w:val="13"/>
                <w:b w:val="1"/>
                <w:bCs w:val="1"/>
                <w:color w:val="auto"/>
                <w:w w:val="95"/>
              </w:rPr>
              <w:t>(State or Other Jurisdiction</w:t>
            </w:r>
          </w:p>
        </w:tc>
        <w:tc>
          <w:tcPr>
            <w:tcW w:w="3120" w:type="dxa"/>
            <w:vAlign w:val="bottom"/>
          </w:tcPr>
          <w:p>
            <w:pPr>
              <w:jc w:val="center"/>
              <w:ind w:right="381"/>
              <w:spacing w:after="0"/>
              <w:rPr>
                <w:sz w:val="20"/>
                <w:szCs w:val="20"/>
                <w:color w:val="auto"/>
              </w:rPr>
            </w:pPr>
            <w:r>
              <w:rPr>
                <w:rFonts w:ascii="Arial" w:cs="Arial" w:eastAsia="Arial" w:hAnsi="Arial"/>
                <w:sz w:val="13"/>
                <w:szCs w:val="13"/>
                <w:b w:val="1"/>
                <w:bCs w:val="1"/>
                <w:color w:val="auto"/>
                <w:w w:val="95"/>
              </w:rPr>
              <w:t>(Commission File Number)</w:t>
            </w:r>
          </w:p>
        </w:tc>
        <w:tc>
          <w:tcPr>
            <w:tcW w:w="2040" w:type="dxa"/>
            <w:vAlign w:val="bottom"/>
          </w:tcPr>
          <w:p>
            <w:pPr>
              <w:jc w:val="center"/>
              <w:ind w:left="924"/>
              <w:spacing w:after="0"/>
              <w:rPr>
                <w:sz w:val="20"/>
                <w:szCs w:val="20"/>
                <w:color w:val="auto"/>
              </w:rPr>
            </w:pPr>
            <w:r>
              <w:rPr>
                <w:rFonts w:ascii="Arial" w:cs="Arial" w:eastAsia="Arial" w:hAnsi="Arial"/>
                <w:sz w:val="13"/>
                <w:szCs w:val="13"/>
                <w:b w:val="1"/>
                <w:bCs w:val="1"/>
                <w:color w:val="auto"/>
                <w:w w:val="98"/>
              </w:rPr>
              <w:t>(IRS Employer</w:t>
            </w:r>
          </w:p>
        </w:tc>
      </w:tr>
      <w:tr>
        <w:trPr>
          <w:trHeight w:val="174"/>
        </w:trPr>
        <w:tc>
          <w:tcPr>
            <w:tcW w:w="3420" w:type="dxa"/>
            <w:vAlign w:val="bottom"/>
          </w:tcPr>
          <w:p>
            <w:pPr>
              <w:jc w:val="center"/>
              <w:ind w:right="461"/>
              <w:spacing w:after="0"/>
              <w:rPr>
                <w:sz w:val="20"/>
                <w:szCs w:val="20"/>
                <w:color w:val="auto"/>
              </w:rPr>
            </w:pPr>
            <w:r>
              <w:rPr>
                <w:rFonts w:ascii="Arial" w:cs="Arial" w:eastAsia="Arial" w:hAnsi="Arial"/>
                <w:sz w:val="13"/>
                <w:szCs w:val="13"/>
                <w:b w:val="1"/>
                <w:bCs w:val="1"/>
                <w:color w:val="auto"/>
                <w:w w:val="96"/>
              </w:rPr>
              <w:t>of Incorporation)</w:t>
            </w:r>
          </w:p>
        </w:tc>
        <w:tc>
          <w:tcPr>
            <w:tcW w:w="312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Arial" w:cs="Arial" w:eastAsia="Arial" w:hAnsi="Arial"/>
                <w:sz w:val="13"/>
                <w:szCs w:val="13"/>
                <w:b w:val="1"/>
                <w:bCs w:val="1"/>
                <w:color w:val="auto"/>
                <w:w w:val="96"/>
              </w:rPr>
              <w:t>Identification No.)</w:t>
            </w:r>
          </w:p>
        </w:tc>
      </w:tr>
      <w:tr>
        <w:trPr>
          <w:trHeight w:val="441"/>
        </w:trPr>
        <w:tc>
          <w:tcPr>
            <w:tcW w:w="3420" w:type="dxa"/>
            <w:vAlign w:val="bottom"/>
          </w:tcPr>
          <w:p>
            <w:pPr>
              <w:jc w:val="center"/>
              <w:ind w:right="481"/>
              <w:spacing w:after="0"/>
              <w:rPr>
                <w:sz w:val="20"/>
                <w:szCs w:val="20"/>
                <w:color w:val="auto"/>
              </w:rPr>
            </w:pPr>
            <w:r>
              <w:rPr>
                <w:rFonts w:ascii="Arial" w:cs="Arial" w:eastAsia="Arial" w:hAnsi="Arial"/>
                <w:sz w:val="18"/>
                <w:szCs w:val="18"/>
                <w:b w:val="1"/>
                <w:bCs w:val="1"/>
                <w:color w:val="auto"/>
                <w:w w:val="91"/>
              </w:rPr>
              <w:t>2000 Sierra Point Parkway, Suite 400</w:t>
            </w:r>
          </w:p>
        </w:tc>
        <w:tc>
          <w:tcPr>
            <w:tcW w:w="31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4"/>
        </w:trPr>
        <w:tc>
          <w:tcPr>
            <w:tcW w:w="3420" w:type="dxa"/>
            <w:vAlign w:val="bottom"/>
          </w:tcPr>
          <w:p>
            <w:pPr>
              <w:jc w:val="center"/>
              <w:ind w:right="461"/>
              <w:spacing w:after="0"/>
              <w:rPr>
                <w:sz w:val="20"/>
                <w:szCs w:val="20"/>
                <w:color w:val="auto"/>
              </w:rPr>
            </w:pPr>
            <w:r>
              <w:rPr>
                <w:rFonts w:ascii="Arial" w:cs="Arial" w:eastAsia="Arial" w:hAnsi="Arial"/>
                <w:sz w:val="18"/>
                <w:szCs w:val="18"/>
                <w:b w:val="1"/>
                <w:bCs w:val="1"/>
                <w:color w:val="auto"/>
                <w:w w:val="91"/>
              </w:rPr>
              <w:t>Brisbane, California</w:t>
            </w:r>
          </w:p>
        </w:tc>
        <w:tc>
          <w:tcPr>
            <w:tcW w:w="312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Arial" w:cs="Arial" w:eastAsia="Arial" w:hAnsi="Arial"/>
                <w:sz w:val="18"/>
                <w:szCs w:val="18"/>
                <w:b w:val="1"/>
                <w:bCs w:val="1"/>
                <w:color w:val="auto"/>
              </w:rPr>
              <w:t>94005</w:t>
            </w:r>
          </w:p>
        </w:tc>
      </w:tr>
      <w:tr>
        <w:trPr>
          <w:trHeight w:val="175"/>
        </w:trPr>
        <w:tc>
          <w:tcPr>
            <w:tcW w:w="3420" w:type="dxa"/>
            <w:vAlign w:val="bottom"/>
          </w:tcPr>
          <w:p>
            <w:pPr>
              <w:jc w:val="center"/>
              <w:ind w:right="461"/>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312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Arial" w:cs="Arial" w:eastAsia="Arial" w:hAnsi="Arial"/>
                <w:sz w:val="13"/>
                <w:szCs w:val="13"/>
                <w:b w:val="1"/>
                <w:bCs w:val="1"/>
                <w:color w:val="auto"/>
                <w:w w:val="99"/>
              </w:rPr>
              <w:t>(Zip Code)</w:t>
            </w:r>
          </w:p>
        </w:tc>
      </w:tr>
    </w:tbl>
    <w:p>
      <w:pPr>
        <w:spacing w:after="0" w:line="200" w:lineRule="exact"/>
        <w:rPr>
          <w:sz w:val="24"/>
          <w:szCs w:val="24"/>
          <w:color w:val="auto"/>
        </w:rPr>
      </w:pPr>
    </w:p>
    <w:p>
      <w:pPr>
        <w:spacing w:after="0" w:line="22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(415) 798-8589</w:t>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255905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4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5"/>
        </w:trPr>
        <w:tc>
          <w:tcPr>
            <w:tcW w:w="4280" w:type="dxa"/>
            <w:vAlign w:val="bottom"/>
          </w:tcPr>
          <w:p>
            <w:pPr>
              <w:jc w:val="center"/>
              <w:spacing w:after="0"/>
              <w:rPr>
                <w:sz w:val="20"/>
                <w:szCs w:val="20"/>
                <w:color w:val="auto"/>
              </w:rPr>
            </w:pPr>
            <w:r>
              <w:rPr>
                <w:rFonts w:ascii="Arial" w:cs="Arial" w:eastAsia="Arial" w:hAnsi="Arial"/>
                <w:sz w:val="18"/>
                <w:szCs w:val="18"/>
                <w:color w:val="auto"/>
                <w:w w:val="90"/>
              </w:rPr>
              <w:t>Common Stock, $0.001 par value</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TPST</w:t>
            </w:r>
          </w:p>
        </w:tc>
        <w:tc>
          <w:tcPr>
            <w:tcW w:w="12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30"/>
        </w:trPr>
        <w:tc>
          <w:tcPr>
            <w:tcW w:w="4280" w:type="dxa"/>
            <w:vAlign w:val="bottom"/>
          </w:tcPr>
          <w:p>
            <w:pPr>
              <w:jc w:val="center"/>
              <w:spacing w:after="0"/>
              <w:rPr>
                <w:sz w:val="20"/>
                <w:szCs w:val="20"/>
                <w:color w:val="auto"/>
              </w:rPr>
            </w:pPr>
            <w:r>
              <w:rPr>
                <w:rFonts w:ascii="Arial" w:cs="Arial" w:eastAsia="Arial" w:hAnsi="Arial"/>
                <w:sz w:val="18"/>
                <w:szCs w:val="18"/>
                <w:color w:val="auto"/>
                <w:w w:val="90"/>
              </w:rPr>
              <w:t>Series A Junior Participating Preferred Purchase Rights</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15"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338455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On November 8, 2023, Tempest Therapeutics, Inc. (the “Company”) issued a press release announcing its financial results for the quarter ended September 30, 2023. A copy of the Company’s press release dated November 8, 2023, titled “Tempest Reports Third Quarter 2023 Financial Results and Provides Corporate Highlights” is attached hereto as Exhibit 99.1 and is incorporated herein by reference.</w:t>
      </w:r>
    </w:p>
    <w:p>
      <w:pPr>
        <w:spacing w:after="0" w:line="184"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The foregoing information (including the exhibit hereto) is being furnished under “Item 2.02 Results of Operations and Financial Condition” and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00" w:type="dxa"/>
            <w:vAlign w:val="bottom"/>
          </w:tcPr>
          <w:p>
            <w:pPr>
              <w:ind w:left="60"/>
              <w:spacing w:after="0"/>
              <w:rPr>
                <w:sz w:val="20"/>
                <w:szCs w:val="20"/>
                <w:color w:val="auto"/>
              </w:rPr>
            </w:pPr>
            <w:r>
              <w:rPr>
                <w:rFonts w:ascii="Arial" w:cs="Arial" w:eastAsia="Arial" w:hAnsi="Arial"/>
                <w:sz w:val="18"/>
                <w:szCs w:val="18"/>
                <w:b w:val="1"/>
                <w:bCs w:val="1"/>
                <w:color w:val="auto"/>
              </w:rPr>
              <w:t>Exhibit No.</w:t>
            </w:r>
          </w:p>
        </w:tc>
        <w:tc>
          <w:tcPr>
            <w:tcW w:w="984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594"/>
        </w:trPr>
        <w:tc>
          <w:tcPr>
            <w:tcW w:w="1400" w:type="dxa"/>
            <w:vAlign w:val="bottom"/>
          </w:tcPr>
          <w:p>
            <w:pPr>
              <w:ind w:left="60"/>
              <w:spacing w:after="0"/>
              <w:rPr>
                <w:sz w:val="20"/>
                <w:szCs w:val="20"/>
                <w:color w:val="auto"/>
              </w:rPr>
            </w:pPr>
            <w:r>
              <w:rPr>
                <w:rFonts w:ascii="Arial" w:cs="Arial" w:eastAsia="Arial" w:hAnsi="Arial"/>
                <w:sz w:val="18"/>
                <w:szCs w:val="18"/>
                <w:color w:val="auto"/>
              </w:rPr>
              <w:t>99.1</w:t>
            </w:r>
          </w:p>
        </w:tc>
        <w:tc>
          <w:tcPr>
            <w:tcW w:w="9840" w:type="dxa"/>
            <w:vAlign w:val="bottom"/>
            <w:gridSpan w:val="2"/>
          </w:tcPr>
          <w:p>
            <w:pPr>
              <w:spacing w:after="0"/>
              <w:rPr>
                <w:sz w:val="20"/>
                <w:szCs w:val="20"/>
                <w:color w:val="auto"/>
              </w:rPr>
            </w:pPr>
            <w:r>
              <w:rPr>
                <w:rFonts w:ascii="Arial" w:cs="Arial" w:eastAsia="Arial" w:hAnsi="Arial"/>
                <w:sz w:val="18"/>
                <w:szCs w:val="18"/>
                <w:color w:val="0000FF"/>
              </w:rPr>
              <w:t>Press release dated November 8, 2023</w:t>
            </w:r>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2760" w:type="dxa"/>
            <w:vAlign w:val="bottom"/>
            <w:tcBorders>
              <w:right w:val="single" w:sz="8" w:color="0000EE"/>
            </w:tcBorders>
            <w:shd w:val="clear" w:color="auto" w:fill="0000FF"/>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r>
      <w:tr>
        <w:trPr>
          <w:trHeight w:val="520"/>
        </w:trPr>
        <w:tc>
          <w:tcPr>
            <w:tcW w:w="1400" w:type="dxa"/>
            <w:vAlign w:val="bottom"/>
          </w:tcPr>
          <w:p>
            <w:pPr>
              <w:ind w:left="60"/>
              <w:spacing w:after="0"/>
              <w:rPr>
                <w:sz w:val="20"/>
                <w:szCs w:val="20"/>
                <w:color w:val="auto"/>
              </w:rPr>
            </w:pPr>
            <w:r>
              <w:rPr>
                <w:rFonts w:ascii="Arial" w:cs="Arial" w:eastAsia="Arial" w:hAnsi="Arial"/>
                <w:sz w:val="18"/>
                <w:szCs w:val="18"/>
                <w:color w:val="auto"/>
              </w:rPr>
              <w:t>104</w:t>
            </w:r>
          </w:p>
        </w:tc>
        <w:tc>
          <w:tcPr>
            <w:tcW w:w="984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574"/>
        </w:trPr>
        <w:tc>
          <w:tcPr>
            <w:tcW w:w="140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7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b w:val="1"/>
                <w:bCs w:val="1"/>
                <w:color w:val="auto"/>
              </w:rPr>
              <w:t>TEMPEST THERAPEUTICS, INC.</w:t>
            </w:r>
          </w:p>
        </w:tc>
      </w:tr>
      <w:tr>
        <w:trPr>
          <w:trHeight w:val="614"/>
        </w:trPr>
        <w:tc>
          <w:tcPr>
            <w:tcW w:w="3780" w:type="dxa"/>
            <w:vAlign w:val="bottom"/>
          </w:tcPr>
          <w:p>
            <w:pPr>
              <w:ind w:left="20"/>
              <w:spacing w:after="0"/>
              <w:rPr>
                <w:sz w:val="20"/>
                <w:szCs w:val="20"/>
                <w:color w:val="auto"/>
              </w:rPr>
            </w:pPr>
            <w:r>
              <w:rPr>
                <w:rFonts w:ascii="Arial" w:cs="Arial" w:eastAsia="Arial" w:hAnsi="Arial"/>
                <w:sz w:val="18"/>
                <w:szCs w:val="18"/>
                <w:color w:val="auto"/>
              </w:rPr>
              <w:t>Date:   November 8, 2023</w:t>
            </w:r>
          </w:p>
        </w:tc>
        <w:tc>
          <w:tcPr>
            <w:tcW w:w="2420" w:type="dxa"/>
            <w:vAlign w:val="bottom"/>
          </w:tcPr>
          <w:p>
            <w:pPr>
              <w:ind w:left="17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Brady</w:t>
            </w:r>
          </w:p>
        </w:tc>
      </w:tr>
      <w:tr>
        <w:trPr>
          <w:trHeight w:val="215"/>
        </w:trPr>
        <w:tc>
          <w:tcPr>
            <w:tcW w:w="3780" w:type="dxa"/>
            <w:vAlign w:val="bottom"/>
          </w:tcPr>
          <w:p>
            <w:pPr>
              <w:spacing w:after="0"/>
              <w:rPr>
                <w:sz w:val="18"/>
                <w:szCs w:val="18"/>
                <w:color w:val="auto"/>
              </w:rPr>
            </w:pPr>
          </w:p>
        </w:tc>
        <w:tc>
          <w:tcPr>
            <w:tcW w:w="2420" w:type="dxa"/>
            <w:vAlign w:val="bottom"/>
          </w:tcPr>
          <w:p>
            <w:pPr>
              <w:ind w:left="1740"/>
              <w:spacing w:after="0"/>
              <w:rPr>
                <w:sz w:val="20"/>
                <w:szCs w:val="20"/>
                <w:color w:val="auto"/>
              </w:rPr>
            </w:pPr>
            <w:r>
              <w:rPr>
                <w:rFonts w:ascii="Arial" w:cs="Arial" w:eastAsia="Arial" w:hAnsi="Arial"/>
                <w:sz w:val="18"/>
                <w:szCs w:val="18"/>
                <w:color w:val="auto"/>
              </w:rPr>
              <w:t>Name:</w:t>
            </w:r>
          </w:p>
        </w:tc>
        <w:tc>
          <w:tcPr>
            <w:tcW w:w="5040" w:type="dxa"/>
            <w:vAlign w:val="bottom"/>
          </w:tcPr>
          <w:p>
            <w:pPr>
              <w:spacing w:after="0"/>
              <w:rPr>
                <w:sz w:val="20"/>
                <w:szCs w:val="20"/>
                <w:color w:val="auto"/>
              </w:rPr>
            </w:pPr>
            <w:r>
              <w:rPr>
                <w:rFonts w:ascii="Arial" w:cs="Arial" w:eastAsia="Arial" w:hAnsi="Arial"/>
                <w:sz w:val="18"/>
                <w:szCs w:val="18"/>
                <w:color w:val="auto"/>
              </w:rPr>
              <w:t>Stephen Brady</w:t>
            </w:r>
          </w:p>
        </w:tc>
      </w:tr>
      <w:tr>
        <w:trPr>
          <w:trHeight w:val="244"/>
        </w:trPr>
        <w:tc>
          <w:tcPr>
            <w:tcW w:w="3780" w:type="dxa"/>
            <w:vAlign w:val="bottom"/>
          </w:tcPr>
          <w:p>
            <w:pPr>
              <w:spacing w:after="0"/>
              <w:rPr>
                <w:sz w:val="21"/>
                <w:szCs w:val="21"/>
                <w:color w:val="auto"/>
              </w:rPr>
            </w:pPr>
          </w:p>
        </w:tc>
        <w:tc>
          <w:tcPr>
            <w:tcW w:w="2420" w:type="dxa"/>
            <w:vAlign w:val="bottom"/>
          </w:tcPr>
          <w:p>
            <w:pPr>
              <w:ind w:left="174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506"/>
        </w:trPr>
        <w:tc>
          <w:tcPr>
            <w:tcW w:w="378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2087880</wp:posOffset>
            </wp:positionH>
            <wp:positionV relativeFrom="paragraph">
              <wp:posOffset>148590</wp:posOffset>
            </wp:positionV>
            <wp:extent cx="3171825" cy="8489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71825"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Tempest Reports Third Quarter 2023 Financial Results and</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Provides Business Update</w:t>
      </w:r>
    </w:p>
    <w:p>
      <w:pPr>
        <w:spacing w:after="0" w:line="131" w:lineRule="exact"/>
        <w:rPr>
          <w:sz w:val="20"/>
          <w:szCs w:val="20"/>
          <w:color w:val="auto"/>
        </w:rPr>
      </w:pPr>
    </w:p>
    <w:p>
      <w:pPr>
        <w:ind w:left="900" w:right="120" w:hanging="383"/>
        <w:spacing w:after="0" w:line="294" w:lineRule="auto"/>
        <w:tabs>
          <w:tab w:leader="none" w:pos="900" w:val="left"/>
        </w:tabs>
        <w:numPr>
          <w:ilvl w:val="0"/>
          <w:numId w:val="2"/>
        </w:numPr>
        <w:rPr>
          <w:rFonts w:ascii="Arial" w:cs="Arial" w:eastAsia="Arial" w:hAnsi="Arial"/>
          <w:sz w:val="23"/>
          <w:szCs w:val="23"/>
          <w:color w:val="auto"/>
        </w:rPr>
      </w:pPr>
      <w:r>
        <w:rPr>
          <w:rFonts w:ascii="Arial" w:cs="Arial" w:eastAsia="Arial" w:hAnsi="Arial"/>
          <w:sz w:val="23"/>
          <w:szCs w:val="23"/>
          <w:i w:val="1"/>
          <w:iCs w:val="1"/>
          <w:color w:val="auto"/>
        </w:rPr>
        <w:t>TPST-1120 demonstrates superiority compared to standard of care across multiple study endpoints in randomized first-line HCC study</w:t>
      </w:r>
    </w:p>
    <w:p>
      <w:pPr>
        <w:spacing w:after="0" w:line="27" w:lineRule="exact"/>
        <w:rPr>
          <w:rFonts w:ascii="Arial" w:cs="Arial" w:eastAsia="Arial" w:hAnsi="Arial"/>
          <w:sz w:val="23"/>
          <w:szCs w:val="23"/>
          <w:color w:val="auto"/>
        </w:rPr>
      </w:pPr>
    </w:p>
    <w:p>
      <w:pPr>
        <w:ind w:left="900" w:hanging="383"/>
        <w:spacing w:after="0"/>
        <w:tabs>
          <w:tab w:leader="none" w:pos="900" w:val="left"/>
        </w:tabs>
        <w:numPr>
          <w:ilvl w:val="0"/>
          <w:numId w:val="2"/>
        </w:numPr>
        <w:rPr>
          <w:rFonts w:ascii="Arial" w:cs="Arial" w:eastAsia="Arial" w:hAnsi="Arial"/>
          <w:sz w:val="23"/>
          <w:szCs w:val="23"/>
          <w:color w:val="auto"/>
        </w:rPr>
      </w:pPr>
      <w:r>
        <w:rPr>
          <w:rFonts w:ascii="Arial" w:cs="Arial" w:eastAsia="Arial" w:hAnsi="Arial"/>
          <w:sz w:val="23"/>
          <w:szCs w:val="23"/>
          <w:i w:val="1"/>
          <w:iCs w:val="1"/>
          <w:color w:val="auto"/>
        </w:rPr>
        <w:t>New capital strengthens balance sheet and extends cash runway into 2025</w:t>
      </w:r>
    </w:p>
    <w:p>
      <w:pPr>
        <w:spacing w:after="0" w:line="222" w:lineRule="exact"/>
        <w:rPr>
          <w:sz w:val="20"/>
          <w:szCs w:val="20"/>
          <w:color w:val="auto"/>
        </w:rPr>
      </w:pPr>
    </w:p>
    <w:p>
      <w:pPr>
        <w:jc w:val="both"/>
        <w:spacing w:after="0" w:line="227" w:lineRule="auto"/>
        <w:rPr>
          <w:sz w:val="20"/>
          <w:szCs w:val="20"/>
          <w:color w:val="auto"/>
        </w:rPr>
      </w:pPr>
      <w:r>
        <w:rPr>
          <w:rFonts w:ascii="Arial" w:cs="Arial" w:eastAsia="Arial" w:hAnsi="Arial"/>
          <w:sz w:val="22"/>
          <w:szCs w:val="22"/>
          <w:b w:val="1"/>
          <w:bCs w:val="1"/>
          <w:color w:val="auto"/>
        </w:rPr>
        <w:t>Brisbane, CA</w:t>
      </w:r>
      <w:r>
        <w:rPr>
          <w:rFonts w:ascii="Arial" w:cs="Arial" w:eastAsia="Arial" w:hAnsi="Arial"/>
          <w:sz w:val="22"/>
          <w:szCs w:val="22"/>
          <w:color w:val="auto"/>
        </w:rPr>
        <w:t>, November 8, 2023</w:t>
      </w:r>
      <w:r>
        <w:rPr>
          <w:rFonts w:ascii="Arial" w:cs="Arial" w:eastAsia="Arial" w:hAnsi="Arial"/>
          <w:sz w:val="22"/>
          <w:szCs w:val="22"/>
          <w:b w:val="1"/>
          <w:bCs w:val="1"/>
          <w:color w:val="auto"/>
        </w:rPr>
        <w:t xml:space="preserve"> – </w:t>
      </w:r>
      <w:r>
        <w:rPr>
          <w:rFonts w:ascii="Arial" w:cs="Arial" w:eastAsia="Arial" w:hAnsi="Arial"/>
          <w:sz w:val="22"/>
          <w:szCs w:val="22"/>
          <w:color w:val="auto"/>
        </w:rPr>
        <w:t>Tempest Therapeutics, Inc. (Nasdaq: TPST), a clinical-stage oncology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developing first-in-class</w:t>
      </w:r>
      <w:r>
        <w:rPr>
          <w:rFonts w:ascii="Arial" w:cs="Arial" w:eastAsia="Arial" w:hAnsi="Arial"/>
          <w:sz w:val="28"/>
          <w:szCs w:val="28"/>
          <w:color w:val="auto"/>
          <w:vertAlign w:val="superscript"/>
        </w:rPr>
        <w:t>i</w:t>
      </w:r>
      <w:r>
        <w:rPr>
          <w:rFonts w:ascii="Arial" w:cs="Arial" w:eastAsia="Arial" w:hAnsi="Arial"/>
          <w:sz w:val="22"/>
          <w:szCs w:val="22"/>
          <w:color w:val="auto"/>
        </w:rPr>
        <w:t xml:space="preserve"> therapeutics that combine both targeted and immune-mediated mechanisms, today reported financial results for the third quarter ended September 30, 2023 and provided a corporate update.</w:t>
      </w:r>
    </w:p>
    <w:p>
      <w:pPr>
        <w:spacing w:after="0" w:line="118"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“We were extremely pleased to see the pronounced external validation of the new data showing the clear benefit of TPST-1120 combination therapy compared to standard of care in first-line liver cancer,” said Stephen Brady, president and chief executive officer of Tempest. “The data have not only improved since the earlier interim analysis, but also include exciting new biomarker results showing that the addition of TPST-1120 effectively rescues the standard of care in PD-L1 negative patients, as well as producing an increased response rate in patients with a b-catenin mutation. Armed with these data and a stronger balance sheet, we are engaged in discussions with potential partners and intend to move TPST-1120 forward in liver cancer, as well as potentially in other indications like kidney cancer given positive signals observed in earlier studies.”</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Highlights</w:t>
      </w:r>
    </w:p>
    <w:p>
      <w:pPr>
        <w:spacing w:after="0" w:line="247" w:lineRule="exact"/>
        <w:rPr>
          <w:sz w:val="20"/>
          <w:szCs w:val="20"/>
          <w:color w:val="auto"/>
        </w:rPr>
      </w:pPr>
    </w:p>
    <w:p>
      <w:pPr>
        <w:jc w:val="both"/>
        <w:ind w:left="760" w:hanging="378"/>
        <w:spacing w:after="0" w:line="241" w:lineRule="auto"/>
        <w:tabs>
          <w:tab w:leader="none" w:pos="760" w:val="left"/>
        </w:tabs>
        <w:numPr>
          <w:ilvl w:val="0"/>
          <w:numId w:val="3"/>
        </w:numPr>
        <w:rPr>
          <w:rFonts w:ascii="Arial" w:cs="Arial" w:eastAsia="Arial" w:hAnsi="Arial"/>
          <w:sz w:val="22"/>
          <w:szCs w:val="22"/>
          <w:color w:val="auto"/>
        </w:rPr>
      </w:pPr>
      <w:r>
        <w:rPr>
          <w:rFonts w:ascii="Arial" w:cs="Arial" w:eastAsia="Arial" w:hAnsi="Arial"/>
          <w:sz w:val="22"/>
          <w:szCs w:val="22"/>
          <w:b w:val="1"/>
          <w:bCs w:val="1"/>
          <w:color w:val="auto"/>
        </w:rPr>
        <w:t xml:space="preserve">TPST-1120 </w:t>
      </w:r>
      <w:r>
        <w:rPr>
          <w:rFonts w:ascii="Arial" w:cs="Arial" w:eastAsia="Arial" w:hAnsi="Arial"/>
          <w:sz w:val="22"/>
          <w:szCs w:val="22"/>
          <w:color w:val="auto"/>
        </w:rPr>
        <w:t>(clinical PPARα antagonist): Reported data demonstrating superiority of TPST-1120 across</w:t>
      </w:r>
      <w:r>
        <w:rPr>
          <w:rFonts w:ascii="Arial" w:cs="Arial" w:eastAsia="Arial" w:hAnsi="Arial"/>
          <w:sz w:val="22"/>
          <w:szCs w:val="22"/>
          <w:b w:val="1"/>
          <w:bCs w:val="1"/>
          <w:color w:val="auto"/>
        </w:rPr>
        <w:t xml:space="preserve"> </w:t>
      </w:r>
      <w:r>
        <w:rPr>
          <w:rFonts w:ascii="Arial" w:cs="Arial" w:eastAsia="Arial" w:hAnsi="Arial"/>
          <w:sz w:val="22"/>
          <w:szCs w:val="22"/>
          <w:color w:val="auto"/>
        </w:rPr>
        <w:t>multiple study endpoints in first-line hepatocellular carcinoma. The ongoing randomized trial is evaluating TPST-1120 combined with the standard-of-care regimen of atezolizumab and bevacizumab compared to standard of care alone. Data from 40 patients randomized to the TPST-1120 arm and 30 patients randomized to the control arm, with a median follow-up of 9.2 and 9.9 months, respectively, showed:</w:t>
      </w:r>
    </w:p>
    <w:p>
      <w:pPr>
        <w:spacing w:after="0" w:line="103" w:lineRule="exact"/>
        <w:rPr>
          <w:rFonts w:ascii="Arial" w:cs="Arial" w:eastAsia="Arial" w:hAnsi="Arial"/>
          <w:sz w:val="22"/>
          <w:szCs w:val="22"/>
          <w:color w:val="auto"/>
        </w:rPr>
      </w:pPr>
    </w:p>
    <w:p>
      <w:pPr>
        <w:ind w:left="1140"/>
        <w:spacing w:after="0" w:line="251" w:lineRule="auto"/>
        <w:rPr>
          <w:rFonts w:ascii="Arial" w:cs="Arial" w:eastAsia="Arial" w:hAnsi="Arial"/>
          <w:sz w:val="22"/>
          <w:szCs w:val="22"/>
          <w:color w:val="auto"/>
        </w:rPr>
      </w:pPr>
      <w:r>
        <w:rPr>
          <w:rFonts w:ascii="Arial" w:cs="Arial" w:eastAsia="Arial" w:hAnsi="Arial"/>
          <w:sz w:val="22"/>
          <w:szCs w:val="22"/>
          <w:color w:val="auto"/>
        </w:rPr>
        <w:t>Confirmed objective response rate (“cORR” or “confirmed ORR”) of 30% for the TPST-1120 triplet arm (an increase from 17% in the earlier interim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ind w:left="1140"/>
        <w:spacing w:after="0" w:line="251" w:lineRule="auto"/>
        <w:rPr>
          <w:sz w:val="20"/>
          <w:szCs w:val="20"/>
          <w:color w:val="auto"/>
        </w:rPr>
      </w:pPr>
      <w:r>
        <w:rPr>
          <w:rFonts w:ascii="Arial" w:cs="Arial" w:eastAsia="Arial" w:hAnsi="Arial"/>
          <w:sz w:val="22"/>
          <w:szCs w:val="22"/>
          <w:color w:val="auto"/>
        </w:rPr>
        <w:t>as compared to 13.3% for the atezolizumab + bevacizumab control arm; duration of response (“DoR”) not yet reached.</w:t>
      </w:r>
    </w:p>
    <w:p>
      <w:pPr>
        <w:spacing w:after="0" w:line="9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Hazard ratio favors the TPST-1120 arm for key survival endpoints</w:t>
      </w:r>
    </w:p>
    <w:p>
      <w:pPr>
        <w:spacing w:after="0" w:line="139" w:lineRule="exact"/>
        <w:rPr>
          <w:sz w:val="20"/>
          <w:szCs w:val="20"/>
          <w:color w:val="auto"/>
        </w:rPr>
      </w:pPr>
    </w:p>
    <w:p>
      <w:pPr>
        <w:jc w:val="both"/>
        <w:ind w:left="1880" w:hanging="375"/>
        <w:spacing w:after="0" w:line="241" w:lineRule="auto"/>
        <w:tabs>
          <w:tab w:leader="none" w:pos="1880" w:val="left"/>
        </w:tabs>
        <w:numPr>
          <w:ilvl w:val="2"/>
          <w:numId w:val="5"/>
        </w:numPr>
        <w:rPr>
          <w:rFonts w:ascii="Arial" w:cs="Arial" w:eastAsia="Arial" w:hAnsi="Arial"/>
          <w:sz w:val="22"/>
          <w:szCs w:val="22"/>
          <w:color w:val="auto"/>
        </w:rPr>
      </w:pPr>
      <w:r>
        <w:rPr>
          <w:rFonts w:ascii="Arial" w:cs="Arial" w:eastAsia="Arial" w:hAnsi="Arial"/>
          <w:sz w:val="22"/>
          <w:szCs w:val="22"/>
          <w:color w:val="auto"/>
        </w:rPr>
        <w:t>Progression free survival (“PFS”): median PFS of 7 mo (5.6 mo, 13.8 mo) for TPST-1120 arm versus 4.27 mo (2.8 mo, 7.3 mo) for the control arm; HR of 0.7 favors TPST-1120 arm and is not yet mature</w:t>
      </w:r>
    </w:p>
    <w:p>
      <w:pPr>
        <w:spacing w:after="0" w:line="115" w:lineRule="exact"/>
        <w:rPr>
          <w:rFonts w:ascii="Arial" w:cs="Arial" w:eastAsia="Arial" w:hAnsi="Arial"/>
          <w:sz w:val="22"/>
          <w:szCs w:val="22"/>
          <w:color w:val="auto"/>
        </w:rPr>
      </w:pPr>
    </w:p>
    <w:p>
      <w:pPr>
        <w:ind w:left="1880" w:right="20" w:hanging="375"/>
        <w:spacing w:after="0" w:line="275" w:lineRule="auto"/>
        <w:tabs>
          <w:tab w:leader="none" w:pos="1880" w:val="left"/>
        </w:tabs>
        <w:numPr>
          <w:ilvl w:val="2"/>
          <w:numId w:val="5"/>
        </w:numPr>
        <w:rPr>
          <w:rFonts w:ascii="Arial" w:cs="Arial" w:eastAsia="Arial" w:hAnsi="Arial"/>
          <w:sz w:val="21"/>
          <w:szCs w:val="21"/>
          <w:color w:val="auto"/>
        </w:rPr>
      </w:pPr>
      <w:r>
        <w:rPr>
          <w:rFonts w:ascii="Arial" w:cs="Arial" w:eastAsia="Arial" w:hAnsi="Arial"/>
          <w:sz w:val="21"/>
          <w:szCs w:val="21"/>
          <w:color w:val="auto"/>
        </w:rPr>
        <w:t>Overall survival (“OS”): median OS not reached for the TPST-1120 arm (10.84 mo, NE) versus 15.1 mo (7.49 mo, NE) for the control arm; HR 0.59 favors TPST-1120 arm and is not yet mature</w:t>
      </w:r>
    </w:p>
    <w:p>
      <w:pPr>
        <w:spacing w:after="0" w:line="67" w:lineRule="exact"/>
        <w:rPr>
          <w:rFonts w:ascii="Arial" w:cs="Arial" w:eastAsia="Arial" w:hAnsi="Arial"/>
          <w:sz w:val="21"/>
          <w:szCs w:val="21"/>
          <w:color w:val="auto"/>
        </w:rPr>
      </w:pPr>
    </w:p>
    <w:p>
      <w:pPr>
        <w:ind w:left="1140"/>
        <w:spacing w:after="0" w:line="251" w:lineRule="auto"/>
        <w:rPr>
          <w:rFonts w:ascii="Arial" w:cs="Arial" w:eastAsia="Arial" w:hAnsi="Arial"/>
          <w:sz w:val="21"/>
          <w:szCs w:val="21"/>
          <w:color w:val="auto"/>
        </w:rPr>
      </w:pPr>
      <w:r>
        <w:rPr>
          <w:rFonts w:ascii="Arial" w:cs="Arial" w:eastAsia="Arial" w:hAnsi="Arial"/>
          <w:sz w:val="22"/>
          <w:szCs w:val="22"/>
          <w:color w:val="auto"/>
        </w:rPr>
        <w:t>40% of the patients in the TPST-1120 arm were on treatment (16/40) compared to 16.7% in the atezolizumab + bevacizumab control arm (5/30)</w:t>
      </w:r>
    </w:p>
    <w:p>
      <w:pPr>
        <w:spacing w:after="0" w:line="105" w:lineRule="exact"/>
        <w:rPr>
          <w:rFonts w:ascii="Arial" w:cs="Arial" w:eastAsia="Arial" w:hAnsi="Arial"/>
          <w:sz w:val="21"/>
          <w:szCs w:val="21"/>
          <w:color w:val="auto"/>
        </w:rPr>
      </w:pPr>
    </w:p>
    <w:p>
      <w:pPr>
        <w:ind w:left="1140"/>
        <w:spacing w:after="0" w:line="251" w:lineRule="auto"/>
        <w:rPr>
          <w:rFonts w:ascii="Arial" w:cs="Arial" w:eastAsia="Arial" w:hAnsi="Arial"/>
          <w:sz w:val="21"/>
          <w:szCs w:val="21"/>
          <w:color w:val="auto"/>
        </w:rPr>
      </w:pPr>
      <w:r>
        <w:rPr>
          <w:rFonts w:ascii="Arial" w:cs="Arial" w:eastAsia="Arial" w:hAnsi="Arial"/>
          <w:sz w:val="22"/>
          <w:szCs w:val="22"/>
          <w:color w:val="auto"/>
        </w:rPr>
        <w:t>72.5% of the patients on the TPST-1120 arm were on study (29/40), compared to 46.7% on the atezolizumab + bevacizumab control arm (14/30)</w:t>
      </w:r>
    </w:p>
    <w:p>
      <w:pPr>
        <w:spacing w:after="0" w:line="105" w:lineRule="exact"/>
        <w:rPr>
          <w:rFonts w:ascii="Arial" w:cs="Arial" w:eastAsia="Arial" w:hAnsi="Arial"/>
          <w:sz w:val="21"/>
          <w:szCs w:val="21"/>
          <w:color w:val="auto"/>
        </w:rPr>
      </w:pPr>
    </w:p>
    <w:p>
      <w:pPr>
        <w:ind w:left="760"/>
        <w:spacing w:after="0"/>
        <w:rPr>
          <w:rFonts w:ascii="Arial" w:cs="Arial" w:eastAsia="Arial" w:hAnsi="Arial"/>
          <w:sz w:val="21"/>
          <w:szCs w:val="21"/>
          <w:color w:val="auto"/>
        </w:rPr>
      </w:pPr>
      <w:r>
        <w:rPr>
          <w:rFonts w:ascii="Arial" w:cs="Arial" w:eastAsia="Arial" w:hAnsi="Arial"/>
          <w:sz w:val="22"/>
          <w:szCs w:val="22"/>
          <w:color w:val="auto"/>
        </w:rPr>
        <w:t>TPST-1120 remains well tolerated, with safety data comparable between the two arms</w:t>
      </w:r>
    </w:p>
    <w:p>
      <w:pPr>
        <w:spacing w:after="0" w:line="115" w:lineRule="exact"/>
        <w:rPr>
          <w:rFonts w:ascii="Arial" w:cs="Arial" w:eastAsia="Arial" w:hAnsi="Arial"/>
          <w:sz w:val="21"/>
          <w:szCs w:val="21"/>
          <w:color w:val="auto"/>
        </w:rPr>
      </w:pPr>
    </w:p>
    <w:p>
      <w:pPr>
        <w:ind w:left="380" w:hanging="372"/>
        <w:spacing w:after="0" w:line="261" w:lineRule="auto"/>
        <w:tabs>
          <w:tab w:leader="none" w:pos="380" w:val="left"/>
        </w:tabs>
        <w:numPr>
          <w:ilvl w:val="0"/>
          <w:numId w:val="5"/>
        </w:numPr>
        <w:rPr>
          <w:rFonts w:ascii="Arial" w:cs="Arial" w:eastAsia="Arial" w:hAnsi="Arial"/>
          <w:sz w:val="22"/>
          <w:szCs w:val="22"/>
          <w:color w:val="auto"/>
        </w:rPr>
      </w:pPr>
      <w:r>
        <w:rPr>
          <w:rFonts w:ascii="Arial" w:cs="Arial" w:eastAsia="Arial" w:hAnsi="Arial"/>
          <w:sz w:val="22"/>
          <w:szCs w:val="22"/>
          <w:b w:val="1"/>
          <w:bCs w:val="1"/>
          <w:color w:val="auto"/>
        </w:rPr>
        <w:t xml:space="preserve">TPST-1495 </w:t>
      </w:r>
      <w:r>
        <w:rPr>
          <w:rFonts w:ascii="Arial" w:cs="Arial" w:eastAsia="Arial" w:hAnsi="Arial"/>
          <w:sz w:val="22"/>
          <w:szCs w:val="22"/>
          <w:color w:val="auto"/>
        </w:rPr>
        <w:t>(clinical dual EP2/4 prostaglandin receptor antagonist): Continued enrollment of an endometrial</w:t>
      </w:r>
      <w:r>
        <w:rPr>
          <w:rFonts w:ascii="Arial" w:cs="Arial" w:eastAsia="Arial" w:hAnsi="Arial"/>
          <w:sz w:val="22"/>
          <w:szCs w:val="22"/>
          <w:b w:val="1"/>
          <w:bCs w:val="1"/>
          <w:color w:val="auto"/>
        </w:rPr>
        <w:t xml:space="preserve"> </w:t>
      </w:r>
      <w:r>
        <w:rPr>
          <w:rFonts w:ascii="Arial" w:cs="Arial" w:eastAsia="Arial" w:hAnsi="Arial"/>
          <w:sz w:val="22"/>
          <w:szCs w:val="22"/>
          <w:color w:val="auto"/>
        </w:rPr>
        <w:t>cancer-specific arm investigating the two highest doses of TPST-1495 in combination with pembrolizumab.</w:t>
      </w:r>
    </w:p>
    <w:p>
      <w:pPr>
        <w:spacing w:after="0" w:line="43" w:lineRule="exact"/>
        <w:rPr>
          <w:rFonts w:ascii="Arial" w:cs="Arial" w:eastAsia="Arial" w:hAnsi="Arial"/>
          <w:sz w:val="22"/>
          <w:szCs w:val="22"/>
          <w:color w:val="auto"/>
        </w:rPr>
      </w:pPr>
    </w:p>
    <w:p>
      <w:pPr>
        <w:jc w:val="both"/>
        <w:ind w:left="380" w:hanging="372"/>
        <w:spacing w:after="0" w:line="238" w:lineRule="auto"/>
        <w:tabs>
          <w:tab w:leader="none" w:pos="380" w:val="left"/>
        </w:tabs>
        <w:numPr>
          <w:ilvl w:val="0"/>
          <w:numId w:val="5"/>
        </w:numPr>
        <w:rPr>
          <w:rFonts w:ascii="Arial" w:cs="Arial" w:eastAsia="Arial" w:hAnsi="Arial"/>
          <w:sz w:val="22"/>
          <w:szCs w:val="22"/>
          <w:color w:val="auto"/>
        </w:rPr>
      </w:pPr>
      <w:r>
        <w:rPr>
          <w:rFonts w:ascii="Arial" w:cs="Arial" w:eastAsia="Arial" w:hAnsi="Arial"/>
          <w:sz w:val="22"/>
          <w:szCs w:val="22"/>
          <w:b w:val="1"/>
          <w:bCs w:val="1"/>
          <w:color w:val="auto"/>
        </w:rPr>
        <w:t xml:space="preserve">Stockholder Rights Plan: </w:t>
      </w:r>
      <w:r>
        <w:rPr>
          <w:rFonts w:ascii="Arial" w:cs="Arial" w:eastAsia="Arial" w:hAnsi="Arial"/>
          <w:sz w:val="22"/>
          <w:szCs w:val="22"/>
          <w:color w:val="auto"/>
        </w:rPr>
        <w:t>Adopted a limited duration stockholder rights plan on October 10, 2023 to enable all</w:t>
      </w:r>
      <w:r>
        <w:rPr>
          <w:rFonts w:ascii="Arial" w:cs="Arial" w:eastAsia="Arial" w:hAnsi="Arial"/>
          <w:sz w:val="22"/>
          <w:szCs w:val="22"/>
          <w:b w:val="1"/>
          <w:bCs w:val="1"/>
          <w:color w:val="auto"/>
        </w:rPr>
        <w:t xml:space="preserve"> </w:t>
      </w:r>
      <w:r>
        <w:rPr>
          <w:rFonts w:ascii="Arial" w:cs="Arial" w:eastAsia="Arial" w:hAnsi="Arial"/>
          <w:sz w:val="22"/>
          <w:szCs w:val="22"/>
          <w:color w:val="auto"/>
        </w:rPr>
        <w:t>Tempest stockholders to realize the long-term value of their investment. The rights plan is intended to reduce the likelihood that any person or group gains control of Tempest through open market accumulation without paying stockholders an appropriate control premium or without providing the Board sufficient time to make informed judgments and take actions that are in the best interests of all stockholders.</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Potential Future Milestones</w:t>
      </w:r>
    </w:p>
    <w:p>
      <w:pPr>
        <w:spacing w:after="0" w:line="98" w:lineRule="exact"/>
        <w:rPr>
          <w:sz w:val="20"/>
          <w:szCs w:val="20"/>
          <w:color w:val="auto"/>
        </w:rPr>
      </w:pPr>
    </w:p>
    <w:p>
      <w:pPr>
        <w:ind w:left="760" w:hanging="378"/>
        <w:spacing w:after="0" w:line="261" w:lineRule="auto"/>
        <w:tabs>
          <w:tab w:leader="none" w:pos="760" w:val="left"/>
        </w:tabs>
        <w:numPr>
          <w:ilvl w:val="0"/>
          <w:numId w:val="6"/>
        </w:numPr>
        <w:rPr>
          <w:rFonts w:ascii="Arial" w:cs="Arial" w:eastAsia="Arial" w:hAnsi="Arial"/>
          <w:sz w:val="22"/>
          <w:szCs w:val="22"/>
          <w:color w:val="auto"/>
        </w:rPr>
      </w:pPr>
      <w:r>
        <w:rPr>
          <w:rFonts w:ascii="Arial" w:cs="Arial" w:eastAsia="Arial" w:hAnsi="Arial"/>
          <w:sz w:val="22"/>
          <w:szCs w:val="22"/>
          <w:b w:val="1"/>
          <w:bCs w:val="1"/>
          <w:color w:val="auto"/>
        </w:rPr>
        <w:t xml:space="preserve">TPST-1120 </w:t>
      </w:r>
      <w:r>
        <w:rPr>
          <w:rFonts w:ascii="Arial" w:cs="Arial" w:eastAsia="Arial" w:hAnsi="Arial"/>
          <w:sz w:val="22"/>
          <w:szCs w:val="22"/>
          <w:color w:val="auto"/>
        </w:rPr>
        <w:t>(clinical PPARα antagonist): Plan to advance TPST-1120 into a registrational study in first-line</w:t>
      </w:r>
      <w:r>
        <w:rPr>
          <w:rFonts w:ascii="Arial" w:cs="Arial" w:eastAsia="Arial" w:hAnsi="Arial"/>
          <w:sz w:val="22"/>
          <w:szCs w:val="22"/>
          <w:b w:val="1"/>
          <w:bCs w:val="1"/>
          <w:color w:val="auto"/>
        </w:rPr>
        <w:t xml:space="preserve"> </w:t>
      </w:r>
      <w:r>
        <w:rPr>
          <w:rFonts w:ascii="Arial" w:cs="Arial" w:eastAsia="Arial" w:hAnsi="Arial"/>
          <w:sz w:val="22"/>
          <w:szCs w:val="22"/>
          <w:color w:val="auto"/>
        </w:rPr>
        <w:t>liver cancer patients, likely in connection with a partnership.</w:t>
      </w:r>
    </w:p>
    <w:p>
      <w:pPr>
        <w:spacing w:after="0" w:line="43" w:lineRule="exact"/>
        <w:rPr>
          <w:rFonts w:ascii="Arial" w:cs="Arial" w:eastAsia="Arial" w:hAnsi="Arial"/>
          <w:sz w:val="22"/>
          <w:szCs w:val="22"/>
          <w:color w:val="auto"/>
        </w:rPr>
      </w:pPr>
    </w:p>
    <w:p>
      <w:pPr>
        <w:ind w:left="760" w:hanging="378"/>
        <w:spacing w:after="0" w:line="285" w:lineRule="auto"/>
        <w:tabs>
          <w:tab w:leader="none" w:pos="760" w:val="left"/>
        </w:tabs>
        <w:numPr>
          <w:ilvl w:val="0"/>
          <w:numId w:val="6"/>
        </w:numPr>
        <w:rPr>
          <w:rFonts w:ascii="Arial" w:cs="Arial" w:eastAsia="Arial" w:hAnsi="Arial"/>
          <w:sz w:val="21"/>
          <w:szCs w:val="21"/>
          <w:color w:val="auto"/>
        </w:rPr>
      </w:pPr>
      <w:r>
        <w:rPr>
          <w:rFonts w:ascii="Arial" w:cs="Arial" w:eastAsia="Arial" w:hAnsi="Arial"/>
          <w:sz w:val="21"/>
          <w:szCs w:val="21"/>
          <w:b w:val="1"/>
          <w:bCs w:val="1"/>
          <w:color w:val="auto"/>
        </w:rPr>
        <w:t xml:space="preserve">TPST-1495 </w:t>
      </w:r>
      <w:r>
        <w:rPr>
          <w:rFonts w:ascii="Arial" w:cs="Arial" w:eastAsia="Arial" w:hAnsi="Arial"/>
          <w:sz w:val="21"/>
          <w:szCs w:val="21"/>
          <w:color w:val="auto"/>
        </w:rPr>
        <w:t>(clinical dual EP2/4 prostaglandin receptor antagonist): Expect to report data from the</w:t>
      </w:r>
      <w:r>
        <w:rPr>
          <w:rFonts w:ascii="Arial" w:cs="Arial" w:eastAsia="Arial" w:hAnsi="Arial"/>
          <w:sz w:val="21"/>
          <w:szCs w:val="21"/>
          <w:b w:val="1"/>
          <w:bCs w:val="1"/>
          <w:color w:val="auto"/>
        </w:rPr>
        <w:t xml:space="preserve"> </w:t>
      </w:r>
      <w:r>
        <w:rPr>
          <w:rFonts w:ascii="Arial" w:cs="Arial" w:eastAsia="Arial" w:hAnsi="Arial"/>
          <w:sz w:val="21"/>
          <w:szCs w:val="21"/>
          <w:color w:val="auto"/>
        </w:rPr>
        <w:t>combination arm at the two highest TPST-1495 doses in patients with advanced endometrial cancer in 2024.</w:t>
      </w:r>
    </w:p>
    <w:p>
      <w:pPr>
        <w:spacing w:after="0" w:line="20" w:lineRule="exact"/>
        <w:rPr>
          <w:rFonts w:ascii="Arial" w:cs="Arial" w:eastAsia="Arial" w:hAnsi="Arial"/>
          <w:sz w:val="21"/>
          <w:szCs w:val="21"/>
          <w:color w:val="auto"/>
        </w:rPr>
      </w:pPr>
    </w:p>
    <w:p>
      <w:pPr>
        <w:ind w:left="760" w:right="20" w:hanging="378"/>
        <w:spacing w:after="0" w:line="261" w:lineRule="auto"/>
        <w:tabs>
          <w:tab w:leader="none" w:pos="760" w:val="left"/>
        </w:tabs>
        <w:numPr>
          <w:ilvl w:val="0"/>
          <w:numId w:val="6"/>
        </w:numPr>
        <w:rPr>
          <w:rFonts w:ascii="Arial" w:cs="Arial" w:eastAsia="Arial" w:hAnsi="Arial"/>
          <w:sz w:val="22"/>
          <w:szCs w:val="22"/>
          <w:color w:val="auto"/>
        </w:rPr>
      </w:pPr>
      <w:r>
        <w:rPr>
          <w:rFonts w:ascii="Arial" w:cs="Arial" w:eastAsia="Arial" w:hAnsi="Arial"/>
          <w:sz w:val="22"/>
          <w:szCs w:val="22"/>
          <w:b w:val="1"/>
          <w:bCs w:val="1"/>
          <w:color w:val="auto"/>
        </w:rPr>
        <w:t xml:space="preserve">TREX1 Inhibitor </w:t>
      </w:r>
      <w:r>
        <w:rPr>
          <w:rFonts w:ascii="Arial" w:cs="Arial" w:eastAsia="Arial" w:hAnsi="Arial"/>
          <w:sz w:val="22"/>
          <w:szCs w:val="22"/>
          <w:color w:val="auto"/>
        </w:rPr>
        <w:t>(preclinical tumor-selective STING pathway activator): Plan to advance new proprietary</w:t>
      </w:r>
      <w:r>
        <w:rPr>
          <w:rFonts w:ascii="Arial" w:cs="Arial" w:eastAsia="Arial" w:hAnsi="Arial"/>
          <w:sz w:val="22"/>
          <w:szCs w:val="22"/>
          <w:b w:val="1"/>
          <w:bCs w:val="1"/>
          <w:color w:val="auto"/>
        </w:rPr>
        <w:t xml:space="preserve"> </w:t>
      </w:r>
      <w:r>
        <w:rPr>
          <w:rFonts w:ascii="Arial" w:cs="Arial" w:eastAsia="Arial" w:hAnsi="Arial"/>
          <w:sz w:val="22"/>
          <w:szCs w:val="22"/>
          <w:color w:val="auto"/>
        </w:rPr>
        <w:t>small molecule series TREX1 inhibitors generated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241300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5" w:name="page6"/>
    <w:bookmarkEnd w:id="5"/>
    <w:p>
      <w:pPr>
        <w:ind w:left="760" w:right="20"/>
        <w:spacing w:after="0" w:line="251" w:lineRule="auto"/>
        <w:rPr>
          <w:sz w:val="20"/>
          <w:szCs w:val="20"/>
          <w:color w:val="auto"/>
        </w:rPr>
      </w:pPr>
      <w:r>
        <w:rPr>
          <w:rFonts w:ascii="Arial" w:cs="Arial" w:eastAsia="Arial" w:hAnsi="Arial"/>
          <w:sz w:val="22"/>
          <w:szCs w:val="22"/>
          <w:color w:val="auto"/>
        </w:rPr>
        <w:t>through insights resulting from human TREX1-inhibitor co-crystal structures with the goal to select a lead or development candidate by the end of 2023 or early 2024.</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Interim Cash Guidance</w:t>
      </w:r>
    </w:p>
    <w:p>
      <w:pPr>
        <w:spacing w:after="0" w:line="216" w:lineRule="exact"/>
        <w:rPr>
          <w:sz w:val="20"/>
          <w:szCs w:val="20"/>
          <w:color w:val="auto"/>
        </w:rPr>
      </w:pPr>
    </w:p>
    <w:p>
      <w:pPr>
        <w:jc w:val="both"/>
        <w:ind w:left="760" w:hanging="378"/>
        <w:spacing w:after="0" w:line="238" w:lineRule="auto"/>
        <w:tabs>
          <w:tab w:leader="none" w:pos="760" w:val="left"/>
        </w:tabs>
        <w:numPr>
          <w:ilvl w:val="0"/>
          <w:numId w:val="7"/>
        </w:numPr>
        <w:rPr>
          <w:rFonts w:ascii="Arial" w:cs="Arial" w:eastAsia="Arial" w:hAnsi="Arial"/>
          <w:sz w:val="22"/>
          <w:szCs w:val="22"/>
          <w:color w:val="auto"/>
        </w:rPr>
      </w:pPr>
      <w:r>
        <w:rPr>
          <w:rFonts w:ascii="Arial" w:cs="Arial" w:eastAsia="Arial" w:hAnsi="Arial"/>
          <w:sz w:val="22"/>
          <w:szCs w:val="22"/>
          <w:color w:val="auto"/>
        </w:rPr>
        <w:t>As of November 7, 2023, preliminary cash and cash equivalents were $32.8 million, which reflects $23.9 million of net proceeds raised pursuant to the Company’s at-the-market (ATM) program. The results for the quarter-to-date period are preliminary, unaudited and are not necessarily indicative of the results that may be expected for the full quarter or year ending December 31, 2023.</w:t>
      </w:r>
    </w:p>
    <w:p>
      <w:pPr>
        <w:spacing w:after="0" w:line="76" w:lineRule="exact"/>
        <w:rPr>
          <w:rFonts w:ascii="Arial" w:cs="Arial" w:eastAsia="Arial" w:hAnsi="Arial"/>
          <w:sz w:val="22"/>
          <w:szCs w:val="22"/>
          <w:color w:val="auto"/>
        </w:rPr>
      </w:pPr>
    </w:p>
    <w:p>
      <w:pPr>
        <w:ind w:left="760" w:hanging="378"/>
        <w:spacing w:after="0" w:line="251" w:lineRule="auto"/>
        <w:tabs>
          <w:tab w:leader="none" w:pos="760" w:val="left"/>
        </w:tabs>
        <w:numPr>
          <w:ilvl w:val="0"/>
          <w:numId w:val="7"/>
        </w:numPr>
        <w:rPr>
          <w:rFonts w:ascii="Arial" w:cs="Arial" w:eastAsia="Arial" w:hAnsi="Arial"/>
          <w:sz w:val="22"/>
          <w:szCs w:val="22"/>
          <w:color w:val="auto"/>
        </w:rPr>
      </w:pPr>
      <w:r>
        <w:rPr>
          <w:rFonts w:ascii="Arial" w:cs="Arial" w:eastAsia="Arial" w:hAnsi="Arial"/>
          <w:sz w:val="22"/>
          <w:szCs w:val="22"/>
          <w:color w:val="auto"/>
        </w:rPr>
        <w:t>New capital plus the cash and cash equivalents as of the end of the third quarter of 2023 extends the Company’s cash runway into 2025.</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Results</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Third Quarter 2023</w:t>
      </w:r>
    </w:p>
    <w:p>
      <w:pPr>
        <w:spacing w:after="0" w:line="94" w:lineRule="exact"/>
        <w:rPr>
          <w:sz w:val="20"/>
          <w:szCs w:val="20"/>
          <w:color w:val="auto"/>
        </w:rPr>
      </w:pPr>
    </w:p>
    <w:p>
      <w:pPr>
        <w:ind w:left="760" w:right="20" w:hanging="378"/>
        <w:spacing w:after="0" w:line="261" w:lineRule="auto"/>
        <w:tabs>
          <w:tab w:leader="none" w:pos="760" w:val="left"/>
        </w:tabs>
        <w:numPr>
          <w:ilvl w:val="0"/>
          <w:numId w:val="8"/>
        </w:numPr>
        <w:rPr>
          <w:rFonts w:ascii="Arial" w:cs="Arial" w:eastAsia="Arial" w:hAnsi="Arial"/>
          <w:sz w:val="22"/>
          <w:szCs w:val="22"/>
          <w:color w:val="auto"/>
        </w:rPr>
      </w:pPr>
      <w:r>
        <w:rPr>
          <w:rFonts w:ascii="Arial" w:cs="Arial" w:eastAsia="Arial" w:hAnsi="Arial"/>
          <w:sz w:val="22"/>
          <w:szCs w:val="22"/>
          <w:b w:val="1"/>
          <w:bCs w:val="1"/>
          <w:color w:val="auto"/>
        </w:rPr>
        <w:t xml:space="preserve">Cash and cash equivalents </w:t>
      </w:r>
      <w:r>
        <w:rPr>
          <w:rFonts w:ascii="Arial" w:cs="Arial" w:eastAsia="Arial" w:hAnsi="Arial"/>
          <w:sz w:val="22"/>
          <w:szCs w:val="22"/>
          <w:color w:val="auto"/>
        </w:rPr>
        <w:t>at the end of the third quarter were $11.1 million, compared to $31.2 million on</w:t>
      </w:r>
      <w:r>
        <w:rPr>
          <w:rFonts w:ascii="Arial" w:cs="Arial" w:eastAsia="Arial" w:hAnsi="Arial"/>
          <w:sz w:val="22"/>
          <w:szCs w:val="22"/>
          <w:b w:val="1"/>
          <w:bCs w:val="1"/>
          <w:color w:val="auto"/>
        </w:rPr>
        <w:t xml:space="preserve"> </w:t>
      </w:r>
      <w:r>
        <w:rPr>
          <w:rFonts w:ascii="Arial" w:cs="Arial" w:eastAsia="Arial" w:hAnsi="Arial"/>
          <w:sz w:val="22"/>
          <w:szCs w:val="22"/>
          <w:color w:val="auto"/>
        </w:rPr>
        <w:t>December 31, 2022.</w:t>
      </w:r>
    </w:p>
    <w:p>
      <w:pPr>
        <w:spacing w:after="0" w:line="43" w:lineRule="exact"/>
        <w:rPr>
          <w:rFonts w:ascii="Arial" w:cs="Arial" w:eastAsia="Arial" w:hAnsi="Arial"/>
          <w:sz w:val="22"/>
          <w:szCs w:val="22"/>
          <w:color w:val="auto"/>
        </w:rPr>
      </w:pPr>
    </w:p>
    <w:p>
      <w:pPr>
        <w:ind w:left="760" w:hanging="378"/>
        <w:spacing w:after="0" w:line="261" w:lineRule="auto"/>
        <w:tabs>
          <w:tab w:leader="none" w:pos="760" w:val="left"/>
        </w:tabs>
        <w:numPr>
          <w:ilvl w:val="0"/>
          <w:numId w:val="8"/>
        </w:numPr>
        <w:rPr>
          <w:rFonts w:ascii="Arial" w:cs="Arial" w:eastAsia="Arial" w:hAnsi="Arial"/>
          <w:sz w:val="22"/>
          <w:szCs w:val="22"/>
          <w:color w:val="auto"/>
        </w:rPr>
      </w:pPr>
      <w:r>
        <w:rPr>
          <w:rFonts w:ascii="Arial" w:cs="Arial" w:eastAsia="Arial" w:hAnsi="Arial"/>
          <w:sz w:val="22"/>
          <w:szCs w:val="22"/>
          <w:b w:val="1"/>
          <w:bCs w:val="1"/>
          <w:color w:val="auto"/>
        </w:rPr>
        <w:t xml:space="preserve">Net loss and net loss per share </w:t>
      </w:r>
      <w:r>
        <w:rPr>
          <w:rFonts w:ascii="Arial" w:cs="Arial" w:eastAsia="Arial" w:hAnsi="Arial"/>
          <w:sz w:val="22"/>
          <w:szCs w:val="22"/>
          <w:color w:val="auto"/>
        </w:rPr>
        <w:t>for the quarter ended September 30, 2023 were $6.8 million and $0.48,</w:t>
      </w:r>
      <w:r>
        <w:rPr>
          <w:rFonts w:ascii="Arial" w:cs="Arial" w:eastAsia="Arial" w:hAnsi="Arial"/>
          <w:sz w:val="22"/>
          <w:szCs w:val="22"/>
          <w:b w:val="1"/>
          <w:bCs w:val="1"/>
          <w:color w:val="auto"/>
        </w:rPr>
        <w:t xml:space="preserve"> </w:t>
      </w:r>
      <w:r>
        <w:rPr>
          <w:rFonts w:ascii="Arial" w:cs="Arial" w:eastAsia="Arial" w:hAnsi="Arial"/>
          <w:sz w:val="22"/>
          <w:szCs w:val="22"/>
          <w:color w:val="auto"/>
        </w:rPr>
        <w:t>respectively, compared to $8.9 million and $0.66, respectively, for the same period in 2022.</w:t>
      </w:r>
    </w:p>
    <w:p>
      <w:pPr>
        <w:spacing w:after="0" w:line="43" w:lineRule="exact"/>
        <w:rPr>
          <w:rFonts w:ascii="Arial" w:cs="Arial" w:eastAsia="Arial" w:hAnsi="Arial"/>
          <w:sz w:val="22"/>
          <w:szCs w:val="22"/>
          <w:color w:val="auto"/>
        </w:rPr>
      </w:pPr>
    </w:p>
    <w:p>
      <w:pPr>
        <w:jc w:val="both"/>
        <w:ind w:left="760" w:hanging="378"/>
        <w:spacing w:after="0" w:line="245" w:lineRule="auto"/>
        <w:tabs>
          <w:tab w:leader="none" w:pos="760" w:val="left"/>
        </w:tabs>
        <w:numPr>
          <w:ilvl w:val="0"/>
          <w:numId w:val="8"/>
        </w:numPr>
        <w:rPr>
          <w:rFonts w:ascii="Arial" w:cs="Arial" w:eastAsia="Arial" w:hAnsi="Arial"/>
          <w:sz w:val="22"/>
          <w:szCs w:val="22"/>
          <w:color w:val="auto"/>
        </w:rPr>
      </w:pPr>
      <w:r>
        <w:rPr>
          <w:rFonts w:ascii="Arial" w:cs="Arial" w:eastAsia="Arial" w:hAnsi="Arial"/>
          <w:sz w:val="22"/>
          <w:szCs w:val="22"/>
          <w:b w:val="1"/>
          <w:bCs w:val="1"/>
          <w:color w:val="auto"/>
        </w:rPr>
        <w:t xml:space="preserve">Research and development expenses </w:t>
      </w:r>
      <w:r>
        <w:rPr>
          <w:rFonts w:ascii="Arial" w:cs="Arial" w:eastAsia="Arial" w:hAnsi="Arial"/>
          <w:sz w:val="22"/>
          <w:szCs w:val="22"/>
          <w:color w:val="auto"/>
        </w:rPr>
        <w:t>for the quarter ended September 30, 2023 were $4.2 million</w:t>
      </w:r>
      <w:r>
        <w:rPr>
          <w:rFonts w:ascii="Arial" w:cs="Arial" w:eastAsia="Arial" w:hAnsi="Arial"/>
          <w:sz w:val="22"/>
          <w:szCs w:val="22"/>
          <w:b w:val="1"/>
          <w:bCs w:val="1"/>
          <w:color w:val="auto"/>
        </w:rPr>
        <w:t xml:space="preserve"> </w:t>
      </w:r>
      <w:r>
        <w:rPr>
          <w:rFonts w:ascii="Arial" w:cs="Arial" w:eastAsia="Arial" w:hAnsi="Arial"/>
          <w:sz w:val="22"/>
          <w:szCs w:val="22"/>
          <w:color w:val="auto"/>
        </w:rPr>
        <w:t>compared to $6.0 million for the same period in 2022. The $1.8 million decrease was primarily due to a decrease in costs incurred from contract research organizations and third-party vendors.</w:t>
      </w:r>
    </w:p>
    <w:p>
      <w:pPr>
        <w:spacing w:after="0" w:line="62" w:lineRule="exact"/>
        <w:rPr>
          <w:rFonts w:ascii="Arial" w:cs="Arial" w:eastAsia="Arial" w:hAnsi="Arial"/>
          <w:sz w:val="22"/>
          <w:szCs w:val="22"/>
          <w:color w:val="auto"/>
        </w:rPr>
      </w:pPr>
    </w:p>
    <w:p>
      <w:pPr>
        <w:jc w:val="both"/>
        <w:ind w:left="760" w:hanging="378"/>
        <w:spacing w:after="0" w:line="245" w:lineRule="auto"/>
        <w:tabs>
          <w:tab w:leader="none" w:pos="760" w:val="left"/>
        </w:tabs>
        <w:numPr>
          <w:ilvl w:val="0"/>
          <w:numId w:val="8"/>
        </w:numPr>
        <w:rPr>
          <w:rFonts w:ascii="Arial" w:cs="Arial" w:eastAsia="Arial" w:hAnsi="Arial"/>
          <w:sz w:val="22"/>
          <w:szCs w:val="22"/>
          <w:color w:val="auto"/>
        </w:rPr>
      </w:pPr>
      <w:r>
        <w:rPr>
          <w:rFonts w:ascii="Arial" w:cs="Arial" w:eastAsia="Arial" w:hAnsi="Arial"/>
          <w:sz w:val="22"/>
          <w:szCs w:val="22"/>
          <w:b w:val="1"/>
          <w:bCs w:val="1"/>
          <w:color w:val="auto"/>
        </w:rPr>
        <w:t xml:space="preserve">General and administrative expenses </w:t>
      </w:r>
      <w:r>
        <w:rPr>
          <w:rFonts w:ascii="Arial" w:cs="Arial" w:eastAsia="Arial" w:hAnsi="Arial"/>
          <w:sz w:val="22"/>
          <w:szCs w:val="22"/>
          <w:color w:val="auto"/>
        </w:rPr>
        <w:t>for the quarter ended September 30, 2023 were $2.4 million</w:t>
      </w:r>
      <w:r>
        <w:rPr>
          <w:rFonts w:ascii="Arial" w:cs="Arial" w:eastAsia="Arial" w:hAnsi="Arial"/>
          <w:sz w:val="22"/>
          <w:szCs w:val="22"/>
          <w:b w:val="1"/>
          <w:bCs w:val="1"/>
          <w:color w:val="auto"/>
        </w:rPr>
        <w:t xml:space="preserve"> </w:t>
      </w:r>
      <w:r>
        <w:rPr>
          <w:rFonts w:ascii="Arial" w:cs="Arial" w:eastAsia="Arial" w:hAnsi="Arial"/>
          <w:sz w:val="22"/>
          <w:szCs w:val="22"/>
          <w:color w:val="auto"/>
        </w:rPr>
        <w:t>compared to $2.8 million for the same period in 2022. The decrease was primarily due to a decrease in consulting and professional expenses and personnel costs.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Year-to-Date</w:t>
      </w:r>
    </w:p>
    <w:p>
      <w:pPr>
        <w:spacing w:after="0" w:line="94" w:lineRule="exact"/>
        <w:rPr>
          <w:sz w:val="20"/>
          <w:szCs w:val="20"/>
          <w:color w:val="auto"/>
        </w:rPr>
      </w:pPr>
    </w:p>
    <w:p>
      <w:pPr>
        <w:ind w:left="760" w:hanging="378"/>
        <w:spacing w:after="0"/>
        <w:tabs>
          <w:tab w:leader="none" w:pos="760" w:val="left"/>
        </w:tabs>
        <w:numPr>
          <w:ilvl w:val="0"/>
          <w:numId w:val="9"/>
        </w:numPr>
        <w:rPr>
          <w:rFonts w:ascii="Arial" w:cs="Arial" w:eastAsia="Arial" w:hAnsi="Arial"/>
          <w:sz w:val="22"/>
          <w:szCs w:val="22"/>
          <w:color w:val="auto"/>
        </w:rPr>
      </w:pPr>
      <w:r>
        <w:rPr>
          <w:rFonts w:ascii="Arial" w:cs="Arial" w:eastAsia="Arial" w:hAnsi="Arial"/>
          <w:sz w:val="22"/>
          <w:szCs w:val="22"/>
          <w:b w:val="1"/>
          <w:bCs w:val="1"/>
          <w:color w:val="auto"/>
        </w:rPr>
        <w:t xml:space="preserve">Net cash </w:t>
      </w:r>
      <w:r>
        <w:rPr>
          <w:rFonts w:ascii="Arial" w:cs="Arial" w:eastAsia="Arial" w:hAnsi="Arial"/>
          <w:sz w:val="22"/>
          <w:szCs w:val="22"/>
          <w:color w:val="auto"/>
        </w:rPr>
        <w:t>used in operations for the nine months ended September 30, 2023 was $21.2 million.</w:t>
      </w:r>
    </w:p>
    <w:p>
      <w:pPr>
        <w:spacing w:after="0" w:line="98" w:lineRule="exact"/>
        <w:rPr>
          <w:rFonts w:ascii="Arial" w:cs="Arial" w:eastAsia="Arial" w:hAnsi="Arial"/>
          <w:sz w:val="22"/>
          <w:szCs w:val="22"/>
          <w:color w:val="auto"/>
        </w:rPr>
      </w:pPr>
    </w:p>
    <w:p>
      <w:pPr>
        <w:ind w:left="760" w:hanging="378"/>
        <w:spacing w:after="0" w:line="261" w:lineRule="auto"/>
        <w:tabs>
          <w:tab w:leader="none" w:pos="760" w:val="left"/>
        </w:tabs>
        <w:numPr>
          <w:ilvl w:val="0"/>
          <w:numId w:val="9"/>
        </w:numPr>
        <w:rPr>
          <w:rFonts w:ascii="Arial" w:cs="Arial" w:eastAsia="Arial" w:hAnsi="Arial"/>
          <w:sz w:val="22"/>
          <w:szCs w:val="22"/>
          <w:color w:val="auto"/>
        </w:rPr>
      </w:pPr>
      <w:r>
        <w:rPr>
          <w:rFonts w:ascii="Arial" w:cs="Arial" w:eastAsia="Arial" w:hAnsi="Arial"/>
          <w:sz w:val="22"/>
          <w:szCs w:val="22"/>
          <w:b w:val="1"/>
          <w:bCs w:val="1"/>
          <w:color w:val="auto"/>
        </w:rPr>
        <w:t xml:space="preserve">Net loss and net loss per share </w:t>
      </w:r>
      <w:r>
        <w:rPr>
          <w:rFonts w:ascii="Arial" w:cs="Arial" w:eastAsia="Arial" w:hAnsi="Arial"/>
          <w:sz w:val="22"/>
          <w:szCs w:val="22"/>
          <w:color w:val="auto"/>
        </w:rPr>
        <w:t>for the nine months ended September 30, 2023 were $22.0 million and</w:t>
      </w:r>
      <w:r>
        <w:rPr>
          <w:rFonts w:ascii="Arial" w:cs="Arial" w:eastAsia="Arial" w:hAnsi="Arial"/>
          <w:sz w:val="22"/>
          <w:szCs w:val="22"/>
          <w:b w:val="1"/>
          <w:bCs w:val="1"/>
          <w:color w:val="auto"/>
        </w:rPr>
        <w:t xml:space="preserve"> </w:t>
      </w:r>
      <w:r>
        <w:rPr>
          <w:rFonts w:ascii="Arial" w:cs="Arial" w:eastAsia="Arial" w:hAnsi="Arial"/>
          <w:sz w:val="22"/>
          <w:szCs w:val="22"/>
          <w:color w:val="auto"/>
        </w:rPr>
        <w:t>$1.57, respectively, compared to $26.6 million and $2.46, respectively, for the same period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241300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jc w:val="both"/>
        <w:ind w:left="760" w:right="20" w:hanging="378"/>
        <w:spacing w:after="0"/>
        <w:tabs>
          <w:tab w:leader="none" w:pos="760" w:val="left"/>
        </w:tabs>
        <w:numPr>
          <w:ilvl w:val="0"/>
          <w:numId w:val="10"/>
        </w:numPr>
        <w:rPr>
          <w:rFonts w:ascii="Arial" w:cs="Arial" w:eastAsia="Arial" w:hAnsi="Arial"/>
          <w:sz w:val="22"/>
          <w:szCs w:val="22"/>
          <w:color w:val="auto"/>
        </w:rPr>
      </w:pPr>
      <w:r>
        <w:rPr>
          <w:rFonts w:ascii="Arial" w:cs="Arial" w:eastAsia="Arial" w:hAnsi="Arial"/>
          <w:sz w:val="22"/>
          <w:szCs w:val="22"/>
          <w:b w:val="1"/>
          <w:bCs w:val="1"/>
          <w:color w:val="auto"/>
        </w:rPr>
        <w:t xml:space="preserve">Research and development expenses </w:t>
      </w:r>
      <w:r>
        <w:rPr>
          <w:rFonts w:ascii="Arial" w:cs="Arial" w:eastAsia="Arial" w:hAnsi="Arial"/>
          <w:sz w:val="22"/>
          <w:szCs w:val="22"/>
          <w:color w:val="auto"/>
        </w:rPr>
        <w:t>for the nine months ended September 30, 2023 were $13.3 million</w:t>
      </w:r>
      <w:r>
        <w:rPr>
          <w:rFonts w:ascii="Arial" w:cs="Arial" w:eastAsia="Arial" w:hAnsi="Arial"/>
          <w:sz w:val="22"/>
          <w:szCs w:val="22"/>
          <w:b w:val="1"/>
          <w:bCs w:val="1"/>
          <w:color w:val="auto"/>
        </w:rPr>
        <w:t xml:space="preserve"> </w:t>
      </w:r>
      <w:r>
        <w:rPr>
          <w:rFonts w:ascii="Arial" w:cs="Arial" w:eastAsia="Arial" w:hAnsi="Arial"/>
          <w:sz w:val="22"/>
          <w:szCs w:val="22"/>
          <w:color w:val="auto"/>
        </w:rPr>
        <w:t>compared to $16.7 million for the same period in 2022. The $3.4 million decrease was primarily due to a decrease in costs incurred from contract research organizations and third-party vendors, partially offset by an increase in facilities expenses.</w:t>
      </w:r>
    </w:p>
    <w:p>
      <w:pPr>
        <w:spacing w:after="0" w:line="68" w:lineRule="exact"/>
        <w:rPr>
          <w:rFonts w:ascii="Arial" w:cs="Arial" w:eastAsia="Arial" w:hAnsi="Arial"/>
          <w:sz w:val="22"/>
          <w:szCs w:val="22"/>
          <w:color w:val="auto"/>
        </w:rPr>
      </w:pPr>
    </w:p>
    <w:p>
      <w:pPr>
        <w:jc w:val="both"/>
        <w:ind w:left="760" w:hanging="378"/>
        <w:spacing w:after="0" w:line="245" w:lineRule="auto"/>
        <w:tabs>
          <w:tab w:leader="none" w:pos="760" w:val="left"/>
        </w:tabs>
        <w:numPr>
          <w:ilvl w:val="0"/>
          <w:numId w:val="10"/>
        </w:numPr>
        <w:rPr>
          <w:rFonts w:ascii="Arial" w:cs="Arial" w:eastAsia="Arial" w:hAnsi="Arial"/>
          <w:sz w:val="22"/>
          <w:szCs w:val="22"/>
          <w:color w:val="auto"/>
        </w:rPr>
      </w:pPr>
      <w:r>
        <w:rPr>
          <w:rFonts w:ascii="Arial" w:cs="Arial" w:eastAsia="Arial" w:hAnsi="Arial"/>
          <w:sz w:val="22"/>
          <w:szCs w:val="22"/>
          <w:b w:val="1"/>
          <w:bCs w:val="1"/>
          <w:color w:val="auto"/>
        </w:rPr>
        <w:t xml:space="preserve">General and administrative expenses </w:t>
      </w:r>
      <w:r>
        <w:rPr>
          <w:rFonts w:ascii="Arial" w:cs="Arial" w:eastAsia="Arial" w:hAnsi="Arial"/>
          <w:sz w:val="22"/>
          <w:szCs w:val="22"/>
          <w:color w:val="auto"/>
        </w:rPr>
        <w:t>for the nine months ended September 30, 2023 were $8.3 million</w:t>
      </w:r>
      <w:r>
        <w:rPr>
          <w:rFonts w:ascii="Arial" w:cs="Arial" w:eastAsia="Arial" w:hAnsi="Arial"/>
          <w:sz w:val="22"/>
          <w:szCs w:val="22"/>
          <w:b w:val="1"/>
          <w:bCs w:val="1"/>
          <w:color w:val="auto"/>
        </w:rPr>
        <w:t xml:space="preserve"> </w:t>
      </w:r>
      <w:r>
        <w:rPr>
          <w:rFonts w:ascii="Arial" w:cs="Arial" w:eastAsia="Arial" w:hAnsi="Arial"/>
          <w:sz w:val="22"/>
          <w:szCs w:val="22"/>
          <w:color w:val="auto"/>
        </w:rPr>
        <w:t>compared to $9.0 million for the same period in 2022. The $0.7 million decrease was primarily due to a decrease in consulting and professional expenses.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Tempest Therapeutics</w:t>
      </w:r>
    </w:p>
    <w:p>
      <w:pPr>
        <w:spacing w:after="0" w:line="108"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Tempest Therapeutics is a clinical-stage oncology company advancing small molecules that combine both tumor-targeted and immune-mediated mechanisms with the potential to treat a wide range of tumors. The company has a diverse portfolio of novel programs ranging from early research to investigation in a randomized global study in first-line cancer patients. The company’s two clinical programs, TPST-1120 and TPST-1495, target PPARα and EP2/EP4, respectively, and are advancing through trials designed to study the agents as monotherapies and in combination with approved agents. Tempest is also developing an orally available inhibitor of TREX1, a target that controls activation of the cGAS/STING pathway. Tempest is headquartered in Brisbane, California. More information about Tempest can be found on the company’s website at www.tempesttx.com.</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43"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This press release contains forward-looking statements (including within the meaning of Section 21E of the Securities Exchange Act of 1934, as amended, and Section 27A of the Securities Act of 1933, as amended (the “Securities Act”)) concerning Tempest Therapeutics, Inc. These statements may discuss goals, intentions, and expectations as to future plans, trends, events, results of operations or financial condition, or otherwise, based on current beliefs of the management of Tempest Therapeutics, as well as assumptions made by, and information currently available to, management of Tempest Therapeutics. Forward-looking statements generally include statements that are predictive in nature and depend upon or refer to future events or conditions, and include words such as “may,” “will,” “should,” “would,” “could”, “expect,” “anticipate,” “plan,” “likely,” “believe,” “estimate,” “project,” “intend,” and other similar expressions. All statements that are not historical facts are forward-looking statements, including any statements regarding: the design, initiation, progress, timing, scope and results of clinical trials; anticipated therapeutic benefit and regulatory development of the Company’s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283845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color w:val="auto"/>
        </w:rPr>
        <w:t>product candidates; the Company’s ability to deliver on potential value-creating milestones; the Company’s ability to</w:t>
      </w:r>
    </w:p>
    <w:p>
      <w:pPr>
        <w:spacing w:after="0" w:line="23"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achieve its operational plans; the Company’s ability to find a suitable partner to develop TPST-1120 in first-line liver cancer patients; and the Company’s preliminary cash and cash equivalents as of November 7, 2023. Forward-looking statements are based on information available to Tempest Therapeutics as of the date hereof and are not guarantees of future performance. Any factors may cause differences between current expectations and actual results, including: unexpected safety or efficacy data observed during preclinical or clinical trials; clinical trial site activation or enrollment rates that are lower than expected; changes in expected or existing competition; changes in the regulatory environment; and unexpected litigation or other disputes. Other factors that may cause actual results to differ from those expressed or implied are discussed in greater detail in the “Risk Factors” section of the Company’s Quarterly Report on Form 10-Q for the quarter ended September 30, 2023 and other documents filed by the Company from time to time with the Securities and Exchange Commission. Except as required by applicable law, Tempest Therapeutics undertakes no obligation to revise or update any forward-looking statement, or to make any other forward-looking statements, whether as a result of new information, future events or otherwise. These forward-looking statements should not be relied upon as representing Tempest Therapeutics’ views as of any date subsequent to the date of this press release and should not be relied upon as prediction of future events. In light of the foregoing, investors are urged not to rely on any forward-looking statement in reaching any conclusion or making any investment decision about any securities of Tempest Therapeutics.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694055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p>
      <w:pPr>
        <w:jc w:val="center"/>
        <w:ind w:right="100"/>
        <w:spacing w:after="0"/>
        <w:rPr>
          <w:sz w:val="20"/>
          <w:szCs w:val="20"/>
          <w:color w:val="auto"/>
        </w:rPr>
      </w:pPr>
      <w:r>
        <w:rPr>
          <w:rFonts w:ascii="Arial" w:cs="Arial" w:eastAsia="Arial" w:hAnsi="Arial"/>
          <w:sz w:val="25"/>
          <w:szCs w:val="25"/>
          <w:b w:val="1"/>
          <w:bCs w:val="1"/>
          <w:color w:val="auto"/>
        </w:rPr>
        <w:t>TEMPEST THERAPEUTICS, INC.</w:t>
      </w:r>
    </w:p>
    <w:p>
      <w:pPr>
        <w:spacing w:after="0" w:line="67" w:lineRule="exact"/>
        <w:rPr>
          <w:sz w:val="20"/>
          <w:szCs w:val="20"/>
          <w:color w:val="auto"/>
        </w:rPr>
      </w:pPr>
    </w:p>
    <w:p>
      <w:pPr>
        <w:jc w:val="center"/>
        <w:ind w:right="100"/>
        <w:spacing w:after="0"/>
        <w:rPr>
          <w:sz w:val="20"/>
          <w:szCs w:val="20"/>
          <w:color w:val="auto"/>
        </w:rPr>
      </w:pPr>
      <w:r>
        <w:rPr>
          <w:rFonts w:ascii="Arial" w:cs="Arial" w:eastAsia="Arial" w:hAnsi="Arial"/>
          <w:sz w:val="25"/>
          <w:szCs w:val="25"/>
          <w:b w:val="1"/>
          <w:bCs w:val="1"/>
          <w:color w:val="auto"/>
        </w:rPr>
        <w:t>Consolidated Balance Sheets</w:t>
      </w:r>
    </w:p>
    <w:p>
      <w:pPr>
        <w:spacing w:after="0" w:line="37" w:lineRule="exact"/>
        <w:rPr>
          <w:sz w:val="20"/>
          <w:szCs w:val="20"/>
          <w:color w:val="auto"/>
        </w:rPr>
      </w:pPr>
    </w:p>
    <w:p>
      <w:pPr>
        <w:jc w:val="center"/>
        <w:ind w:right="100"/>
        <w:spacing w:after="0"/>
        <w:rPr>
          <w:sz w:val="20"/>
          <w:szCs w:val="20"/>
          <w:color w:val="auto"/>
        </w:rPr>
      </w:pPr>
      <w:r>
        <w:rPr>
          <w:rFonts w:ascii="Arial" w:cs="Arial" w:eastAsia="Arial" w:hAnsi="Arial"/>
          <w:sz w:val="25"/>
          <w:szCs w:val="25"/>
          <w:b w:val="1"/>
          <w:bCs w:val="1"/>
          <w:color w:val="auto"/>
        </w:rPr>
        <w:t>(in thousands)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200" w:type="dxa"/>
            <w:vAlign w:val="bottom"/>
            <w:vMerge w:val="restart"/>
          </w:tcPr>
          <w:p>
            <w:pPr>
              <w:ind w:left="2760"/>
              <w:spacing w:after="0"/>
              <w:rPr>
                <w:sz w:val="20"/>
                <w:szCs w:val="20"/>
                <w:color w:val="auto"/>
              </w:rPr>
            </w:pPr>
            <w:r>
              <w:rPr>
                <w:rFonts w:ascii="Arial" w:cs="Arial" w:eastAsia="Arial" w:hAnsi="Arial"/>
                <w:sz w:val="22"/>
                <w:szCs w:val="22"/>
                <w:b w:val="1"/>
                <w:bCs w:val="1"/>
                <w:color w:val="auto"/>
              </w:rPr>
              <w:t>Assets</w:t>
            </w:r>
          </w:p>
        </w:tc>
        <w:tc>
          <w:tcPr>
            <w:tcW w:w="180" w:type="dxa"/>
            <w:vAlign w:val="bottom"/>
          </w:tcPr>
          <w:p>
            <w:pPr>
              <w:spacing w:after="0"/>
              <w:rPr>
                <w:sz w:val="22"/>
                <w:szCs w:val="22"/>
                <w:color w:val="auto"/>
              </w:rPr>
            </w:pPr>
          </w:p>
        </w:tc>
        <w:tc>
          <w:tcPr>
            <w:tcW w:w="2480" w:type="dxa"/>
            <w:vAlign w:val="bottom"/>
            <w:gridSpan w:val="2"/>
          </w:tcPr>
          <w:p>
            <w:pPr>
              <w:jc w:val="right"/>
              <w:ind w:right="580"/>
              <w:spacing w:after="0"/>
              <w:rPr>
                <w:sz w:val="20"/>
                <w:szCs w:val="20"/>
                <w:color w:val="auto"/>
              </w:rPr>
            </w:pPr>
            <w:r>
              <w:rPr>
                <w:rFonts w:ascii="Arial" w:cs="Arial" w:eastAsia="Arial" w:hAnsi="Arial"/>
                <w:sz w:val="20"/>
                <w:szCs w:val="20"/>
                <w:b w:val="1"/>
                <w:bCs w:val="1"/>
                <w:color w:val="auto"/>
              </w:rPr>
              <w:t>September 30, 2023</w:t>
            </w:r>
          </w:p>
        </w:tc>
        <w:tc>
          <w:tcPr>
            <w:tcW w:w="180" w:type="dxa"/>
            <w:vAlign w:val="bottom"/>
          </w:tcPr>
          <w:p>
            <w:pPr>
              <w:spacing w:after="0"/>
              <w:rPr>
                <w:sz w:val="22"/>
                <w:szCs w:val="22"/>
                <w:color w:val="auto"/>
              </w:rPr>
            </w:pPr>
          </w:p>
        </w:tc>
        <w:tc>
          <w:tcPr>
            <w:tcW w:w="2200" w:type="dxa"/>
            <w:vAlign w:val="bottom"/>
            <w:gridSpan w:val="2"/>
          </w:tcPr>
          <w:p>
            <w:pPr>
              <w:jc w:val="right"/>
              <w:ind w:right="360"/>
              <w:spacing w:after="0"/>
              <w:rPr>
                <w:sz w:val="20"/>
                <w:szCs w:val="20"/>
                <w:color w:val="auto"/>
              </w:rPr>
            </w:pPr>
            <w:r>
              <w:rPr>
                <w:rFonts w:ascii="Arial" w:cs="Arial" w:eastAsia="Arial" w:hAnsi="Arial"/>
                <w:sz w:val="20"/>
                <w:szCs w:val="20"/>
                <w:b w:val="1"/>
                <w:bCs w:val="1"/>
                <w:color w:val="auto"/>
              </w:rPr>
              <w:t>December 31, 2022</w:t>
            </w:r>
          </w:p>
        </w:tc>
        <w:tc>
          <w:tcPr>
            <w:tcW w:w="0" w:type="dxa"/>
            <w:vAlign w:val="bottom"/>
          </w:tcPr>
          <w:p>
            <w:pPr>
              <w:spacing w:after="0"/>
              <w:rPr>
                <w:sz w:val="1"/>
                <w:szCs w:val="1"/>
                <w:color w:val="auto"/>
              </w:rPr>
            </w:pPr>
          </w:p>
        </w:tc>
      </w:tr>
      <w:tr>
        <w:trPr>
          <w:trHeight w:val="255"/>
        </w:trPr>
        <w:tc>
          <w:tcPr>
            <w:tcW w:w="6200" w:type="dxa"/>
            <w:vAlign w:val="bottom"/>
            <w:vMerge w:val="continue"/>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2140" w:type="dxa"/>
            <w:vAlign w:val="bottom"/>
            <w:tcBorders>
              <w:top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2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200" w:type="dxa"/>
            <w:vAlign w:val="bottom"/>
          </w:tcPr>
          <w:p>
            <w:pPr>
              <w:ind w:left="20"/>
              <w:spacing w:after="0"/>
              <w:rPr>
                <w:sz w:val="20"/>
                <w:szCs w:val="20"/>
                <w:color w:val="auto"/>
              </w:rPr>
            </w:pPr>
            <w:r>
              <w:rPr>
                <w:rFonts w:ascii="Arial" w:cs="Arial" w:eastAsia="Arial" w:hAnsi="Arial"/>
                <w:sz w:val="22"/>
                <w:szCs w:val="22"/>
                <w:color w:val="auto"/>
              </w:rPr>
              <w:t>Current assets</w:t>
            </w:r>
          </w:p>
        </w:tc>
        <w:tc>
          <w:tcPr>
            <w:tcW w:w="18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00" w:type="dxa"/>
            <w:vAlign w:val="bottom"/>
          </w:tcPr>
          <w:p>
            <w:pPr>
              <w:ind w:left="140"/>
              <w:spacing w:after="0"/>
              <w:rPr>
                <w:sz w:val="20"/>
                <w:szCs w:val="20"/>
                <w:color w:val="auto"/>
              </w:rPr>
            </w:pPr>
            <w:r>
              <w:rPr>
                <w:rFonts w:ascii="Arial" w:cs="Arial" w:eastAsia="Arial" w:hAnsi="Arial"/>
                <w:sz w:val="22"/>
                <w:szCs w:val="22"/>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2140" w:type="dxa"/>
            <w:vAlign w:val="bottom"/>
          </w:tcPr>
          <w:p>
            <w:pPr>
              <w:jc w:val="right"/>
              <w:spacing w:after="0"/>
              <w:rPr>
                <w:sz w:val="20"/>
                <w:szCs w:val="20"/>
                <w:color w:val="auto"/>
              </w:rPr>
            </w:pPr>
            <w:r>
              <w:rPr>
                <w:rFonts w:ascii="Arial" w:cs="Arial" w:eastAsia="Arial" w:hAnsi="Arial"/>
                <w:sz w:val="22"/>
                <w:szCs w:val="22"/>
                <w:color w:val="auto"/>
              </w:rPr>
              <w:t>11,118</w:t>
            </w:r>
          </w:p>
        </w:tc>
        <w:tc>
          <w:tcPr>
            <w:tcW w:w="34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2100" w:type="dxa"/>
            <w:vAlign w:val="bottom"/>
          </w:tcPr>
          <w:p>
            <w:pPr>
              <w:jc w:val="right"/>
              <w:spacing w:after="0"/>
              <w:rPr>
                <w:sz w:val="20"/>
                <w:szCs w:val="20"/>
                <w:color w:val="auto"/>
              </w:rPr>
            </w:pPr>
            <w:r>
              <w:rPr>
                <w:rFonts w:ascii="Arial" w:cs="Arial" w:eastAsia="Arial" w:hAnsi="Arial"/>
                <w:sz w:val="22"/>
                <w:szCs w:val="22"/>
                <w:color w:val="auto"/>
              </w:rPr>
              <w:t>31,230</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00" w:type="dxa"/>
            <w:vAlign w:val="bottom"/>
          </w:tcPr>
          <w:p>
            <w:pPr>
              <w:ind w:left="140"/>
              <w:spacing w:after="0"/>
              <w:rPr>
                <w:sz w:val="20"/>
                <w:szCs w:val="20"/>
                <w:color w:val="auto"/>
              </w:rPr>
            </w:pPr>
            <w:r>
              <w:rPr>
                <w:rFonts w:ascii="Arial" w:cs="Arial" w:eastAsia="Arial" w:hAnsi="Arial"/>
                <w:sz w:val="22"/>
                <w:szCs w:val="22"/>
                <w:color w:val="auto"/>
              </w:rPr>
              <w:t>Insurance recovery of legal settlement</w:t>
            </w:r>
          </w:p>
        </w:tc>
        <w:tc>
          <w:tcPr>
            <w:tcW w:w="180" w:type="dxa"/>
            <w:vAlign w:val="bottom"/>
          </w:tcPr>
          <w:p>
            <w:pPr>
              <w:spacing w:after="0"/>
              <w:rPr>
                <w:sz w:val="23"/>
                <w:szCs w:val="23"/>
                <w:color w:val="auto"/>
              </w:rPr>
            </w:pPr>
          </w:p>
        </w:tc>
        <w:tc>
          <w:tcPr>
            <w:tcW w:w="2140" w:type="dxa"/>
            <w:vAlign w:val="bottom"/>
          </w:tcPr>
          <w:p>
            <w:pPr>
              <w:jc w:val="right"/>
              <w:spacing w:after="0"/>
              <w:rPr>
                <w:sz w:val="20"/>
                <w:szCs w:val="20"/>
                <w:color w:val="auto"/>
              </w:rPr>
            </w:pPr>
            <w:r>
              <w:rPr>
                <w:rFonts w:ascii="Arial" w:cs="Arial" w:eastAsia="Arial" w:hAnsi="Arial"/>
                <w:sz w:val="22"/>
                <w:szCs w:val="22"/>
                <w:color w:val="auto"/>
              </w:rPr>
              <w:t>-</w:t>
            </w:r>
          </w:p>
        </w:tc>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100" w:type="dxa"/>
            <w:vAlign w:val="bottom"/>
          </w:tcPr>
          <w:p>
            <w:pPr>
              <w:jc w:val="right"/>
              <w:spacing w:after="0"/>
              <w:rPr>
                <w:sz w:val="20"/>
                <w:szCs w:val="20"/>
                <w:color w:val="auto"/>
              </w:rPr>
            </w:pPr>
            <w:r>
              <w:rPr>
                <w:rFonts w:ascii="Arial" w:cs="Arial" w:eastAsia="Arial" w:hAnsi="Arial"/>
                <w:sz w:val="22"/>
                <w:szCs w:val="22"/>
                <w:color w:val="auto"/>
              </w:rPr>
              <w:t>450</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6200" w:type="dxa"/>
            <w:vAlign w:val="bottom"/>
          </w:tcPr>
          <w:p>
            <w:pPr>
              <w:ind w:left="140"/>
              <w:spacing w:after="0"/>
              <w:rPr>
                <w:sz w:val="20"/>
                <w:szCs w:val="20"/>
                <w:color w:val="auto"/>
              </w:rPr>
            </w:pPr>
            <w:r>
              <w:rPr>
                <w:rFonts w:ascii="Arial" w:cs="Arial" w:eastAsia="Arial" w:hAnsi="Arial"/>
                <w:sz w:val="22"/>
                <w:szCs w:val="22"/>
                <w:color w:val="auto"/>
              </w:rPr>
              <w:t>Prepaid expenses and other current assets</w:t>
            </w:r>
          </w:p>
        </w:tc>
        <w:tc>
          <w:tcPr>
            <w:tcW w:w="1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1,173</w:t>
            </w:r>
          </w:p>
        </w:tc>
        <w:tc>
          <w:tcPr>
            <w:tcW w:w="3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1,270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200" w:type="dxa"/>
            <w:vAlign w:val="bottom"/>
          </w:tcPr>
          <w:p>
            <w:pPr>
              <w:ind w:left="400"/>
              <w:spacing w:after="0"/>
              <w:rPr>
                <w:sz w:val="20"/>
                <w:szCs w:val="20"/>
                <w:color w:val="auto"/>
              </w:rPr>
            </w:pPr>
            <w:r>
              <w:rPr>
                <w:rFonts w:ascii="Arial" w:cs="Arial" w:eastAsia="Arial" w:hAnsi="Arial"/>
                <w:sz w:val="22"/>
                <w:szCs w:val="22"/>
                <w:color w:val="auto"/>
              </w:rPr>
              <w:t>Total current assets</w:t>
            </w:r>
          </w:p>
        </w:tc>
        <w:tc>
          <w:tcPr>
            <w:tcW w:w="18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12,291</w:t>
            </w:r>
          </w:p>
        </w:tc>
        <w:tc>
          <w:tcPr>
            <w:tcW w:w="3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32,950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25"/>
        </w:trPr>
        <w:tc>
          <w:tcPr>
            <w:tcW w:w="6200" w:type="dxa"/>
            <w:vAlign w:val="bottom"/>
          </w:tcPr>
          <w:p>
            <w:pPr>
              <w:ind w:left="20"/>
              <w:spacing w:after="0"/>
              <w:rPr>
                <w:sz w:val="20"/>
                <w:szCs w:val="20"/>
                <w:color w:val="auto"/>
              </w:rPr>
            </w:pPr>
            <w:r>
              <w:rPr>
                <w:rFonts w:ascii="Arial" w:cs="Arial" w:eastAsia="Arial" w:hAnsi="Arial"/>
                <w:sz w:val="22"/>
                <w:szCs w:val="22"/>
                <w:color w:val="auto"/>
              </w:rPr>
              <w:t>Property and equipment, net</w:t>
            </w:r>
          </w:p>
        </w:tc>
        <w:tc>
          <w:tcPr>
            <w:tcW w:w="18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Arial" w:cs="Arial" w:eastAsia="Arial" w:hAnsi="Arial"/>
                <w:sz w:val="22"/>
                <w:szCs w:val="22"/>
                <w:color w:val="auto"/>
              </w:rPr>
              <w:t>921</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tcPr>
          <w:p>
            <w:pPr>
              <w:jc w:val="right"/>
              <w:spacing w:after="0"/>
              <w:rPr>
                <w:sz w:val="20"/>
                <w:szCs w:val="20"/>
                <w:color w:val="auto"/>
              </w:rPr>
            </w:pPr>
            <w:r>
              <w:rPr>
                <w:rFonts w:ascii="Arial" w:cs="Arial" w:eastAsia="Arial" w:hAnsi="Arial"/>
                <w:sz w:val="22"/>
                <w:szCs w:val="22"/>
                <w:color w:val="auto"/>
              </w:rPr>
              <w:t>1,060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200" w:type="dxa"/>
            <w:vAlign w:val="bottom"/>
          </w:tcPr>
          <w:p>
            <w:pPr>
              <w:ind w:left="20"/>
              <w:spacing w:after="0"/>
              <w:rPr>
                <w:sz w:val="20"/>
                <w:szCs w:val="20"/>
                <w:color w:val="auto"/>
              </w:rPr>
            </w:pPr>
            <w:r>
              <w:rPr>
                <w:rFonts w:ascii="Arial" w:cs="Arial" w:eastAsia="Arial" w:hAnsi="Arial"/>
                <w:sz w:val="22"/>
                <w:szCs w:val="22"/>
                <w:color w:val="auto"/>
              </w:rPr>
              <w:t>Operating lease right-of-use assets</w:t>
            </w:r>
          </w:p>
        </w:tc>
        <w:tc>
          <w:tcPr>
            <w:tcW w:w="180" w:type="dxa"/>
            <w:vAlign w:val="bottom"/>
          </w:tcPr>
          <w:p>
            <w:pPr>
              <w:spacing w:after="0"/>
              <w:rPr>
                <w:sz w:val="23"/>
                <w:szCs w:val="23"/>
                <w:color w:val="auto"/>
              </w:rPr>
            </w:pPr>
          </w:p>
        </w:tc>
        <w:tc>
          <w:tcPr>
            <w:tcW w:w="2140" w:type="dxa"/>
            <w:vAlign w:val="bottom"/>
          </w:tcPr>
          <w:p>
            <w:pPr>
              <w:jc w:val="right"/>
              <w:spacing w:after="0"/>
              <w:rPr>
                <w:sz w:val="20"/>
                <w:szCs w:val="20"/>
                <w:color w:val="auto"/>
              </w:rPr>
            </w:pPr>
            <w:r>
              <w:rPr>
                <w:rFonts w:ascii="Arial" w:cs="Arial" w:eastAsia="Arial" w:hAnsi="Arial"/>
                <w:sz w:val="22"/>
                <w:szCs w:val="22"/>
                <w:color w:val="auto"/>
              </w:rPr>
              <w:t>10,382</w:t>
            </w:r>
          </w:p>
        </w:tc>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100" w:type="dxa"/>
            <w:vAlign w:val="bottom"/>
          </w:tcPr>
          <w:p>
            <w:pPr>
              <w:jc w:val="right"/>
              <w:spacing w:after="0"/>
              <w:rPr>
                <w:sz w:val="20"/>
                <w:szCs w:val="20"/>
                <w:color w:val="auto"/>
              </w:rPr>
            </w:pPr>
            <w:r>
              <w:rPr>
                <w:rFonts w:ascii="Arial" w:cs="Arial" w:eastAsia="Arial" w:hAnsi="Arial"/>
                <w:sz w:val="22"/>
                <w:szCs w:val="22"/>
                <w:color w:val="auto"/>
              </w:rPr>
              <w:t>11,650</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6200" w:type="dxa"/>
            <w:vAlign w:val="bottom"/>
          </w:tcPr>
          <w:p>
            <w:pPr>
              <w:ind w:left="20"/>
              <w:spacing w:after="0"/>
              <w:rPr>
                <w:sz w:val="20"/>
                <w:szCs w:val="20"/>
                <w:color w:val="auto"/>
              </w:rPr>
            </w:pPr>
            <w:r>
              <w:rPr>
                <w:rFonts w:ascii="Arial" w:cs="Arial" w:eastAsia="Arial" w:hAnsi="Arial"/>
                <w:sz w:val="22"/>
                <w:szCs w:val="22"/>
                <w:color w:val="auto"/>
              </w:rPr>
              <w:t>Other noncurrent assets</w:t>
            </w:r>
          </w:p>
        </w:tc>
        <w:tc>
          <w:tcPr>
            <w:tcW w:w="1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393</w:t>
            </w:r>
          </w:p>
        </w:tc>
        <w:tc>
          <w:tcPr>
            <w:tcW w:w="3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429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3"/>
        </w:trPr>
        <w:tc>
          <w:tcPr>
            <w:tcW w:w="6200" w:type="dxa"/>
            <w:vAlign w:val="bottom"/>
          </w:tcPr>
          <w:p>
            <w:pPr>
              <w:ind w:left="400"/>
              <w:spacing w:after="0"/>
              <w:rPr>
                <w:sz w:val="20"/>
                <w:szCs w:val="20"/>
                <w:color w:val="auto"/>
              </w:rPr>
            </w:pPr>
            <w:r>
              <w:rPr>
                <w:rFonts w:ascii="Arial" w:cs="Arial" w:eastAsia="Arial" w:hAnsi="Arial"/>
                <w:sz w:val="22"/>
                <w:szCs w:val="22"/>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7"/>
              </w:rPr>
              <w:t>$</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23,987</w:t>
            </w:r>
          </w:p>
        </w:tc>
        <w:tc>
          <w:tcPr>
            <w:tcW w:w="34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46,089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ind w:left="1280"/>
              <w:spacing w:after="0"/>
              <w:rPr>
                <w:sz w:val="20"/>
                <w:szCs w:val="20"/>
                <w:color w:val="auto"/>
              </w:rPr>
            </w:pPr>
            <w:r>
              <w:rPr>
                <w:rFonts w:ascii="Arial" w:cs="Arial" w:eastAsia="Arial" w:hAnsi="Arial"/>
                <w:sz w:val="22"/>
                <w:szCs w:val="22"/>
                <w:b w:val="1"/>
                <w:bCs w:val="1"/>
                <w:color w:val="auto"/>
              </w:rPr>
              <w:t>Liabilities and Stockholders' Equity</w:t>
            </w:r>
          </w:p>
        </w:tc>
        <w:tc>
          <w:tcPr>
            <w:tcW w:w="18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2"/>
        </w:trPr>
        <w:tc>
          <w:tcPr>
            <w:tcW w:w="62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200" w:type="dxa"/>
            <w:vAlign w:val="bottom"/>
          </w:tcPr>
          <w:p>
            <w:pPr>
              <w:ind w:left="20"/>
              <w:spacing w:after="0"/>
              <w:rPr>
                <w:sz w:val="20"/>
                <w:szCs w:val="20"/>
                <w:color w:val="auto"/>
              </w:rPr>
            </w:pPr>
            <w:r>
              <w:rPr>
                <w:rFonts w:ascii="Arial" w:cs="Arial" w:eastAsia="Arial" w:hAnsi="Arial"/>
                <w:sz w:val="22"/>
                <w:szCs w:val="22"/>
                <w:color w:val="auto"/>
              </w:rPr>
              <w:t>Current liabilities</w:t>
            </w:r>
          </w:p>
        </w:tc>
        <w:tc>
          <w:tcPr>
            <w:tcW w:w="18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00" w:type="dxa"/>
            <w:vAlign w:val="bottom"/>
          </w:tcPr>
          <w:p>
            <w:pPr>
              <w:ind w:left="140"/>
              <w:spacing w:after="0"/>
              <w:rPr>
                <w:sz w:val="20"/>
                <w:szCs w:val="20"/>
                <w:color w:val="auto"/>
              </w:rPr>
            </w:pPr>
            <w:r>
              <w:rPr>
                <w:rFonts w:ascii="Arial" w:cs="Arial" w:eastAsia="Arial" w:hAnsi="Arial"/>
                <w:sz w:val="22"/>
                <w:szCs w:val="22"/>
                <w:color w:val="auto"/>
              </w:rPr>
              <w:t>Accounts payable</w:t>
            </w:r>
          </w:p>
        </w:tc>
        <w:tc>
          <w:tcPr>
            <w:tcW w:w="18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2140" w:type="dxa"/>
            <w:vAlign w:val="bottom"/>
          </w:tcPr>
          <w:p>
            <w:pPr>
              <w:jc w:val="right"/>
              <w:spacing w:after="0"/>
              <w:rPr>
                <w:sz w:val="20"/>
                <w:szCs w:val="20"/>
                <w:color w:val="auto"/>
              </w:rPr>
            </w:pPr>
            <w:r>
              <w:rPr>
                <w:rFonts w:ascii="Arial" w:cs="Arial" w:eastAsia="Arial" w:hAnsi="Arial"/>
                <w:sz w:val="22"/>
                <w:szCs w:val="22"/>
                <w:color w:val="auto"/>
              </w:rPr>
              <w:t>1,139</w:t>
            </w:r>
          </w:p>
        </w:tc>
        <w:tc>
          <w:tcPr>
            <w:tcW w:w="34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2100" w:type="dxa"/>
            <w:vAlign w:val="bottom"/>
          </w:tcPr>
          <w:p>
            <w:pPr>
              <w:jc w:val="right"/>
              <w:spacing w:after="0"/>
              <w:rPr>
                <w:sz w:val="20"/>
                <w:szCs w:val="20"/>
                <w:color w:val="auto"/>
              </w:rPr>
            </w:pPr>
            <w:r>
              <w:rPr>
                <w:rFonts w:ascii="Arial" w:cs="Arial" w:eastAsia="Arial" w:hAnsi="Arial"/>
                <w:sz w:val="22"/>
                <w:szCs w:val="22"/>
                <w:color w:val="auto"/>
              </w:rPr>
              <w:t>1,108</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00" w:type="dxa"/>
            <w:vAlign w:val="bottom"/>
          </w:tcPr>
          <w:p>
            <w:pPr>
              <w:ind w:left="140"/>
              <w:spacing w:after="0"/>
              <w:rPr>
                <w:sz w:val="20"/>
                <w:szCs w:val="20"/>
                <w:color w:val="auto"/>
              </w:rPr>
            </w:pPr>
            <w:r>
              <w:rPr>
                <w:rFonts w:ascii="Arial" w:cs="Arial" w:eastAsia="Arial" w:hAnsi="Arial"/>
                <w:sz w:val="22"/>
                <w:szCs w:val="22"/>
                <w:color w:val="auto"/>
              </w:rPr>
              <w:t>Accrued legal settlement</w:t>
            </w:r>
          </w:p>
        </w:tc>
        <w:tc>
          <w:tcPr>
            <w:tcW w:w="180" w:type="dxa"/>
            <w:vAlign w:val="bottom"/>
          </w:tcPr>
          <w:p>
            <w:pPr>
              <w:spacing w:after="0"/>
              <w:rPr>
                <w:sz w:val="23"/>
                <w:szCs w:val="23"/>
                <w:color w:val="auto"/>
              </w:rPr>
            </w:pPr>
          </w:p>
        </w:tc>
        <w:tc>
          <w:tcPr>
            <w:tcW w:w="2140" w:type="dxa"/>
            <w:vAlign w:val="bottom"/>
          </w:tcPr>
          <w:p>
            <w:pPr>
              <w:jc w:val="right"/>
              <w:spacing w:after="0"/>
              <w:rPr>
                <w:sz w:val="20"/>
                <w:szCs w:val="20"/>
                <w:color w:val="auto"/>
              </w:rPr>
            </w:pPr>
            <w:r>
              <w:rPr>
                <w:rFonts w:ascii="Arial" w:cs="Arial" w:eastAsia="Arial" w:hAnsi="Arial"/>
                <w:sz w:val="22"/>
                <w:szCs w:val="22"/>
                <w:color w:val="auto"/>
              </w:rPr>
              <w:t>-</w:t>
            </w:r>
          </w:p>
        </w:tc>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100" w:type="dxa"/>
            <w:vAlign w:val="bottom"/>
          </w:tcPr>
          <w:p>
            <w:pPr>
              <w:jc w:val="right"/>
              <w:spacing w:after="0"/>
              <w:rPr>
                <w:sz w:val="20"/>
                <w:szCs w:val="20"/>
                <w:color w:val="auto"/>
              </w:rPr>
            </w:pPr>
            <w:r>
              <w:rPr>
                <w:rFonts w:ascii="Arial" w:cs="Arial" w:eastAsia="Arial" w:hAnsi="Arial"/>
                <w:sz w:val="22"/>
                <w:szCs w:val="22"/>
                <w:color w:val="auto"/>
              </w:rPr>
              <w:t>450</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00" w:type="dxa"/>
            <w:vAlign w:val="bottom"/>
          </w:tcPr>
          <w:p>
            <w:pPr>
              <w:ind w:left="140"/>
              <w:spacing w:after="0"/>
              <w:rPr>
                <w:sz w:val="20"/>
                <w:szCs w:val="20"/>
                <w:color w:val="auto"/>
              </w:rPr>
            </w:pPr>
            <w:r>
              <w:rPr>
                <w:rFonts w:ascii="Arial" w:cs="Arial" w:eastAsia="Arial" w:hAnsi="Arial"/>
                <w:sz w:val="22"/>
                <w:szCs w:val="22"/>
                <w:color w:val="auto"/>
              </w:rPr>
              <w:t>Accrued expenses and other</w:t>
            </w:r>
          </w:p>
        </w:tc>
        <w:tc>
          <w:tcPr>
            <w:tcW w:w="180" w:type="dxa"/>
            <w:vAlign w:val="bottom"/>
          </w:tcPr>
          <w:p>
            <w:pPr>
              <w:spacing w:after="0"/>
              <w:rPr>
                <w:sz w:val="23"/>
                <w:szCs w:val="23"/>
                <w:color w:val="auto"/>
              </w:rPr>
            </w:pPr>
          </w:p>
        </w:tc>
        <w:tc>
          <w:tcPr>
            <w:tcW w:w="2140" w:type="dxa"/>
            <w:vAlign w:val="bottom"/>
          </w:tcPr>
          <w:p>
            <w:pPr>
              <w:jc w:val="right"/>
              <w:spacing w:after="0"/>
              <w:rPr>
                <w:sz w:val="20"/>
                <w:szCs w:val="20"/>
                <w:color w:val="auto"/>
              </w:rPr>
            </w:pPr>
            <w:r>
              <w:rPr>
                <w:rFonts w:ascii="Arial" w:cs="Arial" w:eastAsia="Arial" w:hAnsi="Arial"/>
                <w:sz w:val="22"/>
                <w:szCs w:val="22"/>
                <w:color w:val="auto"/>
              </w:rPr>
              <w:t>1,995</w:t>
            </w:r>
          </w:p>
        </w:tc>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100" w:type="dxa"/>
            <w:vAlign w:val="bottom"/>
          </w:tcPr>
          <w:p>
            <w:pPr>
              <w:jc w:val="right"/>
              <w:spacing w:after="0"/>
              <w:rPr>
                <w:sz w:val="20"/>
                <w:szCs w:val="20"/>
                <w:color w:val="auto"/>
              </w:rPr>
            </w:pPr>
            <w:r>
              <w:rPr>
                <w:rFonts w:ascii="Arial" w:cs="Arial" w:eastAsia="Arial" w:hAnsi="Arial"/>
                <w:sz w:val="22"/>
                <w:szCs w:val="22"/>
                <w:color w:val="auto"/>
              </w:rPr>
              <w:t>2,961</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00" w:type="dxa"/>
            <w:vAlign w:val="bottom"/>
          </w:tcPr>
          <w:p>
            <w:pPr>
              <w:ind w:left="140"/>
              <w:spacing w:after="0"/>
              <w:rPr>
                <w:sz w:val="20"/>
                <w:szCs w:val="20"/>
                <w:color w:val="auto"/>
              </w:rPr>
            </w:pPr>
            <w:r>
              <w:rPr>
                <w:rFonts w:ascii="Arial" w:cs="Arial" w:eastAsia="Arial" w:hAnsi="Arial"/>
                <w:sz w:val="22"/>
                <w:szCs w:val="22"/>
                <w:color w:val="auto"/>
              </w:rPr>
              <w:t>Current loan payable, net</w:t>
            </w:r>
          </w:p>
        </w:tc>
        <w:tc>
          <w:tcPr>
            <w:tcW w:w="180" w:type="dxa"/>
            <w:vAlign w:val="bottom"/>
          </w:tcPr>
          <w:p>
            <w:pPr>
              <w:spacing w:after="0"/>
              <w:rPr>
                <w:sz w:val="23"/>
                <w:szCs w:val="23"/>
                <w:color w:val="auto"/>
              </w:rPr>
            </w:pPr>
          </w:p>
        </w:tc>
        <w:tc>
          <w:tcPr>
            <w:tcW w:w="2140" w:type="dxa"/>
            <w:vAlign w:val="bottom"/>
          </w:tcPr>
          <w:p>
            <w:pPr>
              <w:jc w:val="right"/>
              <w:spacing w:after="0"/>
              <w:rPr>
                <w:sz w:val="20"/>
                <w:szCs w:val="20"/>
                <w:color w:val="auto"/>
              </w:rPr>
            </w:pPr>
            <w:r>
              <w:rPr>
                <w:rFonts w:ascii="Arial" w:cs="Arial" w:eastAsia="Arial" w:hAnsi="Arial"/>
                <w:sz w:val="22"/>
                <w:szCs w:val="22"/>
                <w:color w:val="auto"/>
              </w:rPr>
              <w:t>2,134</w:t>
            </w:r>
          </w:p>
        </w:tc>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100" w:type="dxa"/>
            <w:vAlign w:val="bottom"/>
          </w:tcPr>
          <w:p>
            <w:pPr>
              <w:jc w:val="right"/>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00" w:type="dxa"/>
            <w:vAlign w:val="bottom"/>
          </w:tcPr>
          <w:p>
            <w:pPr>
              <w:ind w:left="140"/>
              <w:spacing w:after="0"/>
              <w:rPr>
                <w:sz w:val="20"/>
                <w:szCs w:val="20"/>
                <w:color w:val="auto"/>
              </w:rPr>
            </w:pPr>
            <w:r>
              <w:rPr>
                <w:rFonts w:ascii="Arial" w:cs="Arial" w:eastAsia="Arial" w:hAnsi="Arial"/>
                <w:sz w:val="22"/>
                <w:szCs w:val="22"/>
                <w:color w:val="auto"/>
              </w:rPr>
              <w:t>Current operating lease liabilities</w:t>
            </w:r>
          </w:p>
        </w:tc>
        <w:tc>
          <w:tcPr>
            <w:tcW w:w="180" w:type="dxa"/>
            <w:vAlign w:val="bottom"/>
          </w:tcPr>
          <w:p>
            <w:pPr>
              <w:spacing w:after="0"/>
              <w:rPr>
                <w:sz w:val="23"/>
                <w:szCs w:val="23"/>
                <w:color w:val="auto"/>
              </w:rPr>
            </w:pPr>
          </w:p>
        </w:tc>
        <w:tc>
          <w:tcPr>
            <w:tcW w:w="2140" w:type="dxa"/>
            <w:vAlign w:val="bottom"/>
          </w:tcPr>
          <w:p>
            <w:pPr>
              <w:jc w:val="right"/>
              <w:spacing w:after="0"/>
              <w:rPr>
                <w:sz w:val="20"/>
                <w:szCs w:val="20"/>
                <w:color w:val="auto"/>
              </w:rPr>
            </w:pPr>
            <w:r>
              <w:rPr>
                <w:rFonts w:ascii="Arial" w:cs="Arial" w:eastAsia="Arial" w:hAnsi="Arial"/>
                <w:sz w:val="22"/>
                <w:szCs w:val="22"/>
                <w:color w:val="auto"/>
              </w:rPr>
              <w:t>1,117</w:t>
            </w:r>
          </w:p>
        </w:tc>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100" w:type="dxa"/>
            <w:vAlign w:val="bottom"/>
          </w:tcPr>
          <w:p>
            <w:pPr>
              <w:jc w:val="right"/>
              <w:spacing w:after="0"/>
              <w:rPr>
                <w:sz w:val="20"/>
                <w:szCs w:val="20"/>
                <w:color w:val="auto"/>
              </w:rPr>
            </w:pPr>
            <w:r>
              <w:rPr>
                <w:rFonts w:ascii="Arial" w:cs="Arial" w:eastAsia="Arial" w:hAnsi="Arial"/>
                <w:sz w:val="22"/>
                <w:szCs w:val="22"/>
                <w:color w:val="auto"/>
              </w:rPr>
              <w:t>1,413</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00" w:type="dxa"/>
            <w:vAlign w:val="bottom"/>
          </w:tcPr>
          <w:p>
            <w:pPr>
              <w:ind w:left="140"/>
              <w:spacing w:after="0"/>
              <w:rPr>
                <w:sz w:val="20"/>
                <w:szCs w:val="20"/>
                <w:color w:val="auto"/>
              </w:rPr>
            </w:pPr>
            <w:r>
              <w:rPr>
                <w:rFonts w:ascii="Arial" w:cs="Arial" w:eastAsia="Arial" w:hAnsi="Arial"/>
                <w:sz w:val="22"/>
                <w:szCs w:val="22"/>
                <w:color w:val="auto"/>
              </w:rPr>
              <w:t>Accrued compensation</w:t>
            </w:r>
          </w:p>
        </w:tc>
        <w:tc>
          <w:tcPr>
            <w:tcW w:w="180" w:type="dxa"/>
            <w:vAlign w:val="bottom"/>
          </w:tcPr>
          <w:p>
            <w:pPr>
              <w:spacing w:after="0"/>
              <w:rPr>
                <w:sz w:val="23"/>
                <w:szCs w:val="23"/>
                <w:color w:val="auto"/>
              </w:rPr>
            </w:pPr>
          </w:p>
        </w:tc>
        <w:tc>
          <w:tcPr>
            <w:tcW w:w="2140" w:type="dxa"/>
            <w:vAlign w:val="bottom"/>
          </w:tcPr>
          <w:p>
            <w:pPr>
              <w:jc w:val="right"/>
              <w:spacing w:after="0"/>
              <w:rPr>
                <w:sz w:val="20"/>
                <w:szCs w:val="20"/>
                <w:color w:val="auto"/>
              </w:rPr>
            </w:pPr>
            <w:r>
              <w:rPr>
                <w:rFonts w:ascii="Arial" w:cs="Arial" w:eastAsia="Arial" w:hAnsi="Arial"/>
                <w:sz w:val="22"/>
                <w:szCs w:val="22"/>
                <w:color w:val="auto"/>
              </w:rPr>
              <w:t>931</w:t>
            </w:r>
          </w:p>
        </w:tc>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100" w:type="dxa"/>
            <w:vAlign w:val="bottom"/>
          </w:tcPr>
          <w:p>
            <w:pPr>
              <w:jc w:val="right"/>
              <w:spacing w:after="0"/>
              <w:rPr>
                <w:sz w:val="20"/>
                <w:szCs w:val="20"/>
                <w:color w:val="auto"/>
              </w:rPr>
            </w:pPr>
            <w:r>
              <w:rPr>
                <w:rFonts w:ascii="Arial" w:cs="Arial" w:eastAsia="Arial" w:hAnsi="Arial"/>
                <w:sz w:val="22"/>
                <w:szCs w:val="22"/>
                <w:color w:val="auto"/>
              </w:rPr>
              <w:t>1,248</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6200" w:type="dxa"/>
            <w:vAlign w:val="bottom"/>
          </w:tcPr>
          <w:p>
            <w:pPr>
              <w:ind w:left="140"/>
              <w:spacing w:after="0"/>
              <w:rPr>
                <w:sz w:val="20"/>
                <w:szCs w:val="20"/>
                <w:color w:val="auto"/>
              </w:rPr>
            </w:pPr>
            <w:r>
              <w:rPr>
                <w:rFonts w:ascii="Arial" w:cs="Arial" w:eastAsia="Arial" w:hAnsi="Arial"/>
                <w:sz w:val="22"/>
                <w:szCs w:val="22"/>
                <w:color w:val="auto"/>
              </w:rPr>
              <w:t>Interest payable</w:t>
            </w:r>
          </w:p>
        </w:tc>
        <w:tc>
          <w:tcPr>
            <w:tcW w:w="1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106</w:t>
            </w:r>
          </w:p>
        </w:tc>
        <w:tc>
          <w:tcPr>
            <w:tcW w:w="3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6200" w:type="dxa"/>
            <w:vAlign w:val="bottom"/>
          </w:tcPr>
          <w:p>
            <w:pPr>
              <w:ind w:left="400"/>
              <w:spacing w:after="0"/>
              <w:rPr>
                <w:sz w:val="20"/>
                <w:szCs w:val="20"/>
                <w:color w:val="auto"/>
              </w:rPr>
            </w:pPr>
            <w:r>
              <w:rPr>
                <w:rFonts w:ascii="Arial" w:cs="Arial" w:eastAsia="Arial" w:hAnsi="Arial"/>
                <w:sz w:val="22"/>
                <w:szCs w:val="22"/>
                <w:color w:val="auto"/>
              </w:rPr>
              <w:t>Total current liabilities</w:t>
            </w:r>
          </w:p>
        </w:tc>
        <w:tc>
          <w:tcPr>
            <w:tcW w:w="180" w:type="dxa"/>
            <w:vAlign w:val="bottom"/>
          </w:tcPr>
          <w:p>
            <w:pPr>
              <w:spacing w:after="0"/>
              <w:rPr>
                <w:sz w:val="23"/>
                <w:szCs w:val="23"/>
                <w:color w:val="auto"/>
              </w:rPr>
            </w:pPr>
          </w:p>
        </w:tc>
        <w:tc>
          <w:tcPr>
            <w:tcW w:w="2140" w:type="dxa"/>
            <w:vAlign w:val="bottom"/>
          </w:tcPr>
          <w:p>
            <w:pPr>
              <w:jc w:val="right"/>
              <w:spacing w:after="0"/>
              <w:rPr>
                <w:sz w:val="20"/>
                <w:szCs w:val="20"/>
                <w:color w:val="auto"/>
              </w:rPr>
            </w:pPr>
            <w:r>
              <w:rPr>
                <w:rFonts w:ascii="Arial" w:cs="Arial" w:eastAsia="Arial" w:hAnsi="Arial"/>
                <w:sz w:val="22"/>
                <w:szCs w:val="22"/>
                <w:color w:val="auto"/>
              </w:rPr>
              <w:t>7,422</w:t>
            </w:r>
          </w:p>
        </w:tc>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100" w:type="dxa"/>
            <w:vAlign w:val="bottom"/>
          </w:tcPr>
          <w:p>
            <w:pPr>
              <w:jc w:val="right"/>
              <w:spacing w:after="0"/>
              <w:rPr>
                <w:sz w:val="20"/>
                <w:szCs w:val="20"/>
                <w:color w:val="auto"/>
              </w:rPr>
            </w:pPr>
            <w:r>
              <w:rPr>
                <w:rFonts w:ascii="Arial" w:cs="Arial" w:eastAsia="Arial" w:hAnsi="Arial"/>
                <w:sz w:val="22"/>
                <w:szCs w:val="22"/>
                <w:color w:val="auto"/>
              </w:rPr>
              <w:t>7,277</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26"/>
        </w:trPr>
        <w:tc>
          <w:tcPr>
            <w:tcW w:w="6200" w:type="dxa"/>
            <w:vAlign w:val="bottom"/>
          </w:tcPr>
          <w:p>
            <w:pPr>
              <w:ind w:left="20"/>
              <w:spacing w:after="0"/>
              <w:rPr>
                <w:sz w:val="20"/>
                <w:szCs w:val="20"/>
                <w:color w:val="auto"/>
              </w:rPr>
            </w:pPr>
            <w:r>
              <w:rPr>
                <w:rFonts w:ascii="Arial" w:cs="Arial" w:eastAsia="Arial" w:hAnsi="Arial"/>
                <w:sz w:val="22"/>
                <w:szCs w:val="22"/>
                <w:color w:val="auto"/>
              </w:rPr>
              <w:t>Loan payable, net</w:t>
            </w:r>
          </w:p>
        </w:tc>
        <w:tc>
          <w:tcPr>
            <w:tcW w:w="18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Arial" w:cs="Arial" w:eastAsia="Arial" w:hAnsi="Arial"/>
                <w:sz w:val="22"/>
                <w:szCs w:val="22"/>
                <w:color w:val="auto"/>
              </w:rPr>
              <w:t>8,371</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tcPr>
          <w:p>
            <w:pPr>
              <w:jc w:val="right"/>
              <w:spacing w:after="0"/>
              <w:rPr>
                <w:sz w:val="20"/>
                <w:szCs w:val="20"/>
                <w:color w:val="auto"/>
              </w:rPr>
            </w:pPr>
            <w:r>
              <w:rPr>
                <w:rFonts w:ascii="Arial" w:cs="Arial" w:eastAsia="Arial" w:hAnsi="Arial"/>
                <w:sz w:val="22"/>
                <w:szCs w:val="22"/>
                <w:color w:val="auto"/>
              </w:rPr>
              <w:t>10,371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6200" w:type="dxa"/>
            <w:vAlign w:val="bottom"/>
          </w:tcPr>
          <w:p>
            <w:pPr>
              <w:ind w:left="20"/>
              <w:spacing w:after="0"/>
              <w:rPr>
                <w:sz w:val="20"/>
                <w:szCs w:val="20"/>
                <w:color w:val="auto"/>
              </w:rPr>
            </w:pPr>
            <w:r>
              <w:rPr>
                <w:rFonts w:ascii="Arial" w:cs="Arial" w:eastAsia="Arial" w:hAnsi="Arial"/>
                <w:sz w:val="22"/>
                <w:szCs w:val="22"/>
                <w:color w:val="auto"/>
              </w:rPr>
              <w:t>Operating lease liabilities</w:t>
            </w:r>
          </w:p>
        </w:tc>
        <w:tc>
          <w:tcPr>
            <w:tcW w:w="1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9,384</w:t>
            </w:r>
          </w:p>
        </w:tc>
        <w:tc>
          <w:tcPr>
            <w:tcW w:w="3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10,330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200" w:type="dxa"/>
            <w:vAlign w:val="bottom"/>
          </w:tcPr>
          <w:p>
            <w:pPr>
              <w:ind w:left="400"/>
              <w:spacing w:after="0"/>
              <w:rPr>
                <w:sz w:val="20"/>
                <w:szCs w:val="20"/>
                <w:color w:val="auto"/>
              </w:rPr>
            </w:pPr>
            <w:r>
              <w:rPr>
                <w:rFonts w:ascii="Arial" w:cs="Arial" w:eastAsia="Arial" w:hAnsi="Arial"/>
                <w:sz w:val="22"/>
                <w:szCs w:val="22"/>
                <w:color w:val="auto"/>
              </w:rPr>
              <w:t>Total liabilities</w:t>
            </w:r>
          </w:p>
        </w:tc>
        <w:tc>
          <w:tcPr>
            <w:tcW w:w="18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25,177</w:t>
            </w:r>
          </w:p>
        </w:tc>
        <w:tc>
          <w:tcPr>
            <w:tcW w:w="3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27,978</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25"/>
        </w:trPr>
        <w:tc>
          <w:tcPr>
            <w:tcW w:w="6200" w:type="dxa"/>
            <w:vAlign w:val="bottom"/>
          </w:tcPr>
          <w:p>
            <w:pPr>
              <w:ind w:left="20"/>
              <w:spacing w:after="0"/>
              <w:rPr>
                <w:sz w:val="20"/>
                <w:szCs w:val="20"/>
                <w:color w:val="auto"/>
              </w:rPr>
            </w:pPr>
            <w:r>
              <w:rPr>
                <w:rFonts w:ascii="Arial" w:cs="Arial" w:eastAsia="Arial" w:hAnsi="Arial"/>
                <w:sz w:val="22"/>
                <w:szCs w:val="22"/>
                <w:color w:val="auto"/>
              </w:rPr>
              <w:t>Stockholders' equity</w:t>
            </w:r>
          </w:p>
        </w:tc>
        <w:tc>
          <w:tcPr>
            <w:tcW w:w="1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200" w:type="dxa"/>
            <w:vAlign w:val="bottom"/>
          </w:tcPr>
          <w:p>
            <w:pPr>
              <w:ind w:left="140"/>
              <w:spacing w:after="0"/>
              <w:rPr>
                <w:sz w:val="20"/>
                <w:szCs w:val="20"/>
                <w:color w:val="auto"/>
              </w:rPr>
            </w:pPr>
            <w:r>
              <w:rPr>
                <w:rFonts w:ascii="Arial" w:cs="Arial" w:eastAsia="Arial" w:hAnsi="Arial"/>
                <w:sz w:val="22"/>
                <w:szCs w:val="22"/>
                <w:color w:val="auto"/>
              </w:rPr>
              <w:t>Common stock</w:t>
            </w:r>
          </w:p>
        </w:tc>
        <w:tc>
          <w:tcPr>
            <w:tcW w:w="180" w:type="dxa"/>
            <w:vAlign w:val="bottom"/>
          </w:tcPr>
          <w:p>
            <w:pPr>
              <w:spacing w:after="0"/>
              <w:rPr>
                <w:sz w:val="23"/>
                <w:szCs w:val="23"/>
                <w:color w:val="auto"/>
              </w:rPr>
            </w:pPr>
          </w:p>
        </w:tc>
        <w:tc>
          <w:tcPr>
            <w:tcW w:w="2140" w:type="dxa"/>
            <w:vAlign w:val="bottom"/>
          </w:tcPr>
          <w:p>
            <w:pPr>
              <w:jc w:val="right"/>
              <w:spacing w:after="0"/>
              <w:rPr>
                <w:sz w:val="20"/>
                <w:szCs w:val="20"/>
                <w:color w:val="auto"/>
              </w:rPr>
            </w:pPr>
            <w:r>
              <w:rPr>
                <w:rFonts w:ascii="Arial" w:cs="Arial" w:eastAsia="Arial" w:hAnsi="Arial"/>
                <w:sz w:val="22"/>
                <w:szCs w:val="22"/>
                <w:color w:val="auto"/>
              </w:rPr>
              <w:t>14</w:t>
            </w:r>
          </w:p>
        </w:tc>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100" w:type="dxa"/>
            <w:vAlign w:val="bottom"/>
          </w:tcPr>
          <w:p>
            <w:pPr>
              <w:jc w:val="right"/>
              <w:spacing w:after="0"/>
              <w:rPr>
                <w:sz w:val="20"/>
                <w:szCs w:val="20"/>
                <w:color w:val="auto"/>
              </w:rPr>
            </w:pPr>
            <w:r>
              <w:rPr>
                <w:rFonts w:ascii="Arial" w:cs="Arial" w:eastAsia="Arial" w:hAnsi="Arial"/>
                <w:sz w:val="22"/>
                <w:szCs w:val="22"/>
                <w:color w:val="auto"/>
              </w:rPr>
              <w:t>11</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00" w:type="dxa"/>
            <w:vAlign w:val="bottom"/>
          </w:tcPr>
          <w:p>
            <w:pPr>
              <w:ind w:left="140"/>
              <w:spacing w:after="0"/>
              <w:rPr>
                <w:sz w:val="20"/>
                <w:szCs w:val="20"/>
                <w:color w:val="auto"/>
              </w:rPr>
            </w:pPr>
            <w:r>
              <w:rPr>
                <w:rFonts w:ascii="Arial" w:cs="Arial" w:eastAsia="Arial" w:hAnsi="Arial"/>
                <w:sz w:val="22"/>
                <w:szCs w:val="22"/>
                <w:color w:val="auto"/>
              </w:rPr>
              <w:t>Additional paid-in capital</w:t>
            </w:r>
          </w:p>
        </w:tc>
        <w:tc>
          <w:tcPr>
            <w:tcW w:w="180" w:type="dxa"/>
            <w:vAlign w:val="bottom"/>
          </w:tcPr>
          <w:p>
            <w:pPr>
              <w:spacing w:after="0"/>
              <w:rPr>
                <w:sz w:val="23"/>
                <w:szCs w:val="23"/>
                <w:color w:val="auto"/>
              </w:rPr>
            </w:pPr>
          </w:p>
        </w:tc>
        <w:tc>
          <w:tcPr>
            <w:tcW w:w="2140" w:type="dxa"/>
            <w:vAlign w:val="bottom"/>
          </w:tcPr>
          <w:p>
            <w:pPr>
              <w:jc w:val="right"/>
              <w:spacing w:after="0"/>
              <w:rPr>
                <w:sz w:val="20"/>
                <w:szCs w:val="20"/>
                <w:color w:val="auto"/>
              </w:rPr>
            </w:pPr>
            <w:r>
              <w:rPr>
                <w:rFonts w:ascii="Arial" w:cs="Arial" w:eastAsia="Arial" w:hAnsi="Arial"/>
                <w:sz w:val="22"/>
                <w:szCs w:val="22"/>
                <w:color w:val="auto"/>
              </w:rPr>
              <w:t>156,571</w:t>
            </w:r>
          </w:p>
        </w:tc>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100" w:type="dxa"/>
            <w:vAlign w:val="bottom"/>
          </w:tcPr>
          <w:p>
            <w:pPr>
              <w:jc w:val="right"/>
              <w:spacing w:after="0"/>
              <w:rPr>
                <w:sz w:val="20"/>
                <w:szCs w:val="20"/>
                <w:color w:val="auto"/>
              </w:rPr>
            </w:pPr>
            <w:r>
              <w:rPr>
                <w:rFonts w:ascii="Arial" w:cs="Arial" w:eastAsia="Arial" w:hAnsi="Arial"/>
                <w:sz w:val="22"/>
                <w:szCs w:val="22"/>
                <w:color w:val="auto"/>
              </w:rPr>
              <w:t>153,872</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6200" w:type="dxa"/>
            <w:vAlign w:val="bottom"/>
          </w:tcPr>
          <w:p>
            <w:pPr>
              <w:ind w:left="140"/>
              <w:spacing w:after="0"/>
              <w:rPr>
                <w:sz w:val="20"/>
                <w:szCs w:val="20"/>
                <w:color w:val="auto"/>
              </w:rPr>
            </w:pPr>
            <w:r>
              <w:rPr>
                <w:rFonts w:ascii="Arial" w:cs="Arial" w:eastAsia="Arial" w:hAnsi="Arial"/>
                <w:sz w:val="22"/>
                <w:szCs w:val="22"/>
                <w:color w:val="auto"/>
              </w:rPr>
              <w:t>Accumulated deficit</w:t>
            </w:r>
          </w:p>
        </w:tc>
        <w:tc>
          <w:tcPr>
            <w:tcW w:w="180" w:type="dxa"/>
            <w:vAlign w:val="bottom"/>
          </w:tcPr>
          <w:p>
            <w:pPr>
              <w:spacing w:after="0"/>
              <w:rPr>
                <w:sz w:val="24"/>
                <w:szCs w:val="24"/>
                <w:color w:val="auto"/>
              </w:rPr>
            </w:pPr>
          </w:p>
        </w:tc>
        <w:tc>
          <w:tcPr>
            <w:tcW w:w="2480" w:type="dxa"/>
            <w:vAlign w:val="bottom"/>
            <w:gridSpan w:val="2"/>
          </w:tcPr>
          <w:p>
            <w:pPr>
              <w:jc w:val="right"/>
              <w:ind w:right="260"/>
              <w:spacing w:after="0"/>
              <w:rPr>
                <w:sz w:val="20"/>
                <w:szCs w:val="20"/>
                <w:color w:val="auto"/>
              </w:rPr>
            </w:pPr>
            <w:r>
              <w:rPr>
                <w:rFonts w:ascii="Arial" w:cs="Arial" w:eastAsia="Arial" w:hAnsi="Arial"/>
                <w:sz w:val="22"/>
                <w:szCs w:val="22"/>
                <w:color w:val="auto"/>
              </w:rPr>
              <w:t>(157,775)</w:t>
            </w:r>
          </w:p>
        </w:tc>
        <w:tc>
          <w:tcPr>
            <w:tcW w:w="180" w:type="dxa"/>
            <w:vAlign w:val="bottom"/>
          </w:tcPr>
          <w:p>
            <w:pPr>
              <w:spacing w:after="0"/>
              <w:rPr>
                <w:sz w:val="24"/>
                <w:szCs w:val="24"/>
                <w:color w:val="auto"/>
              </w:rPr>
            </w:pPr>
          </w:p>
        </w:tc>
        <w:tc>
          <w:tcPr>
            <w:tcW w:w="2200" w:type="dxa"/>
            <w:vAlign w:val="bottom"/>
            <w:gridSpan w:val="2"/>
          </w:tcPr>
          <w:p>
            <w:pPr>
              <w:jc w:val="right"/>
              <w:ind w:right="20"/>
              <w:spacing w:after="0"/>
              <w:rPr>
                <w:sz w:val="20"/>
                <w:szCs w:val="20"/>
                <w:color w:val="auto"/>
              </w:rPr>
            </w:pPr>
            <w:r>
              <w:rPr>
                <w:rFonts w:ascii="Arial" w:cs="Arial" w:eastAsia="Arial" w:hAnsi="Arial"/>
                <w:sz w:val="22"/>
                <w:szCs w:val="22"/>
                <w:color w:val="auto"/>
              </w:rPr>
              <w:t>(135,772)</w:t>
            </w:r>
          </w:p>
        </w:tc>
        <w:tc>
          <w:tcPr>
            <w:tcW w:w="0" w:type="dxa"/>
            <w:vAlign w:val="bottom"/>
          </w:tcPr>
          <w:p>
            <w:pPr>
              <w:spacing w:after="0"/>
              <w:rPr>
                <w:sz w:val="1"/>
                <w:szCs w:val="1"/>
                <w:color w:val="auto"/>
              </w:rPr>
            </w:pPr>
          </w:p>
        </w:tc>
      </w:tr>
      <w:tr>
        <w:trPr>
          <w:trHeight w:val="264"/>
        </w:trPr>
        <w:tc>
          <w:tcPr>
            <w:tcW w:w="6200" w:type="dxa"/>
            <w:vAlign w:val="bottom"/>
          </w:tcPr>
          <w:p>
            <w:pPr>
              <w:ind w:left="400"/>
              <w:spacing w:after="0"/>
              <w:rPr>
                <w:sz w:val="20"/>
                <w:szCs w:val="20"/>
                <w:color w:val="auto"/>
              </w:rPr>
            </w:pPr>
            <w:r>
              <w:rPr>
                <w:rFonts w:ascii="Arial" w:cs="Arial" w:eastAsia="Arial" w:hAnsi="Arial"/>
                <w:sz w:val="22"/>
                <w:szCs w:val="22"/>
                <w:color w:val="auto"/>
              </w:rPr>
              <w:t>Total stockholders' equity</w:t>
            </w:r>
          </w:p>
        </w:tc>
        <w:tc>
          <w:tcPr>
            <w:tcW w:w="180" w:type="dxa"/>
            <w:vAlign w:val="bottom"/>
            <w:tcBorders>
              <w:top w:val="single" w:sz="8" w:color="auto"/>
              <w:bottom w:val="single" w:sz="8" w:color="auto"/>
            </w:tcBorders>
          </w:tcPr>
          <w:p>
            <w:pPr>
              <w:spacing w:after="0"/>
              <w:rPr>
                <w:sz w:val="22"/>
                <w:szCs w:val="22"/>
                <w:color w:val="auto"/>
              </w:rPr>
            </w:pPr>
          </w:p>
        </w:tc>
        <w:tc>
          <w:tcPr>
            <w:tcW w:w="2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(1,190)</w:t>
            </w:r>
          </w:p>
        </w:tc>
        <w:tc>
          <w:tcPr>
            <w:tcW w:w="34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2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18,111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200" w:type="dxa"/>
            <w:vAlign w:val="bottom"/>
          </w:tcPr>
          <w:p>
            <w:pPr>
              <w:ind w:left="400"/>
              <w:spacing w:after="0"/>
              <w:rPr>
                <w:sz w:val="20"/>
                <w:szCs w:val="20"/>
                <w:color w:val="auto"/>
              </w:rPr>
            </w:pPr>
            <w:r>
              <w:rPr>
                <w:rFonts w:ascii="Arial" w:cs="Arial" w:eastAsia="Arial" w:hAnsi="Arial"/>
                <w:sz w:val="22"/>
                <w:szCs w:val="22"/>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7"/>
              </w:rPr>
              <w:t>$</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23,987</w:t>
            </w:r>
          </w:p>
        </w:tc>
        <w:tc>
          <w:tcPr>
            <w:tcW w:w="34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46,089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6"/>
        </w:trPr>
        <w:tc>
          <w:tcPr>
            <w:tcW w:w="6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9" w:name="page10"/>
    <w:bookmarkEnd w:id="9"/>
    <w:p>
      <w:pPr>
        <w:jc w:val="center"/>
        <w:ind w:right="80"/>
        <w:spacing w:after="0"/>
        <w:rPr>
          <w:sz w:val="20"/>
          <w:szCs w:val="20"/>
          <w:color w:val="auto"/>
        </w:rPr>
      </w:pPr>
      <w:r>
        <w:rPr>
          <w:rFonts w:ascii="Arial" w:cs="Arial" w:eastAsia="Arial" w:hAnsi="Arial"/>
          <w:sz w:val="25"/>
          <w:szCs w:val="25"/>
          <w:b w:val="1"/>
          <w:bCs w:val="1"/>
          <w:color w:val="auto"/>
        </w:rPr>
        <w:t>TEMPEST THERAPEUTICS, INC.</w:t>
      </w:r>
    </w:p>
    <w:p>
      <w:pPr>
        <w:spacing w:after="0" w:line="67" w:lineRule="exact"/>
        <w:rPr>
          <w:sz w:val="20"/>
          <w:szCs w:val="20"/>
          <w:color w:val="auto"/>
        </w:rPr>
      </w:pPr>
    </w:p>
    <w:p>
      <w:pPr>
        <w:jc w:val="center"/>
        <w:ind w:right="80"/>
        <w:spacing w:after="0"/>
        <w:rPr>
          <w:sz w:val="20"/>
          <w:szCs w:val="20"/>
          <w:color w:val="auto"/>
        </w:rPr>
      </w:pPr>
      <w:r>
        <w:rPr>
          <w:rFonts w:ascii="Arial" w:cs="Arial" w:eastAsia="Arial" w:hAnsi="Arial"/>
          <w:sz w:val="25"/>
          <w:szCs w:val="25"/>
          <w:b w:val="1"/>
          <w:bCs w:val="1"/>
          <w:color w:val="auto"/>
        </w:rPr>
        <w:t>Consolidated Statements of Operations</w:t>
      </w:r>
    </w:p>
    <w:p>
      <w:pPr>
        <w:spacing w:after="0" w:line="37" w:lineRule="exact"/>
        <w:rPr>
          <w:sz w:val="20"/>
          <w:szCs w:val="20"/>
          <w:color w:val="auto"/>
        </w:rPr>
      </w:pPr>
    </w:p>
    <w:p>
      <w:pPr>
        <w:jc w:val="center"/>
        <w:ind w:right="80"/>
        <w:spacing w:after="0"/>
        <w:rPr>
          <w:sz w:val="20"/>
          <w:szCs w:val="20"/>
          <w:color w:val="auto"/>
        </w:rPr>
      </w:pPr>
      <w:r>
        <w:rPr>
          <w:rFonts w:ascii="Arial" w:cs="Arial" w:eastAsia="Arial" w:hAnsi="Arial"/>
          <w:sz w:val="25"/>
          <w:szCs w:val="25"/>
          <w:b w:val="1"/>
          <w:bCs w:val="1"/>
          <w:color w:val="auto"/>
        </w:rPr>
        <w:t>(in thousands, except per share amounts)</w:t>
      </w:r>
    </w:p>
    <w:p>
      <w:pPr>
        <w:spacing w:after="0" w:line="200" w:lineRule="exact"/>
        <w:rPr>
          <w:sz w:val="20"/>
          <w:szCs w:val="20"/>
          <w:color w:val="auto"/>
        </w:rPr>
      </w:pPr>
    </w:p>
    <w:p>
      <w:pPr>
        <w:spacing w:after="0" w:line="38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gridSpan w:val="3"/>
          </w:tcPr>
          <w:p>
            <w:pPr>
              <w:jc w:val="center"/>
              <w:ind w:right="500"/>
              <w:spacing w:after="0"/>
              <w:rPr>
                <w:sz w:val="20"/>
                <w:szCs w:val="20"/>
                <w:color w:val="auto"/>
              </w:rPr>
            </w:pPr>
            <w:r>
              <w:rPr>
                <w:rFonts w:ascii="Arial" w:cs="Arial" w:eastAsia="Arial" w:hAnsi="Arial"/>
                <w:sz w:val="20"/>
                <w:szCs w:val="20"/>
                <w:b w:val="1"/>
                <w:bCs w:val="1"/>
                <w:color w:val="auto"/>
                <w:w w:val="98"/>
              </w:rPr>
              <w:t>Three months</w:t>
            </w:r>
          </w:p>
        </w:tc>
        <w:tc>
          <w:tcPr>
            <w:tcW w:w="200" w:type="dxa"/>
            <w:vAlign w:val="bottom"/>
          </w:tcPr>
          <w:p>
            <w:pPr>
              <w:spacing w:after="0"/>
              <w:rPr>
                <w:sz w:val="19"/>
                <w:szCs w:val="19"/>
                <w:color w:val="auto"/>
              </w:rPr>
            </w:pPr>
          </w:p>
        </w:tc>
        <w:tc>
          <w:tcPr>
            <w:tcW w:w="1940" w:type="dxa"/>
            <w:vAlign w:val="bottom"/>
            <w:gridSpan w:val="2"/>
          </w:tcPr>
          <w:p>
            <w:pPr>
              <w:jc w:val="right"/>
              <w:ind w:right="560"/>
              <w:spacing w:after="0"/>
              <w:rPr>
                <w:sz w:val="20"/>
                <w:szCs w:val="20"/>
                <w:color w:val="auto"/>
              </w:rPr>
            </w:pPr>
            <w:r>
              <w:rPr>
                <w:rFonts w:ascii="Arial" w:cs="Arial" w:eastAsia="Arial" w:hAnsi="Arial"/>
                <w:sz w:val="20"/>
                <w:szCs w:val="20"/>
                <w:b w:val="1"/>
                <w:bCs w:val="1"/>
                <w:color w:val="auto"/>
              </w:rPr>
              <w:t>Three months</w:t>
            </w:r>
          </w:p>
        </w:tc>
        <w:tc>
          <w:tcPr>
            <w:tcW w:w="160" w:type="dxa"/>
            <w:vAlign w:val="bottom"/>
          </w:tcPr>
          <w:p>
            <w:pPr>
              <w:spacing w:after="0"/>
              <w:rPr>
                <w:sz w:val="19"/>
                <w:szCs w:val="19"/>
                <w:color w:val="auto"/>
              </w:rPr>
            </w:pPr>
          </w:p>
        </w:tc>
        <w:tc>
          <w:tcPr>
            <w:tcW w:w="1840" w:type="dxa"/>
            <w:vAlign w:val="bottom"/>
            <w:gridSpan w:val="3"/>
          </w:tcPr>
          <w:p>
            <w:pPr>
              <w:jc w:val="center"/>
              <w:ind w:right="440"/>
              <w:spacing w:after="0"/>
              <w:rPr>
                <w:sz w:val="20"/>
                <w:szCs w:val="20"/>
                <w:color w:val="auto"/>
              </w:rPr>
            </w:pPr>
            <w:r>
              <w:rPr>
                <w:rFonts w:ascii="Arial" w:cs="Arial" w:eastAsia="Arial" w:hAnsi="Arial"/>
                <w:sz w:val="20"/>
                <w:szCs w:val="20"/>
                <w:b w:val="1"/>
                <w:bCs w:val="1"/>
                <w:color w:val="auto"/>
                <w:w w:val="99"/>
              </w:rPr>
              <w:t>Nine months</w:t>
            </w:r>
          </w:p>
        </w:tc>
        <w:tc>
          <w:tcPr>
            <w:tcW w:w="160" w:type="dxa"/>
            <w:vAlign w:val="bottom"/>
          </w:tcPr>
          <w:p>
            <w:pPr>
              <w:spacing w:after="0"/>
              <w:rPr>
                <w:sz w:val="19"/>
                <w:szCs w:val="19"/>
                <w:color w:val="auto"/>
              </w:rPr>
            </w:pPr>
          </w:p>
        </w:tc>
        <w:tc>
          <w:tcPr>
            <w:tcW w:w="1680" w:type="dxa"/>
            <w:vAlign w:val="bottom"/>
            <w:gridSpan w:val="2"/>
          </w:tcPr>
          <w:p>
            <w:pPr>
              <w:jc w:val="center"/>
              <w:ind w:right="320"/>
              <w:spacing w:after="0"/>
              <w:rPr>
                <w:sz w:val="20"/>
                <w:szCs w:val="20"/>
                <w:color w:val="auto"/>
              </w:rPr>
            </w:pPr>
            <w:r>
              <w:rPr>
                <w:rFonts w:ascii="Arial" w:cs="Arial" w:eastAsia="Arial" w:hAnsi="Arial"/>
                <w:sz w:val="20"/>
                <w:szCs w:val="20"/>
                <w:b w:val="1"/>
                <w:bCs w:val="1"/>
                <w:color w:val="auto"/>
                <w:w w:val="99"/>
              </w:rPr>
              <w:t>Nine months</w:t>
            </w:r>
          </w:p>
        </w:tc>
        <w:tc>
          <w:tcPr>
            <w:tcW w:w="0" w:type="dxa"/>
            <w:vAlign w:val="bottom"/>
          </w:tcPr>
          <w:p>
            <w:pPr>
              <w:spacing w:after="0"/>
              <w:rPr>
                <w:sz w:val="1"/>
                <w:szCs w:val="1"/>
                <w:color w:val="auto"/>
              </w:rPr>
            </w:pPr>
          </w:p>
        </w:tc>
      </w:tr>
      <w:tr>
        <w:trPr>
          <w:trHeight w:val="243"/>
        </w:trPr>
        <w:tc>
          <w:tcPr>
            <w:tcW w:w="3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60" w:type="dxa"/>
            <w:vAlign w:val="bottom"/>
            <w:gridSpan w:val="3"/>
          </w:tcPr>
          <w:p>
            <w:pPr>
              <w:jc w:val="center"/>
              <w:ind w:right="460"/>
              <w:spacing w:after="0"/>
              <w:rPr>
                <w:sz w:val="20"/>
                <w:szCs w:val="20"/>
                <w:color w:val="auto"/>
              </w:rPr>
            </w:pPr>
            <w:r>
              <w:rPr>
                <w:rFonts w:ascii="Arial" w:cs="Arial" w:eastAsia="Arial" w:hAnsi="Arial"/>
                <w:sz w:val="20"/>
                <w:szCs w:val="20"/>
                <w:b w:val="1"/>
                <w:bCs w:val="1"/>
                <w:color w:val="auto"/>
                <w:w w:val="98"/>
              </w:rPr>
              <w:t>ended</w:t>
            </w:r>
          </w:p>
        </w:tc>
        <w:tc>
          <w:tcPr>
            <w:tcW w:w="200" w:type="dxa"/>
            <w:vAlign w:val="bottom"/>
          </w:tcPr>
          <w:p>
            <w:pPr>
              <w:spacing w:after="0"/>
              <w:rPr>
                <w:sz w:val="21"/>
                <w:szCs w:val="21"/>
                <w:color w:val="auto"/>
              </w:rPr>
            </w:pPr>
          </w:p>
        </w:tc>
        <w:tc>
          <w:tcPr>
            <w:tcW w:w="1940" w:type="dxa"/>
            <w:vAlign w:val="bottom"/>
            <w:gridSpan w:val="2"/>
          </w:tcPr>
          <w:p>
            <w:pPr>
              <w:jc w:val="right"/>
              <w:ind w:right="900"/>
              <w:spacing w:after="0"/>
              <w:rPr>
                <w:sz w:val="20"/>
                <w:szCs w:val="20"/>
                <w:color w:val="auto"/>
              </w:rPr>
            </w:pPr>
            <w:r>
              <w:rPr>
                <w:rFonts w:ascii="Arial" w:cs="Arial" w:eastAsia="Arial" w:hAnsi="Arial"/>
                <w:sz w:val="20"/>
                <w:szCs w:val="20"/>
                <w:b w:val="1"/>
                <w:bCs w:val="1"/>
                <w:color w:val="auto"/>
              </w:rPr>
              <w:t>ended</w:t>
            </w:r>
          </w:p>
        </w:tc>
        <w:tc>
          <w:tcPr>
            <w:tcW w:w="160" w:type="dxa"/>
            <w:vAlign w:val="bottom"/>
          </w:tcPr>
          <w:p>
            <w:pPr>
              <w:spacing w:after="0"/>
              <w:rPr>
                <w:sz w:val="21"/>
                <w:szCs w:val="21"/>
                <w:color w:val="auto"/>
              </w:rPr>
            </w:pPr>
          </w:p>
        </w:tc>
        <w:tc>
          <w:tcPr>
            <w:tcW w:w="1840" w:type="dxa"/>
            <w:vAlign w:val="bottom"/>
            <w:gridSpan w:val="3"/>
          </w:tcPr>
          <w:p>
            <w:pPr>
              <w:jc w:val="center"/>
              <w:ind w:right="380"/>
              <w:spacing w:after="0"/>
              <w:rPr>
                <w:sz w:val="20"/>
                <w:szCs w:val="20"/>
                <w:color w:val="auto"/>
              </w:rPr>
            </w:pPr>
            <w:r>
              <w:rPr>
                <w:rFonts w:ascii="Arial" w:cs="Arial" w:eastAsia="Arial" w:hAnsi="Arial"/>
                <w:sz w:val="20"/>
                <w:szCs w:val="20"/>
                <w:b w:val="1"/>
                <w:bCs w:val="1"/>
                <w:color w:val="auto"/>
                <w:w w:val="98"/>
              </w:rPr>
              <w:t>ended</w:t>
            </w:r>
          </w:p>
        </w:tc>
        <w:tc>
          <w:tcPr>
            <w:tcW w:w="160" w:type="dxa"/>
            <w:vAlign w:val="bottom"/>
          </w:tcPr>
          <w:p>
            <w:pPr>
              <w:spacing w:after="0"/>
              <w:rPr>
                <w:sz w:val="21"/>
                <w:szCs w:val="21"/>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20"/>
                <w:szCs w:val="20"/>
                <w:b w:val="1"/>
                <w:bCs w:val="1"/>
                <w:color w:val="auto"/>
                <w:w w:val="98"/>
              </w:rPr>
              <w:t>ended</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2160" w:type="dxa"/>
            <w:vAlign w:val="bottom"/>
            <w:gridSpan w:val="4"/>
            <w:vMerge w:val="restart"/>
          </w:tcPr>
          <w:p>
            <w:pPr>
              <w:ind w:left="40"/>
              <w:spacing w:after="0"/>
              <w:rPr>
                <w:sz w:val="20"/>
                <w:szCs w:val="20"/>
                <w:color w:val="auto"/>
              </w:rPr>
            </w:pPr>
            <w:r>
              <w:rPr>
                <w:rFonts w:ascii="Arial" w:cs="Arial" w:eastAsia="Arial" w:hAnsi="Arial"/>
                <w:sz w:val="20"/>
                <w:szCs w:val="20"/>
                <w:b w:val="1"/>
                <w:bCs w:val="1"/>
                <w:color w:val="auto"/>
              </w:rPr>
              <w:t>September 30, 2023</w:t>
            </w:r>
          </w:p>
        </w:tc>
        <w:tc>
          <w:tcPr>
            <w:tcW w:w="2140" w:type="dxa"/>
            <w:vAlign w:val="bottom"/>
            <w:gridSpan w:val="3"/>
            <w:vMerge w:val="restart"/>
          </w:tcPr>
          <w:p>
            <w:pPr>
              <w:ind w:left="20"/>
              <w:spacing w:after="0"/>
              <w:rPr>
                <w:sz w:val="20"/>
                <w:szCs w:val="20"/>
                <w:color w:val="auto"/>
              </w:rPr>
            </w:pPr>
            <w:r>
              <w:rPr>
                <w:rFonts w:ascii="Arial" w:cs="Arial" w:eastAsia="Arial" w:hAnsi="Arial"/>
                <w:sz w:val="20"/>
                <w:szCs w:val="20"/>
                <w:b w:val="1"/>
                <w:bCs w:val="1"/>
                <w:color w:val="auto"/>
              </w:rPr>
              <w:t>September 30, 2022</w:t>
            </w:r>
          </w:p>
        </w:tc>
        <w:tc>
          <w:tcPr>
            <w:tcW w:w="160" w:type="dxa"/>
            <w:vAlign w:val="bottom"/>
          </w:tcPr>
          <w:p>
            <w:pPr>
              <w:spacing w:after="0"/>
              <w:rPr>
                <w:sz w:val="18"/>
                <w:szCs w:val="18"/>
                <w:color w:val="auto"/>
              </w:rPr>
            </w:pPr>
          </w:p>
        </w:tc>
        <w:tc>
          <w:tcPr>
            <w:tcW w:w="1840" w:type="dxa"/>
            <w:vAlign w:val="bottom"/>
            <w:gridSpan w:val="3"/>
          </w:tcPr>
          <w:p>
            <w:pPr>
              <w:jc w:val="center"/>
              <w:ind w:right="440"/>
              <w:spacing w:after="0" w:line="216" w:lineRule="exact"/>
              <w:rPr>
                <w:sz w:val="20"/>
                <w:szCs w:val="20"/>
                <w:color w:val="auto"/>
              </w:rPr>
            </w:pPr>
            <w:r>
              <w:rPr>
                <w:rFonts w:ascii="Arial" w:cs="Arial" w:eastAsia="Arial" w:hAnsi="Arial"/>
                <w:sz w:val="20"/>
                <w:szCs w:val="20"/>
                <w:b w:val="1"/>
                <w:bCs w:val="1"/>
                <w:color w:val="auto"/>
                <w:w w:val="99"/>
              </w:rPr>
              <w:t>September 30,</w:t>
            </w:r>
          </w:p>
        </w:tc>
        <w:tc>
          <w:tcPr>
            <w:tcW w:w="160" w:type="dxa"/>
            <w:vAlign w:val="bottom"/>
          </w:tcPr>
          <w:p>
            <w:pPr>
              <w:spacing w:after="0"/>
              <w:rPr>
                <w:sz w:val="18"/>
                <w:szCs w:val="18"/>
                <w:color w:val="auto"/>
              </w:rPr>
            </w:pPr>
          </w:p>
        </w:tc>
        <w:tc>
          <w:tcPr>
            <w:tcW w:w="1680" w:type="dxa"/>
            <w:vAlign w:val="bottom"/>
            <w:gridSpan w:val="2"/>
          </w:tcPr>
          <w:p>
            <w:pPr>
              <w:jc w:val="center"/>
              <w:ind w:right="300"/>
              <w:spacing w:after="0" w:line="216" w:lineRule="exact"/>
              <w:rPr>
                <w:sz w:val="20"/>
                <w:szCs w:val="20"/>
                <w:color w:val="auto"/>
              </w:rPr>
            </w:pPr>
            <w:r>
              <w:rPr>
                <w:rFonts w:ascii="Arial" w:cs="Arial" w:eastAsia="Arial" w:hAnsi="Arial"/>
                <w:sz w:val="20"/>
                <w:szCs w:val="20"/>
                <w:b w:val="1"/>
                <w:bCs w:val="1"/>
                <w:color w:val="auto"/>
                <w:w w:val="97"/>
              </w:rPr>
              <w:t>September 30,</w:t>
            </w:r>
          </w:p>
        </w:tc>
        <w:tc>
          <w:tcPr>
            <w:tcW w:w="0" w:type="dxa"/>
            <w:vAlign w:val="bottom"/>
          </w:tcPr>
          <w:p>
            <w:pPr>
              <w:spacing w:after="0"/>
              <w:rPr>
                <w:sz w:val="1"/>
                <w:szCs w:val="1"/>
                <w:color w:val="auto"/>
              </w:rPr>
            </w:pPr>
          </w:p>
        </w:tc>
      </w:tr>
      <w:tr>
        <w:trPr>
          <w:trHeight w:val="257"/>
        </w:trPr>
        <w:tc>
          <w:tcPr>
            <w:tcW w:w="3060" w:type="dxa"/>
            <w:vAlign w:val="bottom"/>
            <w:vMerge w:val="restart"/>
          </w:tcPr>
          <w:p>
            <w:pPr>
              <w:spacing w:after="0"/>
              <w:rPr>
                <w:sz w:val="20"/>
                <w:szCs w:val="20"/>
                <w:color w:val="auto"/>
              </w:rPr>
            </w:pPr>
            <w:r>
              <w:rPr>
                <w:rFonts w:ascii="Arial" w:cs="Arial" w:eastAsia="Arial" w:hAnsi="Arial"/>
                <w:sz w:val="22"/>
                <w:szCs w:val="22"/>
                <w:b w:val="1"/>
                <w:bCs w:val="1"/>
                <w:color w:val="auto"/>
              </w:rPr>
              <w:t>Expenses:</w:t>
            </w:r>
          </w:p>
        </w:tc>
        <w:tc>
          <w:tcPr>
            <w:tcW w:w="2160" w:type="dxa"/>
            <w:vAlign w:val="bottom"/>
            <w:gridSpan w:val="4"/>
            <w:vMerge w:val="continue"/>
          </w:tcPr>
          <w:p>
            <w:pPr>
              <w:spacing w:after="0"/>
              <w:rPr>
                <w:sz w:val="22"/>
                <w:szCs w:val="22"/>
                <w:color w:val="auto"/>
              </w:rPr>
            </w:pPr>
          </w:p>
        </w:tc>
        <w:tc>
          <w:tcPr>
            <w:tcW w:w="2140" w:type="dxa"/>
            <w:vAlign w:val="bottom"/>
            <w:gridSpan w:val="3"/>
            <w:vMerge w:val="continue"/>
          </w:tcPr>
          <w:p>
            <w:pPr>
              <w:spacing w:after="0"/>
              <w:rPr>
                <w:sz w:val="22"/>
                <w:szCs w:val="22"/>
                <w:color w:val="auto"/>
              </w:rPr>
            </w:pPr>
          </w:p>
        </w:tc>
        <w:tc>
          <w:tcPr>
            <w:tcW w:w="160" w:type="dxa"/>
            <w:vAlign w:val="bottom"/>
          </w:tcPr>
          <w:p>
            <w:pPr>
              <w:spacing w:after="0"/>
              <w:rPr>
                <w:sz w:val="22"/>
                <w:szCs w:val="22"/>
                <w:color w:val="auto"/>
              </w:rPr>
            </w:pPr>
          </w:p>
        </w:tc>
        <w:tc>
          <w:tcPr>
            <w:tcW w:w="1620" w:type="dxa"/>
            <w:vAlign w:val="bottom"/>
          </w:tcPr>
          <w:p>
            <w:pPr>
              <w:jc w:val="center"/>
              <w:ind w:right="35"/>
              <w:spacing w:after="0"/>
              <w:rPr>
                <w:sz w:val="20"/>
                <w:szCs w:val="20"/>
                <w:color w:val="auto"/>
              </w:rPr>
            </w:pPr>
            <w:r>
              <w:rPr>
                <w:rFonts w:ascii="Arial" w:cs="Arial" w:eastAsia="Arial" w:hAnsi="Arial"/>
                <w:sz w:val="20"/>
                <w:szCs w:val="20"/>
                <w:b w:val="1"/>
                <w:bCs w:val="1"/>
                <w:color w:val="auto"/>
                <w:w w:val="98"/>
              </w:rPr>
              <w:t>2023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0" w:type="dxa"/>
            <w:vAlign w:val="bottom"/>
          </w:tcPr>
          <w:p>
            <w:pPr>
              <w:jc w:val="center"/>
              <w:ind w:right="55"/>
              <w:spacing w:after="0"/>
              <w:rPr>
                <w:sz w:val="20"/>
                <w:szCs w:val="20"/>
                <w:color w:val="auto"/>
              </w:rPr>
            </w:pPr>
            <w:r>
              <w:rPr>
                <w:rFonts w:ascii="Arial" w:cs="Arial" w:eastAsia="Arial" w:hAnsi="Arial"/>
                <w:sz w:val="20"/>
                <w:szCs w:val="20"/>
                <w:b w:val="1"/>
                <w:bCs w:val="1"/>
                <w:color w:val="auto"/>
                <w:w w:val="98"/>
              </w:rPr>
              <w:t>2022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3060" w:type="dxa"/>
            <w:vAlign w:val="bottom"/>
            <w:vMerge w:val="continue"/>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70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70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6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60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060" w:type="dxa"/>
            <w:vAlign w:val="bottom"/>
          </w:tcPr>
          <w:p>
            <w:pPr>
              <w:ind w:left="120"/>
              <w:spacing w:after="0"/>
              <w:rPr>
                <w:sz w:val="20"/>
                <w:szCs w:val="20"/>
                <w:color w:val="auto"/>
              </w:rPr>
            </w:pPr>
            <w:r>
              <w:rPr>
                <w:rFonts w:ascii="Arial" w:cs="Arial" w:eastAsia="Arial" w:hAnsi="Arial"/>
                <w:sz w:val="22"/>
                <w:szCs w:val="22"/>
                <w:color w:val="auto"/>
              </w:rPr>
              <w:t>Research and development</w:t>
            </w:r>
          </w:p>
        </w:tc>
        <w:tc>
          <w:tcPr>
            <w:tcW w:w="200" w:type="dxa"/>
            <w:vAlign w:val="bottom"/>
          </w:tcPr>
          <w:p>
            <w:pPr>
              <w:ind w:left="20"/>
              <w:spacing w:after="0"/>
              <w:rPr>
                <w:sz w:val="20"/>
                <w:szCs w:val="20"/>
                <w:color w:val="auto"/>
              </w:rPr>
            </w:pPr>
            <w:r>
              <w:rPr>
                <w:rFonts w:ascii="Arial" w:cs="Arial" w:eastAsia="Arial" w:hAnsi="Arial"/>
                <w:sz w:val="22"/>
                <w:szCs w:val="22"/>
                <w:color w:val="auto"/>
              </w:rPr>
              <w:t>$</w:t>
            </w:r>
          </w:p>
        </w:tc>
        <w:tc>
          <w:tcPr>
            <w:tcW w:w="1700" w:type="dxa"/>
            <w:vAlign w:val="bottom"/>
          </w:tcPr>
          <w:p>
            <w:pPr>
              <w:jc w:val="right"/>
              <w:spacing w:after="0"/>
              <w:rPr>
                <w:sz w:val="20"/>
                <w:szCs w:val="20"/>
                <w:color w:val="auto"/>
              </w:rPr>
            </w:pPr>
            <w:r>
              <w:rPr>
                <w:rFonts w:ascii="Arial" w:cs="Arial" w:eastAsia="Arial" w:hAnsi="Arial"/>
                <w:sz w:val="22"/>
                <w:szCs w:val="22"/>
                <w:color w:val="auto"/>
              </w:rPr>
              <w:t>4,221</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0"/>
                <w:szCs w:val="20"/>
                <w:color w:val="auto"/>
              </w:rPr>
            </w:pPr>
            <w:r>
              <w:rPr>
                <w:rFonts w:ascii="Arial" w:cs="Arial" w:eastAsia="Arial" w:hAnsi="Arial"/>
                <w:sz w:val="22"/>
                <w:szCs w:val="22"/>
                <w:color w:val="auto"/>
              </w:rPr>
              <w:t>$</w:t>
            </w:r>
          </w:p>
        </w:tc>
        <w:tc>
          <w:tcPr>
            <w:tcW w:w="1700" w:type="dxa"/>
            <w:vAlign w:val="bottom"/>
          </w:tcPr>
          <w:p>
            <w:pPr>
              <w:jc w:val="right"/>
              <w:spacing w:after="0"/>
              <w:rPr>
                <w:sz w:val="20"/>
                <w:szCs w:val="20"/>
                <w:color w:val="auto"/>
              </w:rPr>
            </w:pPr>
            <w:r>
              <w:rPr>
                <w:rFonts w:ascii="Arial" w:cs="Arial" w:eastAsia="Arial" w:hAnsi="Arial"/>
                <w:sz w:val="22"/>
                <w:szCs w:val="22"/>
                <w:color w:val="auto"/>
              </w:rPr>
              <w:t>5,973</w:t>
            </w:r>
          </w:p>
        </w:tc>
        <w:tc>
          <w:tcPr>
            <w:tcW w:w="24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620" w:type="dxa"/>
            <w:vAlign w:val="bottom"/>
          </w:tcPr>
          <w:p>
            <w:pPr>
              <w:jc w:val="right"/>
              <w:spacing w:after="0"/>
              <w:rPr>
                <w:sz w:val="20"/>
                <w:szCs w:val="20"/>
                <w:color w:val="auto"/>
              </w:rPr>
            </w:pPr>
            <w:r>
              <w:rPr>
                <w:rFonts w:ascii="Arial" w:cs="Arial" w:eastAsia="Arial" w:hAnsi="Arial"/>
                <w:sz w:val="22"/>
                <w:szCs w:val="22"/>
                <w:color w:val="auto"/>
              </w:rPr>
              <w:t>13,315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600" w:type="dxa"/>
            <w:vAlign w:val="bottom"/>
          </w:tcPr>
          <w:p>
            <w:pPr>
              <w:jc w:val="right"/>
              <w:spacing w:after="0"/>
              <w:rPr>
                <w:sz w:val="20"/>
                <w:szCs w:val="20"/>
                <w:color w:val="auto"/>
              </w:rPr>
            </w:pPr>
            <w:r>
              <w:rPr>
                <w:rFonts w:ascii="Arial" w:cs="Arial" w:eastAsia="Arial" w:hAnsi="Arial"/>
                <w:sz w:val="22"/>
                <w:szCs w:val="22"/>
                <w:color w:val="auto"/>
              </w:rPr>
              <w:t>16,733</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3060" w:type="dxa"/>
            <w:vAlign w:val="bottom"/>
          </w:tcPr>
          <w:p>
            <w:pPr>
              <w:ind w:left="120"/>
              <w:spacing w:after="0"/>
              <w:rPr>
                <w:sz w:val="20"/>
                <w:szCs w:val="20"/>
                <w:color w:val="auto"/>
              </w:rPr>
            </w:pPr>
            <w:r>
              <w:rPr>
                <w:rFonts w:ascii="Arial" w:cs="Arial" w:eastAsia="Arial" w:hAnsi="Arial"/>
                <w:sz w:val="22"/>
                <w:szCs w:val="22"/>
                <w:color w:val="auto"/>
              </w:rPr>
              <w:t>General and administrative</w:t>
            </w:r>
          </w:p>
        </w:tc>
        <w:tc>
          <w:tcPr>
            <w:tcW w:w="2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2,371</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2,798</w:t>
            </w:r>
          </w:p>
        </w:tc>
        <w:tc>
          <w:tcPr>
            <w:tcW w:w="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8,328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8,973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3060" w:type="dxa"/>
            <w:vAlign w:val="bottom"/>
          </w:tcPr>
          <w:p>
            <w:pPr>
              <w:ind w:left="640"/>
              <w:spacing w:after="0"/>
              <w:rPr>
                <w:sz w:val="20"/>
                <w:szCs w:val="20"/>
                <w:color w:val="auto"/>
              </w:rPr>
            </w:pPr>
            <w:r>
              <w:rPr>
                <w:rFonts w:ascii="Arial" w:cs="Arial" w:eastAsia="Arial" w:hAnsi="Arial"/>
                <w:sz w:val="22"/>
                <w:szCs w:val="22"/>
                <w:color w:val="auto"/>
              </w:rPr>
              <w:t>Total expenses</w:t>
            </w:r>
          </w:p>
        </w:tc>
        <w:tc>
          <w:tcPr>
            <w:tcW w:w="2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6,592</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8,771</w:t>
            </w:r>
          </w:p>
        </w:tc>
        <w:tc>
          <w:tcPr>
            <w:tcW w:w="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21,643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25,706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3"/>
        </w:trPr>
        <w:tc>
          <w:tcPr>
            <w:tcW w:w="3060" w:type="dxa"/>
            <w:vAlign w:val="bottom"/>
          </w:tcPr>
          <w:p>
            <w:pPr>
              <w:spacing w:after="0"/>
              <w:rPr>
                <w:sz w:val="20"/>
                <w:szCs w:val="20"/>
                <w:color w:val="auto"/>
              </w:rPr>
            </w:pPr>
            <w:r>
              <w:rPr>
                <w:rFonts w:ascii="Arial" w:cs="Arial" w:eastAsia="Arial" w:hAnsi="Arial"/>
                <w:sz w:val="22"/>
                <w:szCs w:val="22"/>
                <w:b w:val="1"/>
                <w:bCs w:val="1"/>
                <w:color w:val="auto"/>
              </w:rPr>
              <w:t>Operating loss</w:t>
            </w:r>
          </w:p>
        </w:tc>
        <w:tc>
          <w:tcPr>
            <w:tcW w:w="200" w:type="dxa"/>
            <w:vAlign w:val="bottom"/>
          </w:tcPr>
          <w:p>
            <w:pPr>
              <w:spacing w:after="0"/>
              <w:rPr>
                <w:sz w:val="24"/>
                <w:szCs w:val="24"/>
                <w:color w:val="auto"/>
              </w:rPr>
            </w:pPr>
          </w:p>
        </w:tc>
        <w:tc>
          <w:tcPr>
            <w:tcW w:w="1840" w:type="dxa"/>
            <w:vAlign w:val="bottom"/>
            <w:gridSpan w:val="2"/>
          </w:tcPr>
          <w:p>
            <w:pPr>
              <w:jc w:val="right"/>
              <w:ind w:right="40"/>
              <w:spacing w:after="0"/>
              <w:rPr>
                <w:sz w:val="20"/>
                <w:szCs w:val="20"/>
                <w:color w:val="auto"/>
              </w:rPr>
            </w:pPr>
            <w:r>
              <w:rPr>
                <w:rFonts w:ascii="Arial" w:cs="Arial" w:eastAsia="Arial" w:hAnsi="Arial"/>
                <w:sz w:val="22"/>
                <w:szCs w:val="22"/>
                <w:color w:val="auto"/>
              </w:rPr>
              <w:t>(6,592)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gridSpan w:val="2"/>
          </w:tcPr>
          <w:p>
            <w:pPr>
              <w:jc w:val="right"/>
              <w:ind w:right="160"/>
              <w:spacing w:after="0"/>
              <w:rPr>
                <w:sz w:val="20"/>
                <w:szCs w:val="20"/>
                <w:color w:val="auto"/>
              </w:rPr>
            </w:pPr>
            <w:r>
              <w:rPr>
                <w:rFonts w:ascii="Arial" w:cs="Arial" w:eastAsia="Arial" w:hAnsi="Arial"/>
                <w:sz w:val="22"/>
                <w:szCs w:val="22"/>
                <w:color w:val="auto"/>
              </w:rPr>
              <w:t>(8,771)</w:t>
            </w:r>
          </w:p>
        </w:tc>
        <w:tc>
          <w:tcPr>
            <w:tcW w:w="160" w:type="dxa"/>
            <w:vAlign w:val="bottom"/>
          </w:tcPr>
          <w:p>
            <w:pPr>
              <w:spacing w:after="0"/>
              <w:rPr>
                <w:sz w:val="24"/>
                <w:szCs w:val="24"/>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22"/>
                <w:szCs w:val="22"/>
                <w:color w:val="auto"/>
              </w:rPr>
              <w:t>(21,643)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gridSpan w:val="2"/>
          </w:tcPr>
          <w:p>
            <w:pPr>
              <w:jc w:val="right"/>
              <w:spacing w:after="0"/>
              <w:rPr>
                <w:sz w:val="20"/>
                <w:szCs w:val="20"/>
                <w:color w:val="auto"/>
              </w:rPr>
            </w:pPr>
            <w:r>
              <w:rPr>
                <w:rFonts w:ascii="Arial" w:cs="Arial" w:eastAsia="Arial" w:hAnsi="Arial"/>
                <w:sz w:val="22"/>
                <w:szCs w:val="22"/>
                <w:color w:val="auto"/>
              </w:rPr>
              <w:t>(25,706)</w:t>
            </w:r>
          </w:p>
        </w:tc>
        <w:tc>
          <w:tcPr>
            <w:tcW w:w="0" w:type="dxa"/>
            <w:vAlign w:val="bottom"/>
          </w:tcPr>
          <w:p>
            <w:pPr>
              <w:spacing w:after="0"/>
              <w:rPr>
                <w:sz w:val="1"/>
                <w:szCs w:val="1"/>
                <w:color w:val="auto"/>
              </w:rPr>
            </w:pPr>
          </w:p>
        </w:tc>
      </w:tr>
      <w:tr>
        <w:trPr>
          <w:trHeight w:val="525"/>
        </w:trPr>
        <w:tc>
          <w:tcPr>
            <w:tcW w:w="3060" w:type="dxa"/>
            <w:vAlign w:val="bottom"/>
          </w:tcPr>
          <w:p>
            <w:pPr>
              <w:spacing w:after="0"/>
              <w:rPr>
                <w:sz w:val="20"/>
                <w:szCs w:val="20"/>
                <w:color w:val="auto"/>
              </w:rPr>
            </w:pPr>
            <w:r>
              <w:rPr>
                <w:rFonts w:ascii="Arial" w:cs="Arial" w:eastAsia="Arial" w:hAnsi="Arial"/>
                <w:sz w:val="22"/>
                <w:szCs w:val="22"/>
                <w:b w:val="1"/>
                <w:bCs w:val="1"/>
                <w:color w:val="auto"/>
              </w:rPr>
              <w:t>Other income (expense), net:</w:t>
            </w:r>
          </w:p>
        </w:tc>
        <w:tc>
          <w:tcPr>
            <w:tcW w:w="200" w:type="dxa"/>
            <w:vAlign w:val="bottom"/>
            <w:tcBorders>
              <w:top w:val="single" w:sz="8" w:color="auto"/>
            </w:tcBorders>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060" w:type="dxa"/>
            <w:vAlign w:val="bottom"/>
          </w:tcPr>
          <w:p>
            <w:pPr>
              <w:ind w:left="120"/>
              <w:spacing w:after="0"/>
              <w:rPr>
                <w:sz w:val="20"/>
                <w:szCs w:val="20"/>
                <w:color w:val="auto"/>
              </w:rPr>
            </w:pPr>
            <w:r>
              <w:rPr>
                <w:rFonts w:ascii="Arial" w:cs="Arial" w:eastAsia="Arial" w:hAnsi="Arial"/>
                <w:sz w:val="22"/>
                <w:szCs w:val="22"/>
                <w:color w:val="auto"/>
              </w:rPr>
              <w:t>Interest expense</w:t>
            </w:r>
          </w:p>
        </w:tc>
        <w:tc>
          <w:tcPr>
            <w:tcW w:w="200" w:type="dxa"/>
            <w:vAlign w:val="bottom"/>
          </w:tcPr>
          <w:p>
            <w:pPr>
              <w:spacing w:after="0"/>
              <w:rPr>
                <w:sz w:val="23"/>
                <w:szCs w:val="23"/>
                <w:color w:val="auto"/>
              </w:rPr>
            </w:pPr>
          </w:p>
        </w:tc>
        <w:tc>
          <w:tcPr>
            <w:tcW w:w="1840" w:type="dxa"/>
            <w:vAlign w:val="bottom"/>
            <w:gridSpan w:val="2"/>
          </w:tcPr>
          <w:p>
            <w:pPr>
              <w:jc w:val="right"/>
              <w:ind w:right="40"/>
              <w:spacing w:after="0"/>
              <w:rPr>
                <w:sz w:val="20"/>
                <w:szCs w:val="20"/>
                <w:color w:val="auto"/>
              </w:rPr>
            </w:pPr>
            <w:r>
              <w:rPr>
                <w:rFonts w:ascii="Arial" w:cs="Arial" w:eastAsia="Arial" w:hAnsi="Arial"/>
                <w:sz w:val="22"/>
                <w:szCs w:val="22"/>
                <w:color w:val="auto"/>
              </w:rPr>
              <w:t>(373)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940" w:type="dxa"/>
            <w:vAlign w:val="bottom"/>
            <w:gridSpan w:val="2"/>
          </w:tcPr>
          <w:p>
            <w:pPr>
              <w:jc w:val="right"/>
              <w:ind w:right="160"/>
              <w:spacing w:after="0"/>
              <w:rPr>
                <w:sz w:val="20"/>
                <w:szCs w:val="20"/>
                <w:color w:val="auto"/>
              </w:rPr>
            </w:pPr>
            <w:r>
              <w:rPr>
                <w:rFonts w:ascii="Arial" w:cs="Arial" w:eastAsia="Arial" w:hAnsi="Arial"/>
                <w:sz w:val="22"/>
                <w:szCs w:val="22"/>
                <w:color w:val="auto"/>
              </w:rPr>
              <w:t>(389)</w:t>
            </w:r>
          </w:p>
        </w:tc>
        <w:tc>
          <w:tcPr>
            <w:tcW w:w="160" w:type="dxa"/>
            <w:vAlign w:val="bottom"/>
          </w:tcPr>
          <w:p>
            <w:pPr>
              <w:spacing w:after="0"/>
              <w:rPr>
                <w:sz w:val="23"/>
                <w:szCs w:val="23"/>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22"/>
                <w:szCs w:val="22"/>
                <w:color w:val="auto"/>
              </w:rPr>
              <w:t>(1,072)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80" w:type="dxa"/>
            <w:vAlign w:val="bottom"/>
            <w:gridSpan w:val="2"/>
          </w:tcPr>
          <w:p>
            <w:pPr>
              <w:jc w:val="right"/>
              <w:spacing w:after="0"/>
              <w:rPr>
                <w:sz w:val="20"/>
                <w:szCs w:val="20"/>
                <w:color w:val="auto"/>
              </w:rPr>
            </w:pPr>
            <w:r>
              <w:rPr>
                <w:rFonts w:ascii="Arial" w:cs="Arial" w:eastAsia="Arial" w:hAnsi="Arial"/>
                <w:sz w:val="22"/>
                <w:szCs w:val="22"/>
                <w:color w:val="auto"/>
              </w:rPr>
              <w:t>(1,186)</w:t>
            </w:r>
          </w:p>
        </w:tc>
        <w:tc>
          <w:tcPr>
            <w:tcW w:w="0" w:type="dxa"/>
            <w:vAlign w:val="bottom"/>
          </w:tcPr>
          <w:p>
            <w:pPr>
              <w:spacing w:after="0"/>
              <w:rPr>
                <w:sz w:val="1"/>
                <w:szCs w:val="1"/>
                <w:color w:val="auto"/>
              </w:rPr>
            </w:pPr>
          </w:p>
        </w:tc>
      </w:tr>
      <w:tr>
        <w:trPr>
          <w:trHeight w:val="279"/>
        </w:trPr>
        <w:tc>
          <w:tcPr>
            <w:tcW w:w="3060" w:type="dxa"/>
            <w:vAlign w:val="bottom"/>
          </w:tcPr>
          <w:p>
            <w:pPr>
              <w:ind w:left="120"/>
              <w:spacing w:after="0"/>
              <w:rPr>
                <w:sz w:val="20"/>
                <w:szCs w:val="20"/>
                <w:color w:val="auto"/>
              </w:rPr>
            </w:pPr>
            <w:r>
              <w:rPr>
                <w:rFonts w:ascii="Arial" w:cs="Arial" w:eastAsia="Arial" w:hAnsi="Arial"/>
                <w:sz w:val="22"/>
                <w:szCs w:val="22"/>
                <w:color w:val="auto"/>
                <w:w w:val="99"/>
              </w:rPr>
              <w:t>Interest and other income, net</w:t>
            </w:r>
          </w:p>
        </w:tc>
        <w:tc>
          <w:tcPr>
            <w:tcW w:w="2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179</w:t>
            </w: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213</w:t>
            </w:r>
          </w:p>
        </w:tc>
        <w:tc>
          <w:tcPr>
            <w:tcW w:w="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712</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286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3"/>
        </w:trPr>
        <w:tc>
          <w:tcPr>
            <w:tcW w:w="3060" w:type="dxa"/>
            <w:vAlign w:val="bottom"/>
          </w:tcPr>
          <w:p>
            <w:pPr>
              <w:spacing w:after="0"/>
              <w:rPr>
                <w:sz w:val="20"/>
                <w:szCs w:val="20"/>
                <w:color w:val="auto"/>
              </w:rPr>
            </w:pPr>
            <w:r>
              <w:rPr>
                <w:rFonts w:ascii="Arial" w:cs="Arial" w:eastAsia="Arial" w:hAnsi="Arial"/>
                <w:sz w:val="22"/>
                <w:szCs w:val="22"/>
                <w:b w:val="1"/>
                <w:bCs w:val="1"/>
                <w:color w:val="auto"/>
              </w:rPr>
              <w:t>Net loss</w:t>
            </w:r>
          </w:p>
        </w:tc>
        <w:tc>
          <w:tcPr>
            <w:tcW w:w="200" w:type="dxa"/>
            <w:vAlign w:val="bottom"/>
          </w:tcPr>
          <w:p>
            <w:pPr>
              <w:ind w:left="20"/>
              <w:spacing w:after="0"/>
              <w:rPr>
                <w:sz w:val="20"/>
                <w:szCs w:val="20"/>
                <w:color w:val="auto"/>
              </w:rPr>
            </w:pPr>
            <w:r>
              <w:rPr>
                <w:rFonts w:ascii="Arial" w:cs="Arial" w:eastAsia="Arial" w:hAnsi="Arial"/>
                <w:sz w:val="22"/>
                <w:szCs w:val="22"/>
                <w:color w:val="auto"/>
              </w:rPr>
              <w:t>$</w:t>
            </w:r>
          </w:p>
        </w:tc>
        <w:tc>
          <w:tcPr>
            <w:tcW w:w="1840" w:type="dxa"/>
            <w:vAlign w:val="bottom"/>
            <w:gridSpan w:val="2"/>
          </w:tcPr>
          <w:p>
            <w:pPr>
              <w:jc w:val="right"/>
              <w:ind w:right="40"/>
              <w:spacing w:after="0"/>
              <w:rPr>
                <w:sz w:val="20"/>
                <w:szCs w:val="20"/>
                <w:color w:val="auto"/>
              </w:rPr>
            </w:pPr>
            <w:r>
              <w:rPr>
                <w:rFonts w:ascii="Arial" w:cs="Arial" w:eastAsia="Arial" w:hAnsi="Arial"/>
                <w:sz w:val="22"/>
                <w:szCs w:val="22"/>
                <w:color w:val="auto"/>
              </w:rPr>
              <w:t>(6,786)</w:t>
            </w:r>
          </w:p>
        </w:tc>
        <w:tc>
          <w:tcPr>
            <w:tcW w:w="12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22"/>
                <w:szCs w:val="22"/>
                <w:color w:val="auto"/>
              </w:rPr>
              <w:t>$</w:t>
            </w:r>
          </w:p>
        </w:tc>
        <w:tc>
          <w:tcPr>
            <w:tcW w:w="1940" w:type="dxa"/>
            <w:vAlign w:val="bottom"/>
            <w:gridSpan w:val="2"/>
          </w:tcPr>
          <w:p>
            <w:pPr>
              <w:jc w:val="right"/>
              <w:ind w:right="160"/>
              <w:spacing w:after="0"/>
              <w:rPr>
                <w:sz w:val="20"/>
                <w:szCs w:val="20"/>
                <w:color w:val="auto"/>
              </w:rPr>
            </w:pPr>
            <w:r>
              <w:rPr>
                <w:rFonts w:ascii="Arial" w:cs="Arial" w:eastAsia="Arial" w:hAnsi="Arial"/>
                <w:sz w:val="22"/>
                <w:szCs w:val="22"/>
                <w:color w:val="auto"/>
              </w:rPr>
              <w:t>(8,947)</w:t>
            </w:r>
          </w:p>
        </w:tc>
        <w:tc>
          <w:tcPr>
            <w:tcW w:w="16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720" w:type="dxa"/>
            <w:vAlign w:val="bottom"/>
            <w:gridSpan w:val="2"/>
          </w:tcPr>
          <w:p>
            <w:pPr>
              <w:jc w:val="right"/>
              <w:ind w:right="20"/>
              <w:spacing w:after="0"/>
              <w:rPr>
                <w:sz w:val="20"/>
                <w:szCs w:val="20"/>
                <w:color w:val="auto"/>
              </w:rPr>
            </w:pPr>
            <w:r>
              <w:rPr>
                <w:rFonts w:ascii="Arial" w:cs="Arial" w:eastAsia="Arial" w:hAnsi="Arial"/>
                <w:sz w:val="22"/>
                <w:szCs w:val="22"/>
                <w:color w:val="auto"/>
              </w:rPr>
              <w:t>(22,003)</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680" w:type="dxa"/>
            <w:vAlign w:val="bottom"/>
            <w:gridSpan w:val="2"/>
          </w:tcPr>
          <w:p>
            <w:pPr>
              <w:jc w:val="right"/>
              <w:spacing w:after="0"/>
              <w:rPr>
                <w:sz w:val="20"/>
                <w:szCs w:val="20"/>
                <w:color w:val="auto"/>
              </w:rPr>
            </w:pPr>
            <w:r>
              <w:rPr>
                <w:rFonts w:ascii="Arial" w:cs="Arial" w:eastAsia="Arial" w:hAnsi="Arial"/>
                <w:sz w:val="22"/>
                <w:szCs w:val="22"/>
                <w:color w:val="auto"/>
              </w:rPr>
              <w:t>(26,606)</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060" w:type="dxa"/>
            <w:vAlign w:val="bottom"/>
          </w:tcPr>
          <w:p>
            <w:pPr>
              <w:spacing w:after="0" w:line="250" w:lineRule="exact"/>
              <w:rPr>
                <w:sz w:val="20"/>
                <w:szCs w:val="20"/>
                <w:color w:val="auto"/>
              </w:rPr>
            </w:pPr>
            <w:r>
              <w:rPr>
                <w:rFonts w:ascii="Arial" w:cs="Arial" w:eastAsia="Arial" w:hAnsi="Arial"/>
                <w:sz w:val="22"/>
                <w:szCs w:val="22"/>
                <w:b w:val="1"/>
                <w:bCs w:val="1"/>
                <w:color w:val="auto"/>
              </w:rPr>
              <w:t>Net loss per share</w:t>
            </w:r>
          </w:p>
        </w:tc>
        <w:tc>
          <w:tcPr>
            <w:tcW w:w="200" w:type="dxa"/>
            <w:vAlign w:val="bottom"/>
          </w:tcPr>
          <w:p>
            <w:pPr>
              <w:ind w:left="20"/>
              <w:spacing w:after="0" w:line="250" w:lineRule="exact"/>
              <w:rPr>
                <w:sz w:val="20"/>
                <w:szCs w:val="20"/>
                <w:color w:val="auto"/>
              </w:rPr>
            </w:pPr>
            <w:r>
              <w:rPr>
                <w:rFonts w:ascii="Arial" w:cs="Arial" w:eastAsia="Arial" w:hAnsi="Arial"/>
                <w:sz w:val="22"/>
                <w:szCs w:val="22"/>
                <w:color w:val="auto"/>
              </w:rPr>
              <w:t>$</w:t>
            </w:r>
          </w:p>
        </w:tc>
        <w:tc>
          <w:tcPr>
            <w:tcW w:w="1840" w:type="dxa"/>
            <w:vAlign w:val="bottom"/>
            <w:gridSpan w:val="2"/>
          </w:tcPr>
          <w:p>
            <w:pPr>
              <w:jc w:val="right"/>
              <w:ind w:right="40"/>
              <w:spacing w:after="0" w:line="250" w:lineRule="exact"/>
              <w:rPr>
                <w:sz w:val="20"/>
                <w:szCs w:val="20"/>
                <w:color w:val="auto"/>
              </w:rPr>
            </w:pPr>
            <w:r>
              <w:rPr>
                <w:rFonts w:ascii="Arial" w:cs="Arial" w:eastAsia="Arial" w:hAnsi="Arial"/>
                <w:sz w:val="22"/>
                <w:szCs w:val="22"/>
                <w:color w:val="auto"/>
              </w:rPr>
              <w:t>(0.48)</w:t>
            </w:r>
          </w:p>
        </w:tc>
        <w:tc>
          <w:tcPr>
            <w:tcW w:w="120" w:type="dxa"/>
            <w:vAlign w:val="bottom"/>
          </w:tcPr>
          <w:p>
            <w:pPr>
              <w:spacing w:after="0"/>
              <w:rPr>
                <w:sz w:val="21"/>
                <w:szCs w:val="21"/>
                <w:color w:val="auto"/>
              </w:rPr>
            </w:pPr>
          </w:p>
        </w:tc>
        <w:tc>
          <w:tcPr>
            <w:tcW w:w="200" w:type="dxa"/>
            <w:vAlign w:val="bottom"/>
          </w:tcPr>
          <w:p>
            <w:pPr>
              <w:spacing w:after="0" w:line="250" w:lineRule="exact"/>
              <w:rPr>
                <w:sz w:val="20"/>
                <w:szCs w:val="20"/>
                <w:color w:val="auto"/>
              </w:rPr>
            </w:pPr>
            <w:r>
              <w:rPr>
                <w:rFonts w:ascii="Arial" w:cs="Arial" w:eastAsia="Arial" w:hAnsi="Arial"/>
                <w:sz w:val="22"/>
                <w:szCs w:val="22"/>
                <w:color w:val="auto"/>
              </w:rPr>
              <w:t>$</w:t>
            </w:r>
          </w:p>
        </w:tc>
        <w:tc>
          <w:tcPr>
            <w:tcW w:w="1940" w:type="dxa"/>
            <w:vAlign w:val="bottom"/>
            <w:gridSpan w:val="2"/>
          </w:tcPr>
          <w:p>
            <w:pPr>
              <w:jc w:val="right"/>
              <w:ind w:right="160"/>
              <w:spacing w:after="0" w:line="250" w:lineRule="exact"/>
              <w:rPr>
                <w:sz w:val="20"/>
                <w:szCs w:val="20"/>
                <w:color w:val="auto"/>
              </w:rPr>
            </w:pPr>
            <w:r>
              <w:rPr>
                <w:rFonts w:ascii="Arial" w:cs="Arial" w:eastAsia="Arial" w:hAnsi="Arial"/>
                <w:sz w:val="22"/>
                <w:szCs w:val="22"/>
                <w:color w:val="auto"/>
              </w:rPr>
              <w:t>(0.66)</w:t>
            </w:r>
          </w:p>
        </w:tc>
        <w:tc>
          <w:tcPr>
            <w:tcW w:w="160" w:type="dxa"/>
            <w:vAlign w:val="bottom"/>
          </w:tcPr>
          <w:p>
            <w:pPr>
              <w:jc w:val="right"/>
              <w:spacing w:after="0" w:line="250" w:lineRule="exact"/>
              <w:rPr>
                <w:sz w:val="20"/>
                <w:szCs w:val="20"/>
                <w:color w:val="auto"/>
              </w:rPr>
            </w:pPr>
            <w:r>
              <w:rPr>
                <w:rFonts w:ascii="Arial" w:cs="Arial" w:eastAsia="Arial" w:hAnsi="Arial"/>
                <w:sz w:val="22"/>
                <w:szCs w:val="22"/>
                <w:color w:val="auto"/>
                <w:w w:val="97"/>
              </w:rPr>
              <w:t>$</w:t>
            </w:r>
          </w:p>
        </w:tc>
        <w:tc>
          <w:tcPr>
            <w:tcW w:w="1720" w:type="dxa"/>
            <w:vAlign w:val="bottom"/>
            <w:gridSpan w:val="2"/>
          </w:tcPr>
          <w:p>
            <w:pPr>
              <w:jc w:val="right"/>
              <w:ind w:right="20"/>
              <w:spacing w:after="0" w:line="250" w:lineRule="exact"/>
              <w:rPr>
                <w:sz w:val="20"/>
                <w:szCs w:val="20"/>
                <w:color w:val="auto"/>
              </w:rPr>
            </w:pPr>
            <w:r>
              <w:rPr>
                <w:rFonts w:ascii="Arial" w:cs="Arial" w:eastAsia="Arial" w:hAnsi="Arial"/>
                <w:sz w:val="22"/>
                <w:szCs w:val="22"/>
                <w:color w:val="auto"/>
              </w:rPr>
              <w:t>(1.57)</w:t>
            </w:r>
          </w:p>
        </w:tc>
        <w:tc>
          <w:tcPr>
            <w:tcW w:w="120" w:type="dxa"/>
            <w:vAlign w:val="bottom"/>
          </w:tcPr>
          <w:p>
            <w:pPr>
              <w:spacing w:after="0"/>
              <w:rPr>
                <w:sz w:val="21"/>
                <w:szCs w:val="21"/>
                <w:color w:val="auto"/>
              </w:rPr>
            </w:pPr>
          </w:p>
        </w:tc>
        <w:tc>
          <w:tcPr>
            <w:tcW w:w="160" w:type="dxa"/>
            <w:vAlign w:val="bottom"/>
          </w:tcPr>
          <w:p>
            <w:pPr>
              <w:jc w:val="right"/>
              <w:spacing w:after="0" w:line="250" w:lineRule="exact"/>
              <w:rPr>
                <w:sz w:val="20"/>
                <w:szCs w:val="20"/>
                <w:color w:val="auto"/>
              </w:rPr>
            </w:pPr>
            <w:r>
              <w:rPr>
                <w:rFonts w:ascii="Arial" w:cs="Arial" w:eastAsia="Arial" w:hAnsi="Arial"/>
                <w:sz w:val="22"/>
                <w:szCs w:val="22"/>
                <w:color w:val="auto"/>
                <w:w w:val="97"/>
              </w:rPr>
              <w:t>$</w:t>
            </w:r>
          </w:p>
        </w:tc>
        <w:tc>
          <w:tcPr>
            <w:tcW w:w="1680" w:type="dxa"/>
            <w:vAlign w:val="bottom"/>
            <w:gridSpan w:val="2"/>
          </w:tcPr>
          <w:p>
            <w:pPr>
              <w:jc w:val="right"/>
              <w:spacing w:after="0" w:line="250" w:lineRule="exact"/>
              <w:rPr>
                <w:sz w:val="20"/>
                <w:szCs w:val="20"/>
                <w:color w:val="auto"/>
              </w:rPr>
            </w:pPr>
            <w:r>
              <w:rPr>
                <w:rFonts w:ascii="Arial" w:cs="Arial" w:eastAsia="Arial" w:hAnsi="Arial"/>
                <w:sz w:val="22"/>
                <w:szCs w:val="22"/>
                <w:color w:val="auto"/>
              </w:rPr>
              <w:t>(2.46)</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 Contacts:</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color w:val="auto"/>
        </w:rPr>
        <w:t>Sylvia Wheeler</w:t>
      </w:r>
    </w:p>
    <w:p>
      <w:pPr>
        <w:spacing w:after="0" w:line="236" w:lineRule="auto"/>
        <w:rPr>
          <w:sz w:val="20"/>
          <w:szCs w:val="20"/>
          <w:color w:val="auto"/>
        </w:rPr>
      </w:pPr>
      <w:r>
        <w:rPr>
          <w:rFonts w:ascii="Arial" w:cs="Arial" w:eastAsia="Arial" w:hAnsi="Arial"/>
          <w:sz w:val="22"/>
          <w:szCs w:val="22"/>
          <w:color w:val="auto"/>
        </w:rPr>
        <w:t>Wheelhouse Life Science Advisors</w:t>
      </w:r>
    </w:p>
    <w:p>
      <w:pPr>
        <w:spacing w:after="0"/>
        <w:rPr>
          <w:sz w:val="20"/>
          <w:szCs w:val="20"/>
          <w:color w:val="auto"/>
        </w:rPr>
      </w:pPr>
      <w:r>
        <w:rPr>
          <w:rFonts w:ascii="Arial" w:cs="Arial" w:eastAsia="Arial" w:hAnsi="Arial"/>
          <w:sz w:val="22"/>
          <w:szCs w:val="22"/>
          <w:color w:val="0563C1"/>
        </w:rPr>
        <w:t>swheeler@wheelhouselsa.com</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color w:val="auto"/>
        </w:rPr>
        <w:t>Aljanae Reynolds</w:t>
      </w:r>
    </w:p>
    <w:p>
      <w:pPr>
        <w:spacing w:after="0" w:line="236" w:lineRule="auto"/>
        <w:rPr>
          <w:sz w:val="20"/>
          <w:szCs w:val="20"/>
          <w:color w:val="auto"/>
        </w:rPr>
      </w:pPr>
      <w:r>
        <w:rPr>
          <w:rFonts w:ascii="Arial" w:cs="Arial" w:eastAsia="Arial" w:hAnsi="Arial"/>
          <w:sz w:val="22"/>
          <w:szCs w:val="22"/>
          <w:color w:val="auto"/>
        </w:rPr>
        <w:t>Wheelhouse Life Science Advisors</w:t>
      </w:r>
    </w:p>
    <w:p>
      <w:pPr>
        <w:spacing w:after="0"/>
        <w:rPr>
          <w:sz w:val="20"/>
          <w:szCs w:val="20"/>
          <w:color w:val="auto"/>
        </w:rPr>
      </w:pPr>
      <w:r>
        <w:rPr>
          <w:rFonts w:ascii="Arial" w:cs="Arial" w:eastAsia="Arial" w:hAnsi="Arial"/>
          <w:sz w:val="22"/>
          <w:szCs w:val="22"/>
          <w:color w:val="0563C1"/>
        </w:rPr>
        <w:t>areynolds@wheelhouselsa.com</w:t>
      </w:r>
    </w:p>
    <w:p>
      <w:pPr>
        <w:spacing w:after="0" w:line="158" w:lineRule="exact"/>
        <w:rPr>
          <w:sz w:val="20"/>
          <w:szCs w:val="20"/>
          <w:color w:val="auto"/>
        </w:rPr>
      </w:pPr>
    </w:p>
    <w:p>
      <w:pPr>
        <w:ind w:left="80" w:hanging="59"/>
        <w:spacing w:after="0"/>
        <w:tabs>
          <w:tab w:leader="none" w:pos="80" w:val="left"/>
        </w:tabs>
        <w:numPr>
          <w:ilvl w:val="0"/>
          <w:numId w:val="11"/>
        </w:numPr>
        <w:rPr>
          <w:rFonts w:ascii="Arial" w:cs="Arial" w:eastAsia="Arial" w:hAnsi="Arial"/>
          <w:sz w:val="24"/>
          <w:szCs w:val="24"/>
          <w:color w:val="auto"/>
          <w:vertAlign w:val="superscript"/>
        </w:rPr>
      </w:pPr>
      <w:r>
        <w:rPr>
          <w:rFonts w:ascii="Arial" w:cs="Arial" w:eastAsia="Arial" w:hAnsi="Arial"/>
          <w:sz w:val="18"/>
          <w:szCs w:val="18"/>
          <w:color w:val="auto"/>
        </w:rPr>
        <w:t>If approved by the FDA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26314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3144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352425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9" w:right="359" w:bottom="1440"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lvl w:ilvl="1">
      <w:lvlJc w:val="left"/>
      <w:lvlText w:val=" "/>
      <w:numFmt w:val="bullet"/>
      <w:start w:val="1"/>
    </w:lvl>
  </w:abstractNum>
  <w:abstractNum w:abstractNumId="3">
    <w:nsid w:val="79E2A9E3"/>
    <w:multiLevelType w:val="hybridMultilevel"/>
    <w:lvl w:ilvl="0">
      <w:lvlJc w:val="left"/>
      <w:lvlText w:val=" "/>
      <w:numFmt w:val="bullet"/>
      <w:start w:val="1"/>
    </w:lvl>
  </w:abstractNum>
  <w:abstractNum w:abstractNumId="4">
    <w:nsid w:val="7545E146"/>
    <w:multiLevelType w:val="hybridMultilevel"/>
    <w:lvl w:ilvl="0">
      <w:lvlJc w:val="left"/>
      <w:lvlText w:val="•"/>
      <w:numFmt w:val="bullet"/>
      <w:start w:val="1"/>
    </w:lvl>
    <w:lvl w:ilvl="1">
      <w:lvlJc w:val="left"/>
      <w:lvlText w:val=" "/>
      <w:numFmt w:val="bullet"/>
      <w:start w:val="1"/>
    </w:lvl>
    <w:lvl w:ilvl="2">
      <w:lvlJc w:val="left"/>
      <w:lvlText w:val="o"/>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i"/>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2023-11-08T16:42:48Z</dcterms:created>
  <dcterms:modified xsi:type="dcterms:W3CDTF">2023-11-08T16:42:48Z</dcterms:modified>
</cp:coreProperties>
</file>