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7454X1_pre14a_100-regcov_pg1"/>
        <w:bookmarkStart w:id="1" w:name="ny20077454x1_pre14a.htm"/>
        <w:bookmarkStart w:id="2" w:name="ksny20077454x1_pre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(Amendment No.)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color w:val="000000"/>
              </w:rPr>
            </w:pPr>
            <w:r>
              <w:rPr>
                <w:color w:val="000000"/>
              </w:rPr>
              <w:t> ☐</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41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Tempest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85" w:type="dxa"/>
        <w:jc w:val="left"/>
        <w:tblInd w:w="0" w:type="dxa"/>
        <w:tblLayout w:type="fixed"/>
        <w:tblCellMar>
          <w:top w:w="0" w:type="dxa"/>
          <w:left w:w="0" w:type="dxa"/>
          <w:bottom w:w="0" w:type="dxa"/>
          <w:right w:w="0" w:type="dxa"/>
        </w:tblCellMar>
      </w:tblPr>
      <w:tblGrid>
        <w:gridCol w:w="230"/>
        <w:gridCol w:w="1355"/>
      </w:tblGrid>
      <w:tr>
        <w:trPr/>
        <w:tc>
          <w:tcPr>
            <w:tcW w:w="23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20" w:type="dxa"/>
        <w:jc w:val="left"/>
        <w:tblInd w:w="0" w:type="dxa"/>
        <w:tblLayout w:type="fixed"/>
        <w:tblCellMar>
          <w:top w:w="0" w:type="dxa"/>
          <w:left w:w="0" w:type="dxa"/>
          <w:bottom w:w="0" w:type="dxa"/>
          <w:right w:w="0" w:type="dxa"/>
        </w:tblCellMar>
      </w:tblPr>
      <w:tblGrid>
        <w:gridCol w:w="275"/>
        <w:gridCol w:w="3845"/>
      </w:tblGrid>
      <w:tr>
        <w:trPr/>
        <w:tc>
          <w:tcPr>
            <w:tcW w:w="275" w:type="dxa"/>
            <w:tcBorders/>
            <w:vAlign w:val="center"/>
          </w:tcPr>
          <w:p>
            <w:pPr>
              <w:pStyle w:val="TableContents"/>
              <w:bidi w:val="0"/>
              <w:spacing w:before="0" w:after="0"/>
              <w:jc w:val="left"/>
              <w:rPr>
                <w:color w:val="000000"/>
              </w:rPr>
            </w:pPr>
            <w:r>
              <w:rPr>
                <w:color w:val="000000"/>
              </w:rPr>
              <w:t> ☐</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60" w:type="dxa"/>
        <w:jc w:val="left"/>
        <w:tblInd w:w="0" w:type="dxa"/>
        <w:tblLayout w:type="fixed"/>
        <w:tblCellMar>
          <w:top w:w="0" w:type="dxa"/>
          <w:left w:w="0" w:type="dxa"/>
          <w:bottom w:w="0" w:type="dxa"/>
          <w:right w:w="0" w:type="dxa"/>
        </w:tblCellMar>
      </w:tblPr>
      <w:tblGrid>
        <w:gridCol w:w="275"/>
        <w:gridCol w:w="8285"/>
      </w:tblGrid>
      <w:tr>
        <w:trPr/>
        <w:tc>
          <w:tcPr>
            <w:tcW w:w="275" w:type="dxa"/>
            <w:tcBorders/>
            <w:vAlign w:val="center"/>
          </w:tcPr>
          <w:p>
            <w:pPr>
              <w:pStyle w:val="TableContents"/>
              <w:bidi w:val="0"/>
              <w:spacing w:before="0" w:after="0"/>
              <w:jc w:val="left"/>
              <w:rPr>
                <w:color w:val="000000"/>
              </w:rPr>
            </w:pPr>
            <w:r>
              <w:rPr>
                <w:color w:val="000000"/>
              </w:rPr>
              <w:t> ☐</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7454X1_pre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Statement - Subject to Completion</w:t>
      </w:r>
    </w:p>
    <w:p>
      <w:pPr>
        <w:pStyle w:val="TextBody"/>
        <w:bidi w:val="0"/>
        <w:spacing w:before="285" w:after="283"/>
        <w:jc w:val="center"/>
        <w:rPr>
          <w:color w:val="000000"/>
        </w:rPr>
      </w:pPr>
      <w:r>
        <w:rPr>
          <w:color w:val="000000"/>
        </w:rPr>
        <w:drawing>
          <wp:inline distT="0" distB="0" distL="0" distR="0">
            <wp:extent cx="10287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952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2000 Sierra Point Parkway, Suite 400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Brisbane, CA 94005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July 27,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a Special Meeting of Stockholders (the “Special Meeting”) of </w:t>
      </w:r>
      <w:r>
        <w:rPr>
          <w:rFonts w:ascii="Times New Roman;Times;serif" w:hAnsi="Times New Roman;Times;serif"/>
          <w:b/>
          <w:color w:val="000000"/>
          <w:sz w:val="20"/>
        </w:rPr>
        <w:t>TEMPEST THERAPEUTICS, INC.</w:t>
      </w:r>
      <w:r>
        <w:rPr>
          <w:rFonts w:ascii="Times New Roman;Times;serif" w:hAnsi="Times New Roman;Times;serif"/>
          <w:color w:val="000000"/>
          <w:sz w:val="20"/>
        </w:rPr>
        <w:t xml:space="preserve">, a Delaware corporation (the “Company”). The Special Meeting will be held on July 27, 2026 at 12:00 p.m., Eastern Time and will be a virtual stockholder meeting through which you can listen to the meeting, submit questions and vote online, for the following purpose: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 Certificate of Amendment to the Company’s Restated Certificate of Incorporation to replace specified supermajority voting requirements and permit stockholder action by written consent, in the form attached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to the accompanying proxy statement.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item of business is more fully described in the Proxy Statement accompanying this Notice.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can be accessed by visiting </w:t>
      </w:r>
      <w:r>
        <w:rPr>
          <w:rFonts w:ascii="Times New Roman;Times;serif" w:hAnsi="Times New Roman;Times;serif"/>
          <w:i/>
          <w:color w:val="000000"/>
          <w:sz w:val="20"/>
        </w:rPr>
        <w:t xml:space="preserve">www.virtualshareholdermeeting.com/TPST2026SM2 </w:t>
      </w:r>
      <w:r>
        <w:rPr>
          <w:rFonts w:ascii="Times New Roman;Times;serif" w:hAnsi="Times New Roman;Times;serif"/>
          <w:color w:val="000000"/>
          <w:sz w:val="20"/>
        </w:rPr>
        <w:t xml:space="preserve">and entering the control number included in the proxy card in the enclosed proxy materials. You will not be able to attend the meeting in person.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record date for the Special Meeting is May 28, 2026. Only stockholders of record at the close of business on that date may vote at the Special Meeting or any adjournment thereof.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Virtual Stockholders’ Meeting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July 27, 2026 at 12:00 p.m., Eastern Time.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proxy statement is available at </w:t>
      </w:r>
      <w:r>
        <w:rPr>
          <w:rFonts w:ascii="Times New Roman;Times;serif" w:hAnsi="Times New Roman;Times;serif"/>
          <w:i/>
          <w:color w:val="000000"/>
          <w:sz w:val="20"/>
        </w:rPr>
        <w:t>ir.tempesttx.com</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Justin Trojanowski </w:t>
      </w:r>
    </w:p>
    <w:p>
      <w:pPr>
        <w:pStyle w:val="TextBody"/>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Corporate Secretary</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Brisbane, California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July    , 2026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You are cordially invited to attend the virtual Special Meeting. You will not be able to attend the Special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Special Meeting. Please note, however, that if your shares are held of record by a broker, bank or other nominee and you wish to vote at the meeting, you must obtain a proxy issued in your name from that record holder.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7454X1_pre14a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9510"/>
        <w:gridCol w:w="140"/>
        <w:gridCol w:w="140"/>
        <w:gridCol w:w="415"/>
      </w:tblGrid>
      <w:tr>
        <w:trPr/>
        <w:tc>
          <w:tcPr>
            <w:tcW w:w="9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pPr>
            <w:r>
              <w:rPr/>
              <w:t> </w:t>
            </w:r>
          </w:p>
        </w:tc>
      </w:tr>
      <w:tr>
        <w:trPr/>
        <w:tc>
          <w:tcPr>
            <w:tcW w:w="95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51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THESE PROXY MATERIALS AND VOTING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4" w:right="0" w:hanging="0"/>
              <w:jc w:val="left"/>
              <w:rPr/>
            </w:pPr>
            <w:hyperlink w:anchor="tQA">
              <w:r>
                <w:rPr>
                  <w:rStyle w:val="InternetLink"/>
                  <w:rFonts w:ascii="Times New Roman;Times;serif" w:hAnsi="Times New Roman;Times;serif"/>
                  <w:color w:val="000000"/>
                  <w:sz w:val="20"/>
                </w:rPr>
                <w:t>1</w:t>
              </w:r>
            </w:hyperlink>
            <w:hyperlink w:anchor="tQA">
              <w:r>
                <w:rPr>
                  <w:rStyle w:val="InternetLink"/>
                  <w:rFonts w:ascii="Times New Roman;Times;serif" w:hAnsi="Times New Roman;Times;serif"/>
                  <w:color w:val="000000"/>
                  <w:sz w:val="20"/>
                </w:rPr>
                <w:t xml:space="preserve"> </w:t>
              </w:r>
            </w:hyperlink>
          </w:p>
        </w:tc>
      </w:tr>
      <w:tr>
        <w:trPr/>
        <w:tc>
          <w:tcPr>
            <w:tcW w:w="9510" w:type="dxa"/>
            <w:tcBorders/>
            <w:vAlign w:val="center"/>
          </w:tcPr>
          <w:p>
            <w:pPr>
              <w:pStyle w:val="TableContents"/>
              <w:bidi w:val="0"/>
              <w:spacing w:before="0" w:after="283"/>
              <w:ind w:left="200" w:right="0" w:hanging="200"/>
              <w:jc w:val="left"/>
              <w:rPr/>
            </w:pPr>
            <w:hyperlink w:anchor="tPROP1">
              <w:r>
                <w:rPr>
                  <w:rStyle w:val="InternetLink"/>
                  <w:rFonts w:ascii="Times New Roman;Times;serif" w:hAnsi="Times New Roman;Times;serif"/>
                  <w:color w:val="000000"/>
                  <w:sz w:val="20"/>
                </w:rPr>
                <w:t>PROPOSAL 1 APPROVAL OF AN AMENDMENT TO THE CERTIFICATE OF INCORPORATION TO REPLACE SPECIFIED SUPERMAJORITY VOTING REQUIREMENTS AND PERMIT STOCKHOLDER ACTION BY WRITTEN CONSENT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6</w:t>
              </w:r>
            </w:hyperlink>
          </w:p>
        </w:tc>
      </w:tr>
      <w:tr>
        <w:trPr/>
        <w:tc>
          <w:tcPr>
            <w:tcW w:w="9510" w:type="dxa"/>
            <w:tcBorders/>
            <w:shd w:fill="CCEEFF" w:val="clear"/>
            <w:vAlign w:val="center"/>
          </w:tcPr>
          <w:p>
            <w:pPr>
              <w:pStyle w:val="TableContents"/>
              <w:bidi w:val="0"/>
              <w:spacing w:before="0" w:after="283"/>
              <w:ind w:left="0" w:right="0" w:hanging="0"/>
              <w:jc w:val="left"/>
              <w:rPr/>
            </w:pPr>
            <w:hyperlink w:anchor="tSEC">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4" w:right="0" w:hanging="0"/>
              <w:jc w:val="left"/>
              <w:rPr/>
            </w:pPr>
            <w:hyperlink w:anchor="tSEC">
              <w:r>
                <w:rPr>
                  <w:rStyle w:val="InternetLink"/>
                  <w:rFonts w:ascii="Times New Roman;Times;serif" w:hAnsi="Times New Roman;Times;serif"/>
                  <w:color w:val="000000"/>
                  <w:sz w:val="20"/>
                </w:rPr>
                <w:t>8</w:t>
              </w:r>
            </w:hyperlink>
          </w:p>
        </w:tc>
      </w:tr>
      <w:tr>
        <w:trPr/>
        <w:tc>
          <w:tcPr>
            <w:tcW w:w="9510" w:type="dxa"/>
            <w:tcBorders/>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HOUSEHOLDING OF PROXY MATERIALS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4" w:right="0" w:hanging="0"/>
              <w:jc w:val="left"/>
              <w:rPr/>
            </w:pPr>
            <w:hyperlink w:anchor="tHOU">
              <w:r>
                <w:rPr>
                  <w:rStyle w:val="InternetLink"/>
                  <w:rFonts w:ascii="Times New Roman;Times;serif" w:hAnsi="Times New Roman;Times;serif"/>
                  <w:color w:val="000000"/>
                  <w:sz w:val="20"/>
                </w:rPr>
                <w:t>9</w:t>
              </w:r>
            </w:hyperlink>
            <w:hyperlink w:anchor="tHOU">
              <w:r>
                <w:rPr>
                  <w:rStyle w:val="InternetLink"/>
                  <w:rFonts w:ascii="Times New Roman;Times;serif" w:hAnsi="Times New Roman;Times;serif"/>
                  <w:color w:val="000000"/>
                  <w:sz w:val="20"/>
                </w:rPr>
                <w:t xml:space="preserve"> </w:t>
              </w:r>
            </w:hyperlink>
          </w:p>
        </w:tc>
      </w:tr>
      <w:tr>
        <w:trPr/>
        <w:tc>
          <w:tcPr>
            <w:tcW w:w="9510" w:type="dxa"/>
            <w:tcBorders/>
            <w:shd w:fill="CCEEFF" w:val="clear"/>
            <w:vAlign w:val="center"/>
          </w:tcPr>
          <w:p>
            <w:pPr>
              <w:pStyle w:val="TableContents"/>
              <w:bidi w:val="0"/>
              <w:spacing w:before="0" w:after="283"/>
              <w:ind w:left="0" w:right="0" w:hanging="0"/>
              <w:jc w:val="left"/>
              <w:rPr/>
            </w:pPr>
            <w:hyperlink w:anchor="tOT">
              <w:r>
                <w:rPr>
                  <w:rStyle w:val="InternetLink"/>
                  <w:rFonts w:ascii="Times New Roman;Times;serif" w:hAnsi="Times New Roman;Times;serif"/>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4" w:right="0" w:hanging="0"/>
              <w:jc w:val="left"/>
              <w:rPr/>
            </w:pPr>
            <w:hyperlink w:anchor="tOT">
              <w:r>
                <w:rPr>
                  <w:rStyle w:val="InternetLink"/>
                  <w:rFonts w:ascii="Times New Roman;Times;serif" w:hAnsi="Times New Roman;Times;serif"/>
                  <w:color w:val="000000"/>
                  <w:sz w:val="20"/>
                </w:rPr>
                <w:t>10</w:t>
              </w:r>
            </w:hyperlink>
          </w:p>
        </w:tc>
      </w:tr>
      <w:tr>
        <w:trPr/>
        <w:tc>
          <w:tcPr>
            <w:tcW w:w="95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7454X1_pre14a_103-qa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 w:name="tQA"/>
      <w:bookmarkEnd w:id="8"/>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SPECIAL MEETING OF STOCKHOLDERS</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JULY 27,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QUESTIONS AND ANSWERS ABOUT THESE PROXY MATERIALS AND VOTING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sent you these proxy materials because the Board of Directors (the “Board” or “Board of Directors”) of Tempest Therapeutics, Inc. (sometimes referred to as the “Company” or “Tempest”) is soliciting your proxy to vote at a Special Meeting of Stockholders to be held on July 27, 2026 (the “Special Meeting”), including at any adjournments or postponements of the meeting. You are invited to attend the Special Meeting to vote on the proposal described in this proxy statement. However, you do not need to attend the meeting to vote your shares. Instead, you may simply complete, sign and return the enclosed proxy card, </w:t>
      </w:r>
      <w:r>
        <w:rPr>
          <w:rFonts w:ascii="Times New Roman;Times;serif" w:hAnsi="Times New Roman;Times;serif"/>
          <w:b/>
          <w:color w:val="000000"/>
          <w:sz w:val="20"/>
        </w:rPr>
        <w:t>or follow the instructions below to submit your proxy over the telephone or through the internet</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intend to mail these proxy materials on or about July 17, 2026 to all stockholders of record entitled to vote at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through a live webcast at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You will not be able to attend the Special Meeting in person. Stockholders attending the virtual Special Meeting will be afforded the same rights and opportunities to participate as they would at an in-person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are entitled to attend the Special Meeting if you were a stockholder as of the close of business on May 28, 2026 (the “Record Date”), or hold a valid proxy for the meeting. To be admitted to the Special Meeting, you will need to visit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and enter the control number found next to the label “control number” included in the proxy card in the enclosed proxy materials. If you are a beneficial stockholder, you should contact the bank, broker or other institution where you hold your account well in advance of the meeting if you have questions about obtaining your control number or proxy to vote.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Whether or not you participate in the Special Meeting, it is important that you vote your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begin promptly at 12:00 p.m. Eastern Time on Monday, July 27, 2026. We encourage you to access the Special Meeting a few minutes before it begins. Online check-in will start approximately 15 minutes before the meeting begins.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cannot find my control number?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do not have your control number and you are a registered stockholder, please contact us at cc@tempesttx.com and we will be able to provide your control number to you. If you do not have a control number, you will be able to login as a guest. To view the meeting webcast, visit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and register as a guest. If you login as a guest, you will not be able to vote your shares or ask questions.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(that is, you hold your shares in an account at a bank, broker or other holder of record), you will need to contact that bank, broker or other holder of record to obtain your control number prior to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have technical difficulties or trouble accessing the virtual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have technicians ready to assist you with any technical difficulties you may have accessing the virtual Special Meeting. If you encounter any difficulties accessing the virtual Special Meeting during the check-in or meeting time, please call the technical support number that will be posted at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 list of record stockholders as of the Record Date be available?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list of our record stockholders as of the close of business on the Record Date will be made available to stockholders during the meeting at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In addition, for the 10 days prior to the Special Meeting, the list will be available for examination by any stockholder of record for a legally valid purpose during regular business hours. To access the list of record stockholders beginning July 17, 2026 and until the meeting, stockholders should email cc@tempesttx.com.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7454X1_pre14a_103-qa_pg2"/>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May 28, 2026 will be entitled to vote at the Special Meeting. On the Record Date, there were 14,806,997 shares of the Company’s common stock, par value $0.001 per share (“common stock”) outstanding and entitled to vote. Whether or not you participate in the Special Meeting, it is important that you vote your shares.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were registered directly in your name with the Company’s transfer agent, Computershare Trust Company, N.A., then you are a stockholder of record. As a stockholder of record, you may vote online during the meeting or vote by proxy. Whether or not you plan to attend the Special Meeting, to ensure your vote is counted, we urge you to vote by proxy by using the enclosed proxy card, or by voting over the telephone or through the internet.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are also invited to attend the Special Meeting. However, since you are not the stockholder of record, you may not vote your shares online during the meeting unless you request and obtain a valid proxy from your broker, bank or other agent.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is one matter scheduled for a vote: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a Certificate of Amendment to the Company’s Restated Certificate of Incorporation to replace specified supermajority voting requirements and permit stockholder action by written consent, in the form attached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hereto (“CoI Amendments” or “Proposal 1”).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matter to be voted on, you may vote “For” or “Against” or abstain from voting.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fairly simple: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online during the Special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online during the meeting, access the Special Meeting materials by following the instructions you will receive in your email and submit an electronic ballot during the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using the proxy card, simply complete, sign and date the enclosed proxy card and return it promptly in the envelope provided. If you return your signed proxy card to us before the Special Meeting, we will vote your shares as you direct.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over the telephone, dial toll-free 1-800-690-6903 using a touch-tone phone and follow the recorded instructions. You will be asked to provide the company number and control number from the enclosed proxy card. To ensure your vote is counted, your telephone vote must be received before 11:59 p.m., Eastern Time on July 26,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7454X1_pre14a_103-qa_pg3"/>
        <w:bookmarkEnd w:id="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through the internet, go to www.proxyvote.com to complete an electronic proxy card. You will be asked to provide the company number and control number from the enclosed proxy card. To ensure your vote is counted, your internet vote must be received before 11:59 p.m., Eastern Time on July 26, 2026. </w:t>
            </w:r>
          </w:p>
        </w:tc>
      </w:tr>
    </w:tbl>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Special Meeting, you must obtain a valid proxy from your broker, bank or other agent. Follow the instructions from your broker, bank or other agent included with these proxy materials, or contact that organization to request a proxy form. You must also register to attend the meeting at </w:t>
      </w:r>
      <w:r>
        <w:rPr>
          <w:rFonts w:ascii="Times New Roman;Times;serif" w:hAnsi="Times New Roman;Times;serif"/>
          <w:i/>
          <w:color w:val="000000"/>
          <w:sz w:val="20"/>
        </w:rPr>
        <w:t xml:space="preserve">www.virtualshareholdermeeting.com/TPST2026SM2 </w:t>
      </w:r>
      <w:r>
        <w:rPr>
          <w:rFonts w:ascii="Times New Roman;Times;serif" w:hAnsi="Times New Roman;Times;serif"/>
          <w:color w:val="000000"/>
          <w:sz w:val="20"/>
        </w:rPr>
        <w:t xml:space="preserve">using the control number as provided by your broker, bank or other agent.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holder of our common stock, on each matter to be voted upon, you have one vote for each share of common stock you held as of the close of business on the Record Date.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stockholder of record and I do not vote, or if I return a proxy card or otherwise vote without giving specific voting instructions, what happens?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your proxy card, by telephone, through the internet or online during the Special Meeting, your shares will not be voted.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voting selections, your shares will be voted “For” Proposal 1. If any other matter is properly presented at the meeting, your proxyholder (one of the individuals named on your proxy card) will vote your shares using their best judgment.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beneficial owner of shares held in street name and I do not provide my broker or bank with voting instructions, what happens?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held in street name and you do not instruct your broker, bank or other agent how to vote your shares, your broker, bank or other agent may still be able to vote your shares in its discretion. Under the rules of the New York Stock Exchange (the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is considered to be “non-routine” under NYSE rules, meaning that your broker may not vote your shares on the proposal in the absence of your voting instructions.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If you are a beneficial owner of shares held in street name and you do not plan to obtain a proxy from your broker, bank or other agent and vote at the Special Meeting, in order to ensure your shares are voted in the way you would prefer, you </w:t>
      </w:r>
      <w:r>
        <w:rPr>
          <w:rFonts w:ascii="Times New Roman;Times;serif" w:hAnsi="Times New Roman;Times;serif"/>
          <w:i/>
          <w:color w:val="000000"/>
          <w:sz w:val="20"/>
          <w:u w:val="single"/>
        </w:rPr>
        <w:t>must</w:t>
      </w:r>
      <w:r>
        <w:rPr>
          <w:rFonts w:ascii="Times New Roman;Times;serif" w:hAnsi="Times New Roman;Times;serif"/>
          <w:i/>
          <w:color w:val="000000"/>
          <w:sz w:val="20"/>
        </w:rPr>
        <w:t xml:space="preserve"> provide voting instructions to your broker, bank or other agent by the deadline provided in the materials you receive from your broker, bank or other agent.</w:t>
      </w:r>
      <w:r>
        <w:rPr>
          <w:rFonts w:ascii="Times New Roman;Times;serif" w:hAnsi="Times New Roman;Times;serif"/>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“broker non-vote” occurs when your broker submits a proxy for the meeting with respect to at least one “routine” matter but does not vote on “non-routine” matters because you did not provide voting instructions on such matters. Proposal 1 is considered non-routine under applicable stock exchange rules, and without your instruction, your broker, bank or other agent cannot vote your shares on such matter. Please instruct your broker, bank or other agent so your vote can be counted.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7454X1_pre14a_103-qa_pg4"/>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set of proxy materials, your shares may be registered in more than one name or in different accounts. Please follow the voting instructions on the proxy cards in the proxy materials to ensure that all of your shares are voted.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can revoke your proxy at any time before the final vote at the Special Meeting. If you are the record holder of your shares, you may revoke your proxy in any one of the following ways: </w:t>
      </w:r>
    </w:p>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 another properly completed proxy card with a later date;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grant a subsequent proxy by telephone or through the internet;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send a written notice that you are revoking your proxy to our Corporate Secretary at 2000 Sierra Point Parkway, Suite 400, Brisbane, CA 94005; or </w:t>
            </w:r>
          </w:p>
        </w:tc>
      </w:tr>
    </w:tbl>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 the Special Meeting and vote online. Simply attending the meeting will not, by itself, revoke your proxy.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most current proxy card or telephone or internet proxy is the one that is counted. </w:t>
      </w:r>
    </w:p>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bank or other agent, you should follow the instructions provided by your broker, bank or other agent.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Votes will be counted by the inspector of election appointed for the Special Meeting, who will separately count “For” and “Against” votes and abstentions.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the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minimum vote needed to approve the proposal and the effect of abstentions and broker non-votes. </w:t>
      </w:r>
    </w:p>
    <w:tbl>
      <w:tblPr>
        <w:tblW w:w="10205" w:type="dxa"/>
        <w:jc w:val="left"/>
        <w:tblInd w:w="0" w:type="dxa"/>
        <w:tblLayout w:type="fixed"/>
        <w:tblCellMar>
          <w:top w:w="0" w:type="dxa"/>
          <w:left w:w="0" w:type="dxa"/>
          <w:bottom w:w="0" w:type="dxa"/>
          <w:right w:w="0" w:type="dxa"/>
        </w:tblCellMar>
      </w:tblPr>
      <w:tblGrid>
        <w:gridCol w:w="694"/>
        <w:gridCol w:w="140"/>
        <w:gridCol w:w="140"/>
        <w:gridCol w:w="1145"/>
        <w:gridCol w:w="140"/>
        <w:gridCol w:w="140"/>
        <w:gridCol w:w="5625"/>
        <w:gridCol w:w="140"/>
        <w:gridCol w:w="140"/>
        <w:gridCol w:w="860"/>
        <w:gridCol w:w="140"/>
        <w:gridCol w:w="140"/>
        <w:gridCol w:w="761"/>
      </w:tblGrid>
      <w:tr>
        <w:trPr/>
        <w:tc>
          <w:tcPr>
            <w:tcW w:w="6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0"/>
              <w:jc w:val="left"/>
              <w:rPr/>
            </w:pPr>
            <w:r>
              <w:rPr/>
              <w:t> </w:t>
            </w:r>
          </w:p>
        </w:tc>
      </w:tr>
      <w:tr>
        <w:trPr/>
        <w:tc>
          <w:tcPr>
            <w:tcW w:w="69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Proposal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 Required for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6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CoI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5"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the holders of at least seventy-five percent (75%) of the votes that all the stockholders would be entitled to cast in any annual election of directors or class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Against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Against</w:t>
            </w:r>
          </w:p>
        </w:tc>
      </w:tr>
      <w:tr>
        <w:trPr/>
        <w:tc>
          <w:tcPr>
            <w:tcW w:w="6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will be present if stockholders holding at least a majority of the outstanding shares entitled to vote at the meeting are present at the meeting or represented by proxy. On the Record Date, there were 14,806,997 shares outstanding and entitled to vote. Thus, the holders of 7,403,499 shares must be present or represented by proxy at the meeting to have a quorum.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7454X1_pre14a_103-qa_pg5"/>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one is submitted on your behalf by your broker, bank or other nominee) or if you vote online at the Special Meeting. Abstentions will be counted towards the quorum requirement. Broker non-votes will not be counted toward the quorum requirement. If there is no quorum, either the board of directors may postpone or reschedule the meeting or the holders of a majority of shares present at the meeting or represented by proxy may adjourn the meeting to another date. The meeting may be adjourned by the chairman of the meeting or by the stockholders present at the meeting or represented by proxy and entitled to vote.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ask a question at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as of the Record Date may submit questions or comments at the Special Meeting. If you would like to submit a question, you may do so by joining the virtual meeting at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and typing your question in the box in the meeting portal.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help ensure that we have a productive and efficient meeting, and in fairness to all stockholders in attendance, you will also find posted our rules of conduct for the Special Meeting when you log in prior to the start of the Special Meeting. In accordance with the rules of conduct, we ask that you limit your questions and remarks to those that are relevant to the proposal at the Special Meeting. Our management may group questions by topic with a representative question read aloud and answered. In addition, questions may be ruled out of order if they are, among other things, irrelevant to the proposal at the Special Meeting, related to pending or threatened litigation, disorderly, repetitious of statements already made, or in furtherance of the speaker’s own personal, political or business interests.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proxy materials are available on the internet?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proxy statement is available at </w:t>
      </w:r>
      <w:r>
        <w:rPr>
          <w:rFonts w:ascii="Times New Roman;Times;serif" w:hAnsi="Times New Roman;Times;serif"/>
          <w:i/>
          <w:color w:val="000000"/>
          <w:sz w:val="20"/>
        </w:rPr>
        <w:t>ir.tempesttx.com.</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7454X1_pre14a_104-prop1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 w:name="tPROP1"/>
      <w:bookmarkEnd w:id="14"/>
      <w:r>
        <w:rPr>
          <w:rFonts w:ascii="Times New Roman;Times;serif" w:hAnsi="Times New Roman;Times;serif"/>
          <w:b/>
          <w:color w:val="000000"/>
          <w:sz w:val="20"/>
        </w:rPr>
        <w:t xml:space="preserve">PROPOSAL 1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AN AMENDMENT TO THE CERTIFICATE OF INCORPORATION TO REPLACE SPECIFIED SUPERMAJORITY VOTING REQUIREMENTS AND PERMIT STOCKHOLDER ACTION BY WRITTEN CONSENT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unanimously approved and declared advisable, and is submitting to our stockholders for approval, the CoI Amendments included in the Certificate of Amendment in the form attached to this proxy statement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The CoI Amendments would amend certain provisions included in the Company’s existing certificate of incorporation, as amended to date (the “Existing CoI”), as further described in Exhibit A. The CoI Amendments are being submitted for stockholder approval pursuant to Section 242 of the Delaware General Corporation Law (the “DGCL”).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CoI Amendments include the following changes: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elimination of a restriction on stockholder action by written consent, when such action is approved by holders of not less than a majority of the voting power of all outstanding shares entitled to vote thereon; and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replacement of specified supermajority voting provisions with majority-of-outstanding voting standards.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Existing CoI contains certain supermajority voting provisions (including, in specified circumstances, provisions requiring the affirmative vote of the holders of at least seventy-five percent (75%) of the votes that all the stockholders would be entitled to cast in any annual election of directors or class of directors) for amendments to certain Existing CoI provisions and for certain corporate actions, including provisions proposed for amendment in Proposal 1. Therefore, approval of Proposal 1 requires the affirmative vote of the holders of at least seventy-five percent (75%) of the votes that all the stockholders would be entitled to cast in any annual election of directors or class of directors.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Stockholder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operates in a competitive business environment that requires the Board to respond effectively to changing market conditions. This Proposal 1 would amend the Existing CoI to modernize and simplify the Existing CoI by permitting stockholder action by written consent and lowering several governance voting thresholds to a majority standard.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believes that the supermajority provision and existing limitation stockholder written consent provisions included in the Existing CoI may unduly restrict stockholder participation when weighed against the stability that the provisions were intended to facilitate. The Board has carefully considered the advantages and disadvantages of maintaining such provisions and has determined that it is in the best interests of the Company and its stockholders to approve and recommend that stockholders adopt the amendments described above to revise those provisions and replace specified supermajority and governance standards with standards that the Board believes are more consistent with current governance practices of Delaware corporations.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Effects of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this Proposal 1 is approved at the meeting, the Company plans to file a Certificate of Amendment reflecting the CoI Amendments with the Secretary of State of the State of Delaware, and it will become effective upon such filing (or such later effective time as may be specified therein), except that, by approving Proposal 1, stockholders are also authorizing the Board to abandon the CoI Amendments notwithstanding approval of Proposal 1. If this Proposal 1 is not approved, or if the Board abandons the CoI Amendments, the Company will not file the Certificate of Amendment and the Company’s Existing CoI will remain in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CoI Amendments would permit stockholder action by written consent and replace specified supermajority voting provisions with majority-of-outstanding voting standards. The Board has considered these effects and believes that the CoI Amendments, taken as a whole, are in the best interests of the Company and its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Proposal 1 is approved and a Certificate of Amendment reflecting the CoI Amendments is filed with the Secretary of State of the State of Delaware, the Board plans to make any required conforming changes to the Company’s bylaws.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7454X1_pre14a_104-prop1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summary is qualified in its entirety by reference to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which sets forth the complete text of the proposed Certificate of Amendment. Because the Certificate of Amendment would amend the Company’s Existing CoI, stockholder approval is required under the DGCL and the Company’s Existing CoI.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UNANIMOUSLY RECOMMENDS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VOTE IN FAVOR OF PROPOSAL 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7454X1_pre14a_105-security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 w:name="tSEC"/>
      <w:bookmarkEnd w:id="17"/>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beneficial ownership of our common stock as of March 31, 2026, the most recent practicable date for computing beneficial ownership, by: </w:t>
      </w:r>
    </w:p>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director nominees; </w:t>
            </w:r>
          </w:p>
        </w:tc>
      </w:tr>
    </w:tbl>
    <w:tbl>
      <w:tblPr>
        <w:tblW w:w="9640" w:type="dxa"/>
        <w:jc w:val="left"/>
        <w:tblInd w:w="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common stock;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Applicable percentage ownership is based on 14,344,034 shares of our common stock issued and outstanding as of March 31, 2026.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March 31, 2026. However, we did not deem these shares outstanding for the purpose of computing the percentage ownership of any other person. </w:t>
      </w:r>
    </w:p>
    <w:tbl>
      <w:tblPr>
        <w:tblW w:w="7985" w:type="dxa"/>
        <w:jc w:val="left"/>
        <w:tblInd w:w="0" w:type="dxa"/>
        <w:tblLayout w:type="fixed"/>
        <w:tblCellMar>
          <w:top w:w="0" w:type="dxa"/>
          <w:left w:w="0" w:type="dxa"/>
          <w:bottom w:w="0" w:type="dxa"/>
          <w:right w:w="0" w:type="dxa"/>
        </w:tblCellMar>
      </w:tblPr>
      <w:tblGrid>
        <w:gridCol w:w="5750"/>
        <w:gridCol w:w="140"/>
        <w:gridCol w:w="140"/>
        <w:gridCol w:w="845"/>
        <w:gridCol w:w="140"/>
        <w:gridCol w:w="140"/>
        <w:gridCol w:w="830"/>
      </w:tblGrid>
      <w:tr>
        <w:trPr/>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575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Stockholders Owning Greater than 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r>
      <w:tr>
        <w:trPr/>
        <w:tc>
          <w:tcPr>
            <w:tcW w:w="5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Lotus Capital BVI Limited(2)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3,431,425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23.9%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and 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r>
      <w:tr>
        <w:trPr/>
        <w:tc>
          <w:tcPr>
            <w:tcW w:w="5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Angel(3)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5,068,552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35.3% </w:t>
            </w:r>
          </w:p>
        </w:tc>
      </w:tr>
      <w:tr>
        <w:trPr/>
        <w:tc>
          <w:tcPr>
            <w:tcW w:w="5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Brady(4)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174,597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5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Whiting(5)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71,666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Nicholas Maestas(6)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36,923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Christine Pellizzari(7)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Raab(8)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Ronit Simantov(9)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All current directors and executive officers as a group (6 persons)</w:t>
            </w:r>
            <w:r>
              <w:rPr>
                <w:rFonts w:ascii="Times New Roman;Times;serif" w:hAnsi="Times New Roman;Times;serif"/>
                <w:b w:val="false"/>
                <w:i w:val="false"/>
                <w:caps w:val="false"/>
                <w:smallCaps w:val="false"/>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5,294,084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36.3%</w:t>
            </w:r>
          </w:p>
        </w:tc>
      </w:tr>
      <w:tr>
        <w:trPr/>
        <w:tc>
          <w:tcPr>
            <w:tcW w:w="57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r>
    </w:tbl>
    <w:tbl>
      <w:tblPr>
        <w:tblW w:w="1675" w:type="dxa"/>
        <w:jc w:val="left"/>
        <w:tblInd w:w="0" w:type="dxa"/>
        <w:tblLayout w:type="fixed"/>
        <w:tblCellMar>
          <w:top w:w="0" w:type="dxa"/>
          <w:left w:w="0" w:type="dxa"/>
          <w:bottom w:w="0" w:type="dxa"/>
          <w:right w:w="0" w:type="dxa"/>
        </w:tblCellMar>
      </w:tblPr>
      <w:tblGrid>
        <w:gridCol w:w="110"/>
        <w:gridCol w:w="156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5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Less than one percent.</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address for each director and executive officer is c/o Tempest Therapeutics, Inc., 2000 Sierra Point Parkway, Suite 400, Brisbane, California, 94005.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Shares of common stock are held by Erigen LLC. Lotus Capital BVI Limited is the beneficial owner of such shares. The address of Lotus Capital BVI Limited is Mandar House, 3rd Floor Johnson’s Ghut, Tortola VG1110 British Virgin Islands.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4,837,070 shares of common stock held by Dr. Angel and 231,482 shares of common stock held by Factor. Dr. Angel is the majority stockholder and Chairman of the Board of Directors of Factor and exercises voting and investment power over the shares held by Factor Biosciences Inc. The address of Factor Biosciences Inc. is 1035 Cambridge St Ste 17B, Cambridge MA 02141.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3,613 shares of common stock and (ii) 170,984 shares of common stock subject to options that are exercisable within 60 days of March 31, 2026. </w:t>
            </w:r>
          </w:p>
        </w:tc>
      </w:tr>
    </w:tbl>
    <w:tbl>
      <w:tblPr>
        <w:tblW w:w="8395" w:type="dxa"/>
        <w:jc w:val="left"/>
        <w:tblInd w:w="0" w:type="dxa"/>
        <w:tblLayout w:type="fixed"/>
        <w:tblCellMar>
          <w:top w:w="0" w:type="dxa"/>
          <w:left w:w="0" w:type="dxa"/>
          <w:bottom w:w="0" w:type="dxa"/>
          <w:right w:w="0" w:type="dxa"/>
        </w:tblCellMar>
      </w:tblPr>
      <w:tblGrid>
        <w:gridCol w:w="230"/>
        <w:gridCol w:w="81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81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71,666 shares of common stock subject to options that are exercisable within 60 days of March 31, 2026.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590 shares of common stock and (ii) 36,333 shares of common stock subject to options that are exercisable within 60 days of March 31, 2026. </w:t>
            </w:r>
          </w:p>
        </w:tc>
      </w:tr>
    </w:tbl>
    <w:tbl>
      <w:tblPr>
        <w:tblW w:w="8305" w:type="dxa"/>
        <w:jc w:val="left"/>
        <w:tblInd w:w="0" w:type="dxa"/>
        <w:tblLayout w:type="fixed"/>
        <w:tblCellMar>
          <w:top w:w="0" w:type="dxa"/>
          <w:left w:w="0" w:type="dxa"/>
          <w:bottom w:w="0" w:type="dxa"/>
          <w:right w:w="0" w:type="dxa"/>
        </w:tblCellMar>
      </w:tblPr>
      <w:tblGrid>
        <w:gridCol w:w="230"/>
        <w:gridCol w:w="80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0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3,869 shares of common stock subject to options that are exercisable within 60 days of March 31, 2026. </w:t>
            </w:r>
          </w:p>
        </w:tc>
      </w:tr>
    </w:tbl>
    <w:tbl>
      <w:tblPr>
        <w:tblW w:w="8305" w:type="dxa"/>
        <w:jc w:val="left"/>
        <w:tblInd w:w="0" w:type="dxa"/>
        <w:tblLayout w:type="fixed"/>
        <w:tblCellMar>
          <w:top w:w="0" w:type="dxa"/>
          <w:left w:w="0" w:type="dxa"/>
          <w:bottom w:w="0" w:type="dxa"/>
          <w:right w:w="0" w:type="dxa"/>
        </w:tblCellMar>
      </w:tblPr>
      <w:tblGrid>
        <w:gridCol w:w="230"/>
        <w:gridCol w:w="80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80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2,639 shares of common stock subject to options that are exercisable within 60 days of March 31, 2026. </w:t>
            </w:r>
          </w:p>
        </w:tc>
      </w:tr>
    </w:tbl>
    <w:tbl>
      <w:tblPr>
        <w:tblW w:w="8305" w:type="dxa"/>
        <w:jc w:val="left"/>
        <w:tblInd w:w="0" w:type="dxa"/>
        <w:tblLayout w:type="fixed"/>
        <w:tblCellMar>
          <w:top w:w="0" w:type="dxa"/>
          <w:left w:w="0" w:type="dxa"/>
          <w:bottom w:w="0" w:type="dxa"/>
          <w:right w:w="0" w:type="dxa"/>
        </w:tblCellMar>
      </w:tblPr>
      <w:tblGrid>
        <w:gridCol w:w="230"/>
        <w:gridCol w:w="80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80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3,869 shares of common stock subject to options that are exercisable within 60 days of March 31, 2026.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5,072,755 shares of common stock and (ii) 221,329 shares of common stock subject to options that are exercisable within 60 days of March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7454X1_pre14a_106-other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OTHER INFORMATION FOR STOCKHOLDERS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Proposals for the 2026 Annual Meeting of Stockholders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Requirements for stockholder proposals to be brought before an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 that, for stockholder director nominations or other proposals to be considered at an annual meeting, the stockholder must give timely notice thereof in writing to our Corporate Secretary at Tempest Therapeutics, Inc., 2000 Sierra Point Parkway, Suite 400, Brisbane, California, 94005. To be timely for the 2026 Annual Meeting of Stockholders, a stockholder’s notice must be delivered to or mailed and received by our Secretary at our principal executive offices between September 29, 2026 and October 29, 2026;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if the date of that annual meeting of stockholders is advanced by more than 20 days or delayed by more than 60 days from the anniversary of the preceding year’s annual meeting, you must give the required notice not earlier than the 120th day prior to the meeting date and not later than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including your name and address and the class and number of shares of our stock that you beneficially own.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Requirements for stockholder proposals to be considered for inclusion in our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 proposals submitted pursuant to Rule 14a-8 under the Exchange Act, and intended to be presented at the 2026 Annual Meeting of Stockholders must be received by us not later than September 8, 2026 in order to be considered for inclusion in our proxy materials for that meeting. However, if the 2026 Annual Meeting of Stockholders is advanced by more than 30 days prior to or delayed by more than 30 days after January 27, 2027, then the deadline will be a reasonable time prior to the time we begin to print and send our proxy materials. In addition, stockholders who intend to solicit proxies in support of director nominees other than our nominees must also comply with the additional requirements of Rule 14a-19 under the Exchange Act. </w:t>
      </w:r>
    </w:p>
    <w:p>
      <w:pPr>
        <w:pStyle w:val="TextBody"/>
        <w:bidi w:val="0"/>
        <w:spacing w:before="410" w:after="283"/>
        <w:ind w:left="0" w:right="0" w:hanging="0"/>
        <w:jc w:val="left"/>
        <w:rPr>
          <w:rFonts w:ascii="Times New Roman;Times;serif" w:hAnsi="Times New Roman;Times;serif"/>
          <w:b/>
          <w:color w:val="000000"/>
          <w:sz w:val="20"/>
        </w:rPr>
      </w:pPr>
      <w:bookmarkStart w:id="19" w:name="tHOU"/>
      <w:bookmarkEnd w:id="19"/>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the delivery requirements for proxy statement materials with respect to two or more stockholders sharing the same address by delivering a single set of these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this meeting, a number of brokers with account holders who are our stockholders will be “householding” the Company’s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or us. Direct your written request to Tempest Therapeutics, Inc., Attention: Corporate Secretary, 2000 Sierra Point Parkway, Suite 400, Brisbane, CA 94005. Stockholders who currently receive multiple copies of the Special Meeting materials at their addresses and would like to request “householding” of their communications should contact their brokers.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7454X1_pre14a_106-other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OT"/>
      <w:bookmarkEnd w:id="21"/>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knows of no other matters that will be presented for consideration at the Special Meeting. If any other matters are properly brought before the meeting, it is the intention of the persons named in the accompanying proxy to vote on such matters in accordance with their best judgment. </w:t>
      </w:r>
    </w:p>
    <w:tbl>
      <w:tblPr>
        <w:tblW w:w="3290" w:type="dxa"/>
        <w:jc w:val="left"/>
        <w:tblInd w:w="0" w:type="dxa"/>
        <w:tblLayout w:type="fixed"/>
        <w:tblCellMar>
          <w:top w:w="0" w:type="dxa"/>
          <w:left w:w="0" w:type="dxa"/>
          <w:bottom w:w="0" w:type="dxa"/>
          <w:right w:w="0" w:type="dxa"/>
        </w:tblCellMar>
      </w:tblPr>
      <w:tblGrid>
        <w:gridCol w:w="2855"/>
        <w:gridCol w:w="140"/>
        <w:gridCol w:w="140"/>
        <w:gridCol w:w="155"/>
      </w:tblGrid>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Justin Trojanowski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Corporate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Dated: July    , 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7454X1_pre14a_300-exhibita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TO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RESTATED CERTIFICATE OF INCORPORATION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TEMPEST THERAPEUTICS, INC.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Tempest Therapeutics, Inc. (the “Corporation”), a corporation organized and existing under and by virtue of the General Corporation Law of the State of Delaware (the “DGCL”), does hereby certify that: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Article SIXTH of the Restated Certificate of Incorporation of the Corporation, as amended, be and hereby is deleted in its entirety and the following is inserted in lieu thereof: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by the affirmative vote of a majority of the directors present at any regular or special meeting of the Board of Directors at which a quorum is present.  The stockholders shall also have power to adopt, amend or repeal the Bylaws; provided, however, that, in addition to any vote of the holders of any class or series of stock of the Corporation required by applicable law or by the Certificate of Incorporation, such action by stockholders shall require the affirmative vote of the holders of a majority of the voting power of all of the outstanding shares of the capital stock of the Corporation entitled to vote thereon, voting together as a single class.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Section 10 of Article NINTH of the Restated Certificate of Incorporation of the Corporation, as amended, be and hereby is deleted in its entirety.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Article TENTH of the Restated Certificate of Incorporation of the Corporation, as amended, be and hereby is deleted in its entirety and the following is inserted in lieu thereof: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TENTH: Subject to any rights of the holders of outstanding shares of any one or more series of Preferred Stock, any action required or permitted to be taken by the stockholders of the Corporation must be effected at an annual or special meeting of the stockholders or by written consent in lieu of a meeting; provided, however, that, any action effected by written consent in lieu of a meeting shall require the affirmative vote of the holders of a majority of the voting power of all of the outstanding shares of the capital stock of the Corporation entitled to vote thereon, voting together as a single class.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Article ELEVENTH of the Restated Certificate of Incorporation of the Corporation, as amended, be and hereby is deleted in its entirety and the following is inserted in lieu thereof: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ELEVENTH: Subject to any rights of the holders of outstanding shares of any series of Preferred Stock, special meetings of stockholders of the Corporation may be called only by the Board or the Chief Executive Officer of the Corporation, and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 This Certificate of Amendment of the Restated Certificate of Incorporation has been duly adopted in accordance with the provisions of Section 242 of the General Corporation Law.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[Remainder of page intentionally blank]</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7454X1_pre14a_300-exhibita_pg2"/>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 WITNESS WHEREOF, </w:t>
      </w:r>
      <w:r>
        <w:rPr>
          <w:rFonts w:ascii="Times New Roman;Times;serif" w:hAnsi="Times New Roman;Times;serif"/>
          <w:b w:val="false"/>
          <w:color w:val="000000"/>
          <w:sz w:val="20"/>
        </w:rPr>
        <w:t xml:space="preserve">this Corporation has caused this Certificate of Amendment of the Restated Certificate of Incorporation to be signed by its authorized officer this [ ] day of July, 2026. </w:t>
      </w:r>
    </w:p>
    <w:tbl>
      <w:tblPr>
        <w:tblW w:w="3530" w:type="dxa"/>
        <w:jc w:val="left"/>
        <w:tblInd w:w="0" w:type="dxa"/>
        <w:tblLayout w:type="fixed"/>
        <w:tblCellMar>
          <w:top w:w="0" w:type="dxa"/>
          <w:left w:w="0" w:type="dxa"/>
          <w:bottom w:w="0" w:type="dxa"/>
          <w:right w:w="0" w:type="dxa"/>
        </w:tblCellMar>
      </w:tblPr>
      <w:tblGrid>
        <w:gridCol w:w="155"/>
        <w:gridCol w:w="140"/>
        <w:gridCol w:w="140"/>
        <w:gridCol w:w="30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Matthew Angel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7454X1_pre14a_400-proxy_pg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7454X1_pre14a_400-proxy_pg2"/>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6243</Words>
  <Characters>31858</Characters>
  <CharactersWithSpaces>38182</CharactersWithSpaces>
  <Paragraphs>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