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tpst-20230810.htm"/>
      <w:bookmarkStart w:id="1" w:name="kstpst20230810"/>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August 10,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Tempest Therapeutics,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001-35890</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6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(415)</w:t>
            </w:r>
            <w:r>
              <w:rPr>
                <w:rFonts w:ascii="Times New Roman" w:hAnsi="Times New Roman"/>
                <w:sz w:val="20"/>
              </w:rPr>
              <w:t xml:space="preserve"> </w:t>
            </w:r>
            <w:r>
              <w:rPr>
                <w:rFonts w:ascii="Times New Roman;serif" w:hAnsi="Times New Roman;serif"/>
                <w:b/>
                <w:sz w:val="20"/>
              </w:rPr>
              <w:t>798-8589</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TPST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0" w:after="0"/>
        <w:jc w:val="left"/>
        <w:rPr>
          <w:rFonts w:ascii="Times New Roman" w:hAnsi="Times New Roman"/>
          <w:sz w:val="20"/>
        </w:rPr>
      </w:pPr>
      <w:r>
        <w:rPr>
          <w:rFonts w:ascii="Times New Roman;serif" w:hAnsi="Times New Roman;serif"/>
          <w:b w:val="false"/>
          <w:sz w:val="20"/>
        </w:rPr>
        <w:t>On August 10, 2023, Tempest Therapeutics, Inc. (the “Company”) issued a press release announcing its financial results for the quarter ended June 30, 2023. A copy of the Company’s press release dated August 10, 2023, titled “Tempest Reports Second Quarter 2023 Financial Results and Provides Corporate Highlights” is attached hereto as Exhibit 99.1 and is incorporated herein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r>
        <w:rPr>
          <w:rFonts w:ascii="Times New Roman" w:hAnsi="Times New Roman"/>
          <w:sz w:val="20"/>
        </w:rPr>
        <w:t xml:space="preserve"> </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Exhibit No.</w:t>
            </w:r>
            <w:r>
              <w:rPr>
                <w:rFonts w:ascii="Times New Roman" w:hAnsi="Times New Roman"/>
                <w:sz w:val="20"/>
              </w:rPr>
              <w:t xml:space="preserve"> </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Description</w:t>
            </w:r>
            <w:r>
              <w:rPr>
                <w:rFonts w:ascii="Times New Roman" w:hAnsi="Times New Roman"/>
                <w:sz w:val="20"/>
              </w:rPr>
              <w:t xml:space="preserve"> </w:t>
            </w:r>
          </w:p>
        </w:tc>
      </w:tr>
      <w:tr>
        <w:trPr/>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pst-ex99_1.htm">
              <w:r>
                <w:rPr>
                  <w:rStyle w:val="InternetLink"/>
                  <w:rFonts w:ascii="Times New Roman;serif" w:hAnsi="Times New Roman;serif"/>
                  <w:b w:val="false"/>
                  <w:sz w:val="20"/>
                  <w:u w:val="single"/>
                </w:rPr>
                <w:t>Press release dated August 10, 2023</w:t>
              </w:r>
            </w:hyperlink>
          </w:p>
        </w:tc>
      </w:tr>
      <w:tr>
        <w:trPr/>
        <w:tc>
          <w:tcPr>
            <w:tcW w:w="1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794" w:type="dxa"/>
        <w:jc w:val="left"/>
        <w:tblInd w:w="0" w:type="dxa"/>
        <w:tblLayout w:type="fixed"/>
        <w:tblCellMar>
          <w:top w:w="28" w:type="dxa"/>
          <w:left w:w="28" w:type="dxa"/>
          <w:bottom w:w="28" w:type="dxa"/>
          <w:right w:w="28" w:type="dxa"/>
        </w:tblCellMar>
      </w:tblPr>
      <w:tblGrid>
        <w:gridCol w:w="556"/>
        <w:gridCol w:w="145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sz w:val="20"/>
              </w:rPr>
            </w:pPr>
            <w:r>
              <w:rPr>
                <w:rFonts w:ascii="Times New Roman;serif" w:hAnsi="Times New Roman;serif"/>
                <w:b/>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August 10, 2023</w:t>
            </w:r>
          </w:p>
        </w:tc>
        <w:tc>
          <w:tcPr>
            <w:tcW w:w="63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15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1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15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2" w:name="tpst-ex99_1.htm"/>
      <w:bookmarkStart w:id="3" w:name="kstpstex99_1"/>
      <w:bookmarkEnd w:id="2"/>
      <w:bookmarkEnd w:id="3"/>
      <w:r>
        <w:rPr>
          <w:rFonts w:ascii="Times New Roman;serif" w:hAnsi="Times New Roman;serif"/>
          <w:b/>
          <w:sz w:val="22"/>
        </w:rPr>
        <w:t>Exhibit 99.1</w:t>
      </w:r>
      <w:r>
        <w:br w:type="page"/>
      </w:r>
    </w:p>
    <w:p>
      <w:pPr>
        <w:pStyle w:val="TextBody"/>
        <w:bidi w:val="0"/>
        <w:spacing w:before="0" w:after="0"/>
        <w:jc w:val="center"/>
        <w:rPr/>
      </w:pPr>
      <w:r>
        <w:rPr/>
        <w:drawing>
          <wp:inline distT="0" distB="0" distL="0" distR="0">
            <wp:extent cx="35242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942975"/>
                    </a:xfrm>
                    <a:prstGeom prst="rect">
                      <a:avLst/>
                    </a:prstGeom>
                  </pic:spPr>
                </pic:pic>
              </a:graphicData>
            </a:graphic>
          </wp:inline>
        </w:drawing>
      </w:r>
      <w:r>
        <w:rPr/>
        <w:t xml:space="preserve"> </w:t>
      </w:r>
    </w:p>
    <w:p>
      <w:pPr>
        <w:pStyle w:val="TextBody"/>
        <w:bidi w:val="0"/>
        <w:spacing w:before="0" w:after="0"/>
        <w:jc w:val="center"/>
        <w:rPr/>
      </w:pPr>
      <w:r>
        <w:rPr/>
        <w:t> </w:t>
      </w:r>
    </w:p>
    <w:p>
      <w:pPr>
        <w:pStyle w:val="TextBody"/>
        <w:bidi w:val="0"/>
        <w:spacing w:before="0" w:after="60"/>
        <w:jc w:val="center"/>
        <w:rPr>
          <w:rFonts w:ascii="Arial;sans-serif" w:hAnsi="Arial;sans-serif"/>
          <w:b/>
          <w:sz w:val="26"/>
        </w:rPr>
      </w:pPr>
      <w:r>
        <w:rPr>
          <w:rFonts w:ascii="Arial;sans-serif" w:hAnsi="Arial;sans-serif"/>
          <w:b/>
          <w:sz w:val="26"/>
        </w:rPr>
        <w:t>Tempest Reports Second Quarter 2023 Financial Results and</w:t>
      </w:r>
    </w:p>
    <w:p>
      <w:pPr>
        <w:pStyle w:val="TextBody"/>
        <w:bidi w:val="0"/>
        <w:spacing w:before="0" w:after="120"/>
        <w:jc w:val="center"/>
        <w:rPr>
          <w:rFonts w:ascii="Arial;sans-serif" w:hAnsi="Arial;sans-serif"/>
          <w:b/>
          <w:sz w:val="26"/>
        </w:rPr>
      </w:pPr>
      <w:r>
        <w:rPr>
          <w:rFonts w:ascii="Arial;sans-serif" w:hAnsi="Arial;sans-serif"/>
          <w:b/>
          <w:sz w:val="26"/>
        </w:rPr>
        <w:t>Provides Business Update</w:t>
      </w:r>
    </w:p>
    <w:p>
      <w:pPr>
        <w:pStyle w:val="TextBody"/>
        <w:bidi w:val="0"/>
        <w:spacing w:before="120" w:after="160"/>
        <w:jc w:val="both"/>
        <w:rPr/>
      </w:pPr>
      <w:r>
        <w:rPr/>
        <w:t> </w:t>
      </w:r>
    </w:p>
    <w:p>
      <w:pPr>
        <w:pStyle w:val="TextBody"/>
        <w:bidi w:val="0"/>
        <w:spacing w:before="120" w:after="160"/>
        <w:jc w:val="both"/>
        <w:rPr>
          <w:rFonts w:ascii="Times New Roman" w:hAnsi="Times New Roman"/>
          <w:sz w:val="20"/>
        </w:rPr>
      </w:pPr>
      <w:r>
        <w:rPr>
          <w:rFonts w:ascii="Arial;sans-serif" w:hAnsi="Arial;sans-serif"/>
          <w:b/>
          <w:sz w:val="24"/>
        </w:rPr>
        <w:t>Brisbane, CA</w:t>
      </w:r>
      <w:r>
        <w:rPr>
          <w:rFonts w:ascii="Arial;sans-serif" w:hAnsi="Arial;sans-serif"/>
          <w:b w:val="false"/>
          <w:sz w:val="24"/>
        </w:rPr>
        <w:t xml:space="preserve">, August 10, 2023 </w:t>
      </w:r>
      <w:r>
        <w:rPr>
          <w:rFonts w:ascii="Times New Roman" w:hAnsi="Times New Roman"/>
          <w:sz w:val="20"/>
        </w:rPr>
        <w:t xml:space="preserve">– </w:t>
      </w:r>
      <w:r>
        <w:rPr>
          <w:rFonts w:ascii="Arial;sans-serif" w:hAnsi="Arial;sans-serif"/>
          <w:b w:val="false"/>
          <w:sz w:val="24"/>
        </w:rPr>
        <w:t>Tempest Therapeutics, Inc. (Nasdaq: TPST), a clinical-stage oncology company developing first-in-class</w:t>
      </w:r>
      <w:r>
        <w:rPr>
          <w:rFonts w:ascii="Arial;sans-serif" w:hAnsi="Arial;sans-serif"/>
          <w:b w:val="false"/>
          <w:sz w:val="16"/>
        </w:rPr>
        <w:t>i</w:t>
      </w:r>
      <w:r>
        <w:rPr>
          <w:rFonts w:ascii="Times New Roman" w:hAnsi="Times New Roman"/>
          <w:sz w:val="20"/>
        </w:rPr>
        <w:t xml:space="preserve"> </w:t>
      </w:r>
      <w:r>
        <w:rPr>
          <w:rFonts w:ascii="Arial;sans-serif" w:hAnsi="Arial;sans-serif"/>
          <w:b w:val="false"/>
          <w:sz w:val="24"/>
        </w:rPr>
        <w:t>therapeutics that combine both targeted and immune-mediated mechanisms, today reported financial results for the quarter ended June 30, 2023 and provided a corporate update.</w:t>
      </w:r>
    </w:p>
    <w:p>
      <w:pPr>
        <w:pStyle w:val="TextBody"/>
        <w:bidi w:val="0"/>
        <w:spacing w:before="0" w:after="160"/>
        <w:jc w:val="both"/>
        <w:rPr/>
      </w:pPr>
      <w:r>
        <w:rPr/>
        <w:t>“</w:t>
      </w:r>
      <w:r>
        <w:rPr>
          <w:rFonts w:ascii="Arial;sans-serif" w:hAnsi="Arial;sans-serif"/>
          <w:b w:val="false"/>
          <w:sz w:val="24"/>
        </w:rPr>
        <w:t>2023 continues to be a productive and potentially transformative year for Tempest,” said Stephen Brady, chief executive officer of Tempest. “In the second quarter, we presented data from our second clinical program, TPST-1495, the company’s novel dual EP2/EP4 antagonist designed to selectively modulate the prostaglandin pathway, both at ASCO and in a paper published in Cancer Research Communications. These presentations were made on the heels of announcing early exciting triplet data from our lead TPST-1120 program demonstrating a clinically-meaningful improvement over standard of care alone in first-line HCC patients in an ongoing, global, randomized Phase 1b/2 study. We expect to be able to discuss an updated and comprehensive data set from the formal review of this trial in the second half of 2023.”</w:t>
      </w:r>
    </w:p>
    <w:p>
      <w:pPr>
        <w:pStyle w:val="TextBody"/>
        <w:bidi w:val="0"/>
        <w:spacing w:before="0" w:after="120"/>
        <w:jc w:val="left"/>
        <w:rPr>
          <w:rFonts w:ascii="Arial;sans-serif" w:hAnsi="Arial;sans-serif"/>
          <w:b/>
          <w:sz w:val="24"/>
        </w:rPr>
      </w:pPr>
      <w:r>
        <w:rPr>
          <w:rFonts w:ascii="Arial;sans-serif" w:hAnsi="Arial;sans-serif"/>
          <w:b/>
          <w:sz w:val="24"/>
        </w:rPr>
        <w:t>Recent Highlights</w:t>
      </w:r>
    </w:p>
    <w:p>
      <w:pPr>
        <w:pStyle w:val="TextBody"/>
        <w:bidi w:val="0"/>
        <w:spacing w:before="0" w:after="120"/>
        <w:jc w:val="both"/>
        <w:rPr/>
      </w:pPr>
      <w:r>
        <w:rPr/>
        <w:t>•</w:t>
      </w:r>
    </w:p>
    <w:p>
      <w:pPr>
        <w:pStyle w:val="TextBody"/>
        <w:bidi w:val="0"/>
        <w:spacing w:before="0" w:after="120"/>
        <w:jc w:val="both"/>
        <w:rPr/>
      </w:pPr>
      <w:r>
        <w:rPr>
          <w:rFonts w:ascii="Arial;sans-serif" w:hAnsi="Arial;sans-serif"/>
          <w:b/>
          <w:sz w:val="24"/>
        </w:rPr>
        <w:t xml:space="preserve">TPST-1120 </w:t>
      </w:r>
      <w:r>
        <w:rPr>
          <w:rFonts w:ascii="Arial;sans-serif" w:hAnsi="Arial;sans-serif"/>
          <w:b w:val="false"/>
          <w:sz w:val="24"/>
        </w:rPr>
        <w:t>(clinical PPARα antagonist): announced positive early results from the ongoing randomized first-line HCC study comparing TPST-1120 combined with the standard-of-care regimen of atezolizumab and bevacizumab, with head-to-head to standard-of-care alone. The data were positive in multiple categories, and demonstrated a favorable safety profile:</w:t>
      </w:r>
    </w:p>
    <w:p>
      <w:pPr>
        <w:pStyle w:val="TextBody"/>
        <w:bidi w:val="0"/>
        <w:spacing w:before="0" w:after="120"/>
        <w:jc w:val="both"/>
        <w:rPr>
          <w:rFonts w:ascii="Times New Roman" w:hAnsi="Times New Roman"/>
          <w:b w:val="false"/>
          <w:sz w:val="24"/>
        </w:rPr>
      </w:pPr>
      <w:r>
        <w:rPr>
          <w:rFonts w:ascii="Times New Roman" w:hAnsi="Times New Roman"/>
          <w:b w:val="false"/>
          <w:sz w:val="24"/>
        </w:rPr>
        <w:t>o</w:t>
      </w:r>
    </w:p>
    <w:p>
      <w:pPr>
        <w:pStyle w:val="TextBody"/>
        <w:bidi w:val="0"/>
        <w:spacing w:before="0" w:after="120"/>
        <w:jc w:val="both"/>
        <w:rPr>
          <w:rFonts w:ascii="Arial;sans-serif" w:hAnsi="Arial;sans-serif"/>
          <w:b w:val="false"/>
          <w:sz w:val="24"/>
        </w:rPr>
      </w:pPr>
      <w:r>
        <w:rPr>
          <w:rFonts w:ascii="Arial;sans-serif" w:hAnsi="Arial;sans-serif"/>
          <w:b w:val="false"/>
          <w:sz w:val="24"/>
        </w:rPr>
        <w:t>Unconfirmed responses of 30% for the TPST-1120 triplet arm (12/40) vs. 17.2% for the active control arm (5/29), demonstrating a 74.4% relative improvement in objective response rate (ORR);</w:t>
      </w:r>
    </w:p>
    <w:p>
      <w:pPr>
        <w:pStyle w:val="TextBody"/>
        <w:bidi w:val="0"/>
        <w:spacing w:before="0" w:after="120"/>
        <w:jc w:val="both"/>
        <w:rPr>
          <w:rFonts w:ascii="Times New Roman" w:hAnsi="Times New Roman"/>
          <w:b w:val="false"/>
          <w:sz w:val="24"/>
        </w:rPr>
      </w:pPr>
      <w:r>
        <w:rPr>
          <w:rFonts w:ascii="Times New Roman" w:hAnsi="Times New Roman"/>
          <w:b w:val="false"/>
          <w:sz w:val="24"/>
        </w:rPr>
        <w:t>o</w:t>
      </w:r>
    </w:p>
    <w:p>
      <w:pPr>
        <w:pStyle w:val="TextBody"/>
        <w:bidi w:val="0"/>
        <w:spacing w:before="0" w:after="120"/>
        <w:jc w:val="both"/>
        <w:rPr>
          <w:rFonts w:ascii="Arial;sans-serif" w:hAnsi="Arial;sans-serif"/>
          <w:b w:val="false"/>
          <w:sz w:val="24"/>
        </w:rPr>
      </w:pPr>
      <w:r>
        <w:rPr>
          <w:rFonts w:ascii="Arial;sans-serif" w:hAnsi="Arial;sans-serif"/>
          <w:b w:val="false"/>
          <w:sz w:val="24"/>
        </w:rPr>
        <w:t>Confirmed responses of 17.5% for the TPST-1120 triplet arm (7/40) vs. 10.3% for the active control arm (3/29), demonstrating a 69.9% relative improvement in confirmed ORR;</w:t>
      </w:r>
    </w:p>
    <w:p>
      <w:pPr>
        <w:pStyle w:val="TextBody"/>
        <w:bidi w:val="0"/>
        <w:spacing w:before="0" w:after="120"/>
        <w:jc w:val="both"/>
        <w:rPr>
          <w:rFonts w:ascii="Times New Roman" w:hAnsi="Times New Roman"/>
          <w:b w:val="false"/>
          <w:sz w:val="24"/>
        </w:rPr>
      </w:pPr>
      <w:r>
        <w:rPr>
          <w:rFonts w:ascii="Times New Roman" w:hAnsi="Times New Roman"/>
          <w:b w:val="false"/>
          <w:sz w:val="24"/>
        </w:rPr>
        <w:t>o</w:t>
      </w:r>
    </w:p>
    <w:p>
      <w:pPr>
        <w:pStyle w:val="TextBody"/>
        <w:bidi w:val="0"/>
        <w:spacing w:before="0" w:after="120"/>
        <w:jc w:val="both"/>
        <w:rPr>
          <w:rFonts w:ascii="Arial;sans-serif" w:hAnsi="Arial;sans-serif"/>
          <w:b w:val="false"/>
          <w:sz w:val="24"/>
        </w:rPr>
      </w:pPr>
      <w:r>
        <w:rPr>
          <w:rFonts w:ascii="Arial;sans-serif" w:hAnsi="Arial;sans-serif"/>
          <w:b w:val="false"/>
          <w:sz w:val="24"/>
        </w:rPr>
        <w:t>47.5% (19/40) of the TPST-1120 arm patients are on treatment vs. 23.3% (7/30) in the control arm; and</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120"/>
        <w:jc w:val="both"/>
        <w:rPr>
          <w:rFonts w:ascii="Times New Roman" w:hAnsi="Times New Roman"/>
          <w:b w:val="false"/>
          <w:sz w:val="24"/>
        </w:rPr>
      </w:pPr>
      <w:r>
        <w:rPr>
          <w:rFonts w:ascii="Times New Roman" w:hAnsi="Times New Roman"/>
          <w:b w:val="false"/>
          <w:sz w:val="24"/>
        </w:rPr>
        <w:t>o</w:t>
      </w:r>
    </w:p>
    <w:p>
      <w:pPr>
        <w:pStyle w:val="TextBody"/>
        <w:bidi w:val="0"/>
        <w:spacing w:before="0" w:after="120"/>
        <w:jc w:val="both"/>
        <w:rPr/>
      </w:pPr>
      <w:r>
        <w:rPr>
          <w:rFonts w:ascii="Arial;sans-serif" w:hAnsi="Arial;sans-serif"/>
          <w:b w:val="false"/>
          <w:sz w:val="24"/>
        </w:rPr>
        <w:t>80% (32/40) of the TPST-1120 arm patients are on study vs. 50% (15/30) in the control.</w:t>
      </w:r>
      <w:r>
        <w:rPr>
          <w:rFonts w:ascii="Arial;sans-serif" w:hAnsi="Arial;sans-serif"/>
          <w:b w:val="false"/>
          <w:sz w:val="16"/>
        </w:rPr>
        <w:t>ii</w:t>
      </w:r>
      <w:r>
        <w:rPr/>
        <w:t xml:space="preserve"> </w:t>
      </w:r>
    </w:p>
    <w:p>
      <w:pPr>
        <w:pStyle w:val="TextBody"/>
        <w:bidi w:val="0"/>
        <w:spacing w:before="0" w:after="120"/>
        <w:jc w:val="both"/>
        <w:rPr/>
      </w:pPr>
      <w:r>
        <w:rPr/>
        <w:t>•</w:t>
      </w:r>
    </w:p>
    <w:p>
      <w:pPr>
        <w:pStyle w:val="TextBody"/>
        <w:bidi w:val="0"/>
        <w:spacing w:before="0" w:after="120"/>
        <w:jc w:val="both"/>
        <w:rPr/>
      </w:pPr>
      <w:r>
        <w:rPr>
          <w:rFonts w:ascii="Arial;sans-serif" w:hAnsi="Arial;sans-serif"/>
          <w:b/>
          <w:sz w:val="24"/>
        </w:rPr>
        <w:t>TPST-1495</w:t>
      </w:r>
      <w:r>
        <w:rPr/>
        <w:t xml:space="preserve"> </w:t>
      </w:r>
      <w:r>
        <w:rPr>
          <w:rFonts w:ascii="Arial;sans-serif" w:hAnsi="Arial;sans-serif"/>
          <w:b w:val="false"/>
          <w:sz w:val="24"/>
        </w:rPr>
        <w:t xml:space="preserve">(clinical dual EP2/4 prostaglandin receptor antagonist): (i) presented data from a Phase 1 study evaluating TPST-1495 as a monotherapy and in combination with the anti-PD-1 checkpoint inhibitor pembrolizumab in advanced solid tumors at the 2023 American Society of Clinical Oncology (ASCO) Annual Meeting; (ii) published mechanism of action data highlighting the increased potency of the molecule against prostaglandin-driven tumor models in </w:t>
      </w:r>
      <w:r>
        <w:rPr>
          <w:rFonts w:ascii="Arial;sans-serif" w:hAnsi="Arial;sans-serif"/>
          <w:b w:val="false"/>
          <w:i/>
          <w:sz w:val="24"/>
        </w:rPr>
        <w:t>Cancer Research Communications</w:t>
      </w:r>
      <w:r>
        <w:rPr>
          <w:rFonts w:ascii="Arial;sans-serif" w:hAnsi="Arial;sans-serif"/>
          <w:b w:val="false"/>
          <w:sz w:val="24"/>
        </w:rPr>
        <w:t>, a journal of the American Association for Cancer Research; and (iii)</w:t>
      </w:r>
      <w:r>
        <w:rPr/>
        <w:t xml:space="preserve"> </w:t>
      </w:r>
      <w:r>
        <w:rPr>
          <w:rFonts w:ascii="Arial;sans-serif" w:hAnsi="Arial;sans-serif"/>
          <w:b w:val="false"/>
          <w:sz w:val="24"/>
        </w:rPr>
        <w:t>continued enrollment of an endometrial cancer-specific arm investigating the two highest doses of TPST-1495 in combination with pembrolizumab.</w:t>
      </w:r>
    </w:p>
    <w:p>
      <w:pPr>
        <w:pStyle w:val="TextBody"/>
        <w:bidi w:val="0"/>
        <w:spacing w:before="0" w:after="120"/>
        <w:jc w:val="both"/>
        <w:rPr>
          <w:rFonts w:ascii="Times New Roman" w:hAnsi="Times New Roman"/>
          <w:sz w:val="20"/>
        </w:rPr>
      </w:pPr>
      <w:r>
        <w:rPr>
          <w:rFonts w:ascii="Arial;sans-serif" w:hAnsi="Arial;sans-serif"/>
          <w:b/>
          <w:sz w:val="24"/>
        </w:rPr>
        <w:t>Potential Upcoming Milestones</w:t>
      </w:r>
      <w:r>
        <w:rPr>
          <w:rFonts w:ascii="Times New Roman" w:hAnsi="Times New Roman"/>
          <w:sz w:val="20"/>
        </w:rPr>
        <w:t xml:space="preserve"> </w:t>
      </w:r>
    </w:p>
    <w:p>
      <w:pPr>
        <w:pStyle w:val="TextBody"/>
        <w:bidi w:val="0"/>
        <w:spacing w:before="0" w:after="120"/>
        <w:jc w:val="both"/>
        <w:rPr/>
      </w:pPr>
      <w:r>
        <w:rPr/>
        <w:t>•</w:t>
      </w:r>
    </w:p>
    <w:p>
      <w:pPr>
        <w:pStyle w:val="TextBody"/>
        <w:bidi w:val="0"/>
        <w:spacing w:before="0" w:after="120"/>
        <w:jc w:val="both"/>
        <w:rPr/>
      </w:pPr>
      <w:r>
        <w:rPr>
          <w:rFonts w:ascii="Arial;sans-serif" w:hAnsi="Arial;sans-serif"/>
          <w:b/>
          <w:sz w:val="24"/>
        </w:rPr>
        <w:t xml:space="preserve">TPST-1120 </w:t>
      </w:r>
      <w:r>
        <w:rPr>
          <w:rFonts w:ascii="Arial;sans-serif" w:hAnsi="Arial;sans-serif"/>
          <w:b w:val="false"/>
          <w:sz w:val="24"/>
        </w:rPr>
        <w:t xml:space="preserve">(clinical PPARα antagonist): we expect to be able to discuss an updated and comprehensive data set from the formal review of the ongoing, global, randomized Phase 1b/2 study in first-line liver cancer patients in the second half of 2023. </w:t>
      </w:r>
    </w:p>
    <w:p>
      <w:pPr>
        <w:pStyle w:val="TextBody"/>
        <w:bidi w:val="0"/>
        <w:spacing w:before="0" w:after="120"/>
        <w:jc w:val="both"/>
        <w:rPr/>
      </w:pPr>
      <w:r>
        <w:rPr/>
        <w:t>•</w:t>
      </w:r>
    </w:p>
    <w:p>
      <w:pPr>
        <w:pStyle w:val="TextBody"/>
        <w:bidi w:val="0"/>
        <w:spacing w:before="0" w:after="120"/>
        <w:jc w:val="both"/>
        <w:rPr/>
      </w:pPr>
      <w:r>
        <w:rPr>
          <w:rFonts w:ascii="Arial;sans-serif" w:hAnsi="Arial;sans-serif"/>
          <w:b/>
          <w:sz w:val="24"/>
        </w:rPr>
        <w:t>TPST-1495</w:t>
      </w:r>
      <w:r>
        <w:rPr/>
        <w:t xml:space="preserve"> </w:t>
      </w:r>
      <w:r>
        <w:rPr>
          <w:rFonts w:ascii="Arial;sans-serif" w:hAnsi="Arial;sans-serif"/>
          <w:b w:val="false"/>
          <w:sz w:val="24"/>
        </w:rPr>
        <w:t>(clinical dual EP2/4 prostaglandin receptor antagonist): we plan to report data from the combination arm at the two highest TPST-1495 doses in patients with advanced endometrial cancer in 2024.</w:t>
      </w:r>
    </w:p>
    <w:p>
      <w:pPr>
        <w:pStyle w:val="TextBody"/>
        <w:bidi w:val="0"/>
        <w:spacing w:before="0" w:after="120"/>
        <w:jc w:val="both"/>
        <w:rPr/>
      </w:pPr>
      <w:r>
        <w:rPr/>
        <w:t>•</w:t>
      </w:r>
    </w:p>
    <w:p>
      <w:pPr>
        <w:pStyle w:val="TextBody"/>
        <w:bidi w:val="0"/>
        <w:spacing w:before="0" w:after="120"/>
        <w:jc w:val="both"/>
        <w:rPr/>
      </w:pPr>
      <w:r>
        <w:rPr>
          <w:rFonts w:ascii="Arial;sans-serif" w:hAnsi="Arial;sans-serif"/>
          <w:b/>
          <w:sz w:val="24"/>
        </w:rPr>
        <w:t>TREX1 Inhibitor</w:t>
      </w:r>
      <w:r>
        <w:rPr/>
        <w:t xml:space="preserve"> </w:t>
      </w:r>
      <w:r>
        <w:rPr>
          <w:rFonts w:ascii="Arial;sans-serif" w:hAnsi="Arial;sans-serif"/>
          <w:b w:val="false"/>
          <w:sz w:val="24"/>
        </w:rPr>
        <w:t>(preclinical tumor-selective STING pathway activator): we expect to advance new proprietary small molecule series TREX1 inhibitors generated through insights resulting from human TREX1-inhibitor co-crystal structures.</w:t>
      </w:r>
      <w:r>
        <w:rPr/>
        <w:t xml:space="preserve"> </w:t>
      </w:r>
    </w:p>
    <w:p>
      <w:pPr>
        <w:pStyle w:val="TextBody"/>
        <w:bidi w:val="0"/>
        <w:spacing w:before="0" w:after="120"/>
        <w:jc w:val="left"/>
        <w:rPr/>
      </w:pPr>
      <w:r>
        <w:rPr/>
        <w:t> </w:t>
      </w:r>
    </w:p>
    <w:p>
      <w:pPr>
        <w:pStyle w:val="TextBody"/>
        <w:bidi w:val="0"/>
        <w:spacing w:before="0" w:after="120"/>
        <w:jc w:val="left"/>
        <w:rPr>
          <w:rFonts w:ascii="Arial;sans-serif" w:hAnsi="Arial;sans-serif"/>
          <w:b/>
          <w:sz w:val="24"/>
        </w:rPr>
      </w:pPr>
      <w:r>
        <w:rPr>
          <w:rFonts w:ascii="Arial;sans-serif" w:hAnsi="Arial;sans-serif"/>
          <w:b/>
          <w:sz w:val="24"/>
        </w:rPr>
        <w:t>Financial Results</w:t>
      </w:r>
    </w:p>
    <w:p>
      <w:pPr>
        <w:pStyle w:val="TextBody"/>
        <w:bidi w:val="0"/>
        <w:spacing w:before="0" w:after="120"/>
        <w:jc w:val="both"/>
        <w:rPr>
          <w:rFonts w:ascii="Arial;sans-serif" w:hAnsi="Arial;sans-serif"/>
          <w:b w:val="false"/>
          <w:sz w:val="24"/>
          <w:u w:val="single"/>
        </w:rPr>
      </w:pPr>
      <w:r>
        <w:rPr>
          <w:rFonts w:ascii="Arial;sans-serif" w:hAnsi="Arial;sans-serif"/>
          <w:b w:val="false"/>
          <w:sz w:val="24"/>
          <w:u w:val="single"/>
        </w:rPr>
        <w:t>Second Quarter 2023</w:t>
      </w:r>
    </w:p>
    <w:p>
      <w:pPr>
        <w:pStyle w:val="TextBody"/>
        <w:bidi w:val="0"/>
        <w:spacing w:before="0" w:after="0"/>
        <w:jc w:val="both"/>
        <w:rPr/>
      </w:pPr>
      <w:r>
        <w:rPr/>
        <w:t>•</w:t>
      </w:r>
    </w:p>
    <w:p>
      <w:pPr>
        <w:pStyle w:val="TextBody"/>
        <w:bidi w:val="0"/>
        <w:spacing w:before="0" w:after="0"/>
        <w:jc w:val="both"/>
        <w:rPr>
          <w:rFonts w:ascii="Arial;sans-serif" w:hAnsi="Arial;sans-serif"/>
          <w:b w:val="false"/>
          <w:sz w:val="24"/>
        </w:rPr>
      </w:pPr>
      <w:r>
        <w:rPr>
          <w:rFonts w:ascii="Arial;sans-serif" w:hAnsi="Arial;sans-serif"/>
          <w:b w:val="false"/>
          <w:sz w:val="24"/>
        </w:rPr>
        <w:t xml:space="preserve">Tempest ended the second quarter with $17.6 million in cash and cash equivalents, compared to $31.2 million on December 31, 2022. </w:t>
      </w:r>
    </w:p>
    <w:p>
      <w:pPr>
        <w:pStyle w:val="TextBody"/>
        <w:bidi w:val="0"/>
        <w:spacing w:before="0" w:after="0"/>
        <w:jc w:val="both"/>
        <w:rPr/>
      </w:pPr>
      <w:r>
        <w:rPr/>
        <w:t>•</w:t>
      </w:r>
    </w:p>
    <w:p>
      <w:pPr>
        <w:pStyle w:val="TextBody"/>
        <w:bidi w:val="0"/>
        <w:spacing w:before="0" w:after="0"/>
        <w:jc w:val="both"/>
        <w:rPr>
          <w:rFonts w:ascii="Arial;sans-serif" w:hAnsi="Arial;sans-serif"/>
          <w:b w:val="false"/>
          <w:sz w:val="24"/>
        </w:rPr>
      </w:pPr>
      <w:r>
        <w:rPr>
          <w:rFonts w:ascii="Arial;sans-serif" w:hAnsi="Arial;sans-serif"/>
          <w:b w:val="false"/>
          <w:sz w:val="24"/>
        </w:rPr>
        <w:t>Net loss and net loss per share for the quarter ended June 30, 2023 were $7.6 million and $0.54, respectively, compared to $9.2 million and $0.79, respectively, for the same period in 2022.</w:t>
      </w:r>
    </w:p>
    <w:p>
      <w:pPr>
        <w:pStyle w:val="TextBody"/>
        <w:bidi w:val="0"/>
        <w:spacing w:before="0" w:after="0"/>
        <w:jc w:val="both"/>
        <w:rPr/>
      </w:pPr>
      <w:r>
        <w:rPr/>
        <w:t>•</w:t>
      </w:r>
    </w:p>
    <w:p>
      <w:pPr>
        <w:pStyle w:val="TextBody"/>
        <w:bidi w:val="0"/>
        <w:jc w:val="both"/>
        <w:rPr>
          <w:rFonts w:ascii="Arial;sans-serif" w:hAnsi="Arial;sans-serif"/>
          <w:b w:val="false"/>
          <w:sz w:val="24"/>
        </w:rPr>
      </w:pPr>
      <w:r>
        <w:rPr>
          <w:rFonts w:ascii="Arial;sans-serif" w:hAnsi="Arial;sans-serif"/>
          <w:b w:val="false"/>
          <w:sz w:val="24"/>
        </w:rPr>
        <w:t>Research and development expenses for the quarter ended June 30, 2023 were $4.4 million compared to $5.7 million for the same period in 2022. The decrease was primarily due to a decrease in costs incurred from contract research organizations and third-party vendors, partially offset by an increase in personnel costs, as well as facilities expenses.</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0"/>
        <w:jc w:val="both"/>
        <w:rPr/>
      </w:pPr>
      <w:r>
        <w:rPr/>
        <w:t>•</w:t>
      </w:r>
    </w:p>
    <w:p>
      <w:pPr>
        <w:pStyle w:val="TextBody"/>
        <w:bidi w:val="0"/>
        <w:jc w:val="both"/>
        <w:rPr>
          <w:rFonts w:ascii="Arial;sans-serif" w:hAnsi="Arial;sans-serif"/>
          <w:b w:val="false"/>
          <w:sz w:val="24"/>
        </w:rPr>
      </w:pPr>
      <w:r>
        <w:rPr>
          <w:rFonts w:ascii="Arial;sans-serif" w:hAnsi="Arial;sans-serif"/>
          <w:b w:val="false"/>
          <w:sz w:val="24"/>
        </w:rPr>
        <w:t>General and administrative expenses for the quarter ended June 30, 2023 were $3.1 million. The decrease was primarily due to a decrease in consulting and professional expenses.</w:t>
      </w:r>
    </w:p>
    <w:p>
      <w:pPr>
        <w:pStyle w:val="TextBody"/>
        <w:bidi w:val="0"/>
        <w:spacing w:before="0" w:after="120"/>
        <w:jc w:val="both"/>
        <w:rPr/>
      </w:pPr>
      <w:r>
        <w:rPr/>
        <w:t> </w:t>
      </w:r>
    </w:p>
    <w:p>
      <w:pPr>
        <w:pStyle w:val="TextBody"/>
        <w:bidi w:val="0"/>
        <w:spacing w:before="0" w:after="120"/>
        <w:jc w:val="both"/>
        <w:rPr>
          <w:rFonts w:ascii="Arial;sans-serif" w:hAnsi="Arial;sans-serif"/>
          <w:b w:val="false"/>
          <w:sz w:val="24"/>
          <w:u w:val="single"/>
        </w:rPr>
      </w:pPr>
      <w:r>
        <w:rPr>
          <w:rFonts w:ascii="Arial;sans-serif" w:hAnsi="Arial;sans-serif"/>
          <w:b w:val="false"/>
          <w:sz w:val="24"/>
          <w:u w:val="single"/>
        </w:rPr>
        <w:t>Year-to-Date</w:t>
      </w:r>
    </w:p>
    <w:p>
      <w:pPr>
        <w:pStyle w:val="TextBody"/>
        <w:bidi w:val="0"/>
        <w:spacing w:before="0" w:after="120"/>
        <w:jc w:val="both"/>
        <w:rPr/>
      </w:pPr>
      <w:r>
        <w:rPr/>
        <w:t>•</w:t>
      </w:r>
    </w:p>
    <w:p>
      <w:pPr>
        <w:pStyle w:val="TextBody"/>
        <w:bidi w:val="0"/>
        <w:spacing w:before="0" w:after="120"/>
        <w:jc w:val="both"/>
        <w:rPr>
          <w:rFonts w:ascii="Arial;sans-serif" w:hAnsi="Arial;sans-serif"/>
          <w:b w:val="false"/>
          <w:sz w:val="24"/>
        </w:rPr>
      </w:pPr>
      <w:r>
        <w:rPr>
          <w:rFonts w:ascii="Arial;sans-serif" w:hAnsi="Arial;sans-serif"/>
          <w:b w:val="false"/>
          <w:sz w:val="24"/>
        </w:rPr>
        <w:t>Net cash used in operations for the six months ended June 30, 2023 was $14.7 million.</w:t>
      </w:r>
    </w:p>
    <w:p>
      <w:pPr>
        <w:pStyle w:val="TextBody"/>
        <w:bidi w:val="0"/>
        <w:spacing w:before="0" w:after="120"/>
        <w:jc w:val="both"/>
        <w:rPr/>
      </w:pPr>
      <w:r>
        <w:rPr/>
        <w:t>•</w:t>
      </w:r>
    </w:p>
    <w:p>
      <w:pPr>
        <w:pStyle w:val="TextBody"/>
        <w:bidi w:val="0"/>
        <w:spacing w:before="0" w:after="120"/>
        <w:jc w:val="both"/>
        <w:rPr>
          <w:rFonts w:ascii="Arial;sans-serif" w:hAnsi="Arial;sans-serif"/>
          <w:b w:val="false"/>
          <w:sz w:val="24"/>
        </w:rPr>
      </w:pPr>
      <w:r>
        <w:rPr>
          <w:rFonts w:ascii="Arial;sans-serif" w:hAnsi="Arial;sans-serif"/>
          <w:b w:val="false"/>
          <w:sz w:val="24"/>
        </w:rPr>
        <w:t>Net loss and net loss per share for the six months ended June 30, 2023 were $15.2 million and $1.09, respectively, compared to $17.7 million and $1.88, respectively, for the same period in 2022.</w:t>
      </w:r>
    </w:p>
    <w:p>
      <w:pPr>
        <w:pStyle w:val="TextBody"/>
        <w:bidi w:val="0"/>
        <w:spacing w:before="0" w:after="120"/>
        <w:jc w:val="both"/>
        <w:rPr/>
      </w:pPr>
      <w:r>
        <w:rPr/>
        <w:t>•</w:t>
      </w:r>
    </w:p>
    <w:p>
      <w:pPr>
        <w:pStyle w:val="TextBody"/>
        <w:bidi w:val="0"/>
        <w:spacing w:before="0" w:after="120"/>
        <w:jc w:val="both"/>
        <w:rPr>
          <w:rFonts w:ascii="Arial;sans-serif" w:hAnsi="Arial;sans-serif"/>
          <w:b w:val="false"/>
          <w:sz w:val="24"/>
        </w:rPr>
      </w:pPr>
      <w:r>
        <w:rPr>
          <w:rFonts w:ascii="Arial;sans-serif" w:hAnsi="Arial;sans-serif"/>
          <w:b w:val="false"/>
          <w:sz w:val="24"/>
        </w:rPr>
        <w:t>Research and development expenses for the six months ended June 30, 2023 were $9.1 million compared to $10.8 million for the same period in 2022. The $1.7 million decrease was primarily due to a decrease in costs incurred from contract research organizations and third-party vendors, partially offset by an increase in personnel costs, as well as facilities expenses.</w:t>
      </w:r>
    </w:p>
    <w:p>
      <w:pPr>
        <w:pStyle w:val="TextBody"/>
        <w:bidi w:val="0"/>
        <w:spacing w:before="0" w:after="120"/>
        <w:jc w:val="both"/>
        <w:rPr/>
      </w:pPr>
      <w:r>
        <w:rPr/>
        <w:t>•</w:t>
      </w:r>
    </w:p>
    <w:p>
      <w:pPr>
        <w:pStyle w:val="TextBody"/>
        <w:bidi w:val="0"/>
        <w:spacing w:before="0" w:after="120"/>
        <w:jc w:val="both"/>
        <w:rPr>
          <w:rFonts w:ascii="Arial;sans-serif" w:hAnsi="Arial;sans-serif"/>
          <w:b w:val="false"/>
          <w:sz w:val="24"/>
        </w:rPr>
      </w:pPr>
      <w:r>
        <w:rPr>
          <w:rFonts w:ascii="Arial;sans-serif" w:hAnsi="Arial;sans-serif"/>
          <w:b w:val="false"/>
          <w:sz w:val="24"/>
        </w:rPr>
        <w:t>General and administrative expenses for the six months ended June 30, 2023 were $6.0 million compared to $6.2 million for the same period in 2022. The $0.2 million decrease was primarily due to a decrease in consulting and professional expenses.</w:t>
      </w:r>
    </w:p>
    <w:p>
      <w:pPr>
        <w:pStyle w:val="TextBody"/>
        <w:bidi w:val="0"/>
        <w:spacing w:before="0" w:after="120"/>
        <w:jc w:val="left"/>
        <w:rPr/>
      </w:pPr>
      <w:r>
        <w:rPr/>
        <w:t> </w:t>
      </w:r>
    </w:p>
    <w:p>
      <w:pPr>
        <w:pStyle w:val="TextBody"/>
        <w:bidi w:val="0"/>
        <w:spacing w:before="0" w:after="120"/>
        <w:jc w:val="left"/>
        <w:rPr>
          <w:rFonts w:ascii="Arial;sans-serif" w:hAnsi="Arial;sans-serif"/>
          <w:b/>
          <w:sz w:val="24"/>
        </w:rPr>
      </w:pPr>
      <w:r>
        <w:rPr>
          <w:rFonts w:ascii="Arial;sans-serif" w:hAnsi="Arial;sans-serif"/>
          <w:b/>
          <w:sz w:val="24"/>
        </w:rPr>
        <w:t>About Tempest Therapeutics</w:t>
      </w:r>
    </w:p>
    <w:p>
      <w:pPr>
        <w:pStyle w:val="TextBody"/>
        <w:bidi w:val="0"/>
        <w:spacing w:before="0" w:after="0"/>
        <w:jc w:val="both"/>
        <w:rPr>
          <w:rFonts w:ascii="Times New Roman" w:hAnsi="Times New Roman"/>
          <w:sz w:val="20"/>
        </w:rPr>
      </w:pPr>
      <w:r>
        <w:rPr>
          <w:rFonts w:ascii="Arial;sans-serif" w:hAnsi="Arial;sans-serif"/>
          <w:b w:val="false"/>
          <w:sz w:val="24"/>
        </w:rPr>
        <w:t>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www.tempesttx.com.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sz w:val="24"/>
        </w:rPr>
        <w:t>Forward-Looking Statements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160"/>
        <w:jc w:val="both"/>
        <w:rPr>
          <w:rFonts w:ascii="Times New Roman" w:hAnsi="Times New Roman"/>
          <w:sz w:val="20"/>
        </w:rPr>
      </w:pPr>
      <w:r>
        <w:rPr>
          <w:rFonts w:ascii="Arial;sans-serif" w:hAnsi="Arial;sans-serif"/>
          <w:b w:val="false"/>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Tempest Therapeutic’s product candidates; the Company’s</w:t>
      </w:r>
      <w:r>
        <w:rPr>
          <w:rFonts w:ascii="Times New Roman" w:hAnsi="Times New Roman"/>
          <w:sz w:val="20"/>
        </w:rPr>
        <w:t xml:space="preserve"> </w:t>
      </w:r>
      <w:r>
        <w:rPr>
          <w:rFonts w:ascii="Arial;sans-serif" w:hAnsi="Arial;sans-serif"/>
          <w:b w:val="false"/>
          <w:sz w:val="24"/>
        </w:rPr>
        <w:t>ability to deliver on potential value-creating milestones;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June 30, 2023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160"/>
        <w:jc w:val="left"/>
        <w:rPr/>
      </w:pPr>
      <w:r>
        <w:rPr/>
        <w:t> </w:t>
      </w:r>
    </w:p>
    <w:tbl>
      <w:tblPr>
        <w:tblW w:w="9469" w:type="dxa"/>
        <w:jc w:val="left"/>
        <w:tblInd w:w="0" w:type="dxa"/>
        <w:tblLayout w:type="fixed"/>
        <w:tblCellMar>
          <w:top w:w="28" w:type="dxa"/>
          <w:left w:w="28" w:type="dxa"/>
          <w:bottom w:w="28" w:type="dxa"/>
          <w:right w:w="28" w:type="dxa"/>
        </w:tblCellMar>
      </w:tblPr>
      <w:tblGrid>
        <w:gridCol w:w="4666"/>
        <w:gridCol w:w="282"/>
        <w:gridCol w:w="1233"/>
        <w:gridCol w:w="181"/>
        <w:gridCol w:w="146"/>
        <w:gridCol w:w="386"/>
        <w:gridCol w:w="1684"/>
        <w:gridCol w:w="891"/>
      </w:tblGrid>
      <w:tr>
        <w:trPr/>
        <w:tc>
          <w:tcPr>
            <w:tcW w:w="4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578" w:type="dxa"/>
            <w:gridSpan w:val="7"/>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TEMPEST THERAPEUTICS, INC.</w:t>
            </w:r>
          </w:p>
        </w:tc>
        <w:tc>
          <w:tcPr>
            <w:tcW w:w="891" w:type="dxa"/>
            <w:tcBorders/>
            <w:vAlign w:val="center"/>
          </w:tcPr>
          <w:p>
            <w:pPr>
              <w:pStyle w:val="TableContents"/>
              <w:bidi w:val="0"/>
              <w:spacing w:before="0" w:after="0"/>
              <w:ind w:left="0" w:right="0" w:hanging="0"/>
              <w:jc w:val="center"/>
              <w:rPr/>
            </w:pPr>
            <w:r>
              <w:rPr/>
              <w:t> </w:t>
            </w:r>
          </w:p>
        </w:tc>
      </w:tr>
      <w:tr>
        <w:trPr/>
        <w:tc>
          <w:tcPr>
            <w:tcW w:w="8578" w:type="dxa"/>
            <w:gridSpan w:val="7"/>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Consolidated Balance Sheets</w:t>
            </w:r>
          </w:p>
        </w:tc>
        <w:tc>
          <w:tcPr>
            <w:tcW w:w="891" w:type="dxa"/>
            <w:tcBorders/>
            <w:vAlign w:val="center"/>
          </w:tcPr>
          <w:p>
            <w:pPr>
              <w:pStyle w:val="TableContents"/>
              <w:bidi w:val="0"/>
              <w:spacing w:before="0" w:after="0"/>
              <w:ind w:left="0" w:right="0" w:hanging="0"/>
              <w:jc w:val="center"/>
              <w:rPr/>
            </w:pPr>
            <w:r>
              <w:rPr/>
              <w:t> </w:t>
            </w:r>
          </w:p>
        </w:tc>
      </w:tr>
      <w:tr>
        <w:trPr/>
        <w:tc>
          <w:tcPr>
            <w:tcW w:w="8578" w:type="dxa"/>
            <w:gridSpan w:val="7"/>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(in thousands)</w:t>
            </w:r>
          </w:p>
        </w:tc>
        <w:tc>
          <w:tcPr>
            <w:tcW w:w="891" w:type="dxa"/>
            <w:tcBorders/>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center"/>
              <w:rPr/>
            </w:pPr>
            <w:r>
              <w:rPr/>
              <w:t> </w:t>
            </w:r>
          </w:p>
        </w:tc>
        <w:tc>
          <w:tcPr>
            <w:tcW w:w="1515" w:type="dxa"/>
            <w:gridSpan w:val="2"/>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2"/>
            <w:tcBorders/>
            <w:vAlign w:val="center"/>
          </w:tcPr>
          <w:p>
            <w:pPr>
              <w:pStyle w:val="TableContents"/>
              <w:bidi w:val="0"/>
              <w:spacing w:before="0" w:after="0"/>
              <w:ind w:left="0" w:right="0" w:hanging="0"/>
              <w:jc w:val="center"/>
              <w:rPr/>
            </w:pPr>
            <w:r>
              <w:rPr/>
              <w:t> </w:t>
            </w:r>
          </w:p>
        </w:tc>
        <w:tc>
          <w:tcPr>
            <w:tcW w:w="891" w:type="dxa"/>
            <w:tcBorders/>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June 30, 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December 31, 2022</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6" w:type="dxa"/>
            <w:tcBorders/>
            <w:vAlign w:val="center"/>
          </w:tcPr>
          <w:p>
            <w:pPr>
              <w:pStyle w:val="TableContents"/>
              <w:bidi w:val="0"/>
              <w:spacing w:before="0" w:after="0"/>
              <w:ind w:left="0" w:right="0" w:hanging="0"/>
              <w:jc w:val="center"/>
              <w:rPr>
                <w:rFonts w:ascii="Arial;sans-serif" w:hAnsi="Arial;sans-serif"/>
                <w:b/>
                <w:sz w:val="24"/>
              </w:rPr>
            </w:pPr>
            <w:r>
              <w:rPr>
                <w:rFonts w:ascii="Arial;sans-serif" w:hAnsi="Arial;sans-serif"/>
                <w:b/>
                <w:sz w:val="24"/>
              </w:rPr>
              <w:t>Assets</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Current assets</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Cash and cash equivalents</w:t>
            </w:r>
          </w:p>
        </w:tc>
        <w:tc>
          <w:tcPr>
            <w:tcW w:w="282"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17,604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31,230</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Insurance recovery of legal settlement</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Prepaid expenses and other current assets</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931</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1,270</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420"/>
              <w:jc w:val="left"/>
              <w:rPr/>
            </w:pPr>
            <w:r>
              <w:rPr/>
              <w:t> </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current assets</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18,535</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32,950</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r>
      <w:tr>
        <w:trPr/>
        <w:tc>
          <w:tcPr>
            <w:tcW w:w="4666" w:type="dxa"/>
            <w:tcBorders/>
            <w:vAlign w:val="center"/>
          </w:tcPr>
          <w:p>
            <w:pPr>
              <w:pStyle w:val="TableContents"/>
              <w:bidi w:val="0"/>
              <w:spacing w:before="0" w:after="0"/>
              <w:ind w:left="700" w:right="0" w:hanging="0"/>
              <w:jc w:val="left"/>
              <w:rPr/>
            </w:pPr>
            <w:r>
              <w:rPr/>
              <w:t> </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Property and equipment, net</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1,005</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1,060</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Operating lease right-of-use assets</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10,804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11,650</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Other noncurrent assets</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398</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429</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firstLine="420"/>
              <w:jc w:val="left"/>
              <w:rPr/>
            </w:pPr>
            <w:r>
              <w:rPr/>
              <w:t> </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assets</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30,742</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46,089</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center"/>
              <w:rPr>
                <w:rFonts w:ascii="Arial;sans-serif" w:hAnsi="Arial;sans-serif"/>
                <w:b/>
                <w:sz w:val="24"/>
              </w:rPr>
            </w:pPr>
            <w:r>
              <w:rPr>
                <w:rFonts w:ascii="Arial;sans-serif" w:hAnsi="Arial;sans-serif"/>
                <w:b/>
                <w:sz w:val="24"/>
              </w:rPr>
              <w:t>Liabilities and Stockholders' Equity</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Current liabilities</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Accounts payable</w:t>
            </w:r>
          </w:p>
        </w:tc>
        <w:tc>
          <w:tcPr>
            <w:tcW w:w="282"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868</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1,108</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Accrued legal settlement</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Accrued expenses and other</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2,454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2,961</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Current loan payable, net</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2,974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Current operating lease liabilities</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1,414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1,413</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Accrued compensation</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823</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1,248</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Interest payable</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105</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97</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420"/>
              <w:jc w:val="left"/>
              <w:rPr/>
            </w:pPr>
            <w:r>
              <w:rPr/>
              <w:t> </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current liabilities</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8,638</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7,277</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Loan payable, net</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7,484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10,371</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Operating lease liabilities</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9,608</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10,330</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420"/>
              <w:jc w:val="left"/>
              <w:rPr/>
            </w:pPr>
            <w:r>
              <w:rPr/>
              <w:t> </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liabilities</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25,730</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27,978</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pPr>
            <w:r>
              <w:rPr/>
              <w:t> </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left"/>
              <w:rPr/>
            </w:pPr>
            <w:r>
              <w:rPr/>
              <w:t> </w:t>
            </w:r>
          </w:p>
        </w:tc>
      </w:tr>
      <w:tr>
        <w:trPr/>
        <w:tc>
          <w:tcPr>
            <w:tcW w:w="4666"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Stockholders' equity</w:t>
            </w:r>
          </w:p>
        </w:tc>
        <w:tc>
          <w:tcPr>
            <w:tcW w:w="1515"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2"/>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Common stock</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13</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11</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Additional paid-in capital</w:t>
            </w:r>
          </w:p>
        </w:tc>
        <w:tc>
          <w:tcPr>
            <w:tcW w:w="282"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155,988</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 </w:t>
            </w:r>
          </w:p>
        </w:tc>
        <w:tc>
          <w:tcPr>
            <w:tcW w:w="1684"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153,872</w:t>
            </w:r>
          </w:p>
        </w:tc>
        <w:tc>
          <w:tcPr>
            <w:tcW w:w="891" w:type="dxa"/>
            <w:tcBorders/>
            <w:vAlign w:val="center"/>
          </w:tcPr>
          <w:p>
            <w:pPr>
              <w:pStyle w:val="TableContents"/>
              <w:bidi w:val="0"/>
              <w:spacing w:before="0" w:after="0"/>
              <w:ind w:left="0" w:right="0" w:firstLine="140"/>
              <w:jc w:val="left"/>
              <w:rPr/>
            </w:pPr>
            <w:r>
              <w:rPr/>
              <w:t> </w:t>
            </w:r>
          </w:p>
        </w:tc>
      </w:tr>
      <w:tr>
        <w:trPr/>
        <w:tc>
          <w:tcPr>
            <w:tcW w:w="4666"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Accumulated deficit</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(150,989</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(135,772</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420"/>
              <w:jc w:val="left"/>
              <w:rPr>
                <w:rFonts w:ascii="Arial;sans-serif" w:hAnsi="Arial;sans-serif"/>
                <w:b w:val="false"/>
                <w:sz w:val="24"/>
              </w:rPr>
            </w:pPr>
            <w:r>
              <w:rPr>
                <w:rFonts w:ascii="Arial;sans-serif" w:hAnsi="Arial;sans-serif"/>
                <w:b w:val="false"/>
                <w:sz w:val="24"/>
              </w:rPr>
              <w:t>)</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stockholders' equity</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5,012</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18,111</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firstLine="420"/>
              <w:jc w:val="left"/>
              <w:rPr/>
            </w:pPr>
            <w:r>
              <w:rPr/>
              <w:t> </w:t>
            </w:r>
          </w:p>
        </w:tc>
      </w:tr>
      <w:tr>
        <w:trPr/>
        <w:tc>
          <w:tcPr>
            <w:tcW w:w="4666" w:type="dxa"/>
            <w:tcBorders/>
            <w:vAlign w:val="center"/>
          </w:tcPr>
          <w:p>
            <w:pPr>
              <w:pStyle w:val="TableContents"/>
              <w:bidi w:val="0"/>
              <w:spacing w:before="0" w:after="0"/>
              <w:ind w:left="420" w:right="0" w:hanging="0"/>
              <w:jc w:val="left"/>
              <w:rPr>
                <w:rFonts w:ascii="Arial;sans-serif" w:hAnsi="Arial;sans-serif"/>
                <w:b w:val="false"/>
                <w:sz w:val="24"/>
              </w:rPr>
            </w:pPr>
            <w:r>
              <w:rPr>
                <w:rFonts w:ascii="Arial;sans-serif" w:hAnsi="Arial;sans-serif"/>
                <w:b w:val="false"/>
                <w:sz w:val="24"/>
              </w:rPr>
              <w:t>Total liabilities and stockholders' equity</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30,742</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46,089</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357"/>
        <w:gridCol w:w="1159"/>
        <w:gridCol w:w="181"/>
        <w:gridCol w:w="146"/>
        <w:gridCol w:w="357"/>
        <w:gridCol w:w="1159"/>
        <w:gridCol w:w="181"/>
        <w:gridCol w:w="146"/>
        <w:gridCol w:w="310"/>
        <w:gridCol w:w="1180"/>
        <w:gridCol w:w="181"/>
        <w:gridCol w:w="146"/>
        <w:gridCol w:w="310"/>
        <w:gridCol w:w="1180"/>
        <w:gridCol w:w="895"/>
      </w:tblGrid>
      <w:tr>
        <w:trPr/>
        <w:tc>
          <w:tcPr>
            <w:tcW w:w="23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9310" w:type="dxa"/>
            <w:gridSpan w:val="15"/>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TEMPEST THERAPEUTICS, INC.</w:t>
            </w:r>
          </w:p>
        </w:tc>
        <w:tc>
          <w:tcPr>
            <w:tcW w:w="895" w:type="dxa"/>
            <w:tcBorders/>
            <w:vAlign w:val="center"/>
          </w:tcPr>
          <w:p>
            <w:pPr>
              <w:pStyle w:val="TableContents"/>
              <w:bidi w:val="0"/>
              <w:spacing w:before="0" w:after="0"/>
              <w:ind w:left="0" w:right="0" w:hanging="0"/>
              <w:jc w:val="center"/>
              <w:rPr/>
            </w:pPr>
            <w:r>
              <w:rPr/>
              <w:t> </w:t>
            </w:r>
          </w:p>
        </w:tc>
      </w:tr>
      <w:tr>
        <w:trPr/>
        <w:tc>
          <w:tcPr>
            <w:tcW w:w="9310" w:type="dxa"/>
            <w:gridSpan w:val="15"/>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Consolidated Statements of Operations</w:t>
            </w:r>
          </w:p>
        </w:tc>
        <w:tc>
          <w:tcPr>
            <w:tcW w:w="895" w:type="dxa"/>
            <w:tcBorders/>
            <w:vAlign w:val="center"/>
          </w:tcPr>
          <w:p>
            <w:pPr>
              <w:pStyle w:val="TableContents"/>
              <w:bidi w:val="0"/>
              <w:spacing w:before="0" w:after="0"/>
              <w:ind w:left="0" w:right="0" w:hanging="0"/>
              <w:jc w:val="center"/>
              <w:rPr/>
            </w:pPr>
            <w:r>
              <w:rPr/>
              <w:t> </w:t>
            </w:r>
          </w:p>
        </w:tc>
      </w:tr>
      <w:tr>
        <w:trPr/>
        <w:tc>
          <w:tcPr>
            <w:tcW w:w="9310" w:type="dxa"/>
            <w:gridSpan w:val="15"/>
            <w:tcBorders/>
            <w:vAlign w:val="center"/>
          </w:tcPr>
          <w:p>
            <w:pPr>
              <w:pStyle w:val="TableContents"/>
              <w:bidi w:val="0"/>
              <w:spacing w:before="0" w:after="0"/>
              <w:ind w:left="0" w:right="0" w:hanging="0"/>
              <w:jc w:val="center"/>
              <w:rPr>
                <w:rFonts w:ascii="Arial;sans-serif" w:hAnsi="Arial;sans-serif"/>
                <w:b/>
                <w:sz w:val="28"/>
              </w:rPr>
            </w:pPr>
            <w:r>
              <w:rPr>
                <w:rFonts w:ascii="Arial;sans-serif" w:hAnsi="Arial;sans-serif"/>
                <w:b/>
                <w:sz w:val="28"/>
              </w:rPr>
              <w:t>(in thousands, except per share amounts)</w:t>
            </w:r>
          </w:p>
        </w:tc>
        <w:tc>
          <w:tcPr>
            <w:tcW w:w="895" w:type="dxa"/>
            <w:tcBorders/>
            <w:vAlign w:val="center"/>
          </w:tcPr>
          <w:p>
            <w:pPr>
              <w:pStyle w:val="TableContents"/>
              <w:bidi w:val="0"/>
              <w:spacing w:before="0" w:after="0"/>
              <w:ind w:left="0" w:right="0" w:hanging="0"/>
              <w:jc w:val="center"/>
              <w:rPr/>
            </w:pPr>
            <w:r>
              <w:rPr/>
              <w:t> </w:t>
            </w:r>
          </w:p>
        </w:tc>
      </w:tr>
      <w:tr>
        <w:trPr/>
        <w:tc>
          <w:tcPr>
            <w:tcW w:w="2317" w:type="dxa"/>
            <w:tcBorders/>
            <w:vAlign w:val="center"/>
          </w:tcPr>
          <w:p>
            <w:pPr>
              <w:pStyle w:val="TableContents"/>
              <w:bidi w:val="0"/>
              <w:spacing w:before="0" w:after="0"/>
              <w:ind w:left="0" w:right="0" w:hanging="0"/>
              <w:jc w:val="center"/>
              <w:rPr/>
            </w:pPr>
            <w:r>
              <w:rPr/>
              <w:t> </w:t>
            </w:r>
          </w:p>
        </w:tc>
        <w:tc>
          <w:tcPr>
            <w:tcW w:w="1516" w:type="dxa"/>
            <w:gridSpan w:val="2"/>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16" w:type="dxa"/>
            <w:gridSpan w:val="2"/>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Three months ended</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Three months ended</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Six months ended</w:t>
            </w:r>
          </w:p>
        </w:tc>
        <w:tc>
          <w:tcPr>
            <w:tcW w:w="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Six months ended</w:t>
            </w:r>
          </w:p>
        </w:tc>
        <w:tc>
          <w:tcPr>
            <w:tcW w:w="895" w:type="dxa"/>
            <w:tcBorders/>
            <w:vAlign w:val="center"/>
          </w:tcPr>
          <w:p>
            <w:pPr>
              <w:pStyle w:val="TableContents"/>
              <w:bidi w:val="0"/>
              <w:spacing w:before="0" w:after="0"/>
              <w:ind w:left="0" w:right="0" w:hanging="0"/>
              <w:jc w:val="center"/>
              <w:rPr/>
            </w:pPr>
            <w:r>
              <w:rPr/>
              <w:t> </w:t>
            </w:r>
          </w:p>
        </w:tc>
      </w:tr>
      <w:tr>
        <w:trPr/>
        <w:tc>
          <w:tcPr>
            <w:tcW w:w="2317" w:type="dxa"/>
            <w:tcBorders/>
            <w:vAlign w:val="center"/>
          </w:tcPr>
          <w:p>
            <w:pPr>
              <w:pStyle w:val="TableContents"/>
              <w:bidi w:val="0"/>
              <w:spacing w:before="0" w:after="0"/>
              <w:ind w:left="0" w:right="0" w:hanging="0"/>
              <w:jc w:val="left"/>
              <w:rPr/>
            </w:pPr>
            <w:r>
              <w:rPr/>
              <w:t> </w:t>
            </w:r>
          </w:p>
        </w:tc>
        <w:tc>
          <w:tcPr>
            <w:tcW w:w="15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June 30, 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June 30, 2022</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June 30, 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2"/>
              </w:rPr>
            </w:pPr>
            <w:r>
              <w:rPr>
                <w:rFonts w:ascii="Arial;sans-serif" w:hAnsi="Arial;sans-serif"/>
                <w:b/>
                <w:sz w:val="22"/>
              </w:rPr>
              <w:t>June 30, 2022</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7" w:type="dxa"/>
            <w:tcBorders/>
            <w:vAlign w:val="center"/>
          </w:tcPr>
          <w:p>
            <w:pPr>
              <w:pStyle w:val="TableContents"/>
              <w:bidi w:val="0"/>
              <w:spacing w:before="0" w:after="0"/>
              <w:ind w:left="0" w:right="0" w:hanging="0"/>
              <w:jc w:val="left"/>
              <w:rPr>
                <w:rFonts w:ascii="Arial;sans-serif" w:hAnsi="Arial;sans-serif"/>
                <w:b/>
                <w:sz w:val="24"/>
              </w:rPr>
            </w:pPr>
            <w:r>
              <w:rPr>
                <w:rFonts w:ascii="Arial;sans-serif" w:hAnsi="Arial;sans-serif"/>
                <w:b/>
                <w:sz w:val="24"/>
              </w:rPr>
              <w:t>Expenses:</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firstLine="140"/>
              <w:jc w:val="left"/>
              <w:rPr/>
            </w:pPr>
            <w:r>
              <w:rPr/>
              <w:t> </w:t>
            </w:r>
          </w:p>
        </w:tc>
      </w:tr>
      <w:tr>
        <w:trPr/>
        <w:tc>
          <w:tcPr>
            <w:tcW w:w="2317"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Research and development</w:t>
            </w:r>
          </w:p>
        </w:tc>
        <w:tc>
          <w:tcPr>
            <w:tcW w:w="357"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4,416</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5,651</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9,094</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10,760</w:t>
            </w:r>
          </w:p>
        </w:tc>
        <w:tc>
          <w:tcPr>
            <w:tcW w:w="895" w:type="dxa"/>
            <w:tcBorders/>
            <w:vAlign w:val="center"/>
          </w:tcPr>
          <w:p>
            <w:pPr>
              <w:pStyle w:val="TableContents"/>
              <w:bidi w:val="0"/>
              <w:spacing w:before="0" w:after="0"/>
              <w:ind w:left="0" w:right="0" w:firstLine="140"/>
              <w:jc w:val="left"/>
              <w:rPr/>
            </w:pPr>
            <w:r>
              <w:rPr/>
              <w:t> </w:t>
            </w:r>
          </w:p>
        </w:tc>
      </w:tr>
      <w:tr>
        <w:trPr/>
        <w:tc>
          <w:tcPr>
            <w:tcW w:w="2317"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General and administrative</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3,054</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3,123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5,957</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6,175</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firstLine="140"/>
              <w:jc w:val="left"/>
              <w:rPr/>
            </w:pPr>
            <w:r>
              <w:rPr/>
              <w:t> </w:t>
            </w:r>
          </w:p>
        </w:tc>
      </w:tr>
      <w:tr>
        <w:trPr/>
        <w:tc>
          <w:tcPr>
            <w:tcW w:w="2317" w:type="dxa"/>
            <w:tcBorders/>
            <w:vAlign w:val="center"/>
          </w:tcPr>
          <w:p>
            <w:pPr>
              <w:pStyle w:val="TableContents"/>
              <w:bidi w:val="0"/>
              <w:spacing w:before="0" w:after="0"/>
              <w:ind w:left="14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firstLine="700"/>
              <w:jc w:val="left"/>
              <w:rPr/>
            </w:pPr>
            <w:r>
              <w:rPr/>
              <w:t> </w:t>
            </w:r>
          </w:p>
        </w:tc>
      </w:tr>
      <w:tr>
        <w:trPr/>
        <w:tc>
          <w:tcPr>
            <w:tcW w:w="2317" w:type="dxa"/>
            <w:tcBorders/>
            <w:vAlign w:val="center"/>
          </w:tcPr>
          <w:p>
            <w:pPr>
              <w:pStyle w:val="TableContents"/>
              <w:bidi w:val="0"/>
              <w:spacing w:before="0" w:after="0"/>
              <w:ind w:left="700" w:right="0" w:hanging="0"/>
              <w:jc w:val="left"/>
              <w:rPr>
                <w:rFonts w:ascii="Arial;sans-serif" w:hAnsi="Arial;sans-serif"/>
                <w:b w:val="false"/>
                <w:sz w:val="24"/>
              </w:rPr>
            </w:pPr>
            <w:r>
              <w:rPr>
                <w:rFonts w:ascii="Arial;sans-serif" w:hAnsi="Arial;sans-serif"/>
                <w:b w:val="false"/>
                <w:sz w:val="24"/>
              </w:rPr>
              <w:t>Total expenses</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7,470</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8,774</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15,051</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16,935</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r>
      <w:tr>
        <w:trPr/>
        <w:tc>
          <w:tcPr>
            <w:tcW w:w="2317" w:type="dxa"/>
            <w:tcBorders/>
            <w:vAlign w:val="center"/>
          </w:tcPr>
          <w:p>
            <w:pPr>
              <w:pStyle w:val="TableContents"/>
              <w:bidi w:val="0"/>
              <w:spacing w:before="0" w:after="0"/>
              <w:ind w:left="70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rFonts w:ascii="Arial;sans-serif" w:hAnsi="Arial;sans-serif"/>
                <w:b/>
                <w:sz w:val="24"/>
              </w:rPr>
            </w:pPr>
            <w:r>
              <w:rPr>
                <w:rFonts w:ascii="Arial;sans-serif" w:hAnsi="Arial;sans-serif"/>
                <w:b/>
                <w:sz w:val="24"/>
              </w:rPr>
              <w:t>Operating loss</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(7,470</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(8,774</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(15,051</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(16,935</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firstLine="140"/>
              <w:jc w:val="left"/>
              <w:rPr>
                <w:rFonts w:ascii="Arial;sans-serif" w:hAnsi="Arial;sans-serif"/>
                <w:b w:val="false"/>
                <w:sz w:val="24"/>
              </w:rPr>
            </w:pPr>
            <w:r>
              <w:rPr>
                <w:rFonts w:ascii="Arial;sans-serif" w:hAnsi="Arial;sans-serif"/>
                <w:b w:val="false"/>
                <w:sz w:val="24"/>
              </w:rPr>
              <w:t>)</w:t>
            </w:r>
          </w:p>
        </w:tc>
      </w:tr>
      <w:tr>
        <w:trPr/>
        <w:tc>
          <w:tcPr>
            <w:tcW w:w="2317" w:type="dxa"/>
            <w:tcBorders/>
            <w:vAlign w:val="center"/>
          </w:tcPr>
          <w:p>
            <w:pPr>
              <w:pStyle w:val="TableContents"/>
              <w:bidi w:val="0"/>
              <w:spacing w:before="0" w:after="0"/>
              <w:ind w:left="14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rFonts w:ascii="Arial;sans-serif" w:hAnsi="Arial;sans-serif"/>
                <w:b/>
                <w:sz w:val="24"/>
              </w:rPr>
            </w:pPr>
            <w:r>
              <w:rPr>
                <w:rFonts w:ascii="Arial;sans-serif" w:hAnsi="Arial;sans-serif"/>
                <w:b/>
                <w:sz w:val="24"/>
              </w:rPr>
              <w:t>Other income (expense), net:</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firstLine="140"/>
              <w:jc w:val="left"/>
              <w:rPr/>
            </w:pPr>
            <w:r>
              <w:rPr/>
              <w:t> </w:t>
            </w:r>
          </w:p>
        </w:tc>
      </w:tr>
      <w:tr>
        <w:trPr/>
        <w:tc>
          <w:tcPr>
            <w:tcW w:w="2317"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Interest expense</w:t>
            </w:r>
          </w:p>
        </w:tc>
        <w:tc>
          <w:tcPr>
            <w:tcW w:w="357"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(355</w:t>
            </w:r>
          </w:p>
        </w:tc>
        <w:tc>
          <w:tcPr>
            <w:tcW w:w="181"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(464</w:t>
            </w:r>
          </w:p>
        </w:tc>
        <w:tc>
          <w:tcPr>
            <w:tcW w:w="181"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(699</w:t>
            </w:r>
          </w:p>
        </w:tc>
        <w:tc>
          <w:tcPr>
            <w:tcW w:w="181" w:type="dxa"/>
            <w:tcBorders/>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(797</w:t>
            </w:r>
          </w:p>
        </w:tc>
        <w:tc>
          <w:tcPr>
            <w:tcW w:w="895" w:type="dxa"/>
            <w:tcBorders/>
            <w:vAlign w:val="center"/>
          </w:tcPr>
          <w:p>
            <w:pPr>
              <w:pStyle w:val="TableContents"/>
              <w:bidi w:val="0"/>
              <w:spacing w:before="0" w:after="0"/>
              <w:ind w:left="0" w:right="0" w:firstLine="140"/>
              <w:jc w:val="left"/>
              <w:rPr>
                <w:rFonts w:ascii="Arial;sans-serif" w:hAnsi="Arial;sans-serif"/>
                <w:b w:val="false"/>
                <w:sz w:val="24"/>
              </w:rPr>
            </w:pPr>
            <w:r>
              <w:rPr>
                <w:rFonts w:ascii="Arial;sans-serif" w:hAnsi="Arial;sans-serif"/>
                <w:b w:val="false"/>
                <w:sz w:val="24"/>
              </w:rPr>
              <w:t>)</w:t>
            </w:r>
          </w:p>
        </w:tc>
      </w:tr>
      <w:tr>
        <w:trPr/>
        <w:tc>
          <w:tcPr>
            <w:tcW w:w="2317" w:type="dxa"/>
            <w:tcBorders/>
            <w:vAlign w:val="center"/>
          </w:tcPr>
          <w:p>
            <w:pPr>
              <w:pStyle w:val="TableContents"/>
              <w:bidi w:val="0"/>
              <w:spacing w:before="0" w:after="0"/>
              <w:ind w:left="140" w:right="0" w:hanging="0"/>
              <w:jc w:val="left"/>
              <w:rPr>
                <w:rFonts w:ascii="Arial;sans-serif" w:hAnsi="Arial;sans-serif"/>
                <w:b w:val="false"/>
                <w:sz w:val="24"/>
              </w:rPr>
            </w:pPr>
            <w:r>
              <w:rPr>
                <w:rFonts w:ascii="Arial;sans-serif" w:hAnsi="Arial;sans-serif"/>
                <w:b w:val="false"/>
                <w:sz w:val="24"/>
              </w:rPr>
              <w:t>Interest and other income, net</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244</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70</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533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73</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2"/>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left"/>
              <w:rPr/>
            </w:pPr>
            <w:r>
              <w:rPr/>
              <w:t> </w:t>
            </w:r>
          </w:p>
        </w:tc>
      </w:tr>
      <w:tr>
        <w:trPr/>
        <w:tc>
          <w:tcPr>
            <w:tcW w:w="2317" w:type="dxa"/>
            <w:tcBorders/>
            <w:vAlign w:val="center"/>
          </w:tcPr>
          <w:p>
            <w:pPr>
              <w:pStyle w:val="TableContents"/>
              <w:bidi w:val="0"/>
              <w:spacing w:before="0" w:after="0"/>
              <w:ind w:left="0" w:right="0" w:hanging="0"/>
              <w:jc w:val="left"/>
              <w:rPr>
                <w:rFonts w:ascii="Arial;sans-serif" w:hAnsi="Arial;sans-serif"/>
                <w:b/>
                <w:sz w:val="24"/>
              </w:rPr>
            </w:pPr>
            <w:r>
              <w:rPr>
                <w:rFonts w:ascii="Arial;sans-serif" w:hAnsi="Arial;sans-serif"/>
                <w:b/>
                <w:sz w:val="24"/>
              </w:rPr>
              <w:t>Net loss</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(7,581</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(9,168</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(15,217</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(17,659</w:t>
            </w:r>
          </w:p>
        </w:tc>
        <w:tc>
          <w:tcPr>
            <w:tcW w:w="8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r>
      <w:tr>
        <w:trPr/>
        <w:tc>
          <w:tcPr>
            <w:tcW w:w="2317" w:type="dxa"/>
            <w:tcBorders/>
            <w:vAlign w:val="center"/>
          </w:tcPr>
          <w:p>
            <w:pPr>
              <w:pStyle w:val="TableContents"/>
              <w:bidi w:val="0"/>
              <w:spacing w:before="0" w:after="0"/>
              <w:ind w:left="0" w:right="0" w:hanging="0"/>
              <w:jc w:val="left"/>
              <w:rPr>
                <w:rFonts w:ascii="Arial;sans-serif" w:hAnsi="Arial;sans-serif"/>
                <w:b/>
                <w:sz w:val="24"/>
              </w:rPr>
            </w:pPr>
            <w:r>
              <w:rPr>
                <w:rFonts w:ascii="Arial;sans-serif" w:hAnsi="Arial;sans-serif"/>
                <w:b/>
                <w:sz w:val="24"/>
              </w:rPr>
              <w:t>Net loss per share</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(0.54</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(0.79</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(1.09</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c>
          <w:tcPr>
            <w:tcW w:w="1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4"/>
              </w:rPr>
            </w:pPr>
            <w:r>
              <w:rPr>
                <w:rFonts w:ascii="Arial;sans-serif" w:hAnsi="Arial;sans-serif"/>
                <w:b w:val="false"/>
                <w:sz w:val="24"/>
              </w:rPr>
              <w:t>(1.88</w:t>
            </w:r>
          </w:p>
        </w:tc>
        <w:tc>
          <w:tcPr>
            <w:tcW w:w="8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4"/>
              </w:rPr>
            </w:pPr>
            <w:r>
              <w:rPr>
                <w:rFonts w:ascii="Arial;sans-serif" w:hAnsi="Arial;sans-serif"/>
                <w:b w:val="false"/>
                <w:sz w:val="24"/>
              </w:rPr>
              <w:t>)</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Arial;sans-serif" w:hAnsi="Arial;sans-serif"/>
          <w:b/>
          <w:sz w:val="24"/>
        </w:rPr>
      </w:pPr>
      <w:r>
        <w:rPr>
          <w:rFonts w:ascii="Arial;sans-serif" w:hAnsi="Arial;sans-serif"/>
          <w:b/>
          <w:sz w:val="24"/>
        </w:rPr>
        <w:t>Investor Contacts:</w:t>
      </w:r>
    </w:p>
    <w:p>
      <w:pPr>
        <w:pStyle w:val="TextBody"/>
        <w:bidi w:val="0"/>
        <w:spacing w:before="0" w:after="0"/>
        <w:jc w:val="left"/>
        <w:rPr>
          <w:rFonts w:ascii="Arial;sans-serif" w:hAnsi="Arial;sans-serif"/>
          <w:b w:val="false"/>
          <w:sz w:val="24"/>
        </w:rPr>
      </w:pPr>
      <w:r>
        <w:rPr>
          <w:rFonts w:ascii="Arial;sans-serif" w:hAnsi="Arial;sans-serif"/>
          <w:b w:val="false"/>
          <w:sz w:val="24"/>
        </w:rPr>
        <w:t>Sylvia Wheeler</w:t>
      </w:r>
    </w:p>
    <w:p>
      <w:pPr>
        <w:pStyle w:val="TextBody"/>
        <w:bidi w:val="0"/>
        <w:spacing w:before="0" w:after="0"/>
        <w:jc w:val="left"/>
        <w:rPr>
          <w:rFonts w:ascii="Arial;sans-serif" w:hAnsi="Arial;sans-serif"/>
          <w:b w:val="false"/>
          <w:sz w:val="24"/>
        </w:rPr>
      </w:pPr>
      <w:r>
        <w:rPr>
          <w:rFonts w:ascii="Arial;sans-serif" w:hAnsi="Arial;sans-serif"/>
          <w:b w:val="false"/>
          <w:sz w:val="24"/>
        </w:rPr>
        <w:t>Wheelhouse Life Science Advisors</w:t>
      </w:r>
    </w:p>
    <w:p>
      <w:pPr>
        <w:pStyle w:val="TextBody"/>
        <w:bidi w:val="0"/>
        <w:spacing w:before="0" w:after="0"/>
        <w:jc w:val="left"/>
        <w:rPr>
          <w:rFonts w:ascii="Arial;sans-serif" w:hAnsi="Arial;sans-serif"/>
          <w:b w:val="false"/>
          <w:sz w:val="24"/>
        </w:rPr>
      </w:pPr>
      <w:r>
        <w:rPr>
          <w:rFonts w:ascii="Arial;sans-serif" w:hAnsi="Arial;sans-serif"/>
          <w:b w:val="false"/>
          <w:sz w:val="24"/>
        </w:rPr>
        <w:t>swheeler@wheelhouselsa.com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4"/>
        </w:rPr>
        <w:t>Aljanae Reynolds</w:t>
      </w:r>
      <w:r>
        <w:rPr>
          <w:rFonts w:ascii="Times New Roman" w:hAnsi="Times New Roman"/>
          <w:sz w:val="20"/>
        </w:rPr>
        <w:t xml:space="preserve"> </w:t>
      </w:r>
    </w:p>
    <w:p>
      <w:pPr>
        <w:pStyle w:val="TextBody"/>
        <w:bidi w:val="0"/>
        <w:spacing w:before="0" w:after="0"/>
        <w:jc w:val="left"/>
        <w:rPr>
          <w:rFonts w:ascii="Arial;sans-serif" w:hAnsi="Arial;sans-serif"/>
          <w:b w:val="false"/>
          <w:sz w:val="24"/>
        </w:rPr>
      </w:pPr>
      <w:r>
        <w:rPr>
          <w:rFonts w:ascii="Arial;sans-serif" w:hAnsi="Arial;sans-serif"/>
          <w:b w:val="false"/>
          <w:sz w:val="24"/>
        </w:rPr>
        <w:t>Wheelhouse Life Science Advisors</w:t>
      </w:r>
    </w:p>
    <w:p>
      <w:pPr>
        <w:pStyle w:val="TextBody"/>
        <w:bidi w:val="0"/>
        <w:spacing w:before="0" w:after="0"/>
        <w:jc w:val="left"/>
        <w:rPr>
          <w:rFonts w:ascii="Times New Roman" w:hAnsi="Times New Roman"/>
          <w:sz w:val="20"/>
        </w:rPr>
      </w:pPr>
      <w:r>
        <w:rPr>
          <w:rFonts w:ascii="Arial;sans-serif" w:hAnsi="Arial;sans-serif"/>
          <w:b w:val="false"/>
          <w:sz w:val="24"/>
        </w:rPr>
        <w:t>areynolds@wheelhouselsa.com</w:t>
      </w:r>
      <w:r>
        <w:rPr>
          <w:rFonts w:ascii="Times New Roman" w:hAnsi="Times New Roman"/>
          <w:sz w:val="20"/>
        </w:rPr>
        <w:t xml:space="preserve">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13"/>
              </w:rPr>
              <w:t>i</w:t>
            </w:r>
            <w:r>
              <w:rPr>
                <w:rFonts w:ascii="Times New Roman" w:hAnsi="Times New Roman"/>
                <w:sz w:val="20"/>
              </w:rPr>
              <w:t> </w:t>
            </w:r>
            <w:r>
              <w:rPr>
                <w:rFonts w:ascii="Calibri;sans-serif" w:hAnsi="Calibri;sans-serif"/>
                <w:b w:val="false"/>
                <w:sz w:val="20"/>
              </w:rPr>
              <w:t>If approved by the FDA</w:t>
            </w:r>
          </w:p>
        </w:tc>
      </w:tr>
      <w:tr>
        <w:trPr/>
        <w:tc>
          <w:tcPr>
            <w:tcW w:w="343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Calibri;sans-serif" w:hAnsi="Calibri;sans-serif"/>
                <w:b w:val="false"/>
                <w:sz w:val="13"/>
              </w:rPr>
              <w:t>ii</w:t>
            </w:r>
            <w:r>
              <w:rPr>
                <w:rFonts w:ascii="Times New Roman" w:hAnsi="Times New Roman"/>
                <w:sz w:val="20"/>
              </w:rPr>
              <w:t> </w:t>
            </w:r>
            <w:r>
              <w:rPr>
                <w:rFonts w:ascii="Calibri;sans-serif" w:hAnsi="Calibri;sans-serif"/>
                <w:b w:val="false"/>
                <w:sz w:val="20"/>
              </w:rPr>
              <w:t>As of data cutoff date, February 8, 2023</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2183</Words>
  <Characters>12438</Characters>
  <CharactersWithSpaces>14788</CharactersWithSpaces>
  <Paragraphs>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