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_page">
        <w:bookmarkStart w:id="0" w:name="tpst-20240331.htm"/>
        <w:bookmarkStart w:id="1" w:name="kstpst20240331"/>
        <w:bookmarkEnd w:id="0"/>
        <w:bookmarkEnd w:id="1"/>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pPr>
      <w:bookmarkStart w:id="2" w:name="section1"/>
      <w:bookmarkEnd w:id="2"/>
      <w:r>
        <w:rPr/>
        <w:t> </w:t>
      </w:r>
    </w:p>
    <w:p>
      <w:pPr>
        <w:pStyle w:val="TextBody"/>
        <w:pBdr>
          <w:top w:val="double" w:sz="6" w:space="1" w:color="000000"/>
        </w:pBdr>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53" w:after="30"/>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53" w:after="30"/>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w:t>
      </w:r>
      <w:r>
        <w:rPr>
          <w:rFonts w:ascii="Times New Roman" w:hAnsi="Times New Roman"/>
          <w:color w:val="000000"/>
          <w:sz w:val="20"/>
          <w:u w:val="single"/>
        </w:rPr>
        <w:t xml:space="preserve"> </w:t>
      </w:r>
      <w:r>
        <w:rPr>
          <w:rFonts w:ascii="Times New Roman" w:hAnsi="Times New Roman"/>
          <w:b/>
          <w:color w:val="000000"/>
          <w:sz w:val="18"/>
        </w:rPr>
        <w:t xml:space="preserve">to </w:t>
      </w:r>
      <w:r>
        <w:rPr>
          <w:rFonts w:ascii="Times New Roman" w:hAnsi="Times New Roman"/>
          <w:b/>
          <w:color w:val="FFFFFF"/>
          <w:sz w:val="18"/>
          <w:u w:val="single"/>
        </w:rPr>
        <w:t>.</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No. 001-35890</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Tempest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472" w:type="dxa"/>
        <w:jc w:val="left"/>
        <w:tblInd w:w="0" w:type="dxa"/>
        <w:tblLayout w:type="fixed"/>
        <w:tblCellMar>
          <w:top w:w="28" w:type="dxa"/>
          <w:left w:w="28" w:type="dxa"/>
          <w:bottom w:w="28" w:type="dxa"/>
          <w:right w:w="28" w:type="dxa"/>
        </w:tblCellMar>
      </w:tblPr>
      <w:tblGrid>
        <w:gridCol w:w="3016"/>
        <w:gridCol w:w="1456"/>
      </w:tblGrid>
      <w:tr>
        <w:trPr/>
        <w:tc>
          <w:tcPr>
            <w:tcW w:w="301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Delaware</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45-1472564</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(State or Other Jurisdiction of</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(I.R.S. Employer</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Incorporation or Organization)</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Identification No.)</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2000 Sierra Point Parkway, Suite 400</w:t>
            </w:r>
          </w:p>
        </w:tc>
        <w:tc>
          <w:tcPr>
            <w:tcW w:w="1456" w:type="dxa"/>
            <w:tcBorders/>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Brisbane, California</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8"/>
              </w:rPr>
            </w:pPr>
            <w:r>
              <w:rPr>
                <w:rFonts w:ascii="Times New Roman" w:hAnsi="Times New Roman"/>
                <w:b/>
                <w:color w:val="000000"/>
                <w:sz w:val="18"/>
              </w:rPr>
              <w:t>94005</w:t>
            </w:r>
          </w:p>
        </w:tc>
      </w:tr>
      <w:tr>
        <w:trPr/>
        <w:tc>
          <w:tcPr>
            <w:tcW w:w="301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(Address of Principal Executive Offices)</w:t>
            </w:r>
          </w:p>
        </w:tc>
        <w:tc>
          <w:tcPr>
            <w:tcW w:w="14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18"/>
              </w:rPr>
            </w:pPr>
            <w:r>
              <w:rPr>
                <w:rFonts w:ascii="Times New Roman" w:hAnsi="Times New Roman"/>
                <w:color w:val="000000"/>
                <w:sz w:val="18"/>
              </w:rPr>
              <w:t>(Zip Code)</w:t>
            </w:r>
          </w:p>
        </w:tc>
      </w:tr>
    </w:tbl>
    <w:p>
      <w:pPr>
        <w:pStyle w:val="TextBody"/>
        <w:bidi w:val="0"/>
        <w:spacing w:before="0" w:after="120"/>
        <w:jc w:val="center"/>
        <w:rPr>
          <w:rFonts w:ascii="Times New Roman" w:hAnsi="Times New Roman"/>
          <w:sz w:val="20"/>
        </w:rPr>
      </w:pPr>
      <w:r>
        <w:rPr>
          <w:rFonts w:ascii="Times New Roman" w:hAnsi="Times New Roman"/>
          <w:b/>
          <w:color w:val="000000"/>
          <w:sz w:val="18"/>
        </w:rPr>
        <w:t>Registrant’s telephone number, including area code: (415)</w:t>
      </w:r>
      <w:r>
        <w:rPr>
          <w:rFonts w:ascii="Times New Roman" w:hAnsi="Times New Roman"/>
          <w:color w:val="000000"/>
          <w:sz w:val="20"/>
        </w:rPr>
        <w:t xml:space="preserve"> </w:t>
      </w:r>
      <w:r>
        <w:rPr>
          <w:rFonts w:ascii="Times New Roman" w:hAnsi="Times New Roman"/>
          <w:b/>
          <w:color w:val="000000"/>
          <w:sz w:val="18"/>
        </w:rPr>
        <w:t>798-8589</w:t>
      </w:r>
    </w:p>
    <w:p>
      <w:pPr>
        <w:pStyle w:val="TextBody"/>
        <w:bidi w:val="0"/>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Act:</w:t>
      </w:r>
    </w:p>
    <w:tbl>
      <w:tblPr>
        <w:tblW w:w="8568" w:type="dxa"/>
        <w:jc w:val="left"/>
        <w:tblInd w:w="0" w:type="dxa"/>
        <w:tblLayout w:type="fixed"/>
        <w:tblCellMar>
          <w:top w:w="28" w:type="dxa"/>
          <w:left w:w="28" w:type="dxa"/>
          <w:bottom w:w="28" w:type="dxa"/>
          <w:right w:w="28" w:type="dxa"/>
        </w:tblCellMar>
      </w:tblPr>
      <w:tblGrid>
        <w:gridCol w:w="3916"/>
        <w:gridCol w:w="146"/>
        <w:gridCol w:w="496"/>
        <w:gridCol w:w="146"/>
        <w:gridCol w:w="2266"/>
        <w:gridCol w:w="146"/>
        <w:gridCol w:w="1261"/>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4062" w:type="dxa"/>
            <w:gridSpan w:val="2"/>
            <w:vMerge w:val="restart"/>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Title of each class</w:t>
            </w:r>
          </w:p>
        </w:tc>
        <w:tc>
          <w:tcPr>
            <w:tcW w:w="642" w:type="dxa"/>
            <w:gridSpan w:val="2"/>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Trading</w:t>
            </w:r>
          </w:p>
        </w:tc>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Name of each exchange</w:t>
            </w:r>
          </w:p>
        </w:tc>
        <w:tc>
          <w:tcPr>
            <w:tcW w:w="146" w:type="dxa"/>
            <w:tcBorders/>
            <w:vAlign w:val="center"/>
          </w:tcPr>
          <w:p>
            <w:pPr>
              <w:pStyle w:val="TableContents"/>
              <w:bidi w:val="0"/>
              <w:spacing w:before="0" w:after="283"/>
              <w:jc w:val="left"/>
              <w:rPr/>
            </w:pPr>
            <w:r>
              <w:rPr/>
              <w:t> </w:t>
            </w:r>
          </w:p>
        </w:tc>
        <w:tc>
          <w:tcPr>
            <w:tcW w:w="1261" w:type="dxa"/>
            <w:tcBorders/>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4062" w:type="dxa"/>
            <w:gridSpan w:val="2"/>
            <w:vMerge w:val="continue"/>
            <w:tcBorders/>
            <w:tcMar>
              <w:top w:w="0" w:type="dxa"/>
              <w:left w:w="0" w:type="dxa"/>
              <w:bottom w:w="0" w:type="dxa"/>
              <w:right w:w="0" w:type="dxa"/>
            </w:tcMar>
            <w:vAlign w:val="center"/>
          </w:tcPr>
          <w:p>
            <w:pPr>
              <w:pStyle w:val="Normal"/>
              <w:bidi w:val="0"/>
              <w:jc w:val="left"/>
              <w:rPr/>
            </w:pPr>
            <w:r>
              <w:rPr/>
            </w:r>
          </w:p>
        </w:tc>
        <w:tc>
          <w:tcPr>
            <w:tcW w:w="64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12" w:type="dxa"/>
            <w:gridSpan w:val="2"/>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Symbol(s)</w:t>
            </w:r>
          </w:p>
        </w:tc>
        <w:tc>
          <w:tcPr>
            <w:tcW w:w="126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4"/>
              </w:rPr>
            </w:pPr>
            <w:r>
              <w:rPr>
                <w:rFonts w:ascii="Times New Roman" w:hAnsi="Times New Roman"/>
                <w:b/>
                <w:color w:val="000000"/>
                <w:sz w:val="14"/>
              </w:rPr>
              <w:t>on which registered</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16" w:type="dxa"/>
            <w:tcBorders>
              <w:top w:val="single" w:sz="8" w:space="0" w:color="000000"/>
            </w:tcBorders>
            <w:tcMar>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Common Stock, $0.001 par value</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496" w:type="dxa"/>
            <w:tcBorders>
              <w:top w:val="single" w:sz="8" w:space="0" w:color="000000"/>
            </w:tcBorders>
            <w:tcMar>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TPST</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The Nasdaq Stock Market LLC</w:t>
            </w:r>
          </w:p>
        </w:tc>
        <w:tc>
          <w:tcPr>
            <w:tcW w:w="146" w:type="dxa"/>
            <w:tcBorders/>
            <w:vAlign w:val="center"/>
          </w:tcPr>
          <w:p>
            <w:pPr>
              <w:pStyle w:val="TableContents"/>
              <w:bidi w:val="0"/>
              <w:spacing w:before="0" w:after="283"/>
              <w:jc w:val="left"/>
              <w:rPr/>
            </w:pPr>
            <w:r>
              <w:rPr/>
              <w:t> </w:t>
            </w:r>
          </w:p>
        </w:tc>
        <w:tc>
          <w:tcPr>
            <w:tcW w:w="1452" w:type="dxa"/>
            <w:gridSpan w:val="2"/>
            <w:tcBorders/>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Series A Junior Participating Preferred Purchase Rights</w:t>
            </w:r>
          </w:p>
        </w:tc>
        <w:tc>
          <w:tcPr>
            <w:tcW w:w="146" w:type="dxa"/>
            <w:tcBorders/>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N/A</w:t>
            </w:r>
          </w:p>
        </w:tc>
        <w:tc>
          <w:tcPr>
            <w:tcW w:w="146" w:type="dxa"/>
            <w:tcBorders/>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The Nasdaq Stock Market LLC</w:t>
            </w:r>
          </w:p>
        </w:tc>
        <w:tc>
          <w:tcPr>
            <w:tcW w:w="146" w:type="dxa"/>
            <w:tcBorders/>
            <w:vAlign w:val="center"/>
          </w:tcPr>
          <w:p>
            <w:pPr>
              <w:pStyle w:val="TableContents"/>
              <w:bidi w:val="0"/>
              <w:spacing w:before="0" w:after="283"/>
              <w:jc w:val="left"/>
              <w:rPr/>
            </w:pPr>
            <w:r>
              <w:rPr/>
              <w:t> </w:t>
            </w:r>
          </w:p>
        </w:tc>
        <w:tc>
          <w:tcPr>
            <w:tcW w:w="1452" w:type="dxa"/>
            <w:gridSpan w:val="2"/>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201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w:t>
      </w:r>
    </w:p>
    <w:p>
      <w:pPr>
        <w:pStyle w:val="TextBody"/>
        <w:pBdr>
          <w:bottom w:val="double" w:sz="6" w:space="1" w:color="000000"/>
        </w:pBdr>
        <w:bidi w:val="0"/>
        <w:jc w:val="left"/>
        <w:rPr>
          <w:rFonts w:ascii="Times New Roman" w:hAnsi="Times New Roman"/>
          <w:color w:val="000000"/>
          <w:sz w:val="16"/>
        </w:rPr>
      </w:pPr>
      <w:r>
        <w:rPr>
          <w:rFonts w:ascii="Times New Roman" w:hAnsi="Times New Roman"/>
          <w:color w:val="000000"/>
          <w:sz w:val="16"/>
        </w:rPr>
        <w:t>The number of shares of Registrant’s Common Stock, $0.001 par value per share, outstanding as of May 6, 2024 was 22,217,265.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index_to_form_10q"/>
      <w:bookmarkEnd w:id="3"/>
      <w:r>
        <w:rPr>
          <w:rFonts w:ascii="Times New Roman" w:hAnsi="Times New Roman"/>
          <w:b/>
          <w:color w:val="000000"/>
          <w:sz w:val="18"/>
        </w:rPr>
        <w:t>INDEX T</w:t>
      </w:r>
      <w:bookmarkStart w:id="4" w:name="toc_page"/>
      <w:bookmarkEnd w:id="4"/>
      <w:r>
        <w:rPr>
          <w:rFonts w:ascii="Times New Roman" w:hAnsi="Times New Roman"/>
          <w:b/>
          <w:color w:val="000000"/>
          <w:sz w:val="18"/>
        </w:rPr>
        <w:t>O 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76"/>
        <w:gridCol w:w="8718"/>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871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r>
              <w:rPr/>
              <w:t> </w:t>
            </w:r>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b/>
                <w:color w:val="000000"/>
                <w:sz w:val="18"/>
                <w:u w:val="single"/>
              </w:rPr>
            </w:pPr>
            <w:r>
              <w:rPr>
                <w:rFonts w:ascii="Times New Roman" w:hAnsi="Times New Roman"/>
                <w:b/>
                <w:color w:val="000000"/>
                <w:sz w:val="18"/>
                <w:u w:val="single"/>
              </w:rPr>
              <w:t>Page</w:t>
            </w:r>
          </w:p>
        </w:tc>
      </w:tr>
      <w:tr>
        <w:trPr/>
        <w:tc>
          <w:tcPr>
            <w:tcW w:w="9694" w:type="dxa"/>
            <w:gridSpan w:val="2"/>
            <w:tcBorders/>
            <w:tcMar>
              <w:top w:w="0" w:type="dxa"/>
              <w:left w:w="0" w:type="dxa"/>
              <w:bottom w:w="0" w:type="dxa"/>
              <w:right w:w="0" w:type="dxa"/>
            </w:tcMar>
            <w:vAlign w:val="center"/>
          </w:tcPr>
          <w:p>
            <w:pPr>
              <w:pStyle w:val="TableContents"/>
              <w:bidi w:val="0"/>
              <w:spacing w:before="30" w:after="30"/>
              <w:jc w:val="left"/>
              <w:rPr/>
            </w:pPr>
            <w:hyperlink w:anchor="special_note_regarding_forward_looking">
              <w:r>
                <w:rPr>
                  <w:rStyle w:val="InternetLink"/>
                  <w:rFonts w:ascii="Times New Roman" w:hAnsi="Times New Roman"/>
                  <w:color w:val="0000FF"/>
                  <w:sz w:val="20"/>
                  <w:u w:val="single"/>
                </w:rPr>
                <w:t>Special Note Regarding Forward-Looking Statements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3</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center"/>
              <w:rPr/>
            </w:pPr>
            <w:hyperlink w:anchor="part_i_financial_information">
              <w:r>
                <w:rPr>
                  <w:rStyle w:val="InternetLink"/>
                  <w:rFonts w:ascii="Times New Roman" w:hAnsi="Times New Roman"/>
                  <w:color w:val="0000FF"/>
                  <w:sz w:val="20"/>
                  <w:u w:val="single"/>
                </w:rPr>
                <w:t>PART I — FINANCIAL INFORMATION</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5</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1.</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5</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condensed_consolidated_balance_sheets">
              <w:r>
                <w:rPr>
                  <w:rStyle w:val="InternetLink"/>
                  <w:rFonts w:ascii="Times New Roman" w:hAnsi="Times New Roman"/>
                  <w:color w:val="0000FF"/>
                  <w:sz w:val="20"/>
                  <w:u w:val="single"/>
                </w:rPr>
                <w:t>Condensed Consolidated Balance Sheets as of March 31, 2024 and December 31, 2023</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5</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statements_operations_and_comp_loss">
              <w:r>
                <w:rPr>
                  <w:rStyle w:val="InternetLink"/>
                  <w:rFonts w:ascii="Times New Roman" w:hAnsi="Times New Roman"/>
                  <w:color w:val="0000FF"/>
                  <w:sz w:val="20"/>
                  <w:u w:val="single"/>
                </w:rPr>
                <w:t>Condensed Consolidated Statements of Operations for the Three Months Ended March 31, 2024 and 2023</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6</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statements_stockholders_equity">
              <w:r>
                <w:rPr>
                  <w:rStyle w:val="InternetLink"/>
                  <w:rFonts w:ascii="Times New Roman" w:hAnsi="Times New Roman"/>
                  <w:color w:val="0000FF"/>
                  <w:sz w:val="20"/>
                  <w:u w:val="single"/>
                </w:rPr>
                <w:t>Condensed Consolidated Statements of Stockholders’ Equity for the Three Months Ended March 31, 2024 and 2023</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7</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statements_cash_flows">
              <w:r>
                <w:rPr>
                  <w:rStyle w:val="InternetLink"/>
                  <w:rFonts w:ascii="Times New Roman" w:hAnsi="Times New Roman"/>
                  <w:color w:val="0000FF"/>
                  <w:sz w:val="20"/>
                  <w:u w:val="single"/>
                </w:rPr>
                <w:t>Condensed Consolidated Statements of Cash Flows for the Three Months Ended March 31, 2024 and 2023</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8</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9</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2.</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2_managements_discussion_analysis">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17</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3.</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24</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4.</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24</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left"/>
              <w:rPr/>
            </w:pPr>
            <w:r>
              <w:rPr/>
              <w:t> </w:t>
            </w:r>
          </w:p>
        </w:tc>
        <w:tc>
          <w:tcPr>
            <w:tcW w:w="511" w:type="dxa"/>
            <w:tcBorders/>
            <w:tcMar>
              <w:top w:w="0" w:type="dxa"/>
              <w:left w:w="0" w:type="dxa"/>
              <w:bottom w:w="0" w:type="dxa"/>
              <w:right w:w="0" w:type="dxa"/>
            </w:tcMar>
            <w:vAlign w:val="center"/>
          </w:tcPr>
          <w:p>
            <w:pPr>
              <w:pStyle w:val="TableContents"/>
              <w:bidi w:val="0"/>
              <w:spacing w:before="30" w:after="30"/>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r>
              <w:rPr/>
              <w:t> </w:t>
            </w:r>
          </w:p>
        </w:tc>
        <w:tc>
          <w:tcPr>
            <w:tcW w:w="8718" w:type="dxa"/>
            <w:tcBorders/>
            <w:tcMar>
              <w:top w:w="0" w:type="dxa"/>
              <w:left w:w="0" w:type="dxa"/>
              <w:bottom w:w="0" w:type="dxa"/>
              <w:right w:w="0" w:type="dxa"/>
            </w:tcMar>
            <w:vAlign w:val="center"/>
          </w:tcPr>
          <w:p>
            <w:pPr>
              <w:pStyle w:val="TableContents"/>
              <w:bidi w:val="0"/>
              <w:spacing w:before="30" w:after="30"/>
              <w:jc w:val="center"/>
              <w:rPr/>
            </w:pPr>
            <w:hyperlink w:anchor="part_ii_other_information">
              <w:r>
                <w:rPr>
                  <w:rStyle w:val="InternetLink"/>
                  <w:rFonts w:ascii="Times New Roman" w:hAnsi="Times New Roman"/>
                  <w:color w:val="0000FF"/>
                  <w:sz w:val="20"/>
                  <w:u w:val="single"/>
                </w:rPr>
                <w:t>PART II — OTHER INFORMATION</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26</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1.</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26</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1A.</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1a_risk_factors">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26</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2.</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77</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3.</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77</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4.</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77</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5.</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77</w:t>
            </w:r>
          </w:p>
        </w:tc>
      </w:tr>
      <w:tr>
        <w:trPr/>
        <w:tc>
          <w:tcPr>
            <w:tcW w:w="976"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20"/>
              </w:rPr>
            </w:pPr>
            <w:r>
              <w:rPr>
                <w:rFonts w:ascii="Times New Roman" w:hAnsi="Times New Roman"/>
                <w:color w:val="000000"/>
                <w:sz w:val="20"/>
              </w:rPr>
              <w:t>Item 6.</w:t>
            </w:r>
          </w:p>
        </w:tc>
        <w:tc>
          <w:tcPr>
            <w:tcW w:w="8718" w:type="dxa"/>
            <w:tcBorders/>
            <w:tcMar>
              <w:top w:w="0" w:type="dxa"/>
              <w:left w:w="0" w:type="dxa"/>
              <w:bottom w:w="0" w:type="dxa"/>
              <w:right w:w="0" w:type="dxa"/>
            </w:tcMar>
            <w:vAlign w:val="center"/>
          </w:tcPr>
          <w:p>
            <w:pPr>
              <w:pStyle w:val="TableContents"/>
              <w:bidi w:val="0"/>
              <w:spacing w:before="30" w:after="30"/>
              <w:jc w:val="left"/>
              <w:rPr/>
            </w:pPr>
            <w:hyperlink w:anchor="item_6_exhibits">
              <w:r>
                <w:rPr>
                  <w:rStyle w:val="InternetLink"/>
                  <w:rFonts w:ascii="Times New Roman" w:hAnsi="Times New Roman"/>
                  <w:color w:val="0000FF"/>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FF"/>
                <w:sz w:val="18"/>
              </w:rPr>
            </w:pPr>
            <w:r>
              <w:rPr>
                <w:rFonts w:ascii="Times New Roman" w:hAnsi="Times New Roman"/>
                <w:color w:val="0000FF"/>
                <w:sz w:val="18"/>
              </w:rPr>
              <w:t>78</w:t>
            </w:r>
          </w:p>
        </w:tc>
      </w:tr>
      <w:tr>
        <w:trPr/>
        <w:tc>
          <w:tcPr>
            <w:tcW w:w="976" w:type="dxa"/>
            <w:tcBorders/>
            <w:tcMar>
              <w:top w:w="0" w:type="dxa"/>
              <w:left w:w="0" w:type="dxa"/>
              <w:bottom w:w="0" w:type="dxa"/>
              <w:right w:w="0" w:type="dxa"/>
            </w:tcMar>
            <w:vAlign w:val="center"/>
          </w:tcPr>
          <w:p>
            <w:pPr>
              <w:pStyle w:val="TableContents"/>
              <w:bidi w:val="0"/>
              <w:spacing w:before="30" w:after="30"/>
              <w:jc w:val="left"/>
              <w:rPr/>
            </w:pPr>
            <w:hyperlink w:anchor="signatures">
              <w:r>
                <w:rPr>
                  <w:rStyle w:val="InternetLink"/>
                  <w:rFonts w:ascii="Times New Roman" w:hAnsi="Times New Roman"/>
                  <w:color w:val="0000FF"/>
                  <w:sz w:val="20"/>
                  <w:u w:val="single"/>
                </w:rPr>
                <w:t>Signatures</w:t>
              </w:r>
            </w:hyperlink>
          </w:p>
        </w:tc>
        <w:tc>
          <w:tcPr>
            <w:tcW w:w="8718" w:type="dxa"/>
            <w:tcBorders/>
            <w:tcMar>
              <w:top w:w="0" w:type="dxa"/>
              <w:left w:w="0" w:type="dxa"/>
              <w:bottom w:w="0" w:type="dxa"/>
              <w:right w:w="0" w:type="dxa"/>
            </w:tcMar>
            <w:vAlign w:val="center"/>
          </w:tcPr>
          <w:p>
            <w:pPr>
              <w:pStyle w:val="TableContents"/>
              <w:bidi w:val="0"/>
              <w:spacing w:before="30" w:after="30"/>
              <w:jc w:val="left"/>
              <w:rPr/>
            </w:pPr>
            <w:r>
              <w:rPr/>
              <w:t> </w:t>
            </w:r>
          </w:p>
        </w:tc>
        <w:tc>
          <w:tcPr>
            <w:tcW w:w="511" w:type="dxa"/>
            <w:tcBorders/>
            <w:tcMar>
              <w:top w:w="0" w:type="dxa"/>
              <w:left w:w="0" w:type="dxa"/>
              <w:bottom w:w="0" w:type="dxa"/>
              <w:right w:w="0" w:type="dxa"/>
            </w:tcMar>
            <w:vAlign w:val="center"/>
          </w:tcPr>
          <w:p>
            <w:pPr>
              <w:pStyle w:val="TableContents"/>
              <w:bidi w:val="0"/>
              <w:spacing w:before="30" w:after="30"/>
              <w:jc w:val="center"/>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5" w:name="special_note_regarding_forward_looking"/>
      <w:bookmarkEnd w:id="5"/>
      <w:r>
        <w:rPr>
          <w:rFonts w:ascii="Times New Roman" w:hAnsi="Times New Roman"/>
          <w:b/>
          <w:color w:val="000000"/>
          <w:sz w:val="20"/>
        </w:rPr>
        <w:t>SPECIAL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Forward-looking statements contained in this Quarterly Report on Form 10-Q include, but are not limited to, statements about: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expected future growth and our ability to manage such growth;</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develop, obtain regulatory approval for and commercialize TPST-1495 and TPST-1120 and any future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development, regulatory approval, efficacy and commercialization of competing products;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establish sales and marketing capabilities or enter into agreements with third parties to market and sell our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retain regulatory approval for our product candidates or future product candidates in the United States and in any foreign countries in which we make seek to do business;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retain and hire our board of directors, senior management, or operational personnel;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develop and maintain our corporate infrastructure, including our ability to design and maintain an effective system of internal controls;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remain in compliance with our obligations under our term loan with Oxford Finance LLC, or to obtain a waiver from Oxford for any failure to comply with the covenants contained in such term loan agreement;</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general economic, political, and market conditions and overall fluctuations in the financial markets in the United States and abroad, including as a result of bank failures, public health crises or geopolitical tensions;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expectation regarding the period during which we will qualify as a smaller reporting company under the federal securities laws;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the context suggests otherwise, references in this Quarterly Report on Form 10-Q to “Tempest,” “the Company,” “we,” “us,” and “our” refer to Tempest Therapeutics, Inc. and, where appropriate, its subsidiaries.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6" w:name="part_i_financial_information"/>
      <w:bookmarkEnd w:id="6"/>
      <w:r>
        <w:rPr>
          <w:rFonts w:ascii="Times New Roman" w:hAnsi="Times New Roman"/>
          <w:b/>
          <w:color w:val="000000"/>
          <w:sz w:val="20"/>
        </w:rPr>
        <w:t>PART I – FINANCIAL INFORMATION</w:t>
      </w:r>
    </w:p>
    <w:p>
      <w:pPr>
        <w:pStyle w:val="TextBody"/>
        <w:bidi w:val="0"/>
        <w:jc w:val="center"/>
        <w:rPr>
          <w:rFonts w:ascii="Times New Roman" w:hAnsi="Times New Roman"/>
          <w:b/>
          <w:color w:val="000000"/>
          <w:sz w:val="20"/>
        </w:rPr>
      </w:pPr>
      <w:bookmarkStart w:id="7" w:name="item_1_financial_statements"/>
      <w:bookmarkEnd w:id="7"/>
      <w:r>
        <w:rPr>
          <w:rFonts w:ascii="Times New Roman" w:hAnsi="Times New Roman"/>
          <w:b/>
          <w:color w:val="000000"/>
          <w:sz w:val="20"/>
        </w:rPr>
        <w:t>Item 1 – Financial Statements</w:t>
      </w:r>
    </w:p>
    <w:p>
      <w:pPr>
        <w:pStyle w:val="TextBody"/>
        <w:bidi w:val="0"/>
        <w:jc w:val="center"/>
        <w:rPr>
          <w:rFonts w:ascii="Times New Roman" w:hAnsi="Times New Roman"/>
          <w:b/>
          <w:color w:val="000000"/>
          <w:sz w:val="18"/>
        </w:rPr>
      </w:pPr>
      <w:bookmarkStart w:id="8" w:name="condensed_consolidated_balance_sheets"/>
      <w:bookmarkEnd w:id="8"/>
      <w:r>
        <w:rPr>
          <w:rFonts w:ascii="Times New Roman" w:hAnsi="Times New Roman"/>
          <w:b/>
          <w:color w:val="000000"/>
          <w:sz w:val="18"/>
        </w:rPr>
        <w:t>TEMPEST THERAPEUTICS, INC.</w:t>
      </w:r>
    </w:p>
    <w:p>
      <w:pPr>
        <w:pStyle w:val="TextBody"/>
        <w:bidi w:val="0"/>
        <w:jc w:val="center"/>
        <w:rPr>
          <w:rFonts w:ascii="Times New Roman" w:hAnsi="Times New Roman"/>
          <w:sz w:val="20"/>
        </w:rPr>
      </w:pPr>
      <w:r>
        <w:rPr>
          <w:rFonts w:ascii="Times New Roman" w:hAnsi="Times New Roman"/>
          <w:b/>
          <w:color w:val="000000"/>
          <w:sz w:val="18"/>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88"/>
        <w:gridCol w:w="446"/>
        <w:gridCol w:w="227"/>
        <w:gridCol w:w="909"/>
        <w:gridCol w:w="166"/>
        <w:gridCol w:w="146"/>
        <w:gridCol w:w="246"/>
        <w:gridCol w:w="982"/>
        <w:gridCol w:w="595"/>
      </w:tblGrid>
      <w:tr>
        <w:trPr/>
        <w:tc>
          <w:tcPr>
            <w:tcW w:w="64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6488"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r>
      <w:tr>
        <w:trPr/>
        <w:tc>
          <w:tcPr>
            <w:tcW w:w="6488"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r>
      <w:tr>
        <w:trPr/>
        <w:tc>
          <w:tcPr>
            <w:tcW w:w="6488"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2024</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46" w:type="dxa"/>
            <w:tcBorders/>
            <w:shd w:fill="CFF0FC" w:val="clear"/>
            <w:vAlign w:val="center"/>
          </w:tcPr>
          <w:p>
            <w:pPr>
              <w:pStyle w:val="TableContents"/>
              <w:bidi w:val="0"/>
              <w:spacing w:before="0" w:after="283"/>
              <w:jc w:val="left"/>
              <w:rPr/>
            </w:pPr>
            <w:r>
              <w:rPr/>
              <w:t> </w:t>
            </w:r>
          </w:p>
        </w:tc>
        <w:tc>
          <w:tcPr>
            <w:tcW w:w="113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8" w:type="dxa"/>
            <w:gridSpan w:val="2"/>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left"/>
              <w:rPr/>
            </w:pPr>
            <w:r>
              <w:rPr/>
              <w:t> </w:t>
            </w:r>
          </w:p>
        </w:tc>
      </w:tr>
      <w:tr>
        <w:trPr/>
        <w:tc>
          <w:tcPr>
            <w:tcW w:w="6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446"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64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64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8"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40,363</w:t>
            </w:r>
          </w:p>
        </w:tc>
        <w:tc>
          <w:tcPr>
            <w:tcW w:w="595" w:type="dxa"/>
            <w:tcBorders/>
            <w:shd w:fill="CFF0FC" w:val="clear"/>
            <w:vAlign w:val="center"/>
          </w:tcPr>
          <w:p>
            <w:pPr>
              <w:pStyle w:val="TableContents"/>
              <w:bidi w:val="0"/>
              <w:spacing w:before="0" w:after="283"/>
              <w:jc w:val="left"/>
              <w:rPr/>
            </w:pPr>
            <w:r>
              <w:rPr/>
              <w:t> </w:t>
            </w:r>
          </w:p>
        </w:tc>
      </w:tr>
      <w:tr>
        <w:trPr/>
        <w:tc>
          <w:tcPr>
            <w:tcW w:w="6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 net</w:t>
            </w:r>
          </w:p>
        </w:tc>
        <w:tc>
          <w:tcPr>
            <w:tcW w:w="4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595" w:type="dxa"/>
            <w:tcBorders/>
            <w:shd w:fill="FFFFFF" w:val="clear"/>
            <w:vAlign w:val="center"/>
          </w:tcPr>
          <w:p>
            <w:pPr>
              <w:pStyle w:val="TableContents"/>
              <w:bidi w:val="0"/>
              <w:spacing w:before="0" w:after="283"/>
              <w:jc w:val="left"/>
              <w:rPr/>
            </w:pPr>
            <w:r>
              <w:rPr/>
              <w:t> </w:t>
            </w:r>
          </w:p>
        </w:tc>
      </w:tr>
      <w:tr>
        <w:trPr/>
        <w:tc>
          <w:tcPr>
            <w:tcW w:w="6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4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9,952</w:t>
            </w:r>
          </w:p>
        </w:tc>
        <w:tc>
          <w:tcPr>
            <w:tcW w:w="595" w:type="dxa"/>
            <w:tcBorders/>
            <w:shd w:fill="CFF0FC" w:val="clear"/>
            <w:vAlign w:val="center"/>
          </w:tcPr>
          <w:p>
            <w:pPr>
              <w:pStyle w:val="TableContents"/>
              <w:bidi w:val="0"/>
              <w:spacing w:before="0" w:after="283"/>
              <w:jc w:val="left"/>
              <w:rPr/>
            </w:pPr>
            <w:r>
              <w:rPr/>
              <w:t> </w:t>
            </w:r>
          </w:p>
        </w:tc>
      </w:tr>
      <w:tr>
        <w:trPr/>
        <w:tc>
          <w:tcPr>
            <w:tcW w:w="6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4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4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51,603</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446"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r>
      <w:tr>
        <w:trPr/>
        <w:tc>
          <w:tcPr>
            <w:tcW w:w="6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446" w:type="dxa"/>
            <w:tcBorders/>
            <w:shd w:fill="CFF0FC" w:val="clear"/>
            <w:vAlign w:val="center"/>
          </w:tcPr>
          <w:p>
            <w:pPr>
              <w:pStyle w:val="TableContents"/>
              <w:bidi w:val="0"/>
              <w:spacing w:before="0" w:after="283"/>
              <w:jc w:val="left"/>
              <w:rPr/>
            </w:pPr>
            <w:r>
              <w:rPr/>
              <w:t> </w:t>
            </w:r>
          </w:p>
        </w:tc>
        <w:tc>
          <w:tcPr>
            <w:tcW w:w="113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8" w:type="dxa"/>
            <w:gridSpan w:val="2"/>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64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64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64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loan payable (net of discount and issuance costs of $139 and $112, respectively)</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64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operating lease liabilities</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64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compensation</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64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payable</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88"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446" w:type="dxa"/>
            <w:tcBorders/>
            <w:shd w:fill="FFFFFF" w:val="clear"/>
            <w:vAlign w:val="center"/>
          </w:tcPr>
          <w:p>
            <w:pPr>
              <w:pStyle w:val="TableContents"/>
              <w:bidi w:val="0"/>
              <w:spacing w:before="0" w:after="283"/>
              <w:ind w:left="300" w:right="0" w:firstLine="300"/>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w:t>
            </w:r>
          </w:p>
        </w:tc>
        <w:tc>
          <w:tcPr>
            <w:tcW w:w="595" w:type="dxa"/>
            <w:tcBorders/>
            <w:shd w:fill="FFFFFF" w:val="clear"/>
            <w:vAlign w:val="center"/>
          </w:tcPr>
          <w:p>
            <w:pPr>
              <w:pStyle w:val="TableContents"/>
              <w:bidi w:val="0"/>
              <w:spacing w:before="0" w:after="283"/>
              <w:jc w:val="left"/>
              <w:rPr/>
            </w:pPr>
            <w:r>
              <w:rPr/>
              <w:t> </w:t>
            </w:r>
          </w:p>
        </w:tc>
      </w:tr>
      <w:tr>
        <w:trPr/>
        <w:tc>
          <w:tcPr>
            <w:tcW w:w="6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payable (net of discount and issuance costs of $89 and $164, respectively)</w:t>
            </w:r>
          </w:p>
        </w:tc>
        <w:tc>
          <w:tcPr>
            <w:tcW w:w="4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w:t>
            </w:r>
          </w:p>
        </w:tc>
        <w:tc>
          <w:tcPr>
            <w:tcW w:w="595" w:type="dxa"/>
            <w:tcBorders/>
            <w:shd w:fill="CFF0FC" w:val="clear"/>
            <w:vAlign w:val="center"/>
          </w:tcPr>
          <w:p>
            <w:pPr>
              <w:pStyle w:val="TableContents"/>
              <w:bidi w:val="0"/>
              <w:spacing w:before="0" w:after="283"/>
              <w:jc w:val="left"/>
              <w:rPr/>
            </w:pPr>
            <w:r>
              <w:rPr/>
              <w:t> </w:t>
            </w:r>
          </w:p>
        </w:tc>
      </w:tr>
      <w:tr>
        <w:trPr/>
        <w:tc>
          <w:tcPr>
            <w:tcW w:w="6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4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liabilities</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24,835</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446" w:type="dxa"/>
            <w:tcBorders/>
            <w:shd w:fill="FFFFFF" w:val="clear"/>
            <w:vAlign w:val="center"/>
          </w:tcPr>
          <w:p>
            <w:pPr>
              <w:pStyle w:val="TableContents"/>
              <w:bidi w:val="0"/>
              <w:spacing w:before="0" w:after="283"/>
              <w:jc w:val="left"/>
              <w:rPr/>
            </w:pPr>
            <w:r>
              <w:rPr/>
              <w:t> </w:t>
            </w:r>
          </w:p>
        </w:tc>
        <w:tc>
          <w:tcPr>
            <w:tcW w:w="113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r>
      <w:tr>
        <w:trPr/>
        <w:tc>
          <w:tcPr>
            <w:tcW w:w="6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446" w:type="dxa"/>
            <w:tcBorders/>
            <w:shd w:fill="CFF0FC" w:val="clear"/>
            <w:vAlign w:val="center"/>
          </w:tcPr>
          <w:p>
            <w:pPr>
              <w:pStyle w:val="TableContents"/>
              <w:bidi w:val="0"/>
              <w:spacing w:before="0" w:after="283"/>
              <w:jc w:val="left"/>
              <w:rPr/>
            </w:pPr>
            <w:r>
              <w:rPr/>
              <w:t> </w:t>
            </w:r>
          </w:p>
        </w:tc>
        <w:tc>
          <w:tcPr>
            <w:tcW w:w="113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8" w:type="dxa"/>
            <w:gridSpan w:val="2"/>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64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$0.001 par value; 100,000,000 shares authorized; 22,217,265 and 22,045,255 shares issued and outstanding at March 31, 2024 and December 31, 2023, respectively</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64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192,009</w:t>
            </w:r>
          </w:p>
        </w:tc>
        <w:tc>
          <w:tcPr>
            <w:tcW w:w="595" w:type="dxa"/>
            <w:tcBorders/>
            <w:shd w:fill="CFF0FC" w:val="clear"/>
            <w:vAlign w:val="center"/>
          </w:tcPr>
          <w:p>
            <w:pPr>
              <w:pStyle w:val="TableContents"/>
              <w:bidi w:val="0"/>
              <w:spacing w:before="0" w:after="283"/>
              <w:ind w:left="0" w:right="0" w:firstLine="200"/>
              <w:jc w:val="left"/>
              <w:rPr/>
            </w:pPr>
            <w:r>
              <w:rPr/>
              <w:t> </w:t>
            </w:r>
          </w:p>
        </w:tc>
      </w:tr>
      <w:tr>
        <w:trPr/>
        <w:tc>
          <w:tcPr>
            <w:tcW w:w="64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(165,263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stockholders’ equity</w:t>
            </w:r>
          </w:p>
        </w:tc>
        <w:tc>
          <w:tcPr>
            <w:tcW w:w="446" w:type="dxa"/>
            <w:tcBorders/>
            <w:shd w:fill="CFF0FC" w:val="clear"/>
            <w:vAlign w:val="center"/>
          </w:tcPr>
          <w:p>
            <w:pPr>
              <w:pStyle w:val="TableContents"/>
              <w:bidi w:val="0"/>
              <w:spacing w:before="0" w:after="283"/>
              <w:ind w:left="100" w:right="0" w:firstLine="100"/>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26,768</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4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51,603</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18"/>
        </w:rPr>
      </w:pPr>
      <w:bookmarkStart w:id="9" w:name="statements_operations_and_comp_loss"/>
      <w:bookmarkEnd w:id="9"/>
      <w:r>
        <w:rPr>
          <w:rFonts w:ascii="Times New Roman" w:hAnsi="Times New Roman"/>
          <w:b/>
          <w:color w:val="000000"/>
          <w:sz w:val="18"/>
        </w:rPr>
        <w:t>TEMPEST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Operations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62"/>
        <w:gridCol w:w="146"/>
        <w:gridCol w:w="211"/>
        <w:gridCol w:w="1036"/>
        <w:gridCol w:w="166"/>
        <w:gridCol w:w="146"/>
        <w:gridCol w:w="211"/>
        <w:gridCol w:w="1036"/>
        <w:gridCol w:w="491"/>
      </w:tblGrid>
      <w:tr>
        <w:trPr/>
        <w:tc>
          <w:tcPr>
            <w:tcW w:w="6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7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676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676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6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w:t>
            </w:r>
          </w:p>
        </w:tc>
        <w:tc>
          <w:tcPr>
            <w:tcW w:w="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676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4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76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62"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67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RSUs and pre-funded warrants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4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RSUs and pre-funded warrants outstanding,</w:t>
              <w:br/>
              <w:t>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22,234,225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13,763,173</w:t>
            </w:r>
          </w:p>
        </w:tc>
        <w:tc>
          <w:tcPr>
            <w:tcW w:w="49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18"/>
        </w:rPr>
      </w:pPr>
      <w:bookmarkStart w:id="10" w:name="statements_stockholders_equity"/>
      <w:bookmarkEnd w:id="10"/>
      <w:r>
        <w:rPr>
          <w:rFonts w:ascii="Times New Roman" w:hAnsi="Times New Roman"/>
          <w:b/>
          <w:color w:val="000000"/>
          <w:sz w:val="18"/>
        </w:rPr>
        <w:t>TEMPEST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Stockholders’ Equity</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amounts)</w:t>
      </w:r>
    </w:p>
    <w:p>
      <w:pPr>
        <w:pStyle w:val="TextBody"/>
        <w:bidi w:val="0"/>
        <w:jc w:val="center"/>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Three Months Ended March 31,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40"/>
        <w:gridCol w:w="146"/>
        <w:gridCol w:w="146"/>
        <w:gridCol w:w="916"/>
        <w:gridCol w:w="146"/>
        <w:gridCol w:w="146"/>
        <w:gridCol w:w="271"/>
        <w:gridCol w:w="480"/>
        <w:gridCol w:w="146"/>
        <w:gridCol w:w="146"/>
        <w:gridCol w:w="208"/>
        <w:gridCol w:w="741"/>
        <w:gridCol w:w="146"/>
        <w:gridCol w:w="146"/>
        <w:gridCol w:w="233"/>
        <w:gridCol w:w="893"/>
        <w:gridCol w:w="166"/>
        <w:gridCol w:w="146"/>
        <w:gridCol w:w="277"/>
        <w:gridCol w:w="852"/>
        <w:gridCol w:w="214"/>
      </w:tblGrid>
      <w:tr>
        <w:trPr/>
        <w:tc>
          <w:tcPr>
            <w:tcW w:w="3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6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9"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Additional </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9"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4" w:type="dxa"/>
            <w:tcBorders/>
            <w:shd w:fill="FFFFFF" w:val="clear"/>
            <w:vAlign w:val="center"/>
          </w:tcPr>
          <w:p>
            <w:pPr>
              <w:pStyle w:val="TableContents"/>
              <w:bidi w:val="0"/>
              <w:spacing w:before="0" w:after="283"/>
              <w:jc w:val="center"/>
              <w:rPr/>
            </w:pPr>
            <w:r>
              <w:rPr/>
              <w:t> </w:t>
            </w:r>
          </w:p>
        </w:tc>
      </w:tr>
      <w:tr>
        <w:trPr/>
        <w:tc>
          <w:tcPr>
            <w:tcW w:w="364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22,045,255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192,009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(165,263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26,768</w:t>
            </w:r>
          </w:p>
        </w:tc>
        <w:tc>
          <w:tcPr>
            <w:tcW w:w="214" w:type="dxa"/>
            <w:tcBorders/>
            <w:shd w:fill="CFF0FC" w:val="clear"/>
            <w:vAlign w:val="center"/>
          </w:tcPr>
          <w:p>
            <w:pPr>
              <w:pStyle w:val="TableContents"/>
              <w:bidi w:val="0"/>
              <w:spacing w:before="0" w:after="283"/>
              <w:jc w:val="left"/>
              <w:rPr/>
            </w:pPr>
            <w:r>
              <w:rPr/>
              <w:t> </w:t>
            </w:r>
          </w:p>
        </w:tc>
      </w:tr>
      <w:tr>
        <w:trPr/>
        <w:tc>
          <w:tcPr>
            <w:tcW w:w="36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issuance costs of $8)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14" w:type="dxa"/>
            <w:tcBorders/>
            <w:shd w:fill="FFFFFF" w:val="clear"/>
            <w:vAlign w:val="center"/>
          </w:tcPr>
          <w:p>
            <w:pPr>
              <w:pStyle w:val="TableContents"/>
              <w:bidi w:val="0"/>
              <w:spacing w:before="0" w:after="283"/>
              <w:jc w:val="left"/>
              <w:rPr/>
            </w:pPr>
            <w:r>
              <w:rPr/>
              <w:t> </w:t>
            </w:r>
          </w:p>
        </w:tc>
      </w:tr>
      <w:tr>
        <w:trPr/>
        <w:tc>
          <w:tcPr>
            <w:tcW w:w="36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w:t>
            </w:r>
          </w:p>
        </w:tc>
        <w:tc>
          <w:tcPr>
            <w:tcW w:w="214" w:type="dxa"/>
            <w:tcBorders/>
            <w:shd w:fill="CFF0FC" w:val="clear"/>
            <w:vAlign w:val="center"/>
          </w:tcPr>
          <w:p>
            <w:pPr>
              <w:pStyle w:val="TableContents"/>
              <w:bidi w:val="0"/>
              <w:spacing w:before="0" w:after="283"/>
              <w:jc w:val="left"/>
              <w:rPr/>
            </w:pPr>
            <w:r>
              <w:rPr/>
              <w:t> </w:t>
            </w:r>
          </w:p>
        </w:tc>
      </w:tr>
      <w:tr>
        <w:trPr/>
        <w:tc>
          <w:tcPr>
            <w:tcW w:w="36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equity plan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214" w:type="dxa"/>
            <w:tcBorders/>
            <w:shd w:fill="FFFFFF" w:val="clear"/>
            <w:vAlign w:val="center"/>
          </w:tcPr>
          <w:p>
            <w:pPr>
              <w:pStyle w:val="TableContents"/>
              <w:bidi w:val="0"/>
              <w:spacing w:before="0" w:after="283"/>
              <w:jc w:val="left"/>
              <w:rPr/>
            </w:pPr>
            <w:r>
              <w:rPr/>
              <w:t> </w:t>
            </w:r>
          </w:p>
        </w:tc>
      </w:tr>
      <w:tr>
        <w:trPr/>
        <w:tc>
          <w:tcPr>
            <w:tcW w:w="36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22,217,265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Three Months Ended March 31, 2023</w:t>
      </w:r>
    </w:p>
    <w:p>
      <w:pPr>
        <w:pStyle w:val="TextBody"/>
        <w:bidi w:val="0"/>
        <w:jc w:val="both"/>
        <w:rPr/>
      </w:pPr>
      <w:r>
        <w:rPr/>
        <w:t> </w:t>
      </w:r>
    </w:p>
    <w:tbl>
      <w:tblPr>
        <w:tblW w:w="9180" w:type="dxa"/>
        <w:jc w:val="left"/>
        <w:tblInd w:w="0" w:type="dxa"/>
        <w:tblLayout w:type="fixed"/>
        <w:tblCellMar>
          <w:top w:w="28" w:type="dxa"/>
          <w:left w:w="28" w:type="dxa"/>
          <w:bottom w:w="28" w:type="dxa"/>
          <w:right w:w="28" w:type="dxa"/>
        </w:tblCellMar>
      </w:tblPr>
      <w:tblGrid>
        <w:gridCol w:w="2566"/>
        <w:gridCol w:w="146"/>
        <w:gridCol w:w="146"/>
        <w:gridCol w:w="916"/>
        <w:gridCol w:w="146"/>
        <w:gridCol w:w="146"/>
        <w:gridCol w:w="271"/>
        <w:gridCol w:w="480"/>
        <w:gridCol w:w="146"/>
        <w:gridCol w:w="146"/>
        <w:gridCol w:w="214"/>
        <w:gridCol w:w="761"/>
        <w:gridCol w:w="146"/>
        <w:gridCol w:w="146"/>
        <w:gridCol w:w="233"/>
        <w:gridCol w:w="893"/>
        <w:gridCol w:w="166"/>
        <w:gridCol w:w="146"/>
        <w:gridCol w:w="284"/>
        <w:gridCol w:w="871"/>
        <w:gridCol w:w="21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Additional </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211" w:type="dxa"/>
            <w:tcBorders/>
            <w:shd w:fill="FFFFFF" w:val="cle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10,518,539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(135,772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18,111</w:t>
            </w:r>
          </w:p>
        </w:tc>
        <w:tc>
          <w:tcPr>
            <w:tcW w:w="21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cash</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1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21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10,561,700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18"/>
        </w:rPr>
      </w:pPr>
      <w:bookmarkStart w:id="11" w:name="statements_cash_flows"/>
      <w:bookmarkEnd w:id="11"/>
      <w:r>
        <w:rPr>
          <w:rFonts w:ascii="Times New Roman" w:hAnsi="Times New Roman"/>
          <w:b/>
          <w:color w:val="000000"/>
          <w:sz w:val="18"/>
        </w:rPr>
        <w:t>TEMPEST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Cash Flows</w:t>
      </w:r>
    </w:p>
    <w:p>
      <w:pPr>
        <w:pStyle w:val="TextBody"/>
        <w:bidi w:val="0"/>
        <w:jc w:val="center"/>
        <w:rPr>
          <w:rFonts w:ascii="Times New Roman" w:hAnsi="Times New Roman"/>
          <w:sz w:val="20"/>
        </w:rPr>
      </w:pPr>
      <w:r>
        <w:rPr>
          <w:rFonts w:ascii="Times New Roman" w:hAnsi="Times New Roman"/>
          <w:b/>
          <w:color w:val="000000"/>
          <w:sz w:val="18"/>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7162"/>
        <w:gridCol w:w="146"/>
        <w:gridCol w:w="211"/>
        <w:gridCol w:w="676"/>
        <w:gridCol w:w="166"/>
        <w:gridCol w:w="146"/>
        <w:gridCol w:w="211"/>
        <w:gridCol w:w="676"/>
        <w:gridCol w:w="811"/>
      </w:tblGrid>
      <w:tr>
        <w:trPr/>
        <w:tc>
          <w:tcPr>
            <w:tcW w:w="7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71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w:t>
              <w:br/>
              <w:t>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left"/>
              <w:rPr/>
            </w:pPr>
            <w:r>
              <w:rPr/>
              <w:t> </w:t>
            </w:r>
          </w:p>
        </w:tc>
      </w:tr>
      <w:tr>
        <w:trPr/>
        <w:tc>
          <w:tcPr>
            <w:tcW w:w="7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71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71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71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71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interest and other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71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716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716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6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716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62"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6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7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6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6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7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in connection with at-the-market offering, net of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811" w:type="dxa"/>
            <w:tcBorders/>
            <w:shd w:fill="CFF0FC" w:val="clear"/>
            <w:vAlign w:val="center"/>
          </w:tcPr>
          <w:p>
            <w:pPr>
              <w:pStyle w:val="TableContents"/>
              <w:bidi w:val="0"/>
              <w:spacing w:before="0" w:after="283"/>
              <w:jc w:val="left"/>
              <w:rPr/>
            </w:pPr>
            <w:r>
              <w:rPr/>
              <w:t> </w:t>
            </w:r>
          </w:p>
        </w:tc>
      </w:tr>
      <w:tr>
        <w:trPr/>
        <w:tc>
          <w:tcPr>
            <w:tcW w:w="7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issuance of common stock under equity plan awards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162"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w:t>
            </w:r>
          </w:p>
        </w:tc>
        <w:tc>
          <w:tcPr>
            <w:tcW w:w="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6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6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business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2" w:name="notes_to_financial_statements"/>
      <w:bookmarkEnd w:id="12"/>
      <w:r>
        <w:rPr>
          <w:rFonts w:ascii="Times New Roman" w:hAnsi="Times New Roman"/>
          <w:b/>
          <w:color w:val="000000"/>
          <w:sz w:val="20"/>
        </w:rPr>
        <w:t>TEMPEST THERAPEUTICS, INC.</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Notes to the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are in thousands, except share and per share data)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 ORGANIZATION AND DESCRIPTION OF THE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Tempest Therapeutics, Inc. (“Tempest” or the “Company”) is a clinical-stage oncology company advancing small molecules that combine both tumor-targeted and immune-mediated mechanisms with the potential to treat a wide range of tumors. The Company’s two novel clinical programs are TPST-1120 and TPST-1495, antagonists of PPARα and EP2/EP4, respectively. Both programs are advancing through clinical trials designed to study the agents as monotherapies and in combination with other approved agents. Tempest is also developing other product candidates currently in its Discovery Research portfolio. Tempest is headquartered in Brisbane, California.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Management Plans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financial statements have been prepared assuming the Company will continue as a going concern. The Company has incurred operating losses since inception. As of March 31, 2024, the Company had cash and cash equivalents of $32.3 million. The Company has not yet generated product sales and as a result has experienced operating losses since inception. The Company expects to incur additional losses in the future to conduct research and development and will need to raise additional capital to continue operations. We intend to raise such capital through the issuance of additional debt or equity including in connection with potential merger opportunities, or through business development activities. The Company’s ability to continue as a going concern is dependent upon its ability to control its variable spend over the next 12 months, while we plan to secure sources of financing and ultimately attain profitable operations. If the Company are unable to obtain adequate capital, it could be forced to cease operations. Management believes that its existing cash and cash equivalents will be sufficient to fund the Company’s cash requirements for at least 12 months following the issuance of these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23, 2021, the Company entered into a sales agreement with Jefferies LLC, pursuant to which the Company may sell, from time to time at its sole discretion through Jefferies, as its sales agent, shares of its common stock having, up to an aggregate sales price of $100.0 million of its common stock through Jefferies (the “ATM Program”). Any shares of its common stock sold will be issued pursuant to the Company's shelf registration statement on Form S-3 (File No. 333-257990). The Company will pay Jefferies a commission up to 3.0% of the gross sales proceeds of any shares of its common stock sold through Jefferies under the ATM Program and also has provided Jefferies with indemnification and contribution rights. As of March 31, 2024, the Company has sold an aggregate of 9,017,110 shares of its common stock for net proceeds of approximately $41.5 million, after deducting commissions and offering expenses pursuant to the ATM Program. During the three months ended March 31, 2024, we sold an aggregate of 56,288 shares of its common stock for net proceeds of approximately $0.3 million, after deducting commissions and expenses. As of March 31, 2024, approximately $57.3 million remained available for sale under the ATM Program.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PIPE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April 29, 2022, the Company completed a private investment in public equity (“PIPE”) financing from the sale of 3,149,912 shares of its common stock at a price per share of $2.36 and, and in lieu of shares of common stock, pre-funded warrants to purchase up to 3,206,020 shares of its common stock at a price per pre-funded warrant of $2.359 to EcoR1 Capital, LLC and Versant Venture Capital (the “PIPE Investors”). Net proceeds from the PIPE financings totaled approximately $14.5 million, after deducting offering expenses. The Company entered into a registration rights agreement with the PIPE Investors pursuant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which the Company filed a registration statement with the SEC registering the resale of the 3,149,912 shares common stock and the 3,206,020 shares of common stock underlying the pre-funded warrants issued in the PIPE financing. As of March 31, 2024, all pre-funded warrants had been exercised.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both"/>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—The Company’s significant accounting policies are described in Note 2, “Summary of Significant Accounting Policies,” in the Company’s Annual Report on Form 10-K filed with the U.S. Securities and Exchange Commission (“SEC”) on March 19, 2024. There have been no material changes to the significant accounting policies during the period ended March 31, 2024.</w:t>
      </w:r>
    </w:p>
    <w:p>
      <w:pPr>
        <w:pStyle w:val="TextBody"/>
        <w:bidi w:val="0"/>
        <w:spacing w:before="200" w:after="283"/>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—The unaudited interim Condensed Consolidated Financial Statements have been prepared pursuant to the rules and regulations of the U.S. Securities and Exchange Commission. Accordingly, certain information and footnote disclosures normally included in annual financial statements prepared in accordance with generally accepted accounting principles in the United States (“GAAP”) have been omitted. These unaudited interim Condensed Consolidated Financial Statements should be read in conjunction with the Company’s audited Consolidated Financial Statements and notes included in the company’s Annual Report on Form 10-K for the year ended December 31,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w:t>
      </w:r>
    </w:p>
    <w:p>
      <w:pPr>
        <w:pStyle w:val="TextBody"/>
        <w:bidi w:val="0"/>
        <w:spacing w:before="200" w:after="283"/>
        <w:jc w:val="both"/>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pStyle w:val="TextBody"/>
        <w:bidi w:val="0"/>
        <w:spacing w:before="200" w:after="283"/>
        <w:jc w:val="both"/>
        <w:rPr>
          <w:rFonts w:ascii="Times New Roman" w:hAnsi="Times New Roman"/>
          <w:b/>
          <w:color w:val="000000"/>
          <w:sz w:val="20"/>
        </w:rPr>
      </w:pPr>
      <w:bookmarkStart w:id="13" w:name="section14"/>
      <w:bookmarkEnd w:id="13"/>
      <w:r>
        <w:rPr>
          <w:rFonts w:ascii="Times New Roman" w:hAnsi="Times New Roman"/>
          <w:b/>
          <w:color w:val="000000"/>
          <w:sz w:val="20"/>
        </w:rPr>
        <w:t>3.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present the Company’s fair value hierarchy for assets measured at fair value on a recurring basis:</w:t>
      </w:r>
    </w:p>
    <w:p>
      <w:pPr>
        <w:pStyle w:val="TextBody"/>
        <w:bidi w:val="0"/>
        <w:jc w:val="both"/>
        <w:rPr/>
      </w:pPr>
      <w:r>
        <w:rPr/>
        <w:t> </w:t>
      </w:r>
    </w:p>
    <w:tbl>
      <w:tblPr>
        <w:tblW w:w="6543" w:type="dxa"/>
        <w:jc w:val="left"/>
        <w:tblInd w:w="0" w:type="dxa"/>
        <w:tblLayout w:type="fixed"/>
        <w:tblCellMar>
          <w:top w:w="28" w:type="dxa"/>
          <w:left w:w="28" w:type="dxa"/>
          <w:bottom w:w="28" w:type="dxa"/>
          <w:right w:w="28" w:type="dxa"/>
        </w:tblCellMar>
      </w:tblPr>
      <w:tblGrid>
        <w:gridCol w:w="2266"/>
        <w:gridCol w:w="146"/>
        <w:gridCol w:w="211"/>
        <w:gridCol w:w="676"/>
        <w:gridCol w:w="146"/>
        <w:gridCol w:w="146"/>
        <w:gridCol w:w="244"/>
        <w:gridCol w:w="401"/>
        <w:gridCol w:w="146"/>
        <w:gridCol w:w="146"/>
        <w:gridCol w:w="244"/>
        <w:gridCol w:w="401"/>
        <w:gridCol w:w="146"/>
        <w:gridCol w:w="146"/>
        <w:gridCol w:w="211"/>
        <w:gridCol w:w="67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shd w:fill="FFFFFF" w:val="cle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shd w:fill="FFFFFF" w:val="cle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 of the following:</w:t>
      </w:r>
    </w:p>
    <w:p>
      <w:pPr>
        <w:pStyle w:val="TextBody"/>
        <w:bidi w:val="0"/>
        <w:jc w:val="both"/>
        <w:rPr/>
      </w:pPr>
      <w:r>
        <w:rPr/>
        <w:t> </w:t>
      </w:r>
    </w:p>
    <w:tbl>
      <w:tblPr>
        <w:tblW w:w="6000" w:type="dxa"/>
        <w:jc w:val="left"/>
        <w:tblInd w:w="0" w:type="dxa"/>
        <w:tblLayout w:type="fixed"/>
        <w:tblCellMar>
          <w:top w:w="28" w:type="dxa"/>
          <w:left w:w="28" w:type="dxa"/>
          <w:bottom w:w="28" w:type="dxa"/>
          <w:right w:w="28" w:type="dxa"/>
        </w:tblCellMar>
      </w:tblPr>
      <w:tblGrid>
        <w:gridCol w:w="3346"/>
        <w:gridCol w:w="146"/>
        <w:gridCol w:w="239"/>
        <w:gridCol w:w="646"/>
        <w:gridCol w:w="146"/>
        <w:gridCol w:w="146"/>
        <w:gridCol w:w="307"/>
        <w:gridCol w:w="833"/>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91" w:type="dxa"/>
            <w:tcBorders/>
            <w:shd w:fill="CCEEFF"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costs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Property and equipment, net, consists of the following:</w:t>
      </w:r>
    </w:p>
    <w:p>
      <w:pPr>
        <w:pStyle w:val="TextBody"/>
        <w:bidi w:val="0"/>
        <w:jc w:val="both"/>
        <w:rPr/>
      </w:pPr>
      <w:r>
        <w:rPr/>
        <w:t> </w:t>
      </w:r>
    </w:p>
    <w:tbl>
      <w:tblPr>
        <w:tblW w:w="6085" w:type="dxa"/>
        <w:jc w:val="left"/>
        <w:tblInd w:w="0" w:type="dxa"/>
        <w:tblLayout w:type="fixed"/>
        <w:tblCellMar>
          <w:top w:w="28" w:type="dxa"/>
          <w:left w:w="28" w:type="dxa"/>
          <w:bottom w:w="28" w:type="dxa"/>
          <w:right w:w="28" w:type="dxa"/>
        </w:tblCellMar>
      </w:tblPr>
      <w:tblGrid>
        <w:gridCol w:w="2911"/>
        <w:gridCol w:w="446"/>
        <w:gridCol w:w="222"/>
        <w:gridCol w:w="663"/>
        <w:gridCol w:w="166"/>
        <w:gridCol w:w="146"/>
        <w:gridCol w:w="285"/>
        <w:gridCol w:w="855"/>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446" w:type="dxa"/>
            <w:tcBorders/>
            <w:shd w:fill="CFF0FC"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5"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1" w:type="dxa"/>
            <w:tcBorders/>
            <w:shd w:fill="CCEEFF"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4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446" w:type="dxa"/>
            <w:tcBorders/>
            <w:shd w:fill="CFF0FC"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5"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391" w:type="dxa"/>
            <w:tcBorders/>
            <w:shd w:fill="CCEEFF"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4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22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5"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391" w:type="dxa"/>
            <w:tcBorders/>
            <w:shd w:fill="CCEEFF"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4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equipment—net</w:t>
            </w:r>
          </w:p>
        </w:tc>
        <w:tc>
          <w:tcPr>
            <w:tcW w:w="4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 for the three months ended March 31, 2024 and 2023 were $88 and $125,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liabilities consist of the following:</w:t>
      </w:r>
    </w:p>
    <w:p>
      <w:pPr>
        <w:pStyle w:val="TextBody"/>
        <w:bidi w:val="0"/>
        <w:jc w:val="both"/>
        <w:rPr/>
      </w:pPr>
      <w:r>
        <w:rPr/>
        <w:t> </w:t>
      </w:r>
    </w:p>
    <w:tbl>
      <w:tblPr>
        <w:tblW w:w="5190" w:type="dxa"/>
        <w:jc w:val="left"/>
        <w:tblInd w:w="0" w:type="dxa"/>
        <w:tblLayout w:type="fixed"/>
        <w:tblCellMar>
          <w:top w:w="28" w:type="dxa"/>
          <w:left w:w="28" w:type="dxa"/>
          <w:bottom w:w="28" w:type="dxa"/>
          <w:right w:w="28" w:type="dxa"/>
        </w:tblCellMar>
      </w:tblPr>
      <w:tblGrid>
        <w:gridCol w:w="2536"/>
        <w:gridCol w:w="146"/>
        <w:gridCol w:w="239"/>
        <w:gridCol w:w="646"/>
        <w:gridCol w:w="146"/>
        <w:gridCol w:w="146"/>
        <w:gridCol w:w="307"/>
        <w:gridCol w:w="833"/>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liabilities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7"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91" w:type="dxa"/>
            <w:tcBorders/>
            <w:shd w:fill="CCEEFF"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liability</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bookmarkStart w:id="14" w:name="section16"/>
      <w:bookmarkEnd w:id="14"/>
      <w:r>
        <w:rPr>
          <w:rFonts w:ascii="Times New Roman" w:hAnsi="Times New Roman"/>
          <w:b/>
          <w:color w:val="000000"/>
          <w:sz w:val="20"/>
        </w:rPr>
        <w:t>5. COMMITMENTS AND CONTINGENCIES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Facilities Lease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2022, the Company entered into a new 8-year office lease agreement for a 20,116 square feet facility in Brisbane, California (“Brisbane Lease”). The lease commenced in December 2022.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2024 and December 31, 2023, the balance of the operating lease right of use assets were $9,513 and $9,952, respectively, and the related operating lease liability were $9,773 and $10,112, respectively, as shown in the accompanying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Rent expense was $685 and $710 for the three months ended March 31, 2024 and 2023, respectively.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2024, future minimum lease payments under the Company's operating lease liabilities were as follows:</w:t>
      </w:r>
    </w:p>
    <w:p>
      <w:pPr>
        <w:pStyle w:val="TextBody"/>
        <w:bidi w:val="0"/>
        <w:jc w:val="both"/>
        <w:rPr/>
      </w:pPr>
      <w:r>
        <w:rPr/>
        <w:t> </w:t>
      </w:r>
    </w:p>
    <w:tbl>
      <w:tblPr>
        <w:tblW w:w="6633" w:type="dxa"/>
        <w:jc w:val="left"/>
        <w:tblInd w:w="0" w:type="dxa"/>
        <w:tblLayout w:type="fixed"/>
        <w:tblCellMar>
          <w:top w:w="28" w:type="dxa"/>
          <w:left w:w="28" w:type="dxa"/>
          <w:bottom w:w="28" w:type="dxa"/>
          <w:right w:w="28" w:type="dxa"/>
        </w:tblCellMar>
      </w:tblPr>
      <w:tblGrid>
        <w:gridCol w:w="4501"/>
        <w:gridCol w:w="146"/>
        <w:gridCol w:w="373"/>
        <w:gridCol w:w="1202"/>
        <w:gridCol w:w="41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75"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50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 Ending</w:t>
            </w:r>
          </w:p>
        </w:tc>
        <w:tc>
          <w:tcPr>
            <w:tcW w:w="146" w:type="dxa"/>
            <w:tcBorders/>
            <w:shd w:fill="FFFFFF" w:val="cle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Commitment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(excluding three months ended March 31, 2024)</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411" w:type="dxa"/>
            <w:tcBorders/>
            <w:shd w:fill="CFF0FC" w:val="clear"/>
            <w:vAlign w:val="center"/>
          </w:tcPr>
          <w:p>
            <w:pPr>
              <w:pStyle w:val="TableContents"/>
              <w:bidi w:val="0"/>
              <w:spacing w:before="0" w:after="283"/>
              <w:jc w:val="left"/>
              <w:rPr/>
            </w:pPr>
            <w:r>
              <w:rPr/>
              <w:t> </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411" w:type="dxa"/>
            <w:tcBorders/>
            <w:shd w:fill="FFFFFF" w:val="clear"/>
            <w:vAlign w:val="center"/>
          </w:tcPr>
          <w:p>
            <w:pPr>
              <w:pStyle w:val="TableContents"/>
              <w:bidi w:val="0"/>
              <w:spacing w:before="0" w:after="283"/>
              <w:jc w:val="left"/>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411" w:type="dxa"/>
            <w:tcBorders/>
            <w:shd w:fill="CFF0FC" w:val="clear"/>
            <w:vAlign w:val="center"/>
          </w:tcPr>
          <w:p>
            <w:pPr>
              <w:pStyle w:val="TableContents"/>
              <w:bidi w:val="0"/>
              <w:spacing w:before="0" w:after="283"/>
              <w:jc w:val="left"/>
              <w:rPr/>
            </w:pPr>
            <w:r>
              <w:rPr/>
              <w:t> </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411" w:type="dxa"/>
            <w:tcBorders/>
            <w:shd w:fill="FFFFFF" w:val="clear"/>
            <w:vAlign w:val="center"/>
          </w:tcPr>
          <w:p>
            <w:pPr>
              <w:pStyle w:val="TableContents"/>
              <w:bidi w:val="0"/>
              <w:spacing w:before="0" w:after="283"/>
              <w:jc w:val="left"/>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and beyond</w:t>
            </w:r>
          </w:p>
        </w:tc>
        <w:tc>
          <w:tcPr>
            <w:tcW w:w="146" w:type="dxa"/>
            <w:tcBorders/>
            <w:shd w:fill="CFF0FC" w:val="cle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13,637</w:t>
            </w:r>
          </w:p>
        </w:tc>
        <w:tc>
          <w:tcPr>
            <w:tcW w:w="411" w:type="dxa"/>
            <w:tcBorders/>
            <w:shd w:fill="FFFFFF" w:val="clear"/>
            <w:vAlign w:val="center"/>
          </w:tcPr>
          <w:p>
            <w:pPr>
              <w:pStyle w:val="TableContents"/>
              <w:bidi w:val="0"/>
              <w:spacing w:before="0" w:after="283"/>
              <w:jc w:val="left"/>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Present value of operating lease obligations</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9,773</w:t>
            </w:r>
          </w:p>
        </w:tc>
        <w:tc>
          <w:tcPr>
            <w:tcW w:w="411" w:type="dxa"/>
            <w:tcBorders/>
            <w:shd w:fill="FFFFFF" w:val="clear"/>
            <w:vAlign w:val="center"/>
          </w:tcPr>
          <w:p>
            <w:pPr>
              <w:pStyle w:val="TableContents"/>
              <w:bidi w:val="0"/>
              <w:spacing w:before="0" w:after="283"/>
              <w:jc w:val="left"/>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obligations</w:t>
            </w:r>
          </w:p>
        </w:tc>
        <w:tc>
          <w:tcPr>
            <w:tcW w:w="146" w:type="dxa"/>
            <w:tcBorders/>
            <w:shd w:fill="FFFFFF" w:val="cle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Related to this Brisbane Lease agreement, the Company entered into a letter of credit with a bank to deposit $388 in a separate account that is classified as restricted cash to serve as security rent deposit. This amount is included in other noncurrent assets in the accompanying consolidated balance sheets as of March 31, 2024.</w:t>
      </w:r>
    </w:p>
    <w:p>
      <w:pPr>
        <w:pStyle w:val="TextBody"/>
        <w:bidi w:val="0"/>
        <w:spacing w:before="200" w:after="283"/>
        <w:jc w:val="both"/>
        <w:rPr>
          <w:rFonts w:ascii="Times New Roman" w:hAnsi="Times New Roman"/>
          <w:b/>
          <w:color w:val="000000"/>
          <w:sz w:val="20"/>
        </w:rPr>
      </w:pPr>
      <w:bookmarkStart w:id="15" w:name="section17"/>
      <w:bookmarkEnd w:id="15"/>
      <w:r>
        <w:rPr>
          <w:rFonts w:ascii="Times New Roman" w:hAnsi="Times New Roman"/>
          <w:b/>
          <w:color w:val="000000"/>
          <w:sz w:val="20"/>
        </w:rPr>
        <w:t>6. LOAN PAYABLE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15, 2021, the Company entered into a loan agreement with Oxford Finance LLC (the “Lender”) to borrow a term loan amount of $35,000 to be funded in three tranches. Tranche A of $15,000 was wired to the Company on January 15, 2021. Tranche B of $10,000 expired on March 31, 2022. Tranche C of $10,000 is available at the Lender’s option.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23, 2022, the Company entered into a First Amendment to the loan agreement. The amendment modified the agreement as follows: (i) 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TempestTx and Millendo, including any intellectual property, was granted to the Lender. In addition, the Lender permitted a one-time prepayment in the amount of $5.0 million, which the Company paid on December 23,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the amendment to the loan agreement, the term loan matures on August 1, 2025 and has an annual floating interest rate of 7.15% which is an Index Rate plus 7.10%. Index Rate is the greater of (i) 1-Month CME Term SOFR or (ii) 0.05%. In the fourth quarter of 2023, the Company achieved the circumstances necessary to extend the interest-only repayment period through June 30, 2024. Monthly principal payments of $733 are required to begin on July 1, 2024. Related to this borrowing, the Company recorded loan discounts totaling $898 and paid $95 of debt issuance costs. These amounts would be amortized as additional interest expense over the life of the loan. As of March 31, 2024, the balance of the loan payable (net of debt issuance costs) was $10.6 million. The carrying value of the loan approximates fair value (Level 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March 31, 2024 and 2023, total interest expense was $368 and $344, respectively.</w:t>
      </w:r>
    </w:p>
    <w:p>
      <w:pPr>
        <w:pStyle w:val="TextBody"/>
        <w:bidi w:val="0"/>
        <w:spacing w:before="200" w:after="283"/>
        <w:jc w:val="both"/>
        <w:rPr>
          <w:rFonts w:ascii="Times New Roman" w:hAnsi="Times New Roman"/>
          <w:b/>
          <w:color w:val="000000"/>
          <w:sz w:val="20"/>
        </w:rPr>
      </w:pPr>
      <w:bookmarkStart w:id="16" w:name="section18"/>
      <w:bookmarkEnd w:id="16"/>
      <w:r>
        <w:rPr>
          <w:rFonts w:ascii="Times New Roman" w:hAnsi="Times New Roman"/>
          <w:b/>
          <w:color w:val="000000"/>
          <w:sz w:val="20"/>
        </w:rPr>
        <w:t>7. STOCKHOLDERS' EQUITY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March 31, 2024 and December 31, 2023, the Company was authorized to issue 100,000,000 shares of common stock and 5,000,000 shares of preferred stock, each with a par value of $0.001 per share. Of the common stock shares authorized, 22,217,265 and 22,045,255 were issued and outstanding at March 31, 2024 and December 31, 2023, respectively. There were no shares subject to repurchase due to remaining vesting requirements. Common stockholders are entitled to dividends as declared by the Company’s board of directors (the “Board of Directors”), subject to rights of holders of all classes of stock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outstanding having priority rights as to dividends. There was no preferred stock issued nor outstanding as of March 31, 2024 and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Board of Directors.</w:t>
      </w:r>
    </w:p>
    <w:p>
      <w:pPr>
        <w:pStyle w:val="TextBody"/>
        <w:bidi w:val="0"/>
        <w:spacing w:before="200" w:after="283"/>
        <w:jc w:val="both"/>
        <w:rPr>
          <w:rFonts w:ascii="Times New Roman" w:hAnsi="Times New Roman"/>
          <w:sz w:val="20"/>
        </w:rPr>
      </w:pPr>
      <w:r>
        <w:rPr>
          <w:rFonts w:ascii="Times New Roman" w:hAnsi="Times New Roman"/>
          <w:b/>
          <w:color w:val="000000"/>
          <w:sz w:val="20"/>
        </w:rPr>
        <w:t>Rights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10, 2023, the Board of Directors adopted a limited duration stockholder rights plan (the “Rights Plan”), effective immediately, and declared a dividend of one preferred share purchase right (a “Right”) for each outstanding share of the common stock, par value $0.001 per share (the “Common Shares”), of the Company. The dividend was effective as of October 23, 2023 (the “Record Date”) with respect to stockholders of record on that date. The Rights will also attach to new Common Shares issued after the Record Date. Each Right entitles the registered holder to purchase from the Company one one-thousandth of a share of Series A Junior Participating Preferred Stock, par value $0.001 per share, (the “Preferred Shares”), of the Company at a price of $25.00 per one one-thousandth of a Preferred Share, subject to adjustment. The descriptions and terms of the Rights are set forth in a Rights Agreement, dated as of October 10, 2023 (the “Rights Agreement”), between the Company and Computershare Trust Company, NA. The Rights will expire on October 10, 2024, or, if the Company’s stockholders approve the Rights Plan, on October 10, 2026, unless the Rights are earlier redeemed or exchanged by the Company.</w:t>
      </w:r>
    </w:p>
    <w:p>
      <w:pPr>
        <w:pStyle w:val="TextBody"/>
        <w:bidi w:val="0"/>
        <w:spacing w:before="200" w:after="283"/>
        <w:jc w:val="both"/>
        <w:rPr>
          <w:rFonts w:ascii="Times New Roman" w:hAnsi="Times New Roman"/>
          <w:b/>
          <w:color w:val="000000"/>
          <w:sz w:val="20"/>
        </w:rPr>
      </w:pPr>
      <w:bookmarkStart w:id="17" w:name="section20"/>
      <w:bookmarkEnd w:id="17"/>
      <w:r>
        <w:rPr>
          <w:rFonts w:ascii="Times New Roman" w:hAnsi="Times New Roman"/>
          <w:b/>
          <w:color w:val="000000"/>
          <w:sz w:val="20"/>
        </w:rPr>
        <w:t>8. STOCK-BASED COMPENSATION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Equity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of Directors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31st of the preceding calendar year, or a lesser number of shares as may be determined by the Board of Directors. Accordingly, on January 1, 2024, the common stock reserved for issuance was increased by 881,810 shares. As of March 31, 2024, there were 566,620 shares available for future grant under the 2023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Board of Directors adopted the 2023 Inducement Plan (“2023 Inducement Plan”) on June 21, 2023, pursuant to which the Company reserved 1,150,000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Board of Directors without stockholder approval in accordance with such rule. As of March 31, 2024, there were 1,092,350 shares available for future grant under the 2023 Inducement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measures employee and non-employee stock-based awards at grant date fair value and records compensation expense on a straight-line basis over the vesting period of the award.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Employee Stock Ownership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Millendo Board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31st of the preceding calendar year, (ii) 500,000 shares of Common Stock, or (iii) such lesser number of shares of Common Stock as determined by the Board of Directors (which may be zero). On January 1, 2024, the common stock reserved for issuance was increased by 330,678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2024, 528,791 shares of common stock remained available for future issuance under the 2019 ESPP. During the three months ended March 31, 2024, 34,023 shares of common stock were issued under the 2019 ESPP.</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shows the stock option activities for the three months ended March 31, 2024 and 2023:</w:t>
      </w:r>
    </w:p>
    <w:p>
      <w:pPr>
        <w:pStyle w:val="TextBody"/>
        <w:bidi w:val="0"/>
        <w:jc w:val="left"/>
        <w:rPr/>
      </w:pPr>
      <w:r>
        <w:rPr/>
        <w:t> </w:t>
      </w:r>
    </w:p>
    <w:tbl>
      <w:tblPr>
        <w:tblW w:w="6012" w:type="dxa"/>
        <w:jc w:val="left"/>
        <w:tblInd w:w="0" w:type="dxa"/>
        <w:tblLayout w:type="fixed"/>
        <w:tblCellMar>
          <w:top w:w="28" w:type="dxa"/>
          <w:left w:w="28" w:type="dxa"/>
          <w:bottom w:w="28" w:type="dxa"/>
          <w:right w:w="28" w:type="dxa"/>
        </w:tblCellMar>
      </w:tblPr>
      <w:tblGrid>
        <w:gridCol w:w="2551"/>
        <w:gridCol w:w="146"/>
        <w:gridCol w:w="146"/>
        <w:gridCol w:w="935"/>
        <w:gridCol w:w="166"/>
        <w:gridCol w:w="146"/>
        <w:gridCol w:w="477"/>
        <w:gridCol w:w="1054"/>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Options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br/>
              <w:t>Exercise</w:t>
              <w:br/>
              <w:t>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 and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391" w:type="dxa"/>
            <w:tcBorders/>
            <w:shd w:fill="FFFFFF" w:val="cle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31"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1,553,041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 and 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left"/>
              <w:rPr/>
            </w:pPr>
            <w:r>
              <w:rPr/>
              <w:t> </w:t>
            </w:r>
          </w:p>
        </w:tc>
        <w:tc>
          <w:tcPr>
            <w:tcW w:w="10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391" w:type="dxa"/>
            <w:tcBorders/>
            <w:shd w:fill="CFF0FC" w:val="cle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2,147,411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information about stock options outstanding at March 31, 2024:</w:t>
      </w:r>
    </w:p>
    <w:p>
      <w:pPr>
        <w:pStyle w:val="TextBody"/>
        <w:bidi w:val="0"/>
        <w:jc w:val="both"/>
        <w:rPr/>
      </w:pPr>
      <w:r>
        <w:rPr/>
        <w:t> </w:t>
      </w:r>
    </w:p>
    <w:tbl>
      <w:tblPr>
        <w:tblW w:w="8336" w:type="dxa"/>
        <w:jc w:val="left"/>
        <w:tblInd w:w="0" w:type="dxa"/>
        <w:tblLayout w:type="fixed"/>
        <w:tblCellMar>
          <w:top w:w="28" w:type="dxa"/>
          <w:left w:w="28" w:type="dxa"/>
          <w:bottom w:w="28" w:type="dxa"/>
          <w:right w:w="28" w:type="dxa"/>
        </w:tblCellMar>
      </w:tblPr>
      <w:tblGrid>
        <w:gridCol w:w="2386"/>
        <w:gridCol w:w="146"/>
        <w:gridCol w:w="146"/>
        <w:gridCol w:w="931"/>
        <w:gridCol w:w="146"/>
        <w:gridCol w:w="146"/>
        <w:gridCol w:w="297"/>
        <w:gridCol w:w="948"/>
        <w:gridCol w:w="146"/>
        <w:gridCol w:w="146"/>
        <w:gridCol w:w="360"/>
        <w:gridCol w:w="795"/>
        <w:gridCol w:w="146"/>
        <w:gridCol w:w="146"/>
        <w:gridCol w:w="232"/>
        <w:gridCol w:w="1028"/>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Remaining</w:t>
              <w:br/>
              <w:t>Contractual</w:t>
              <w:b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2,522,827</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2,522,827</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1,167,566</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March 31, 2024 and 2023, the Company granted employees and non-employees stock options to purchase 664,775 and 623,550 shares of common stock, respectively, with a weighted-average grant date fair value of $3.88 and $1.03 per share, respectively. As of March 31, 2024 and 2023, total unrecognized compensation costs related to unvested employee stock options were $15,833 and $4,140, respectively. These costs are expected to be recognized over a weighted-average period of approximately 3.3 years and 2.5 years,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estimated the fair value of stock options using the Black-Scholes option pricing valuation model. The fair value of employee and non-employee stock options is being amortized on the straight-line basis over the requisite service period of the awards. The fair value of employee and non-employee stock options was estimated using the following assumptions for the three months ended March 31, 2024 and 2023:</w:t>
      </w:r>
    </w:p>
    <w:p>
      <w:pPr>
        <w:pStyle w:val="TextBody"/>
        <w:bidi w:val="0"/>
        <w:jc w:val="both"/>
        <w:rPr/>
      </w:pPr>
      <w:r>
        <w:rPr/>
        <w:t> </w:t>
      </w:r>
    </w:p>
    <w:tbl>
      <w:tblPr>
        <w:tblW w:w="4105" w:type="dxa"/>
        <w:jc w:val="left"/>
        <w:tblInd w:w="0" w:type="dxa"/>
        <w:tblLayout w:type="fixed"/>
        <w:tblCellMar>
          <w:top w:w="28" w:type="dxa"/>
          <w:left w:w="28" w:type="dxa"/>
          <w:bottom w:w="28" w:type="dxa"/>
          <w:right w:w="28" w:type="dxa"/>
        </w:tblCellMar>
      </w:tblPr>
      <w:tblGrid>
        <w:gridCol w:w="2086"/>
        <w:gridCol w:w="146"/>
        <w:gridCol w:w="1096"/>
        <w:gridCol w:w="146"/>
        <w:gridCol w:w="63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6.0 - 6.1</w:t>
            </w:r>
          </w:p>
        </w:tc>
        <w:tc>
          <w:tcPr>
            <w:tcW w:w="146" w:type="dxa"/>
            <w:tcBorders/>
            <w:shd w:fill="CFF0FC" w:val="clear"/>
            <w:vAlign w:val="center"/>
          </w:tcPr>
          <w:p>
            <w:pPr>
              <w:pStyle w:val="TableContents"/>
              <w:bidi w:val="0"/>
              <w:spacing w:before="0" w:after="283"/>
              <w:jc w:val="righ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vAlign w:val="center"/>
          </w:tcPr>
          <w:p>
            <w:pPr>
              <w:pStyle w:val="TableContents"/>
              <w:bidi w:val="0"/>
              <w:spacing w:before="0" w:after="283"/>
              <w:jc w:val="righ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 - 3.9%</w:t>
            </w:r>
          </w:p>
        </w:tc>
        <w:tc>
          <w:tcPr>
            <w:tcW w:w="146" w:type="dxa"/>
            <w:tcBorders/>
            <w:shd w:fill="CFF0FC" w:val="clear"/>
            <w:vAlign w:val="center"/>
          </w:tcPr>
          <w:p>
            <w:pPr>
              <w:pStyle w:val="TableContents"/>
              <w:bidi w:val="0"/>
              <w:spacing w:before="0" w:after="283"/>
              <w:jc w:val="righ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color w:val="000000"/>
              </w:rPr>
              <w:t>—</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31" w:type="dxa"/>
            <w:tcBorders/>
            <w:shd w:fill="FFFFFF" w:val="clear"/>
            <w:vAlign w:val="center"/>
          </w:tcPr>
          <w:p>
            <w:pPr>
              <w:pStyle w:val="TableContents"/>
              <w:bidi w:val="0"/>
              <w:spacing w:before="0" w:after="283"/>
              <w:jc w:val="right"/>
              <w:rPr/>
            </w:pPr>
            <w:r>
              <w:rPr>
                <w:color w:val="000000"/>
              </w:rPr>
              <w:t>—</w:t>
            </w: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Expected Term</w:t>
      </w:r>
      <w:r>
        <w:rPr>
          <w:rFonts w:ascii="Times New Roman" w:hAnsi="Times New Roman"/>
          <w:color w:val="000000"/>
          <w:sz w:val="20"/>
        </w:rPr>
        <w:t>—The expected term of options granted represents the period of time that the options are expected to be outstanding. Due to the lack of historical exercise history, the expected term of the Company’s employee stock options has been determined utilizing the simplified method for awards that qualify as plain-vanilla options.</w:t>
      </w:r>
    </w:p>
    <w:p>
      <w:pPr>
        <w:pStyle w:val="TextBody"/>
        <w:bidi w:val="0"/>
        <w:spacing w:before="200" w:after="283"/>
        <w:jc w:val="both"/>
        <w:rPr>
          <w:rFonts w:ascii="Times New Roman" w:hAnsi="Times New Roman"/>
          <w:sz w:val="20"/>
        </w:rPr>
      </w:pPr>
      <w:r>
        <w:rPr>
          <w:rFonts w:ascii="Times New Roman" w:hAnsi="Times New Roman"/>
          <w:b/>
          <w:i/>
          <w:color w:val="000000"/>
          <w:sz w:val="20"/>
        </w:rPr>
        <w:t>Expected Volatility</w:t>
      </w:r>
      <w:r>
        <w:rPr>
          <w:rFonts w:ascii="Times New Roman" w:hAnsi="Times New Roman"/>
          <w:color w:val="000000"/>
          <w:sz w:val="20"/>
        </w:rPr>
        <w:t>—The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 as more historical data for the Company’s common stock becomes available.</w:t>
      </w:r>
    </w:p>
    <w:p>
      <w:pPr>
        <w:pStyle w:val="TextBody"/>
        <w:bidi w:val="0"/>
        <w:spacing w:before="200" w:after="283"/>
        <w:jc w:val="both"/>
        <w:rPr>
          <w:rFonts w:ascii="Times New Roman" w:hAnsi="Times New Roman"/>
          <w:sz w:val="20"/>
        </w:rPr>
      </w:pPr>
      <w:r>
        <w:rPr>
          <w:rFonts w:ascii="Times New Roman" w:hAnsi="Times New Roman"/>
          <w:b/>
          <w:i/>
          <w:color w:val="000000"/>
          <w:sz w:val="20"/>
        </w:rPr>
        <w:t>Risk-Free Interest Rate</w:t>
      </w:r>
      <w:r>
        <w:rPr>
          <w:rFonts w:ascii="Times New Roman" w:hAnsi="Times New Roman"/>
          <w:color w:val="000000"/>
          <w:sz w:val="20"/>
        </w:rPr>
        <w:t>—The risk-free interest rate assumption is based on the U.S. Treasury instruments whose term was consistent with the expected term of the Company’s stock options.</w:t>
      </w:r>
    </w:p>
    <w:p>
      <w:pPr>
        <w:pStyle w:val="TextBody"/>
        <w:bidi w:val="0"/>
        <w:spacing w:before="200" w:after="283"/>
        <w:jc w:val="both"/>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—The Company has not paid any cash dividends on common stock since inception and does not anticipate paying any dividends in the foreseeable future. Consequently, an expected dividend yield of zero was used.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components of stock-based compensation expense recognized in the Company’s condensed consolidated statement of operations for the three months ended March 31, 2024:</w:t>
      </w:r>
    </w:p>
    <w:p>
      <w:pPr>
        <w:pStyle w:val="TextBody"/>
        <w:bidi w:val="0"/>
        <w:jc w:val="both"/>
        <w:rPr/>
      </w:pPr>
      <w:r>
        <w:rPr/>
        <w:t> </w:t>
      </w:r>
    </w:p>
    <w:tbl>
      <w:tblPr>
        <w:tblW w:w="5436" w:type="dxa"/>
        <w:jc w:val="left"/>
        <w:tblInd w:w="0" w:type="dxa"/>
        <w:tblLayout w:type="fixed"/>
        <w:tblCellMar>
          <w:top w:w="28" w:type="dxa"/>
          <w:left w:w="28" w:type="dxa"/>
          <w:bottom w:w="28" w:type="dxa"/>
          <w:right w:w="28" w:type="dxa"/>
        </w:tblCellMar>
      </w:tblPr>
      <w:tblGrid>
        <w:gridCol w:w="2311"/>
        <w:gridCol w:w="146"/>
        <w:gridCol w:w="345"/>
        <w:gridCol w:w="934"/>
        <w:gridCol w:w="238"/>
        <w:gridCol w:w="238"/>
        <w:gridCol w:w="345"/>
        <w:gridCol w:w="68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238"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23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bookmarkStart w:id="18" w:name="section21"/>
      <w:bookmarkEnd w:id="18"/>
      <w:r>
        <w:rPr>
          <w:rFonts w:ascii="Times New Roman" w:hAnsi="Times New Roman"/>
          <w:b/>
          <w:color w:val="000000"/>
          <w:sz w:val="20"/>
        </w:rPr>
        <w:t>9. RETIREMENT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three months ended March 31, 2024 and 2023, the Company contributed $51 and $57 to the 401(k) Plan, respectively.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19" w:name="section22"/>
      <w:bookmarkEnd w:id="19"/>
      <w:r>
        <w:rPr>
          <w:rFonts w:ascii="Times New Roman" w:hAnsi="Times New Roman"/>
          <w:b/>
          <w:color w:val="000000"/>
          <w:sz w:val="20"/>
        </w:rPr>
        <w:t>10. NET 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computation of the Company’s basis in diluted net loss per share for the three months ended March 31, 2024 and 2023 (in thousands, except share and per share amounts):</w:t>
      </w:r>
    </w:p>
    <w:p>
      <w:pPr>
        <w:pStyle w:val="TextBody"/>
        <w:bidi w:val="0"/>
        <w:jc w:val="both"/>
        <w:rPr/>
      </w:pPr>
      <w:r>
        <w:rPr/>
        <w:t> </w:t>
      </w:r>
    </w:p>
    <w:tbl>
      <w:tblPr>
        <w:tblW w:w="9734" w:type="dxa"/>
        <w:jc w:val="left"/>
        <w:tblInd w:w="0" w:type="dxa"/>
        <w:tblLayout w:type="fixed"/>
        <w:tblCellMar>
          <w:top w:w="28" w:type="dxa"/>
          <w:left w:w="28" w:type="dxa"/>
          <w:bottom w:w="28" w:type="dxa"/>
          <w:right w:w="28" w:type="dxa"/>
        </w:tblCellMar>
      </w:tblPr>
      <w:tblGrid>
        <w:gridCol w:w="6571"/>
        <w:gridCol w:w="146"/>
        <w:gridCol w:w="211"/>
        <w:gridCol w:w="1036"/>
        <w:gridCol w:w="166"/>
        <w:gridCol w:w="146"/>
        <w:gridCol w:w="211"/>
        <w:gridCol w:w="1036"/>
        <w:gridCol w:w="211"/>
      </w:tblGrid>
      <w:tr>
        <w:trPr/>
        <w:tc>
          <w:tcPr>
            <w:tcW w:w="6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center"/>
              <w:rPr/>
            </w:pPr>
            <w:r>
              <w:rPr/>
              <w:t> </w:t>
            </w:r>
          </w:p>
        </w:tc>
      </w:tr>
      <w:tr>
        <w:trPr/>
        <w:tc>
          <w:tcPr>
            <w:tcW w:w="6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22,234,225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13,763,173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basic and diluted net loss per share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22,234,225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13,763,173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2024 and 2023,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and vested RSUs have been included in the computation of basic and diluted net loss per share attributable to common stockholders. Based on the amounts outstanding as of March 31, 2024 and 2023, the Company excluded the following potential common shares from the computation of diluted net loss per share attributable to common stockholders because including them would have had an anti-dilutive effect:</w:t>
      </w:r>
    </w:p>
    <w:p>
      <w:pPr>
        <w:pStyle w:val="TextBody"/>
        <w:bidi w:val="0"/>
        <w:jc w:val="both"/>
        <w:rPr/>
      </w:pPr>
      <w:r>
        <w:rPr/>
        <w:t> </w:t>
      </w:r>
    </w:p>
    <w:tbl>
      <w:tblPr>
        <w:tblW w:w="57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2,147,411</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3,944,482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2,153,447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20" w:name="item_2_managements_discussion_analysis"/>
      <w:bookmarkEnd w:id="20"/>
      <w:r>
        <w:rPr>
          <w:rFonts w:ascii="Times New Roman" w:hAnsi="Times New Roman"/>
          <w:b/>
          <w:color w:val="000000"/>
          <w:sz w:val="20"/>
        </w:rPr>
        <w:t xml:space="preserve">Item 2. </w:t>
      </w:r>
      <w:r>
        <w:rPr>
          <w:rFonts w:ascii="Times New Roman" w:hAnsi="Times New Roman"/>
          <w:b/>
          <w:i/>
          <w:color w:val="000000"/>
          <w:sz w:val="20"/>
        </w:rPr>
        <w:t>Management’s Discussion and Analysis of 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in conjunction with our unaudited condensed financial statements and the notes thereto included elsewhere in this Quarterly Report on Form 10-Q, and our audited consolidated financial statements and related notes for the year ended December 31, 2023, filed with the U.S. Securities and Exchange Commission ("SEC") on March 19, 2024.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 with the SEC.</w:t>
      </w:r>
    </w:p>
    <w:p>
      <w:pPr>
        <w:pStyle w:val="TextBody"/>
        <w:bidi w:val="0"/>
        <w:spacing w:before="200" w:after="283"/>
        <w:jc w:val="both"/>
        <w:rPr>
          <w:rFonts w:ascii="Times New Roman" w:hAnsi="Times New Roman"/>
          <w:b/>
          <w:color w:val="000000"/>
          <w:sz w:val="20"/>
        </w:rPr>
      </w:pPr>
      <w:bookmarkStart w:id="21" w:name="section24"/>
      <w:bookmarkEnd w:id="21"/>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clinical-stage biotechnology company moving into late-stage development with a diverse portfolio of first-in-class targeted and immune-mediated product candidates with the potential to treat a wide range of cancers. Our novel programs range from early research to the lead program, TPST-1120, that is poised to begin a pivotal study in first-line liver cancer. Our philosophy is to build a company based upon not only good ideas and creative science, but also upon the efficient translation of those ideas into therapies that will improve patients’ lives. Each of our programs embody different and independent approaches to fighting cancer, providing a portfolio of truly diversified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two clinical-stage therapeutics product candidates are TPST-1120 and TPST-1495, which we believe are the first clinical-stage molecules designed to inhibit their respective targets.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TPST-1120 is a selective antagonist of peroxisome proliferator-activated receptor alpha (“PPARα”). On October 11, 2023, we announced new and updated positive results from the planned data analysis of the ongoing global randomized Phase 1b/2 trial of TPST-1120 combined with the standard-of-care first-line regimen of atezolizumab and bevacizumab in patients with advanced or metastatic hepatocellular carcinoma (“HCC”). The study is comparing the TPST-1120 arm to standard of care alone and enrolled 40 patients randomized to the TPST-1120 arm and 30 patients randomized to the control arm. With a median follow-up of 9.2 and 9.9 months for the TPST-1120 arm and standard-of-care arm, respectively, the data showed a 30% confirmed objective response rate (“ORR”) achieved in TPST-1120 arm compared to 13.3% for atezolizumab and bevacizumab in the control arm, a substantial increase since an earlier interim data release that is specific to the TPST-1120 arm compared to the previous data cut of 17.5% versus 10.3% in the control arm. 40% of the TPST-1120 arm patients remained on treatment versus 16.7% in the control arm, while 72.5% of the TPST-1120 arm patients remained on study versus 46.7% in the control arm. The results also showed a favorable progression free survival and overall survival (“OS”) hazard ratio for the TPST-1120 arm as compared to the standard-of-care control arm.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the overall data, the new biomarker subpopulation findings are consistent with the mechanism of action of TPST-1120: patients with b-catenin activating mutations (21% in this study (n=7)) showed a confirmed ORR of 43% and a disease control rate (“DCR”) of 100% in the TPST-1120 arm; and distinct from the control arm, the TPST-1120 arm was consistently active across PD-L1 negative tumors with a confirmed ORR of 27% in the TPST-1120 arm, compared to a reduced ORR of 7% for the control arm.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randomized data build upon clinical data from Phase 1 trials, both as a monotherapy and in combination with an anti-PD1 therapy, nivolumab, that were reported at a podium presentation at the American Society of Clinical Oncology (“ASCO”) annual meeting in June 2022. RECIST responses were also observed in this study at the two highest TPST-1120 doses in combination with nivolumab for an ORR of those cohorts of 30% (three of 10 patients), including in patients who previously progressed on anti-PD-1 (-L1) therapy. We believe the next step in TPST-1120 development is a pivotal Phase 3 in first-line HCC and are planning to meet with the FDA in 2024 towards that goal, and given the totality of the data, also have interest in development in kidney cancer (“RCC”) and potentially other indications.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second clinical program, TPST-1495, a dual antagonist of the EP2 and EP4 receptors of prostaglandin E2, is in an ongoing Phase 1 combination trial in patients with endometrial cancer. Data from the TPST-1495 Phase 1 trial was presented at the ASCO annual meeting in June 2023. Additionally, we are planning to advance TPST-1495 in a new indication, Familial Adenomatous Polyposis (“FAP”), for which there are no approved therapies. Given that prostaglandin signaling is implicated in FAP and based on positive preclinical data in a relevant mouse model, we believe there is strong mechanistic support for this approach. We are working with the Cancer Prevention Clinical Trials Network on a National Cancer Institute (“NCI”)-funded Phase 2 study and subject to final approval from the consortium, plan to start the study in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Beyond these clinical programs, we plan to continue to leverage our drug development and company-building experience along with academic relationships to identify promising new targets that may feed new programs into our pipeline. Our Discovery Research team employs a multidisciplinary approach to identify and validate therapeutic targets in oncology, and preclinical validation studies are then conducted to further understand the mechanism of action and potential therapeutic benefit to patients.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Potential Future Milestones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Advance TPST-1120 into a pivotal study in first-line HCC patients where TPST-1120 will be studied in a combination treatment and compared to a standard-of-care therapy, subject to obtaining feedback from the FDA. We believe positive results from the ongoing randomized Phase 1b/2 study provide strategic opportunities for us, and we expect to receive updated results from this randomized study in 2024. We are also evaluating further development in RCC and cholangiocarcinoma (“CCA”) based on the Phase 1 data presented at ASCO 2022.</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Explore TPST-1495 beyond original tumor types of interest. We plan to complete the ongoing combination arm in patients with advanced endometrial cancer, where prostaglandin signaling is implicated, and report the data in 2024. Additionally, subject to final approval with the FAP Consortium on NCI, we are planning to advance TPST-1495 into a Phase 2 study in patients with the Cancer Prevention Clinical Trials Network in 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no products approved for commercial sale and have not generated any revenue from product sales. From inception to March 31, 2024, we have raised $201.5 million, through sales of our capital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never been profitable and have incurred operating losses in each period since inception. Our net losses were $7.9 million and $7.6 million for the three months ended March 31, 2024 and 2023, respectively. As of March 31, 2024, we had an accumulated deficit of $173.2 million. Substantially all of the operating losses resulted from expenses incurred in connection with our research and development programs and from general and administrative costs associated with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involves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2024, we had cash and cash equivalents of $32.3 million. Our ability to fund continued development will require additional capital, and we intend to raise such capital through the issuance of additional debt or equity including in connection with potential merger opportunities, or through business development activities. Our ability to continue as a going concern is dependent upon our ability to successfully accomplish these plans and secure sources of financing and ultimately attain profitable operations. If we are unable to obtain adequate capital, we could be forced to cease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22" w:name="section25"/>
      <w:bookmarkEnd w:id="22"/>
      <w:r>
        <w:rPr>
          <w:rFonts w:ascii="Times New Roman" w:hAnsi="Times New Roman"/>
          <w:b/>
          <w:color w:val="000000"/>
          <w:sz w:val="20"/>
        </w:rPr>
        <w:t>Components of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represent costs incurred to conduct research and development, such as the development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recognize all research and development costs as they are incurred. Research and development expenses consist primarily of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salaries, benefits and stock-based compensation;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licensing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allocated occupancy;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materials and supplies;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contracted research and manufacturing;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consulting arrangements;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expenses incurred to advance our research and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continue to incur expenses as a result of being a public company, including expenses related to compliance with the rules and regulations of the SEC and Nasdaq, additional insurance, investor relations and other administrative expenses and professional services.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(expense), net consists primarily of interest expense, interest income, and various other income or expense items of a non-recurring nature.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three months ended March 31, 2024 and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operating results for the three months ended March 31, 2024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61"/>
        <w:gridCol w:w="146"/>
        <w:gridCol w:w="211"/>
        <w:gridCol w:w="631"/>
        <w:gridCol w:w="166"/>
        <w:gridCol w:w="146"/>
        <w:gridCol w:w="211"/>
        <w:gridCol w:w="631"/>
        <w:gridCol w:w="166"/>
        <w:gridCol w:w="146"/>
        <w:gridCol w:w="451"/>
        <w:gridCol w:w="1031"/>
        <w:gridCol w:w="166"/>
        <w:gridCol w:w="146"/>
        <w:gridCol w:w="559"/>
        <w:gridCol w:w="1618"/>
        <w:gridCol w:w="619"/>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3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619" w:type="dxa"/>
            <w:tcBorders/>
            <w:shd w:fill="FFFFFF" w:val="clear"/>
            <w:vAlign w:val="center"/>
          </w:tcPr>
          <w:p>
            <w:pPr>
              <w:pStyle w:val="TableContents"/>
              <w:bidi w:val="0"/>
              <w:spacing w:before="0" w:after="283"/>
              <w:jc w:val="center"/>
              <w:rPr/>
            </w:pPr>
            <w:r>
              <w:rPr/>
              <w:t> </w:t>
            </w:r>
          </w:p>
        </w:tc>
      </w:tr>
      <w:tr>
        <w:trPr/>
        <w:tc>
          <w:tcPr>
            <w:tcW w:w="3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7" w:type="dxa"/>
            <w:gridSpan w:val="2"/>
            <w:tcBorders/>
            <w:shd w:fill="FFFFFF" w:val="clear"/>
            <w:vAlign w:val="center"/>
          </w:tcPr>
          <w:p>
            <w:pPr>
              <w:pStyle w:val="TableContents"/>
              <w:bidi w:val="0"/>
              <w:spacing w:before="0" w:after="283"/>
              <w:jc w:val="center"/>
              <w:rPr/>
            </w:pPr>
            <w:r>
              <w:rPr/>
              <w:t> </w:t>
            </w:r>
          </w:p>
        </w:tc>
        <w:tc>
          <w:tcPr>
            <w:tcW w:w="619" w:type="dxa"/>
            <w:tcBorders/>
            <w:shd w:fill="FFFFFF" w:val="clear"/>
            <w:vAlign w:val="center"/>
          </w:tcPr>
          <w:p>
            <w:pPr>
              <w:pStyle w:val="TableContents"/>
              <w:bidi w:val="0"/>
              <w:spacing w:before="0" w:after="283"/>
              <w:jc w:val="center"/>
              <w:rPr/>
            </w:pPr>
            <w:r>
              <w:rPr/>
              <w:t> </w:t>
            </w:r>
          </w:p>
        </w:tc>
      </w:tr>
      <w:tr>
        <w:trPr/>
        <w:tc>
          <w:tcPr>
            <w:tcW w:w="3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9" w:type="dxa"/>
            <w:gridSpan w:val="14"/>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619" w:type="dxa"/>
            <w:tcBorders/>
            <w:shd w:fill="FFFFFF" w:val="clear"/>
            <w:vAlign w:val="center"/>
          </w:tcPr>
          <w:p>
            <w:pPr>
              <w:pStyle w:val="TableContents"/>
              <w:bidi w:val="0"/>
              <w:spacing w:before="0" w:after="283"/>
              <w:jc w:val="center"/>
              <w:rPr/>
            </w:pPr>
            <w:r>
              <w:rPr/>
              <w:t> </w:t>
            </w:r>
          </w:p>
        </w:tc>
      </w:tr>
      <w:tr>
        <w:trPr/>
        <w:tc>
          <w:tcPr>
            <w:tcW w:w="31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7" w:type="dxa"/>
            <w:gridSpan w:val="2"/>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ind w:left="0" w:right="0" w:firstLine="200"/>
              <w:jc w:val="left"/>
              <w:rPr/>
            </w:pPr>
            <w:r>
              <w:rPr/>
              <w:t> </w:t>
            </w:r>
          </w:p>
        </w:tc>
      </w:tr>
      <w:tr>
        <w:trPr/>
        <w:tc>
          <w:tcPr>
            <w:tcW w:w="3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59"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9"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7" w:type="dxa"/>
            <w:gridSpan w:val="2"/>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ind w:left="0" w:right="0" w:firstLine="100"/>
              <w:jc w:val="left"/>
              <w:rPr/>
            </w:pPr>
            <w:r>
              <w:rPr/>
              <w:t> </w:t>
            </w:r>
          </w:p>
        </w:tc>
      </w:tr>
      <w:tr>
        <w:trPr/>
        <w:tc>
          <w:tcPr>
            <w:tcW w:w="31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9"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research and development expenses for the three months ended March 31, 2024 and 2023 were primarily incurred in connection with our most advanced product candidates,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our research and development expenses by program for the three months ended March 31, 2024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86"/>
        <w:gridCol w:w="146"/>
        <w:gridCol w:w="211"/>
        <w:gridCol w:w="571"/>
        <w:gridCol w:w="146"/>
        <w:gridCol w:w="146"/>
        <w:gridCol w:w="211"/>
        <w:gridCol w:w="571"/>
        <w:gridCol w:w="146"/>
        <w:gridCol w:w="146"/>
        <w:gridCol w:w="492"/>
        <w:gridCol w:w="1124"/>
        <w:gridCol w:w="166"/>
        <w:gridCol w:w="146"/>
        <w:gridCol w:w="624"/>
        <w:gridCol w:w="1807"/>
        <w:gridCol w:w="366"/>
      </w:tblGrid>
      <w:tr>
        <w:trPr/>
        <w:tc>
          <w:tcPr>
            <w:tcW w:w="3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3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366" w:type="dxa"/>
            <w:tcBorders/>
            <w:shd w:fill="FFFFFF" w:val="clear"/>
            <w:vAlign w:val="center"/>
          </w:tcPr>
          <w:p>
            <w:pPr>
              <w:pStyle w:val="TableContents"/>
              <w:bidi w:val="0"/>
              <w:spacing w:before="0" w:after="283"/>
              <w:jc w:val="center"/>
              <w:rPr/>
            </w:pPr>
            <w:r>
              <w:rPr/>
              <w:t> </w:t>
            </w:r>
          </w:p>
        </w:tc>
      </w:tr>
      <w:tr>
        <w:trPr/>
        <w:tc>
          <w:tcPr>
            <w:tcW w:w="3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31" w:type="dxa"/>
            <w:gridSpan w:val="2"/>
            <w:tcBorders/>
            <w:shd w:fill="FFFFFF" w:val="clear"/>
            <w:vAlign w:val="center"/>
          </w:tcPr>
          <w:p>
            <w:pPr>
              <w:pStyle w:val="TableContents"/>
              <w:bidi w:val="0"/>
              <w:spacing w:before="0" w:after="283"/>
              <w:jc w:val="center"/>
              <w:rPr/>
            </w:pPr>
            <w:r>
              <w:rPr/>
              <w:t> </w:t>
            </w:r>
          </w:p>
        </w:tc>
        <w:tc>
          <w:tcPr>
            <w:tcW w:w="366" w:type="dxa"/>
            <w:tcBorders/>
            <w:shd w:fill="FFFFFF" w:val="clear"/>
            <w:vAlign w:val="center"/>
          </w:tcPr>
          <w:p>
            <w:pPr>
              <w:pStyle w:val="TableContents"/>
              <w:bidi w:val="0"/>
              <w:spacing w:before="0" w:after="283"/>
              <w:jc w:val="center"/>
              <w:rPr/>
            </w:pPr>
            <w:r>
              <w:rPr/>
              <w:t> </w:t>
            </w:r>
          </w:p>
        </w:tc>
      </w:tr>
      <w:tr>
        <w:trPr/>
        <w:tc>
          <w:tcPr>
            <w:tcW w:w="3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07" w:type="dxa"/>
            <w:gridSpan w:val="14"/>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366" w:type="dxa"/>
            <w:tcBorders/>
            <w:shd w:fill="FFFFFF" w:val="clear"/>
            <w:vAlign w:val="center"/>
          </w:tcPr>
          <w:p>
            <w:pPr>
              <w:pStyle w:val="TableContents"/>
              <w:bidi w:val="0"/>
              <w:spacing w:before="0" w:after="283"/>
              <w:jc w:val="center"/>
              <w:rPr/>
            </w:pPr>
            <w:r>
              <w:rPr/>
              <w:t> </w:t>
            </w:r>
          </w:p>
        </w:tc>
      </w:tr>
      <w:tr>
        <w:trPr/>
        <w:tc>
          <w:tcPr>
            <w:tcW w:w="3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TPST-1120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left"/>
              <w:rPr/>
            </w:pPr>
            <w:r>
              <w:rPr/>
              <w:t> </w:t>
            </w:r>
          </w:p>
        </w:tc>
        <w:tc>
          <w:tcPr>
            <w:tcW w:w="18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TPST-1495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24" w:type="dxa"/>
            <w:tcBorders/>
            <w:shd w:fill="FFFFFF" w:val="clear"/>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candidate specific research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2"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24" w:type="dxa"/>
            <w:tcBorders/>
            <w:shd w:fill="FFFFFF" w:val="clear"/>
            <w:vAlign w:val="center"/>
          </w:tcPr>
          <w:p>
            <w:pPr>
              <w:pStyle w:val="TableContents"/>
              <w:bidi w:val="0"/>
              <w:spacing w:before="0" w:after="283"/>
              <w:jc w:val="left"/>
              <w:rPr/>
            </w:pPr>
            <w:r>
              <w:rPr/>
              <w:t> </w:t>
            </w:r>
          </w:p>
        </w:tc>
        <w:tc>
          <w:tcPr>
            <w:tcW w:w="18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other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2"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left"/>
              <w:rPr/>
            </w:pPr>
            <w:r>
              <w:rPr/>
              <w:t> </w:t>
            </w:r>
          </w:p>
        </w:tc>
        <w:tc>
          <w:tcPr>
            <w:tcW w:w="18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and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0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three months ended March 31, 2024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65"/>
        <w:gridCol w:w="146"/>
        <w:gridCol w:w="211"/>
        <w:gridCol w:w="571"/>
        <w:gridCol w:w="146"/>
        <w:gridCol w:w="146"/>
        <w:gridCol w:w="211"/>
        <w:gridCol w:w="571"/>
        <w:gridCol w:w="146"/>
        <w:gridCol w:w="146"/>
        <w:gridCol w:w="494"/>
        <w:gridCol w:w="1129"/>
        <w:gridCol w:w="166"/>
        <w:gridCol w:w="146"/>
        <w:gridCol w:w="627"/>
        <w:gridCol w:w="1817"/>
        <w:gridCol w:w="367"/>
      </w:tblGrid>
      <w:tr>
        <w:trPr/>
        <w:tc>
          <w:tcPr>
            <w:tcW w:w="3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1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Increase/ (Decrease)</w:t>
            </w:r>
          </w:p>
        </w:tc>
        <w:tc>
          <w:tcPr>
            <w:tcW w:w="367" w:type="dxa"/>
            <w:tcBorders/>
            <w:shd w:fill="FFFFFF" w:val="clear"/>
            <w:vAlign w:val="center"/>
          </w:tcPr>
          <w:p>
            <w:pPr>
              <w:pStyle w:val="TableContents"/>
              <w:bidi w:val="0"/>
              <w:spacing w:before="0" w:after="283"/>
              <w:jc w:val="center"/>
              <w:rPr/>
            </w:pPr>
            <w:r>
              <w:rPr/>
              <w:t> </w:t>
            </w:r>
          </w:p>
        </w:tc>
      </w:tr>
      <w:tr>
        <w:trPr/>
        <w:tc>
          <w:tcPr>
            <w:tcW w:w="31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3"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4" w:type="dxa"/>
            <w:gridSpan w:val="2"/>
            <w:tcBorders/>
            <w:shd w:fill="FFFFFF" w:val="clear"/>
            <w:vAlign w:val="center"/>
          </w:tcPr>
          <w:p>
            <w:pPr>
              <w:pStyle w:val="TableContents"/>
              <w:bidi w:val="0"/>
              <w:spacing w:before="0" w:after="283"/>
              <w:jc w:val="center"/>
              <w:rPr/>
            </w:pPr>
            <w:r>
              <w:rPr/>
              <w:t> </w:t>
            </w:r>
          </w:p>
        </w:tc>
        <w:tc>
          <w:tcPr>
            <w:tcW w:w="367" w:type="dxa"/>
            <w:tcBorders/>
            <w:shd w:fill="FFFFFF" w:val="clear"/>
            <w:vAlign w:val="center"/>
          </w:tcPr>
          <w:p>
            <w:pPr>
              <w:pStyle w:val="TableContents"/>
              <w:bidi w:val="0"/>
              <w:spacing w:before="0" w:after="283"/>
              <w:jc w:val="center"/>
              <w:rPr/>
            </w:pPr>
            <w:r>
              <w:rPr/>
              <w:t> </w:t>
            </w:r>
          </w:p>
        </w:tc>
      </w:tr>
      <w:tr>
        <w:trPr/>
        <w:tc>
          <w:tcPr>
            <w:tcW w:w="31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 vs. 2023</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27" w:type="dxa"/>
            <w:gridSpan w:val="14"/>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 except percentages)</w:t>
            </w:r>
          </w:p>
        </w:tc>
        <w:tc>
          <w:tcPr>
            <w:tcW w:w="367" w:type="dxa"/>
            <w:tcBorders/>
            <w:shd w:fill="FFFFFF" w:val="clear"/>
            <w:vAlign w:val="center"/>
          </w:tcPr>
          <w:p>
            <w:pPr>
              <w:pStyle w:val="TableContents"/>
              <w:bidi w:val="0"/>
              <w:spacing w:before="0" w:after="283"/>
              <w:jc w:val="center"/>
              <w:rPr/>
            </w:pPr>
            <w:r>
              <w:rPr/>
              <w:t> </w:t>
            </w:r>
          </w:p>
        </w:tc>
      </w:tr>
      <w:tr>
        <w:trPr/>
        <w:tc>
          <w:tcPr>
            <w:tcW w:w="31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outside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left"/>
              <w:rPr/>
            </w:pPr>
            <w:r>
              <w:rPr/>
              <w:t> </w:t>
            </w:r>
          </w:p>
        </w:tc>
        <w:tc>
          <w:tcPr>
            <w:tcW w:w="1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4"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1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tcBorders/>
            <w:shd w:fill="CFF0FC" w:val="clear"/>
            <w:vAlign w:val="center"/>
          </w:tcPr>
          <w:p>
            <w:pPr>
              <w:pStyle w:val="TableContents"/>
              <w:bidi w:val="0"/>
              <w:spacing w:before="0" w:after="283"/>
              <w:jc w:val="left"/>
              <w:rPr/>
            </w:pPr>
            <w:r>
              <w:rPr/>
              <w:t> </w:t>
            </w:r>
          </w:p>
        </w:tc>
        <w:tc>
          <w:tcPr>
            <w:tcW w:w="1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Consulting and professional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4"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1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increased by $0.7 million to $3.6 million for the three months ended March 31, 2024, compared to the prior year period. The increase was primarily due to an increase in stock-based compensation expense and consulting services.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2024 and 2023, other income (expense), net consisted of total interest expense of $368 thousand and $344 thousand, respectively, related to the Oxford Loan, and interest income of $438 thousand and $289 thousand, respectively.</w:t>
      </w:r>
    </w:p>
    <w:p>
      <w:pPr>
        <w:pStyle w:val="TextBody"/>
        <w:bidi w:val="0"/>
        <w:spacing w:before="200" w:after="283"/>
        <w:jc w:val="both"/>
        <w:rPr>
          <w:rFonts w:ascii="Times New Roman" w:hAnsi="Times New Roman"/>
          <w:b/>
          <w:color w:val="000000"/>
          <w:sz w:val="20"/>
        </w:rPr>
      </w:pPr>
      <w:bookmarkStart w:id="23" w:name="section26"/>
      <w:bookmarkEnd w:id="23"/>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inception through March 31, 2024, our operations have been financed primarily by net cash proceeds from the sale of our common stock, convertible preferred stock and issuance of debt. As of March 31, 2024, we had $32.3 million in cash and cash equivalents and an accumulated deficit of $173.2 million. We expect that our research and development and general and administrative expenses will increase, and, as a result, we anticipate that we will continue to incur increasing losses in the foreseeable future.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to have sufficient resources to fund operations into the second quarter of 2025. We believe our cash and cash equivalents as of March 31, 2024 will fund our ongoing working capital, investing, and financing requirements for at least the next 12 months from the date our consolidated financial statements were available to be issued.</w:t>
      </w:r>
    </w:p>
    <w:p>
      <w:pPr>
        <w:pStyle w:val="TextBody"/>
        <w:bidi w:val="0"/>
        <w:jc w:val="both"/>
        <w:rPr/>
      </w:pPr>
      <w:r>
        <w:rPr/>
        <w:t> </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Loan Agreement with Oxford Finance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15, 2021, we entered into a loan and security agreement with Oxford to borrow a term loan amount of $35.0 million to be funded in three tranches (the “Loan Agreement”). Tranche A of $15.0 million was funded on January 15, 2021. Tranche B of $10.0 million expired on March 31, 2022. Tranche C of $10.0 million is available at Oxford’s option.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23, 2022, we entered into a First Amendment to the Loan Agreement. The amendment modified the agreement as follows: (i) 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the property of the Company, TempestTx and Millendo, including any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intellectual property, was granted to the Lender. In addition, the Lender permitted a one-time prepayment in the amount of $5.0 million which we paid on December 23,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fourth quarter of 2023, we met the circumstances necessary to extend the interest-only repayment period through June 30,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term loan matures on August 1, 2025 and has an annual floating interest rate of 7.15% which is an Index Rate plus 7.10%. Index Rate is the greater of (i) 1-Month CME Term SOFR or (ii) 0.05%. As of March 31, 2024, the balance of the loan payable (net of debt issuance costs) was $10.6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At-the-Market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23, 2021, we entered into a sales agreement with Jefferies LLC, pursuant to which we may sell, from time to time at its sole discretion through Jefferies, as our sales agent, shares of our common stock having, up to an aggregate sales price of $100.0 million through Jefferies (the “ATM Program”). Any shares of our common stock sold will be issued pursuant to our shelf registration statement on Form S-3 (File No. 333-257990). We will pay Jefferies a commission up to 3.0% of the gross sales proceeds of any shares of our common stock sold under the ATM Program and also have provided Jefferies with indemnification and contribution rights. As of March 31, 2024, we have sold an aggregate of 9,017,110 shares of our common stock for net proceeds of approximately $41.5 million, after deducting commissions and offering expenses pursuant to the ATM Program. During the three months ended March 31, 2024, we sold an aggregate of 56,288 shares of our common stock for net proceeds of approximately $0.3 million, after deducting commissions and expenses. As of March 31, 2024, approximately $57.3 million remained available for sale under the ATM Program.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cash flows for the three months ended March 31, 2024 and 2023:</w:t>
      </w:r>
    </w:p>
    <w:p>
      <w:pPr>
        <w:pStyle w:val="TextBody"/>
        <w:bidi w:val="0"/>
        <w:jc w:val="left"/>
        <w:rPr/>
      </w:pPr>
      <w:r>
        <w:rPr/>
        <w:t> </w:t>
      </w:r>
    </w:p>
    <w:tbl>
      <w:tblPr>
        <w:tblW w:w="5849" w:type="dxa"/>
        <w:jc w:val="left"/>
        <w:tblInd w:w="0" w:type="dxa"/>
        <w:tblLayout w:type="fixed"/>
        <w:tblCellMar>
          <w:top w:w="28" w:type="dxa"/>
          <w:left w:w="28" w:type="dxa"/>
          <w:bottom w:w="28" w:type="dxa"/>
          <w:right w:w="28" w:type="dxa"/>
        </w:tblCellMar>
      </w:tblPr>
      <w:tblGrid>
        <w:gridCol w:w="3496"/>
        <w:gridCol w:w="146"/>
        <w:gridCol w:w="211"/>
        <w:gridCol w:w="631"/>
        <w:gridCol w:w="166"/>
        <w:gridCol w:w="146"/>
        <w:gridCol w:w="211"/>
        <w:gridCol w:w="631"/>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211" w:type="dxa"/>
            <w:tcBorders/>
            <w:shd w:fill="FFFFFF" w:val="cle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bottom w:val="single" w:sz="4" w:space="0" w:color="CCEEFF"/>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used in 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in operating activities for the three months ended March 31, 2024 was $7.2 million, consisting of a net loss of $7.9 million, add back of non-cash adjustments for depreciation, stock-based compensation, non-cash operating lease expense and other non-cash items totaling $1.9 million, plus changes in operating assets and liabilities of $1.2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in operating activities for the three months ended March 31, 2023 was $8.3 million, consisting of a net loss of $7.6 million, add back of non-cash adjustments for depreciation, stock-based compensation, non-cash operating lease expense and other non-cash items totaling $1.1 million, plus changes in operating assets and liabilities of $1.7 million.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 used in 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in investing activities for the three months ended March 31, 2024 and 2023 was related to purchases of property and equipment, primarily related to laboratory and computer equipment.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 provided by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financing activities for the three months ended March 31, 2024 was related to proceeds from the issuance of common stock of $450 thousand.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financing activities for the three months ended March 31, 2023 was related to proceeds from the issuance of common stock of $44 thousand.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available cash and cash equivalents are sufficient to fund existing and planned cash requirements for the next 12 months from the date our consolidated financial statements were available to be issued.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funding requirements will depend on many factors, including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a pivotal study for TPST-1120 in first-line HCC patients, as well as other costs associated with the scope, progress and results of discovery, preclinical development, laboratory testing and clinical trials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the manufacturing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related to the extent to which we enter into partnerships or other arrangements with third parties to further develop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and fees associated with the discovery, acquisition or in-license of product candidates or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establish collaborations on favorable terms, if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future commercialization activities, if any, including product sales, marketing, manufacturing and distribution, for any of our product candidates for which we receive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if any, received from commercial sales of our product candidates, should any of our product candidates receive marketing approval;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our operating plan may change, and we may need additional funds to meet operational needs and capital requirements for clinical trials and other research and development expenditures.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material cash requirements as of March 31, 2024 primarily relate to the maturities of the principal obligations under our long-term debt, operating leases for office space, trade payables, and accrued expenses. As of March 31, 2024, we have $10.7 million payable within 12 months, including the current loan payable of $6.5 million due to Oxford Finance. Refer to Notes 5 and 6 to our consolidated financial statements for additional information. In addition, the Oxford Finance loan facility matures on August 1, 2025, and as of March 31, 2024, the total balance of the loan payable (net of debt issuance costs) was $10.6 million. We also expect our operating expenses to continue to increase in connection with our ongoing development activities,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particularly as we continue the research, development and clinical trials of, and seek regulatory approval for, our product candidates. Accordingly, we will need substantial additional funding in connection with our continuing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we can generate a sufficient amount of product revenue to finance our cash requirements, we expect to finance our future cash needs, including those set forth above,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ourselves.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have been no significant changes to our critical accounting policies since December 31, 2023. For a description of critical accounting policies that affect our significant judgments and estimates used in the preparation of our unaudited condensed consolidated financial statements, refer to Item 7 “Management's Discussion and Analysis of Financial Condition and Results of Operations” contained in our Annual Report on Form 10-K.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2 to our Condensed Consolidated Financial Statements for a description of recent accounting pronouncements applicable to our Condensed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smaller reporting company as defined in the Securities Exchange Act of 1934, as amended.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00" w:after="283"/>
        <w:jc w:val="left"/>
        <w:rPr>
          <w:rFonts w:ascii="Times New Roman" w:hAnsi="Times New Roman"/>
          <w:sz w:val="20"/>
        </w:rPr>
      </w:pPr>
      <w:bookmarkStart w:id="24" w:name="item_3_quantitative_qualitative_disclosu"/>
      <w:bookmarkEnd w:id="24"/>
      <w:r>
        <w:rPr>
          <w:rFonts w:ascii="Times New Roman" w:hAnsi="Times New Roman"/>
          <w:b/>
          <w:color w:val="000000"/>
          <w:sz w:val="20"/>
        </w:rPr>
        <w:t xml:space="preserve">Item 3. </w:t>
      </w:r>
      <w:r>
        <w:rPr>
          <w:rFonts w:ascii="Times New Roman" w:hAnsi="Times New Roman"/>
          <w:b/>
          <w:i/>
          <w:color w:val="000000"/>
          <w:sz w:val="20"/>
        </w:rPr>
        <w:t>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required for smaller reporting companies.</w:t>
      </w:r>
    </w:p>
    <w:p>
      <w:pPr>
        <w:pStyle w:val="TextBody"/>
        <w:bidi w:val="0"/>
        <w:spacing w:before="200" w:after="283"/>
        <w:jc w:val="both"/>
        <w:rPr>
          <w:rFonts w:ascii="Times New Roman" w:hAnsi="Times New Roman"/>
          <w:sz w:val="20"/>
        </w:rPr>
      </w:pPr>
      <w:bookmarkStart w:id="25" w:name="item_4_controls_procedures"/>
      <w:bookmarkEnd w:id="25"/>
      <w:r>
        <w:rPr>
          <w:rFonts w:ascii="Times New Roman" w:hAnsi="Times New Roman"/>
          <w:b/>
          <w:color w:val="000000"/>
          <w:sz w:val="20"/>
        </w:rPr>
        <w:t xml:space="preserve">Item 4. </w:t>
      </w:r>
      <w:r>
        <w:rPr>
          <w:rFonts w:ascii="Times New Roman" w:hAnsi="Times New Roman"/>
          <w:b/>
          <w:i/>
          <w:color w:val="000000"/>
          <w:sz w:val="20"/>
        </w:rPr>
        <w:t>Controls and Procedures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 achieving their objectives and management necessarily applies its judgment in evaluating the cost-benefit relationship of possible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management, with the participation of our Chief Executive Officer (principal executive officer) and Vice-President, Strategy and Finance (principal financial officer), evaluated the effectiveness of our disclosure controls and procedures (as defined in Rules 13a-15(e) and 15d-15(e) under the Exchange Act), as of the end of the period covered by this Quarterly Report. Based on such evaluation, our Chief Executive Officer and Vice-President, Strategy and Finance have concluded that as of March 31, 2024, our disclosure controls and procedures were effective at the reasonable assurance level.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were no changes in internal control over financial reporting during the quarter ended March 31, 2024 that have materially affected, or are reasonably likely to materially affect, our internal control over financial reporting.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6" w:name="part_ii_other_information"/>
      <w:bookmarkEnd w:id="26"/>
      <w:r>
        <w:rPr>
          <w:rFonts w:ascii="Times New Roman" w:hAnsi="Times New Roman"/>
          <w:b/>
          <w:color w:val="000000"/>
          <w:sz w:val="20"/>
        </w:rPr>
        <w:t>PART II - OTHER INFORMATION</w:t>
      </w:r>
    </w:p>
    <w:p>
      <w:pPr>
        <w:pStyle w:val="TextBody"/>
        <w:bidi w:val="0"/>
        <w:spacing w:before="200" w:after="283"/>
        <w:jc w:val="left"/>
        <w:rPr>
          <w:rFonts w:ascii="Times New Roman" w:hAnsi="Times New Roman"/>
          <w:sz w:val="20"/>
        </w:rPr>
      </w:pPr>
      <w:bookmarkStart w:id="27" w:name="item_1_legal_proceedings"/>
      <w:bookmarkEnd w:id="27"/>
      <w:r>
        <w:rPr>
          <w:rFonts w:ascii="Times New Roman" w:hAnsi="Times New Roman"/>
          <w:b/>
          <w:color w:val="000000"/>
          <w:sz w:val="20"/>
        </w:rPr>
        <w:t xml:space="preserve">Item 1. </w:t>
      </w:r>
      <w:r>
        <w:rPr>
          <w:rFonts w:ascii="Times New Roman" w:hAnsi="Times New Roman"/>
          <w:b/>
          <w:i/>
          <w:color w:val="000000"/>
          <w:sz w:val="20"/>
        </w:rPr>
        <w:t>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Information pertaining to legal proceedings is provided in Note 5 to the Condensed Consolidated Financial Statements contained in this report and is incorporated by reference herein.</w:t>
      </w:r>
    </w:p>
    <w:p>
      <w:pPr>
        <w:pStyle w:val="TextBody"/>
        <w:bidi w:val="0"/>
        <w:spacing w:before="200" w:after="283"/>
        <w:jc w:val="both"/>
        <w:rPr>
          <w:rFonts w:ascii="Times New Roman" w:hAnsi="Times New Roman"/>
          <w:sz w:val="20"/>
        </w:rPr>
      </w:pPr>
      <w:bookmarkStart w:id="28" w:name="item_1a_risk_factors"/>
      <w:bookmarkEnd w:id="28"/>
      <w:r>
        <w:rPr>
          <w:rFonts w:ascii="Times New Roman" w:hAnsi="Times New Roman"/>
          <w:b/>
          <w:color w:val="000000"/>
          <w:sz w:val="20"/>
        </w:rPr>
        <w:t xml:space="preserve">Item 1A. </w:t>
      </w:r>
      <w:r>
        <w:rPr>
          <w:rFonts w:ascii="Times New Roman" w:hAnsi="Times New Roman"/>
          <w:b/>
          <w:i/>
          <w:color w:val="000000"/>
          <w:sz w:val="20"/>
        </w:rPr>
        <w:t>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Our business involves significant risks, some of which are described below. You should carefully consider the risks described below, together with all of the other information contained in this Quarterly Report on Form 10-Q,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Summary of Selected Risks Associated with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need to raise additional funding to finance our operations, which may not be available on acceptable terms or at all. Failure to obtain this necessary capital when needed may force us to delay, limit or terminate our product development efforts or other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past, we have faced substantial doubt regarding our ability to continue as a going concern and may face such challenges in the future. If we are unable to maintain the cash reserves required to fund our business, we will require substantial additional funding to finance our operations, and if we are unable to raise capital, we could be forced to delay, reduce or explore other strategic options for certain of our development programs, or even terminate our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Raising additional capital may cause dilution to our stockholders, restrict our operations or require us to relinquish proprietary rights.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Loan Agreement with Oxford Finance provide Oxford with a lien against all of our assets, including our intellectual property, and contains financial covenants and other restrictions on our actions that may limit our operational flexibility or otherwise adversely affect our results of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expand our development and regulatory capabilities, and as a result, we may encounter difficulties in managing our growth, which could disrupt our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develop, obtain regulatory approval for and commercialize TPST-1120, TPST-1495, or any of our future product candidates, or if we experience significant delays in doing so, our business will be materially harmed.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 in preclinical studies and earlier clinical trials for our product candidates may not be indicative of the results that may be obtained in later clinical trials, which may delay or prevent obtaining regulatory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successful in our efforts to expand our pipeline of product candidates and develop marketable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commercial success of our product candidates, including TPST-1495 and TPST-1120, will depend upon their degree of market acceptance by providers, patients, patient advocacy groups, third-party payors and the general medical community.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rely on third parties to manufacture our clinical product supplies, and we may have to rely on third parties to produce and process our product candidates, if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TPST-1120, and any future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establish sales and marketing capabilities or enter into agreements with third parties to market and sell our product candidates, we may be unable to generate any revenues.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successful in finding strategic collaborators for continuing development of certain of our future product candidates or successfully commercializing or competing in the market for certain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Food and Drug Administration (“FDA”) regulatory approval process is lengthy and time-consuming, and we may experience significant delays in the clinical development and regulatory approval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part on our ability to obtain, maintain and protect our intellectual property. It is difficult and costly to protect our proprietary rights and technology, and we may not be able to ensure their protection.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owned and in-licensed patents and patent applications may not provide sufficient protection of our product candidates or result in any competitive advantage.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price of the shares of our common stock has been and is likely to continue to be volatile, and purchasers of our common stock could incur substantial losses.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Unstable market and economic conditions may have serious adverse consequences on our business, financial condition and share price.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is thinly traded and our stockholders may be unable to sell their shares quickly or at market price.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maintain proper and effective internal controls, our ability to produce accurate financial statements on a timely basis could be impaired.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a history of operating losses, and we may not achieve or sustain profitability. We anticipate that we will continue to incur losses for the foreseeable future. If we fail to obtain additional funding to conduct our planned research and</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 efforts, we could be forced to delay, reduce or eliminate our product development programs or commercial development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$7.9 million and $7.6 million for the three months ended March 31, 2024 and 2023, respectively. As of March 31, 2024, we had an accumulated deficit of $173.2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need to raise additional funding to finance our operations, which may not be available on acceptable terms or at all. Failure to obtain this necessary capital when needed may force us to delay, limit or terminate our product development efforts or other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operations have consumed significant amounts of cash since inception. We expect our expenses to continue to increase in connection with our ongoing activities, particularly as we conduct clinical trials of, and seek marketing approval for, our product candidates, including later stage clinical trials such as our potential pivotal Phase 3 trial in first-line HCC, subject to our discussions with the FDA,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timing, progress, costs and results of our ongoing preclinical studies and clinical trials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scope, progress, results and costs of preclinical development, laboratory testing and clinical trials of other product candidates that we may pursue;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our ability to establish collaborations on favorable terms,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the costs, timing and outcome of regulatory review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the costs and timing of future commercialization activities, including product manufacturing, marketing, sales, reimbursement and distribution, for any of our product candidates for which we may receive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the revenue, if any, received from commercial sales of our product candidates for which we may receive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the cost of any milestone and royalty payments with respect to any approved product candidates;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the costs and timing of preparing, filing and prosecuting patent applications, maintaining and enforcing our intellectual property rights and defending any intellectual property-related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the costs of operating as a public company;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the extent to which we acquire or in-license other product candidates and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our cash and cash equivalents and additional financing to achieve our business objectives.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March 31, 2024, we had cash and cash equivalents of $32.3 million. We believe that our cash and cash equivalents as of March 31, 2024, will fund our current operating plans through at least the next 12 months from the date the financial statements were issued. We have based this assessment on assumptions that may prove to be wrong, and it is possible that we will not achieve the progress that we expect with these funds because the actual costs and timing of clinical development and regulatory and commercial activities are difficult to predict and are subject to substantial risks and delays, and that we will use our capital resources sooner than we currently expect. This estimate does not reflect any additional expenditures that may result from any further strategic transactions to expand and diversify our product pipeline, including acquisitions of assets, businesses, rights to products, product candidates or technologies or strategic alliances or collaborations that we may pursue.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we will require substantial additional capital to develop our product candidates. Adequate additional financing may not be available to us on acceptable terms, or at all. If we require additional capital at a time when investment in our industry or in the marketplace in general is limited, we might not be able to raise funding on favorable terms, if at all. Our ability to raise additional capital may be adversely impacted by potential worsening global economic conditions, inflation expectations, and the recent disruptions to and volatility in the credit and financial markets in the United States and worldwide resulting from public health crises and geopolitical tensions, such as the Russia-Ukraine war and the war in Israel. If we are unable to raise capital when needed or on acceptable terms, we could be forced to delay, reduce, or explore other strategic options for our research and development programs or other opportunities, or even our operations. If we do not obtain additional financing and are required to terminate our operations, our stockholders will lose their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proprietary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In July 2021, we entered into Sales Agreement, or the ATM Agreement, with Jefferies LLC, for an at-the-market offering program that allows us to sell up to an aggregate of $100 million of our common stock. To the extent that we raise additional capital through the sale of equity or convertible debt securities, your ownership interest may be further diluted, and the terms of these securities may include liquidation or other preferences that adversely affect your rights as a stockholder. In addition, we may issue equity or debt securities as consideration for obtaining rights to additional compounds.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 For example, our obligations under the loan and security agreement, or Loan Agreement, with Oxford Finance LLC, or Oxford Finance, are secured by 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security interest in all of our assets, including our intellectual property. In addition, the Loan Agreement contains customary covenants that, subject to specific exceptions, restrict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or engage in businesses that are not related to its existing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terms of the Loan Agreement with Oxford Finance provide Oxford with a lien against all of our assets, including our intellectual property, and contains financial covenants and other restrictions on our actions that may limit our operational flexibility or otherwise adversely affect our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2021, we entered into a Loan Agreement with Oxford Finance that provided us with up to $35.0 million of borrowing capacity across three potential tranches, which was subsequently amended in December 2022. The initial tranche of $15.0 million was funded at the closing of the Loan Agreement, of which $5.0 million was repaid in December 2022. As of March 31, 2024, the balance of the loan payable (net of debt issuance costs) was $10.6 million and a total of $10.0 million in borrowing capacity remained available at the option of Oxford Finance.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default under the Loan Agreement, Oxford Finance may accelerate all of our repayment obligations and exercise all of their rights and remedies under the Loan Agreement and applicable law, potentially requiring us to renegotiate our agreement on terms less favorable to us. In addition, since the borrowings under the Loan Agreement are secured by a lien on our assets, including our intellectual property, Oxford Finance would be able to foreclose on our assets if we do not cure any default or pay any amounts due and payable under the Loan Agreement. Further, if we are liquidated, the lenders’ right to repayment would be senior to the rights of the holders of our common stock to receive any proceeds from the liquidation. Oxford Finance could declare a default upon the occurrence of an event of default, including events that they interpret as a material adverse change as defined in the Loan Agreement, payment defaults or breaches of certain affirmative and negative covenants, thereby requiring us to repay the loan immediately. Any declaration by Oxford Finance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limited operating history may make it difficult for you to evaluate the success of our business to date and to assess our future viability.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necessary for successful commercialization. Consequently, any predictions you make about our future success or viability may not be as accurate as they could be if we had a longer operating history.</w:t>
      </w:r>
    </w:p>
    <w:p>
      <w:pPr>
        <w:pStyle w:val="TextBody"/>
        <w:bidi w:val="0"/>
        <w:jc w:val="both"/>
        <w:rPr>
          <w:rFonts w:ascii="Times New Roman" w:hAnsi="Times New Roman"/>
          <w:color w:val="000000"/>
          <w:sz w:val="20"/>
        </w:rPr>
      </w:pPr>
      <w:r>
        <w:rPr>
          <w:rFonts w:ascii="Times New Roman" w:hAnsi="Times New Roman"/>
          <w:color w:val="000000"/>
          <w:sz w:val="20"/>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ability to utilize our net operating loss carryforwards and tax credit carryforwards may be subject to limitations.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Private Tempest’s,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Business and Strategy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expect to expand our development and regulatory capabilities, and as a result, we may encounter difficulties in managing our growth, which could disrupt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 improve our managerial, operational and financial systems, expand our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must attract and retain highly skilled employees to succeed.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and President, Stephen Brady and our Chief Medical Officer, Sam Whiting. The loss of services of Messrs.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Brady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pStyle w:val="TextBody"/>
        <w:bidi w:val="0"/>
        <w:jc w:val="both"/>
        <w:rPr>
          <w:rFonts w:ascii="Times New Roman" w:hAnsi="Times New Roman"/>
          <w:color w:val="000000"/>
          <w:sz w:val="20"/>
        </w:rPr>
      </w:pPr>
      <w:r>
        <w:rPr>
          <w:rFonts w:ascii="Times New Roman" w:hAnsi="Times New Roman"/>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Future acquisitions or strategic alliances could disrupt our business and harm our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diversion of management time and focus from operating our business to addressing acquisition integration challenges;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coordination of research and development efforts;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retention of key employees from the acquired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relationships with strategic partners as a result of product acquisitions or strategic positioning resulting from the acquisition;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cultural challenges associated with integrating employees from the acquired company into our organization;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need to implement or improve controls, procedures and policies at a business that prior to the acquisition may have lacked sufficiently effective controls, procedures and policies;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liability for activities of the acquired company before the acquisition, including intellectual property infringement claims, violation of laws, commercial disputes, tax liabilities and other known liabilities;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unanticipated write-offs or charges;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litigation or other claims in connection with the acquired company, including claims from terminated employees, customers, former stockholders or other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liabilities, amortization expenses or incremental operating expenses, any of which could harm our financial condition or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Product Development and Regulatory Approval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develop, obtain regulatory approval for and commercialize TPST-1495, TPST-1120, or any of our future product candidates, or if we experience significant delays in doing so, our business will be materially harmed.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plan to invest a substantial amount of our efforts and financial resources in our current lead product candidates, TPST-1495, a dual EP2/EP4 prostaglandin (“PGE2”) receptor antagonist, and TPST-1120, a peroxisome proliferator-activated receptor alpha (“PPARα”) antagonist for the treatment of various cancers. We have initiated Phase 1 clinical trials of TPST-1495 and TPST-1120 for the treatment of advanced solid tumors. We intend to request meetings with FDA during 2024 to discuss a potential pivotal Phase 3 trial design for TPST-1120 for HCC, but the FDA may not agree that we are ready for such meetings, and may require that we conduct additional dose optimization or Phase 2 development work prior to proceeding to a Phase 3 trial. Any delay in our ability to proceed to a pivotal trial for TPST-1120 will add time and expense to the development pathway and adversely impact the timing and potential for profitability. Our ability to generate product revenue will depend heavily on the successful development and eventual commercialization of TPST-1495 and TPST-1120 and any future product candidates, which may never occur. We currently generate no revenue from sales of any product and we may never be able to develop or commercialize a marketable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TPST-1120 and any future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 of TPST-1495 and TPST-1120 and any future product candidates depends on multiple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Investigational New Drug applications or other regulatory applications, that allow commencement of our planned clinical trials or future clinical trials for our product candidates in relevant territories;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and maintaining relationships with contract research organizations (“CROs”) and clinical sites for the clinical development of our product candidates, both in the United States and internationally;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maintenance of arrangements with third-party contract manufacturing organizations (“CMOs”) for key materials used in our manufacturing processes and to establish backup sources for clinical and large-scale commercial supply;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positive results from our clinical programs that are supportive of safety and efficacy and provide an acceptable risk-benefit profile for our product candidates in the intended patient populations;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receipt of regulatory approvals from applicable regulatory authorities, including those necessary for pricing and reimbursement of our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establishment and maintenance of patent and trade secret protection and regulatory exclusivity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 launch of our product candidates, if and when approved, whether alone or in collaboration with others;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acceptance of our product candidates, if and when approved, by patients, patient advocacy groups, third-party payors and the general medical community;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effectively compete with developers of other therapies available in the market;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establishment and maintenance of adequate reimbursement from third-party payors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acquire or in-license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prosecution, maintenance, enforcement and defense of intellectual property rights and claims;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maintenance of a continued acceptable safety profile of our product candidates following approval, including meeting any post-marketing commitments or requirements imposed by or agreed to with applicable regulatory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political factors surrounding the approval process, such as government shutdowns;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such as the Russia-Ukraine war and the war in Israel, natural disasters including earthquakes, typhoons, floods and fires, and public health crises.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Success in preclinical studies and earlier clinical trials for our product candidates may not be indicative of the results that may be obtained in later clinical trials, which may delay or prevent obtaining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pivotal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our clinical trials demonstrate acceptable safety and efficacy of TPST-1495 and TPST-1120 or any future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TPST-1120,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patient eligibility criteria defined in the protocol;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size of the patient population required for analysis of the trial’s primary endpoints;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proximity of patients to study sites;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obtain and maintain patient consents;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risk that patients enrolled in our clinical trials will drop out of the trials before the infusion of our product candidates or trial completion.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the Russia-Ukraine war and the war in Israel, may delay or prevent patients from enrolling or from receiving treatment in accordance with the protocol and the required timelines, which could delay our clinical trials, or prevent us from completing our clinical trials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because our product candidates represent unproven methods for cancer treatment, potential patients and their doctors may be inclined to use existing therapies rather than enroll patients in our clinical trials.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pStyle w:val="TextBody"/>
        <w:bidi w:val="0"/>
        <w:jc w:val="both"/>
        <w:rPr>
          <w:rFonts w:ascii="Times New Roman" w:hAnsi="Times New Roman"/>
          <w:color w:val="000000"/>
          <w:sz w:val="20"/>
        </w:rPr>
      </w:pPr>
      <w:r>
        <w:rPr>
          <w:rFonts w:ascii="Times New Roman" w:hAnsi="Times New Roman"/>
          <w:color w:val="000000"/>
          <w:sz w:val="20"/>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We currently are investigating TPST-1120 and TPST-1495 in combination with other approved therapies, and we may in the future investigate product candidates in combination with other approved and unapproved therapies, which exposes us to additional risks.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investigating and may continue to investigate one or more of our product candidates in combination with one or more other approved or unapproved therapies to treat cancers.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including shortages of those products for use in our intended clinical trials.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 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current product candidates or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we complete the necessary preclinical studies and clinical trials, we cannot predict when, or if, we will obtain regulatory approval to commercialize a product candidate and the approval may be for a narrower indication than we seek.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Prior to commercialization, TPST-1495, TPST-1120 and any future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TPST-1120 or any future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Approval of TPST-1495 and TPST-1120 and any future product candidates may be delayed or refused for many reasons,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or comparable foreign regulatory authorities may disagree with the design or implementation of our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our product candidates are safe and effective for any of their proposed indications;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populations studied in clinical trials may not be sufficiently broad or representative to assure efficacy and safety in the populations for which we seek approval;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unable to demonstrate that our product candidates’ clinical and other benefits outweigh their safety risks;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support the submission of an NDA or other comparable submission in foreign jurisdictions or to obtain regulatory approval in the United States or elsewhere;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facilities of third-party manufacturers with which we contract or procure certain service or raw materials, may not be adequate to support approval of our product candidates;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TPST-1495, TPST-1120 and any future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TPST-1120 and any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if we or others later identify undesirable side effects caused by our product candidates, several potentially significant negative consequences could result,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authorities may suspend or withdraw approvals of such product candidate;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authorities may require additional warnings in the product labeling;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required to change the way a product candidate is administered or conduct additional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occurrences may harm our business, financial condition, results of operations and prospects significantly.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successful in our efforts to expand our pipeline of product candidates and develop marketable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our pipeline includes multiple programs, we are primarily focused on our lead product candidates, TPST-1495 and TPST-1120,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FFDCA relating to the promotion of prescription drugs may lead to investigations alleging violations of federal and state healthcare fraud and abuse laws, as well as state consumer protection laws and similar laws in international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later discovery of previously unknown adverse events or other problems with our product candidates, manufacturers or manufacturing processes, or failure to comply with regulatory requirements, may yield various results,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restrictions on such product candidates, manufacturers or manufacturing processes;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restrictions on the labeling or marketing of a product;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restrictions on product distribution or use;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withdrawal of any approved product from the market;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recall of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refusal to permit the import or export of our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seizure;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Non-compliance with Canadian and European requirements regarding safety monitoring or pharmacovigilance, and with requirements related to the development of products for the pediatric population, can also result in significant financial penalties.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obtain regulatory approval in international jurisdictions would prevent us from marketing our product candidates outside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market and sell TPST-1495, TPST-1120 and any future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Commercialization and Manufacturing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commercial success of our product candidates, including TPST-1495 and TPST-1120, will depend upon their degree of market acceptance by providers, patients, patient advocacy groups, third-party payors and the general medical community.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TPST-1120 or any future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a potential product displays a favorable efficacy and safety profile in preclinical studies and clinical trials, market acceptance of the product will not be fully known until after it is launched.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favorable coverage and reimbursement status is attained for one or more product candidates for which our collaborators receive regulatory approval, less favorable coverage policies and reimbursement rates may be implemented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third-party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TPST-1120, and any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rely on third parties to manufacture our clinical product supplies, and we may have to rely on third parties to produce and process our product candidates, if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manufacturers might be unable to timely formulate and manufacture our product or produce the quantity and quality required to meet our clinical and commercial needs,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manufacturers may not be able to execute our manufacturing procedures appropriately.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contract manufacturers may not perform as agreed or may not remain in the contract manufacturing business for the time required to supply our clinical trials or to successfully produce, store and distribute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own, or may have to share, the intellectual property rights to any improvements made by our third-party manufacturers in the manufacturing process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manufacturers could breach or terminate their agreement(s)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we will rely upon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market and sell our product candidates, we may be unable to generate any revenues.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do not have an organization for the sales, marketing and distribution of TPST-1495, TPST-1120 or any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TPST-1120 and any future product candidates, including in markets outside of the United States or for other large markets that are beyond our resources. This will reduce the revenue generated from the sales of these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successful in finding strategic collaborators for continuing development of certain of our future product candidates or successfully commercializing or competing in the market for certain indications.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FDA regulatory approval process is lengthy and time consuming, and we may experience significant delays in the clinical development and regulatory approval of our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experience delays in obtaining regulatory approvals, including but not limited to: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regulatory authorization to begin a trial, if applicable;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redesigning our study protocols and need to conduct additional studies as may be required by a regulator;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governmental or regulatory delays and changes in regulation or policy relating to the development and commercialization of our product candidate by the FDA or other comparable foreign regulatory authorities;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outcome, timing and cost of meeting regulatory requirements established by the FDA, and other comparable foreign regulatory authorities;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availability of financial resources to commence and complete the planned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negotiating the terms of any collaboration agreements we may choose to initiate or conclude;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reaching agreement on acceptable terms with prospective CROs and clinical trial sites, the terms of which can be subject to extensive negotiation and may vary significantly among different CROs and trial sites;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of third-party contractors, such as CROs, or investigators to comply with regulatory requirements, including GCPs;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or failure in obtaining the necessary approvals from regulators or institutional review boards (“IRBs”), in order to commence a clinical trial at a prospective trial site, or their suspension or termination of a clinical trial once commenced;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inability to recruit and enroll suitable patients to participate in a trial;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having patients complete a trial, including having patients enrolled in clinical trials dropping out of the trial before the product candidate is manufactured and returned to the site, or return for post-treatment follow-up;</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difficulty in having patients complete a trial or return for post-treatment follow-up;</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trial sites deviating from trial protocol or dropping out of a trial;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addressing any patient safety concerns that arise during the course of a trial;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inability to add new clinical trial sites;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varying interpretations of the data generated from our preclinical or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 of defending intellectual property disputes, including patent infringement actions brought by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 and timing of establishing, expanding and scaling manufacturing capabilities;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inability to manufacture, or obtain from third parties, sufficient quantities of qualified materials under cGMP, for the completion in pre-clinical and clinical studies;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problems with biopharmaceutical product candidate storage, stability and distribution resulting in global supply chain disruptions;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 of establishing sales, marketing and distribution capabilities for any product candidate for which we may receive regulatory approval in regions where we choose to commercialize our products on our own;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the Russia-Ukraine war and the war in Israel), restrictions on trade, import or export restrictions, or public health crises.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the factors that cause, or lead to, a delay in the commencement or completion of clinical trials may ultimately lead to the denial of regulatory approval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seek Breakthrough Therapy or Fast Track designation for some of our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decide to submit an NDA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Enacted and future legislation may increase the difficulty and cost for us to commercialize and obtain marketing approval of our product candidates and may affect the prices we may set.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brought by several states without specifically ruling on the constitutionality of the law. In addition, on August 16, 2022, President Biden signed the Inflation Reduction Act of 2022 ("IRA")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and through a newly established manufacturer discount program. In the future, there may be other efforts to challenge, repeal or replace the ACA. It is unclear how many such challenges and the healthcare reform measures of the Biden administration will impact the ACA and our business. We are continuing to monitor any changes to the ACA that, in turn, may potentially impact our business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Recently, the cost of prescription pharmaceuticals has been the subject of considerable discussion in the United States at both the federal and state levels. While several proposed reform measures will require Congress to pass legislation to become effective, Congress and the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the U.S. Department of Health and Human Services ("HHS") to issue a report to the White House that includes a plan to, among other things, reduce prices for prescription drugs, including prices paid by the federal government for such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the ACA and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FDA’s ability to review and approve new products may be hindered by a variety of factors, including budget and funding levels, ability to hire and retain key personnel, statutory, regulatory and policy changes and global health concerns.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stringent and evolving U.S. and foreign laws, regulations, and rules, contractual obligations, industry standards, policies and other obligations related to data privacy and security, and our failure to comply with them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collect, receive, store, process, generate, use, transfer, disclose, make accessible, protect, secure, dispose of, transmit, and share (collectively, process) a large quantity of sensitive information, including confidential business and patient health information in connection with our preclinical and clinical studies.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there are numerous federal and state privacy and data security laws and regulations governing the processing of personal data, including health information privacy laws, security breach notification laws, consumer protection laws, and other similar laws (e.g., wiretapping laws). Each of these laws is subject to varying interpretations and constantly evolving. In addition, we obtain health information from third parties (including research institutions from which it obtains clinical trial data) that are subject to privacy and security requirements under the Health Insurance Portability and Accountability Act of 1996 (“HIPAA”), which imposes specific requirements relating to the privacy, security, and transmission of protected health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states have also adopted comprehensive privacy laws and regulations that impose certain obligations on covered businesses, including providing specific disclosures in privacy notices and affording residents with certain rights concerning their personal data. For example, the California Consumer Privacy Act, as amended by the California Privacy Rights Act (“CPRA”) (collectively, the “CCPA”) gives California residents expanded rights to access and delete their personal data, opt out of certain personal data sharing, and receive detailed information about how their personal information is used. The CCPA provides for civil penalties for violations, as well as a private right of action for data breaches that is expected to increase data breach litigation. Although the CCPA exempts some data processed in the context of clinical trials, the CCPA may increase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compliance costs and potential liability. Similar laws are being considered in several other states, as well as at the federal and local levels, and we expect more states to pass similar laws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privacy and security. For example, in Canada, the Personal Information Protection and Electronic Documents Act (“PIPEDA”) and similar provincial laws may impose obligations with respect to processing personal data, including health-related information. PIPEDA requires companies to obtain an individual’s consent when collecting, using or disclosing that individual’s personal data. Individuals have the right to access and challenge the accuracy of their personal data held by an organization, and personal data may only be used for the purposes for which it was collected. If an organization intends to use personal data for another purpose, it must again obtain that individual’s consent. Failure to comply with PIPEDA could result in significant fines and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another example, the European Union’s General Data Protection Regulation (the “EU GDPR”) and the United Kingdom’s GDPR (together with EU GDPR, “GDPR”) also impose strict requirements for processing personal data and substantial fines for breaches and violations (for example, under the EU GDPR, up to the greater of €20 million or 4% of our annual worldwide gross revenue). Additionally, under GDPR, companies may face temporary or definitive bans on data processing and other corrective action or private litigation related to processing of personal data brought by classes of data subjects or consumer protection organizations authorized at law to represent their interests.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data privacy and security laws, we are contractually subject to industry standards adopted by industry groups and, we may become subject to such obligations in the future. 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these obligations is a rigorous and time-intensive process, and we may be required to put in place additional mechanisms designed to ensure compliance with these obligations. If we fail (or are perceived to have failed) to comply with any such obligations, we may face significant consequences, including without limitation government enforcement actions (e.g., investigations, fines and penalties, audits, inspections); litigation (including class-action claims) and mass arbitration demands); additional reporting requirements and/or oversight; bans on processing personal data; orders to destroy or not use personal data; imprisonment of company officials; or other consequences that could adversely affect our business, financial condition and 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our information technology systems or those of third parties upon which we rely, or our data, are or were compromised, we could experience adverse consequences, including disclosure of sensitive information, damage to our reputation, and significant financial and legal exposure.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upon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which we rely. These threats are increasing in their frequency, sophistication and intensity, have become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Cyberattacks could include wrongful conduct by hostile foreign governments, industrial espionage, wire fraud and other forms of cyber fraud, the deployment of harmful malware, denial-of-service attacks, social engineering attacks (including through deep-fakes, which may be increasingly more difficult to identify as fake, and phishing attacks), malicious code (such as viruses and worms), credential stuffing attacks, credential harvesting, ransomware attacks, supply-chain attacks, software bugs, server malfunctions, software or hardware failures, loss of data, attacks enhanced or facilitated by artificial intelligence or other information technology assets, fraud or other means to threaten confidentiality, integrity and availability of our sensitive information. We and the third parties upon which we rely may also experience telecommunications failures, natural disasters, terrorism, war and other similar threats.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more of our employees work remotely, the risk of a cybersecurity incident potentially occurring, and our investment in risk mitigations against such an incident, is increasing. For example, there has been an increase in phishing and spam emails as well as social engineering attempts from “hackers.”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rely on third parties and their technology to operate critical business systems to process sensitive information, including our CROs, CMOs and other contractors, consultants and law and accounting firms.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our third-party partners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devote resources to protect our information systems, we realize that cyberattacks are a threat, and there can be no assurance that our efforts will prevent information security breaches. We take steps designed to detect, mitigate, and remediate vulnerabilities in our information systems (such as our and the third parties’ upon which we rely hardware and software).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our sensitive information or our information technology systems, or those of the third parties upon whom we rely. A security incident or other interruption could disrupt our ability (and that of third parties upon whom we rely) to provide our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successful or perceived security incident experienced by us or the third parties upon which we rely could cause serious negative consequences for us, including, without limitation, the disruption of operations, the misappropriation of sensitive information, disclosure of corporate strategic plans, material disruption of our development programs and our business operations, government enforcement actions (e.g., investigations, fines, penalties, audits, inspections), additional reporting requirements and/or oversight, restrictions on processing sensitive information, litigation, indemnification obligations, reputational harm, negative publicity, and other harms. For example, the loss of data from preclinical studies or clinical trials could result in significant delays in our regulatory approval efforts and significantly increase our costs to recover or reproduce the data. To the extent that any disruption or security incident were to result in a loss of, or damage to, our sensitive information or applications, or inappropriate disclosure of such information, we could incur liability, our competitive position could be harmed and the further development and commercialization of our product candidates could be significantly delayed.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employees, principal investigators, CROs, CMOs and consultants may engage in misconduct or other improper activities, including non-compliance with regulatory standards and requirements and insider trading.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must be approved for reimbursement before it can be approved for sale in that jurisdiction. In some cases, the price that we intend to charge for our products is also subject to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Restrictions under applicable U.S. federal and state healthcare laws and regulations include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 chiropractors), other healthcare professionals (such as physician assistants and nurse practitioners), and, teaching hospitals, as well as certain ownership and investment interests held by physicians and their immediate family;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tax laws or regulations could materially adversely affect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success depends in part on our ability to obtain, maintain and protect our intellectual property. It is difficult and costly to protect our proprietary rights and technology, and we may not be able to ensure their protection.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success will depend in large part on obtaining and maintaining patent, trademark, trade secret and other intellectual property protection of our proprietary technologies and product candidates, which include TPST-1495, TPST-1120 and any future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pStyle w:val="TextBody"/>
        <w:bidi w:val="0"/>
        <w:spacing w:before="240" w:after="283"/>
        <w:jc w:val="both"/>
        <w:rPr>
          <w:rFonts w:ascii="Times New Roman" w:hAnsi="Times New Roman"/>
          <w:sz w:val="20"/>
        </w:rPr>
      </w:pPr>
      <w:r>
        <w:rPr>
          <w:rFonts w:ascii="Times New Roman" w:hAnsi="Times New Roman"/>
          <w:b/>
          <w:i/>
          <w:color w:val="000000"/>
          <w:sz w:val="20"/>
        </w:rPr>
        <w:t>We currently and may in the future depend on intellectual property licensed from third parties, and our current or future licensors may not always act in our best interest. If we fail to comply with our obligations under our intellectual property</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licenses, if the licenses are terminated, or if disputes regarding these licenses arise, we could lose significant rights that may be important to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license intellectual property from the Regents of the University of California and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in the future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current or future licensors fail to adequately protect our licensed intellectual property, our ability to commercialize product candidates could suffer. We may not have complete control over the maintenance, prosecution and litigation of our current or future in-licensed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royalty, milestone or other payment obligations that may result from the advancement or commercial sale of any of our product candidates;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owned and in-licensed patents and patent applications may not provide sufficient protection of our product candidates or result in any competitive advantage.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position of biopharmaceutical companies generally is highly uncertain, involves complex legal and factual questions, and has been the subject of much litigation.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inter partes review proceedings. An adverse determination in any such submission, proceeding or litigation may result in loss of patent rights, loss of exclusivity, patent term adjustment being jeopardized, patent term being reduced,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2044,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others may be able to make or use compounds that are similar to the active compositions of our product candidates but that are not covered by the claims of our patents;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APIs in our current product candidates will eventually become commercially available in generic drug products, and no patent protection may be available with regard to formulation or method of use;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or our current or future licensors, as the case may be, may fail to meet our or our obligations to the U.S. government regarding any patents and patent applications funded by U.S. government grants, leading to the loss or unenforceability of patent rights;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or our current or future licensors, as the case may be, might not have been the first to file patent applications for certain inventions;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our pending patent applications will not result in issued patents;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there are prior public disclosures that could invalidate our owned or in-licensed patents, as the case may be, or parts of our owned or in-licensed patents;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others may circumvent our owned or in-licensed patents;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there are unpublished applications or patent applications maintained in secrecy that may later issue with claims covering our product candidates or technology similar to ours;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laws of foreign countries may not protect our, or our current or future licensors’, as the case may be, proprietary rights to the same extent as the laws of the United States;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claims of our owned or in-licensed issued patents or patent applications, if and when issued, may not adequately cover our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engaged in scientific collaborations in the past and will continue to do so in the future and our collaborators may develop adjacent or competing products that are outside the scope of our patents;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develop additional proprietary technologies for which we can obtain patent protection;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product candidates or diagnostic tests we develop may be covered by third parties’ patents or other exclusive rights;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 foregoing could have a material adverse effect on our business, financial conditions,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strategy of obtaining rights to key technologies through in-licenses may not be successful.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contractual measures, we try to protect the confidential nature of our proprietary information through other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security incident,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Third-party claims of intellectual property infringement may prevent, delay or otherwise interfere with our product discovery and development efforts.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color w:val="000000"/>
          <w:sz w:val="20"/>
        </w:rPr>
        <w:t>inter partes</w:t>
      </w:r>
      <w:r>
        <w:rPr>
          <w:rFonts w:ascii="Times New Roman" w:hAnsi="Times New Roman"/>
          <w:color w:val="000000"/>
          <w:sz w:val="20"/>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third party claims that we infringe, misappropriate or otherwise violate their intellectual property rights, we may face a number of issues,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infringement and other intellectual property claims that, regardless of merit, may be expensive and time-consuming to litigate and may divert our management’s attention from our core business;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license is available from a third party, we may have to pay substantial royalties, upfront fees and other amounts, and/or grant cross-licenses to intellectual property rights for our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requirement that we redesign our product candidates or processes so they do not infringe, which may not be possible or may require substantial monetary expenditures and time;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that event, we would be unable to further develop and commercialize our product candidates, which could significantly harm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 and could result in a finding that such patents are unenforceable or invalid.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 parties may assert that our employees or consultants have wrongfully used or disclosed confidential information or misappropriated trade secrets.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patent law in the United States and in non-U.S. jurisdictions could diminish the value of patents in general, thereby impairing our ability to protect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by the federal courts, the U.S. Congress or the USPTO may impact the value of our patent rights. For example, the Federal Circuit recently issued a decision involving the interaction of patent term adjustment (PTA), terminal disclaimers, and obviousness-type double patenting. This decision creates uncertainty to the patent terms of certain U.S. patents that share the same priority claim where on expires later than another due to accrued PTA.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further example, as of June 1, 2023, European patent applications and patents may be subjected to the jurisdiction of the Unified Patent Court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do not obtain patent term extension for any product candidates it may develop, our business may be materially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we request.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Intellectual property discovered through government funded programs may be subject to federal regulations such as </w:t>
      </w:r>
      <w:r>
        <w:rPr>
          <w:rFonts w:ascii="Times New Roman" w:hAnsi="Times New Roman"/>
          <w:color w:val="000000"/>
          <w:sz w:val="20"/>
        </w:rPr>
        <w:t>“</w:t>
      </w:r>
      <w:r>
        <w:rPr>
          <w:rFonts w:ascii="Times New Roman" w:hAnsi="Times New Roman"/>
          <w:b/>
          <w:i/>
          <w:color w:val="000000"/>
          <w:sz w:val="20"/>
        </w:rPr>
        <w:t>march-in</w:t>
      </w:r>
      <w:r>
        <w:rPr>
          <w:rFonts w:ascii="Times New Roman" w:hAnsi="Times New Roman"/>
          <w:color w:val="000000"/>
          <w:sz w:val="20"/>
        </w:rPr>
        <w:t xml:space="preserve">” </w:t>
      </w:r>
      <w:r>
        <w:rPr>
          <w:rFonts w:ascii="Times New Roman" w:hAnsi="Times New Roman"/>
          <w:b/>
          <w:i/>
          <w:color w:val="000000"/>
          <w:sz w:val="20"/>
        </w:rPr>
        <w:t>rights, certain reporting requirements and a preference for U.S.-based companies. Compliance with such regulations may limit our exclusive rights and limit our ability to contract with non-U.S. 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patent application in-licensed from the Regents of the University of California has been supported through the use of U.S. government funding awarded by the National Institutes of Health. Although we do not currently own issued patents or pending patent applications that have been generated through the use of U.S. government funding, we may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adequate steps have not been taken to commercialize the invention; (2) government action is necessary to meet public health or safety needs; or (3) government action is necessary to meet requirements for public use under federal regulations (also referred to as march-in rights). Recently, the government released a draft framework that may be used by an agency when deciding to exercise its march-in rights for public comments, and as such, the framework for deciding when march-in rights are exercised may change.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Ownership of Our Common Stock and Other General Matters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trading price of the shares of our common stock has been and is likely to continue to be volatile, and purchasers of our common stock could incur substantial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 price of our common stock has been and is likely to continue to be volatile. For example, during 2023, the closing price of our common stock on The Nasdaq Capital Market ranged from $0.23 per share to $9.77 per share. Some of the factors that may cause the market price of our common stock to fluctuate include: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results of clinical trials and preclinical studies of our product candidates, or those of our competitors or our existing or future collaborators;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meet or exceed financial and development projections we may provide to the public;</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meet or exceed the financial and development projections of the investment community;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announcements of significant acquisitions, strategic collaborations, joint ventures or capital commitments by us or our competitors;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actions taken by regulatory agencies with respect to our product candidates, clinical studies, manufacturing process or sales and marketing terms;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securities or industry analysts do not publish research or reports about our business, or if they issue adverse or misleading opinions regarding our business and stock;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securities by us or our securityholders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raise an adequate amount of capital to fund our operations and continued development of our product candidates;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announcements by competitors of new commercial products, clinical progress or lack thereof, significant contracts, commercial relationships or capital commitments;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 publicity relating to precision medicine product candidates, including with respect to other products in such markets;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introduction of technological innovations or new therapies that compete with our products and services;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economic, political, and market conditions and overall fluctuations in the financial markets in the United States and abroad, including as a result of bank failures, public health crises or geopolitical tensions, such as the Russia-Ukraine war and the armed conflict in Israel and the Gaza Strip;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period-to-period fluctuations in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Unstable market and economic conditions may have serious adverse consequences on our business, financial condition and share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the recent bank closures and geopolitical tensions, like the Russia-Ukraine war and the war in Israel, has created extreme volatility in the global capital markets and is expected to have further global economic consequences, including disruptions of the global supply chain and energy markets. Any such volatility and disruptions may have adverse consequences for us or the third parties on whom we rely. If the equity and credit markets deteriorate, including as a result of future bank closures or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common stock is thinly traded and our stockholders may be unable to sell their shares quickly or at market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 smaller reporting company, and the reduced reporting requirements applicable to smaller reporting companies may make our common stock less attractive to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Status as a Public Company and Other General Matters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expect to continue to incur increased costs as a result of operating as a public company, and our management is required to devote substantial time to compliance with our public company responsibilities and corporate governance practices.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continue to incur significant legal, accounting and other expenses. The Sarbanes-Oxley Act, the Dodd-Frank Wall Street Reform and Consumer Protection Act, the listing requirements of the Nasdaq Stock Market (Nasdaq)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in September 2023, we received a notice from Nasdaq notifying us that for the previous 30 consecutive business days, the bid price of our common stock had closed below $1.00 per share, the minimum closing bid price required by the continued listing requirements of Nasdaq Listing Rule 5550(a)(2). We were able to achieve compliance within the 180 calendar day compliance period, but there can be no assurance that we will remain in compliance with the requirements for listing our common stock on Nasdaq. Delisting could adversely affect our ability to raise additional capital through the public or private sale of equity securities, would significantly affect the ability of investors to trade our securities and would negatively affect the value and liquidity of our common shares. Delisting could also have other negative results, including the potential loss of confidence by employees, the loss of institutional investor interest and fewer business development opportunities. Also,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pStyle w:val="TextBody"/>
        <w:bidi w:val="0"/>
        <w:jc w:val="both"/>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 auditors formally attest to the effectiveness of our internal control over financial reporting until we cease to be a smaller reporting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We cannot assure you that there will not be material weaknesses or significant deficiencies in the internal control over financial reporting in the future.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we are not able to comply with the requirements of Section 404 of the Sarbanes-Oxley Act, in a timely manner, or if we are unable to maintain proper and effective internal controls, we may not be able to accurately report our financial condition, results of operations or cash flows.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or the third parties upon whom we depend may be adversely affected by natural disasters and other calamities, including public health crises, and our business continuity and disaster recovery plans may not adequately protect us from a serious disaster.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have a material and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decreased demand for any product candidates that we may develop;</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time and costs to defend the related litigation;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termination of our collaboration relationships or disputes with our collaborators;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voluntary product recalls, withdrawals or labeling restrictions;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inability to commercialize any product candidates that we may develop.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establish a classified board of directors such that not all members of the board are elected at one time;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limit the manner in which stockholders can remove directors from the board;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for nominations to our board of directors;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prohibit actions by our stockholders by written consent;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 that stockholder actions be effected at a duly called stockholders meeting;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require the approval of the holders of at least 75% of the votes that all our stockholders would be entitled to cast to amend or repeal certain provisions of our certificate of incorporation or by-laws.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October 2023, we implemented a Rights Plan, also called a “poison pill,” that may have the effect of discouraging or preventing a change of control by, among other things, making it uneconomical for a third party to acquire us without the consent of our board of directors. The Rights will expire on October 10, 2024, or, if our stockholders approve the Rights Plan, on October 10, 2026, unless the Rights are earlier redeemed or exchanged by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anticipate that we will pay any cash dividends in the foreseeable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current expectation is that we will retain our future earnings, if any, to fund our growth as opposed to paying dividends. As a result, capital appreciation, if any, of our common stock will be your sole source of gain, if any, for the foreseeable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29" w:name="item_2_unregistered_sales_equity_securit"/>
      <w:bookmarkEnd w:id="29"/>
      <w:r>
        <w:rPr>
          <w:rFonts w:ascii="Times New Roman" w:hAnsi="Times New Roman"/>
          <w:b/>
          <w:color w:val="000000"/>
          <w:sz w:val="20"/>
        </w:rPr>
        <w:t>Item 2. Unregistered Sales of Equity Securities and Use of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30" w:name="item_3_defaults_upon_senior_securities"/>
      <w:bookmarkEnd w:id="30"/>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31" w:name="item_4_mine_safety_disclosures"/>
      <w:bookmarkEnd w:id="31"/>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32" w:name="item_5_other_information"/>
      <w:bookmarkEnd w:id="32"/>
      <w:r>
        <w:rPr>
          <w:rFonts w:ascii="Times New Roman" w:hAnsi="Times New Roman"/>
          <w:b/>
          <w:color w:val="000000"/>
          <w:sz w:val="20"/>
        </w:rPr>
        <w:t>Item 5. Other Information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Insider Trading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our last fiscal quarter, no director or officer (as defined in Rule 16a-1(f) under the Exchange Act) adopted or terminated a “Rule 10b5-1 trading arrangement” or “non-Rule 10b5-1 trading arrangement,” as each term is defined in Item 408(a)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33" w:name="item_6_exhibits"/>
      <w:bookmarkEnd w:id="33"/>
      <w:r>
        <w:rPr>
          <w:rFonts w:ascii="Times New Roman" w:hAnsi="Times New Roman"/>
          <w:b/>
          <w:color w:val="000000"/>
          <w:sz w:val="20"/>
        </w:rPr>
        <w:t>Item 6.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exhibits are incorporated by reference or filed as part of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4"/>
        <w:gridCol w:w="5387"/>
        <w:gridCol w:w="526"/>
        <w:gridCol w:w="821"/>
        <w:gridCol w:w="676"/>
        <w:gridCol w:w="632"/>
        <w:gridCol w:w="1259"/>
      </w:tblGrid>
      <w:tr>
        <w:trPr/>
        <w:tc>
          <w:tcPr>
            <w:tcW w:w="904" w:type="dxa"/>
            <w:tcBorders/>
            <w:vAlign w:val="center"/>
          </w:tcPr>
          <w:p>
            <w:pPr>
              <w:pStyle w:val="TableContents"/>
              <w:bidi w:val="0"/>
              <w:spacing w:before="0" w:after="283"/>
              <w:jc w:val="left"/>
              <w:rPr>
                <w:sz w:val="4"/>
                <w:szCs w:val="4"/>
              </w:rPr>
            </w:pPr>
            <w:r>
              <w:rPr>
                <w:sz w:val="4"/>
                <w:szCs w:val="4"/>
              </w:rPr>
            </w:r>
          </w:p>
        </w:tc>
        <w:tc>
          <w:tcPr>
            <w:tcW w:w="538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904" w:type="dxa"/>
            <w:tcBorders/>
            <w:tcMar>
              <w:top w:w="0" w:type="dxa"/>
              <w:left w:w="0" w:type="dxa"/>
              <w:bottom w:w="0" w:type="dxa"/>
              <w:right w:w="0" w:type="dxa"/>
            </w:tcMar>
            <w:vAlign w:val="center"/>
          </w:tcPr>
          <w:p>
            <w:pPr>
              <w:pStyle w:val="TableContents"/>
              <w:bidi w:val="0"/>
              <w:spacing w:before="0" w:after="283"/>
              <w:jc w:val="left"/>
              <w:rPr/>
            </w:pPr>
            <w:r>
              <w:rPr/>
              <w:t> </w:t>
            </w:r>
          </w:p>
        </w:tc>
        <w:tc>
          <w:tcPr>
            <w:tcW w:w="538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4" w:type="dxa"/>
            <w:gridSpan w:val="5"/>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20"/>
              </w:rPr>
            </w:pPr>
            <w:r>
              <w:rPr>
                <w:rFonts w:ascii="Times New Roman" w:hAnsi="Times New Roman"/>
                <w:b/>
                <w:color w:val="000000"/>
                <w:sz w:val="20"/>
              </w:rPr>
              <w:t>Incorporation by Reference</w:t>
            </w:r>
          </w:p>
        </w:tc>
      </w:tr>
      <w:tr>
        <w:trPr/>
        <w:tc>
          <w:tcPr>
            <w:tcW w:w="904"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Exhibit Number</w:t>
            </w:r>
          </w:p>
        </w:tc>
        <w:tc>
          <w:tcPr>
            <w:tcW w:w="5387"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Description of Exhibit</w:t>
            </w:r>
          </w:p>
        </w:tc>
        <w:tc>
          <w:tcPr>
            <w:tcW w:w="526"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Form</w:t>
            </w:r>
          </w:p>
        </w:tc>
        <w:tc>
          <w:tcPr>
            <w:tcW w:w="821"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File Number</w:t>
            </w:r>
          </w:p>
        </w:tc>
        <w:tc>
          <w:tcPr>
            <w:tcW w:w="676"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Exhibit</w:t>
            </w:r>
          </w:p>
        </w:tc>
        <w:tc>
          <w:tcPr>
            <w:tcW w:w="632"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Filing Date</w:t>
            </w:r>
          </w:p>
        </w:tc>
        <w:tc>
          <w:tcPr>
            <w:tcW w:w="1259"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18"/>
              </w:rPr>
            </w:pPr>
            <w:r>
              <w:rPr>
                <w:rFonts w:ascii="Times New Roman" w:hAnsi="Times New Roman"/>
                <w:b/>
                <w:color w:val="000000"/>
                <w:sz w:val="18"/>
              </w:rPr>
              <w:t>Filed or Furnished Herewith</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r:id="rId2">
              <w:r>
                <w:rPr>
                  <w:rStyle w:val="InternetLink"/>
                  <w:rFonts w:ascii="Times New Roman" w:hAnsi="Times New Roman"/>
                  <w:color w:val="0000FF"/>
                  <w:sz w:val="18"/>
                  <w:u w:val="single"/>
                </w:rPr>
                <w:t>Restated Certificate of Incorporation of the Registrant, as amended</w:t>
              </w:r>
            </w:hyperlink>
          </w:p>
        </w:tc>
        <w:tc>
          <w:tcPr>
            <w:tcW w:w="52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10-Q</w:t>
            </w:r>
          </w:p>
        </w:tc>
        <w:tc>
          <w:tcPr>
            <w:tcW w:w="821"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001-35890</w:t>
            </w:r>
          </w:p>
        </w:tc>
        <w:tc>
          <w:tcPr>
            <w:tcW w:w="67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w:t>
            </w:r>
          </w:p>
        </w:tc>
        <w:tc>
          <w:tcPr>
            <w:tcW w:w="632"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5/15/2019</w:t>
            </w:r>
          </w:p>
        </w:tc>
        <w:tc>
          <w:tcPr>
            <w:tcW w:w="1259" w:type="dxa"/>
            <w:tcBorders/>
            <w:tcMar>
              <w:top w:w="0" w:type="dxa"/>
              <w:left w:w="0" w:type="dxa"/>
              <w:bottom w:w="0" w:type="dxa"/>
              <w:right w:w="0" w:type="dxa"/>
            </w:tcMar>
            <w:vAlign w:val="center"/>
          </w:tcPr>
          <w:p>
            <w:pPr>
              <w:pStyle w:val="TableContents"/>
              <w:bidi w:val="0"/>
              <w:spacing w:before="30" w:after="3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3.2</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r:id="rId3">
              <w:r>
                <w:rPr>
                  <w:rStyle w:val="InternetLink"/>
                  <w:rFonts w:ascii="Times New Roman" w:hAnsi="Times New Roman"/>
                  <w:color w:val="0000FF"/>
                  <w:sz w:val="18"/>
                  <w:u w:val="single"/>
                </w:rPr>
                <w:t>Certificate of Amendment to the Restated Certificate of Incorporation of the Company, as filed with the Secretary of State of the State of Delaware on June 24, 2021</w:t>
              </w:r>
            </w:hyperlink>
          </w:p>
        </w:tc>
        <w:tc>
          <w:tcPr>
            <w:tcW w:w="52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8-K</w:t>
            </w:r>
          </w:p>
        </w:tc>
        <w:tc>
          <w:tcPr>
            <w:tcW w:w="821"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001-35890</w:t>
            </w:r>
          </w:p>
        </w:tc>
        <w:tc>
          <w:tcPr>
            <w:tcW w:w="67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w:t>
            </w:r>
          </w:p>
        </w:tc>
        <w:tc>
          <w:tcPr>
            <w:tcW w:w="632"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6/28/2021</w:t>
            </w:r>
          </w:p>
        </w:tc>
        <w:tc>
          <w:tcPr>
            <w:tcW w:w="1259" w:type="dxa"/>
            <w:tcBorders/>
            <w:tcMar>
              <w:top w:w="0" w:type="dxa"/>
              <w:left w:w="0" w:type="dxa"/>
              <w:bottom w:w="0" w:type="dxa"/>
              <w:right w:w="0" w:type="dxa"/>
            </w:tcMar>
            <w:vAlign w:val="center"/>
          </w:tcPr>
          <w:p>
            <w:pPr>
              <w:pStyle w:val="TableContents"/>
              <w:bidi w:val="0"/>
              <w:spacing w:before="30" w:after="3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3.3</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r:id="rId4">
              <w:r>
                <w:rPr>
                  <w:rStyle w:val="InternetLink"/>
                  <w:rFonts w:ascii="Times New Roman" w:hAnsi="Times New Roman"/>
                  <w:color w:val="0000FF"/>
                  <w:sz w:val="18"/>
                  <w:u w:val="single"/>
                </w:rPr>
                <w:t>Certificate of Amendment to the Restated Certificate of Incorporation of the Company, as filed with the Secretary of State of the State of Delaware on June 25, 2021</w:t>
              </w:r>
            </w:hyperlink>
          </w:p>
        </w:tc>
        <w:tc>
          <w:tcPr>
            <w:tcW w:w="52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8-K</w:t>
            </w:r>
          </w:p>
        </w:tc>
        <w:tc>
          <w:tcPr>
            <w:tcW w:w="821"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001-35890</w:t>
            </w:r>
          </w:p>
        </w:tc>
        <w:tc>
          <w:tcPr>
            <w:tcW w:w="67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3.2</w:t>
            </w:r>
          </w:p>
        </w:tc>
        <w:tc>
          <w:tcPr>
            <w:tcW w:w="632"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6/28/2021</w:t>
            </w:r>
          </w:p>
        </w:tc>
        <w:tc>
          <w:tcPr>
            <w:tcW w:w="1259" w:type="dxa"/>
            <w:tcBorders/>
            <w:tcMar>
              <w:top w:w="0" w:type="dxa"/>
              <w:left w:w="0" w:type="dxa"/>
              <w:bottom w:w="0" w:type="dxa"/>
              <w:right w:w="0" w:type="dxa"/>
            </w:tcMar>
            <w:vAlign w:val="center"/>
          </w:tcPr>
          <w:p>
            <w:pPr>
              <w:pStyle w:val="TableContents"/>
              <w:bidi w:val="0"/>
              <w:spacing w:before="30" w:after="3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3.4</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r:id="rId5">
              <w:r>
                <w:rPr>
                  <w:rStyle w:val="InternetLink"/>
                  <w:rFonts w:ascii="Times New Roman" w:hAnsi="Times New Roman"/>
                  <w:color w:val="0000FF"/>
                  <w:sz w:val="18"/>
                  <w:u w:val="single"/>
                </w:rPr>
                <w:t>Certificate of Designation of Series A Junior Participating Preferred Stock filed with the Secretary of State of the State of Delaware on October 10, 2023</w:t>
              </w:r>
            </w:hyperlink>
          </w:p>
        </w:tc>
        <w:tc>
          <w:tcPr>
            <w:tcW w:w="52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8-K</w:t>
            </w:r>
          </w:p>
        </w:tc>
        <w:tc>
          <w:tcPr>
            <w:tcW w:w="821"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001-35890</w:t>
            </w:r>
          </w:p>
        </w:tc>
        <w:tc>
          <w:tcPr>
            <w:tcW w:w="67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w:t>
            </w:r>
          </w:p>
        </w:tc>
        <w:tc>
          <w:tcPr>
            <w:tcW w:w="632"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10/11/2023</w:t>
            </w:r>
          </w:p>
        </w:tc>
        <w:tc>
          <w:tcPr>
            <w:tcW w:w="1259" w:type="dxa"/>
            <w:tcBorders/>
            <w:tcMar>
              <w:top w:w="0" w:type="dxa"/>
              <w:left w:w="0" w:type="dxa"/>
              <w:bottom w:w="0" w:type="dxa"/>
              <w:right w:w="0" w:type="dxa"/>
            </w:tcMar>
            <w:vAlign w:val="center"/>
          </w:tcPr>
          <w:p>
            <w:pPr>
              <w:pStyle w:val="TableContents"/>
              <w:bidi w:val="0"/>
              <w:spacing w:before="30" w:after="3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3.5</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r:id="rId6">
              <w:r>
                <w:rPr>
                  <w:rStyle w:val="InternetLink"/>
                  <w:rFonts w:ascii="Times New Roman" w:hAnsi="Times New Roman"/>
                  <w:color w:val="0000FF"/>
                  <w:sz w:val="18"/>
                  <w:u w:val="single"/>
                </w:rPr>
                <w:t>Amended and Restated Bylaws of the Registrant</w:t>
              </w:r>
            </w:hyperlink>
          </w:p>
        </w:tc>
        <w:tc>
          <w:tcPr>
            <w:tcW w:w="52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8-K</w:t>
            </w:r>
          </w:p>
        </w:tc>
        <w:tc>
          <w:tcPr>
            <w:tcW w:w="821"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001-35890</w:t>
            </w:r>
          </w:p>
        </w:tc>
        <w:tc>
          <w:tcPr>
            <w:tcW w:w="676"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w:t>
            </w:r>
          </w:p>
        </w:tc>
        <w:tc>
          <w:tcPr>
            <w:tcW w:w="632" w:type="dxa"/>
            <w:tcBorders/>
            <w:tcMar>
              <w:top w:w="0" w:type="dxa"/>
              <w:left w:w="0" w:type="dxa"/>
              <w:bottom w:w="0" w:type="dxa"/>
              <w:right w:w="0" w:type="dxa"/>
            </w:tcMar>
            <w:vAlign w:val="center"/>
          </w:tcPr>
          <w:p>
            <w:pPr>
              <w:pStyle w:val="TableContents"/>
              <w:bidi w:val="0"/>
              <w:spacing w:before="30" w:after="30"/>
              <w:jc w:val="right"/>
              <w:rPr>
                <w:rFonts w:ascii="Times New Roman" w:hAnsi="Times New Roman"/>
                <w:color w:val="000000"/>
                <w:sz w:val="18"/>
              </w:rPr>
            </w:pPr>
            <w:r>
              <w:rPr>
                <w:rFonts w:ascii="Times New Roman" w:hAnsi="Times New Roman"/>
                <w:color w:val="000000"/>
                <w:sz w:val="18"/>
              </w:rPr>
              <w:t>9/24/2021</w:t>
            </w:r>
          </w:p>
        </w:tc>
        <w:tc>
          <w:tcPr>
            <w:tcW w:w="1259" w:type="dxa"/>
            <w:tcBorders/>
            <w:tcMar>
              <w:top w:w="0" w:type="dxa"/>
              <w:left w:w="0" w:type="dxa"/>
              <w:bottom w:w="0" w:type="dxa"/>
              <w:right w:w="0" w:type="dxa"/>
            </w:tcMar>
            <w:vAlign w:val="center"/>
          </w:tcPr>
          <w:p>
            <w:pPr>
              <w:pStyle w:val="TableContents"/>
              <w:bidi w:val="0"/>
              <w:spacing w:before="30" w:after="3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31.1</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w:anchor="tpst-ex31_1.htm">
              <w:r>
                <w:rPr>
                  <w:rStyle w:val="InternetLink"/>
                  <w:rFonts w:ascii="Times New Roman" w:hAnsi="Times New Roman"/>
                  <w:color w:val="0000FF"/>
                  <w:sz w:val="18"/>
                  <w:u w:val="single"/>
                </w:rPr>
                <w:t>Certification of Principal Executive Officer pursuant to Rules 13a-14(a) and 15d-14(a) promulgated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30" w:after="3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31.2</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w:anchor="tpst-ex31_2.htm">
              <w:r>
                <w:rPr>
                  <w:rStyle w:val="InternetLink"/>
                  <w:rFonts w:ascii="Times New Roman" w:hAnsi="Times New Roman"/>
                  <w:color w:val="0000FF"/>
                  <w:sz w:val="18"/>
                  <w:u w:val="single"/>
                </w:rPr>
                <w:t>Certification of Principal Financial Officer pursuant to Rules 13a-14(a) and 15d-14(a) promulgated under the Securities Exchange Act of 1934, as adopted pursuant to section 302 of the Sarbanes-Oxley Act of 2002</w:t>
              </w:r>
            </w:hyperlink>
          </w:p>
        </w:tc>
        <w:tc>
          <w:tcPr>
            <w:tcW w:w="526" w:type="dxa"/>
            <w:tcBorders/>
            <w:tcMar>
              <w:top w:w="0" w:type="dxa"/>
              <w:left w:w="0" w:type="dxa"/>
              <w:bottom w:w="0" w:type="dxa"/>
              <w:right w:w="0" w:type="dxa"/>
            </w:tcMar>
            <w:vAlign w:val="center"/>
          </w:tcPr>
          <w:p>
            <w:pPr>
              <w:pStyle w:val="TableContents"/>
              <w:bidi w:val="0"/>
              <w:spacing w:before="30" w:after="3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sz w:val="18"/>
              </w:rPr>
            </w:pPr>
            <w:r>
              <w:rPr>
                <w:rFonts w:ascii="Times New Roman" w:hAnsi="Times New Roman"/>
                <w:color w:val="000000"/>
                <w:sz w:val="18"/>
              </w:rPr>
              <w:t>32.1</w:t>
            </w:r>
            <w:r>
              <w:rPr>
                <w:rFonts w:ascii="Times New Roman" w:hAnsi="Times New Roman"/>
                <w:color w:val="000000"/>
                <w:sz w:val="12"/>
              </w:rPr>
              <w:t>^</w:t>
            </w:r>
          </w:p>
        </w:tc>
        <w:tc>
          <w:tcPr>
            <w:tcW w:w="5387" w:type="dxa"/>
            <w:tcBorders/>
            <w:tcMar>
              <w:top w:w="0" w:type="dxa"/>
              <w:left w:w="0" w:type="dxa"/>
              <w:bottom w:w="0" w:type="dxa"/>
              <w:right w:w="0" w:type="dxa"/>
            </w:tcMar>
            <w:vAlign w:val="center"/>
          </w:tcPr>
          <w:p>
            <w:pPr>
              <w:pStyle w:val="TableContents"/>
              <w:bidi w:val="0"/>
              <w:spacing w:before="30" w:after="30"/>
              <w:jc w:val="left"/>
              <w:rPr/>
            </w:pPr>
            <w:hyperlink w:anchor="tpst-ex32_1.htm">
              <w:r>
                <w:rPr>
                  <w:rStyle w:val="InternetLink"/>
                  <w:rFonts w:ascii="Times New Roman" w:hAnsi="Times New Roman"/>
                  <w:color w:val="0000FF"/>
                  <w:sz w:val="18"/>
                  <w:u w:val="single"/>
                </w:rPr>
                <w:t>Certification of Principal Executive Officer and Principal Financial Officer pursuant to Rules 13a-14(b) and 15d-14(b) promulgated under the Securities Exchange Act of 1934 and 18 U.S.C. Section 1350, as adopted pursuant to section 906 of The Sarbanes-Oxley Act of 2002</w:t>
              </w:r>
            </w:hyperlink>
          </w:p>
        </w:tc>
        <w:tc>
          <w:tcPr>
            <w:tcW w:w="526" w:type="dxa"/>
            <w:tcBorders/>
            <w:tcMar>
              <w:top w:w="0" w:type="dxa"/>
              <w:left w:w="0" w:type="dxa"/>
              <w:bottom w:w="0" w:type="dxa"/>
              <w:right w:w="0" w:type="dxa"/>
            </w:tcMar>
            <w:vAlign w:val="center"/>
          </w:tcPr>
          <w:p>
            <w:pPr>
              <w:pStyle w:val="TableContents"/>
              <w:bidi w:val="0"/>
              <w:spacing w:before="30" w:after="3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101.INS</w:t>
            </w:r>
          </w:p>
        </w:tc>
        <w:tc>
          <w:tcPr>
            <w:tcW w:w="5387"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18"/>
              </w:rPr>
            </w:pPr>
            <w:r>
              <w:rPr>
                <w:rFonts w:ascii="Times New Roman" w:hAnsi="Times New Roman"/>
                <w:color w:val="000000"/>
                <w:sz w:val="18"/>
              </w:rPr>
              <w:t>Inline XBRL Instance Document (the instance document does not appear in the Interactive Data File as its XBRL tags are embedded within the Inline XBRL document)</w:t>
            </w:r>
          </w:p>
        </w:tc>
        <w:tc>
          <w:tcPr>
            <w:tcW w:w="526" w:type="dxa"/>
            <w:tcBorders/>
            <w:tcMar>
              <w:top w:w="0" w:type="dxa"/>
              <w:left w:w="0" w:type="dxa"/>
              <w:bottom w:w="0" w:type="dxa"/>
              <w:right w:w="0" w:type="dxa"/>
            </w:tcMar>
            <w:vAlign w:val="center"/>
          </w:tcPr>
          <w:p>
            <w:pPr>
              <w:pStyle w:val="TableContents"/>
              <w:bidi w:val="0"/>
              <w:spacing w:before="30" w:after="3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101.SCH</w:t>
            </w:r>
          </w:p>
        </w:tc>
        <w:tc>
          <w:tcPr>
            <w:tcW w:w="5387"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526" w:type="dxa"/>
            <w:tcBorders/>
            <w:tcMar>
              <w:top w:w="0" w:type="dxa"/>
              <w:left w:w="0" w:type="dxa"/>
              <w:bottom w:w="0" w:type="dxa"/>
              <w:right w:w="0" w:type="dxa"/>
            </w:tcMar>
            <w:vAlign w:val="center"/>
          </w:tcPr>
          <w:p>
            <w:pPr>
              <w:pStyle w:val="TableContents"/>
              <w:bidi w:val="0"/>
              <w:spacing w:before="30" w:after="3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X</w:t>
            </w:r>
          </w:p>
        </w:tc>
      </w:tr>
      <w:tr>
        <w:trPr/>
        <w:tc>
          <w:tcPr>
            <w:tcW w:w="904" w:type="dxa"/>
            <w:tcBorders/>
            <w:tcMar>
              <w:top w:w="0" w:type="dxa"/>
              <w:left w:w="0" w:type="dxa"/>
              <w:bottom w:w="0" w:type="dxa"/>
              <w:right w:w="0" w:type="dxa"/>
            </w:tcMar>
            <w:vAlign w:val="center"/>
          </w:tcPr>
          <w:p>
            <w:pPr>
              <w:pStyle w:val="TableContents"/>
              <w:bidi w:val="0"/>
              <w:spacing w:before="30" w:after="30"/>
              <w:jc w:val="center"/>
              <w:rPr>
                <w:rFonts w:ascii="Times New Roman" w:hAnsi="Times New Roman"/>
                <w:color w:val="000000"/>
                <w:sz w:val="18"/>
              </w:rPr>
            </w:pPr>
            <w:r>
              <w:rPr>
                <w:rFonts w:ascii="Times New Roman" w:hAnsi="Times New Roman"/>
                <w:color w:val="000000"/>
                <w:sz w:val="18"/>
              </w:rPr>
              <w:t>104</w:t>
            </w:r>
          </w:p>
        </w:tc>
        <w:tc>
          <w:tcPr>
            <w:tcW w:w="5387" w:type="dxa"/>
            <w:tcBorders/>
            <w:tcMar>
              <w:top w:w="0" w:type="dxa"/>
              <w:left w:w="0" w:type="dxa"/>
              <w:bottom w:w="0" w:type="dxa"/>
              <w:right w:w="0" w:type="dxa"/>
            </w:tcMar>
            <w:vAlign w:val="center"/>
          </w:tcPr>
          <w:p>
            <w:pPr>
              <w:pStyle w:val="TableContents"/>
              <w:bidi w:val="0"/>
              <w:spacing w:before="30" w:after="30"/>
              <w:jc w:val="left"/>
              <w:rPr>
                <w:rFonts w:ascii="Times New Roman" w:hAnsi="Times New Roman"/>
                <w:color w:val="000000"/>
                <w:sz w:val="18"/>
              </w:rPr>
            </w:pPr>
            <w:r>
              <w:rPr>
                <w:rFonts w:ascii="Times New Roman" w:hAnsi="Times New Roman"/>
                <w:color w:val="000000"/>
                <w:sz w:val="18"/>
              </w:rPr>
              <w:t>The cover page from the Company’s Quarterly Report on Form 10-Q for the quarter ended March 31, 2024, has been formatted in Inline XBRL.</w:t>
            </w:r>
          </w:p>
        </w:tc>
        <w:tc>
          <w:tcPr>
            <w:tcW w:w="526" w:type="dxa"/>
            <w:tcBorders/>
            <w:tcMar>
              <w:top w:w="0" w:type="dxa"/>
              <w:left w:w="0" w:type="dxa"/>
              <w:bottom w:w="0" w:type="dxa"/>
              <w:right w:w="0" w:type="dxa"/>
            </w:tcMar>
            <w:vAlign w:val="center"/>
          </w:tcPr>
          <w:p>
            <w:pPr>
              <w:pStyle w:val="TableContents"/>
              <w:bidi w:val="0"/>
              <w:spacing w:before="30" w:after="30"/>
              <w:jc w:val="left"/>
              <w:rPr/>
            </w:pPr>
            <w:r>
              <w:rPr/>
              <w:t> </w:t>
            </w:r>
          </w:p>
        </w:tc>
        <w:tc>
          <w:tcPr>
            <w:tcW w:w="821" w:type="dxa"/>
            <w:tcBorders/>
            <w:tcMar>
              <w:top w:w="0" w:type="dxa"/>
              <w:left w:w="0" w:type="dxa"/>
              <w:bottom w:w="0" w:type="dxa"/>
              <w:right w:w="0" w:type="dxa"/>
            </w:tcMar>
            <w:vAlign w:val="center"/>
          </w:tcPr>
          <w:p>
            <w:pPr>
              <w:pStyle w:val="TableContents"/>
              <w:bidi w:val="0"/>
              <w:spacing w:before="30" w:after="30"/>
              <w:jc w:val="left"/>
              <w:rPr/>
            </w:pPr>
            <w:r>
              <w:rPr/>
              <w:t> </w:t>
            </w:r>
          </w:p>
        </w:tc>
        <w:tc>
          <w:tcPr>
            <w:tcW w:w="676" w:type="dxa"/>
            <w:tcBorders/>
            <w:tcMar>
              <w:top w:w="0" w:type="dxa"/>
              <w:left w:w="0" w:type="dxa"/>
              <w:bottom w:w="0" w:type="dxa"/>
              <w:right w:w="0" w:type="dxa"/>
            </w:tcMar>
            <w:vAlign w:val="center"/>
          </w:tcPr>
          <w:p>
            <w:pPr>
              <w:pStyle w:val="TableContents"/>
              <w:bidi w:val="0"/>
              <w:spacing w:before="30" w:after="30"/>
              <w:jc w:val="left"/>
              <w:rPr/>
            </w:pPr>
            <w:r>
              <w:rPr/>
              <w:t> </w:t>
            </w:r>
          </w:p>
        </w:tc>
        <w:tc>
          <w:tcPr>
            <w:tcW w:w="632" w:type="dxa"/>
            <w:tcBorders/>
            <w:tcMar>
              <w:top w:w="0" w:type="dxa"/>
              <w:left w:w="0" w:type="dxa"/>
              <w:bottom w:w="0" w:type="dxa"/>
              <w:right w:w="0" w:type="dxa"/>
            </w:tcMar>
            <w:vAlign w:val="center"/>
          </w:tcPr>
          <w:p>
            <w:pPr>
              <w:pStyle w:val="TableContents"/>
              <w:bidi w:val="0"/>
              <w:spacing w:before="30" w:after="30"/>
              <w:jc w:val="left"/>
              <w:rPr/>
            </w:pPr>
            <w:r>
              <w:rPr/>
              <w:t> </w:t>
            </w:r>
          </w:p>
        </w:tc>
        <w:tc>
          <w:tcPr>
            <w:tcW w:w="1259" w:type="dxa"/>
            <w:tcBorders/>
            <w:tcMar>
              <w:top w:w="0" w:type="dxa"/>
              <w:left w:w="0" w:type="dxa"/>
              <w:bottom w:w="0" w:type="dxa"/>
              <w:right w:w="0" w:type="dxa"/>
            </w:tcMar>
            <w:vAlign w:val="center"/>
          </w:tcPr>
          <w:p>
            <w:pPr>
              <w:pStyle w:val="TableContents"/>
              <w:bidi w:val="0"/>
              <w:spacing w:before="30" w:after="30"/>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4" w:name="signatures"/>
      <w:bookmarkEnd w:id="34"/>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444" w:type="dxa"/>
        <w:jc w:val="left"/>
        <w:tblInd w:w="0" w:type="dxa"/>
        <w:tblLayout w:type="fixed"/>
        <w:tblCellMar>
          <w:top w:w="28" w:type="dxa"/>
          <w:left w:w="28" w:type="dxa"/>
          <w:bottom w:w="28" w:type="dxa"/>
          <w:right w:w="28" w:type="dxa"/>
        </w:tblCellMar>
      </w:tblPr>
      <w:tblGrid>
        <w:gridCol w:w="960"/>
        <w:gridCol w:w="333"/>
        <w:gridCol w:w="4151"/>
      </w:tblGrid>
      <w:tr>
        <w:trPr/>
        <w:tc>
          <w:tcPr>
            <w:tcW w:w="9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151"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TEMPEST THERAPEUTICS, INC.</w:t>
            </w:r>
          </w:p>
        </w:tc>
      </w:tr>
      <w:tr>
        <w:trPr/>
        <w:tc>
          <w:tcPr>
            <w:tcW w:w="960"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4151" w:type="dxa"/>
            <w:tcBorders/>
            <w:vAlign w:val="center"/>
          </w:tcPr>
          <w:p>
            <w:pPr>
              <w:pStyle w:val="TableContents"/>
              <w:bidi w:val="0"/>
              <w:spacing w:before="0" w:after="283"/>
              <w:jc w:val="left"/>
              <w:rPr/>
            </w:pPr>
            <w:r>
              <w:rPr/>
              <w:t> </w:t>
            </w:r>
          </w:p>
        </w:tc>
      </w:tr>
      <w:tr>
        <w:trPr/>
        <w:tc>
          <w:tcPr>
            <w:tcW w:w="9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 w:type="dxa"/>
            <w:tcBorders/>
            <w:vAlign w:val="center"/>
          </w:tcPr>
          <w:p>
            <w:pPr>
              <w:pStyle w:val="TableContents"/>
              <w:bidi w:val="0"/>
              <w:spacing w:before="0" w:after="283"/>
              <w:jc w:val="left"/>
              <w:rPr/>
            </w:pPr>
            <w:r>
              <w:rPr/>
              <w:t> </w:t>
            </w:r>
          </w:p>
        </w:tc>
        <w:tc>
          <w:tcPr>
            <w:tcW w:w="4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Stephen Brady</w:t>
            </w:r>
          </w:p>
        </w:tc>
      </w:tr>
      <w:tr>
        <w:trPr/>
        <w:tc>
          <w:tcPr>
            <w:tcW w:w="5444" w:type="dxa"/>
            <w:gridSpan w:val="3"/>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Stephen Brady</w:t>
            </w:r>
          </w:p>
        </w:tc>
      </w:tr>
      <w:tr>
        <w:trPr/>
        <w:tc>
          <w:tcPr>
            <w:tcW w:w="5444" w:type="dxa"/>
            <w:gridSpan w:val="3"/>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 &amp; President (Principal Executive Officer)</w:t>
            </w:r>
          </w:p>
        </w:tc>
      </w:tr>
      <w:tr>
        <w:trPr/>
        <w:tc>
          <w:tcPr>
            <w:tcW w:w="5444" w:type="dxa"/>
            <w:gridSpan w:val="3"/>
            <w:tcBorders/>
            <w:vAlign w:val="center"/>
          </w:tcPr>
          <w:p>
            <w:pPr>
              <w:pStyle w:val="TableContents"/>
              <w:bidi w:val="0"/>
              <w:spacing w:before="0" w:after="283"/>
              <w:jc w:val="left"/>
              <w:rPr/>
            </w:pPr>
            <w:r>
              <w:rPr/>
              <w:t> </w:t>
            </w:r>
          </w:p>
        </w:tc>
      </w:tr>
      <w:tr>
        <w:trPr/>
        <w:tc>
          <w:tcPr>
            <w:tcW w:w="5444" w:type="dxa"/>
            <w:gridSpan w:val="3"/>
            <w:tcBorders/>
            <w:vAlign w:val="center"/>
          </w:tcPr>
          <w:p>
            <w:pPr>
              <w:pStyle w:val="TableContents"/>
              <w:bidi w:val="0"/>
              <w:spacing w:before="0" w:after="283"/>
              <w:jc w:val="left"/>
              <w:rPr/>
            </w:pPr>
            <w:r>
              <w:rPr/>
              <w:t> </w:t>
            </w:r>
          </w:p>
        </w:tc>
      </w:tr>
      <w:tr>
        <w:trPr/>
        <w:tc>
          <w:tcPr>
            <w:tcW w:w="9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 w:type="dxa"/>
            <w:tcBorders/>
            <w:vAlign w:val="center"/>
          </w:tcPr>
          <w:p>
            <w:pPr>
              <w:pStyle w:val="TableContents"/>
              <w:bidi w:val="0"/>
              <w:spacing w:before="0" w:after="283"/>
              <w:jc w:val="left"/>
              <w:rPr/>
            </w:pPr>
            <w:r>
              <w:rPr/>
              <w:t> </w:t>
            </w:r>
          </w:p>
        </w:tc>
        <w:tc>
          <w:tcPr>
            <w:tcW w:w="4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Maestas</w:t>
            </w:r>
          </w:p>
        </w:tc>
      </w:tr>
      <w:tr>
        <w:trPr/>
        <w:tc>
          <w:tcPr>
            <w:tcW w:w="5444" w:type="dxa"/>
            <w:gridSpan w:val="3"/>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Nicholas Maestas</w:t>
            </w:r>
          </w:p>
        </w:tc>
      </w:tr>
      <w:tr>
        <w:trPr/>
        <w:tc>
          <w:tcPr>
            <w:tcW w:w="5444" w:type="dxa"/>
            <w:gridSpan w:val="3"/>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Vice-President, Strategy and Finance (Principal</w:t>
            </w:r>
          </w:p>
        </w:tc>
      </w:tr>
      <w:tr>
        <w:trPr/>
        <w:tc>
          <w:tcPr>
            <w:tcW w:w="5444" w:type="dxa"/>
            <w:gridSpan w:val="3"/>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Financial Officer)</w:t>
            </w:r>
          </w:p>
        </w:tc>
      </w:tr>
      <w:tr>
        <w:trPr/>
        <w:tc>
          <w:tcPr>
            <w:tcW w:w="5444" w:type="dxa"/>
            <w:gridSpan w:val="3"/>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May 9, 2024</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tpst-ex31_1.htm"/>
      <w:bookmarkStart w:id="36" w:name="kstpstex31_1"/>
      <w:bookmarkEnd w:id="35"/>
      <w:bookmarkEnd w:id="36"/>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Stephen Brady, certify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Form 10-Q of Tempest Therapeutics, Inc.;</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03" w:type="dxa"/>
        <w:jc w:val="left"/>
        <w:tblInd w:w="0" w:type="dxa"/>
        <w:tblLayout w:type="fixed"/>
        <w:tblCellMar>
          <w:top w:w="28" w:type="dxa"/>
          <w:left w:w="28" w:type="dxa"/>
          <w:bottom w:w="28" w:type="dxa"/>
          <w:right w:w="28" w:type="dxa"/>
        </w:tblCellMar>
      </w:tblPr>
      <w:tblGrid>
        <w:gridCol w:w="1636"/>
        <w:gridCol w:w="406"/>
        <w:gridCol w:w="306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Stephen Brady</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Brady</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&amp;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tpst-ex31_2.htm"/>
      <w:bookmarkStart w:id="38" w:name="kstpstex31_2"/>
      <w:bookmarkEnd w:id="37"/>
      <w:bookmarkEnd w:id="38"/>
      <w:r>
        <w:rPr>
          <w:rFonts w:ascii="Times New Roman" w:hAnsi="Times New Roman"/>
          <w:b/>
          <w:color w:val="000000"/>
          <w:sz w:val="20"/>
        </w:rPr>
        <w:t>Exhibit 31.2</w:t>
      </w:r>
      <w:r>
        <w:br w:type="page"/>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 Nicholas Maestas, certify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I have reviewed this Form 10-Q of Tempest Therapeutics, Inc.;</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78" w:type="dxa"/>
        <w:jc w:val="left"/>
        <w:tblInd w:w="0" w:type="dxa"/>
        <w:tblLayout w:type="fixed"/>
        <w:tblCellMar>
          <w:top w:w="28" w:type="dxa"/>
          <w:left w:w="28" w:type="dxa"/>
          <w:bottom w:w="28" w:type="dxa"/>
          <w:right w:w="28" w:type="dxa"/>
        </w:tblCellMar>
      </w:tblPr>
      <w:tblGrid>
        <w:gridCol w:w="1636"/>
        <w:gridCol w:w="406"/>
        <w:gridCol w:w="3136"/>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Maestas</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Maestas</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Vice-President, Strategy and Finance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tpst-ex32_1.htm"/>
      <w:bookmarkStart w:id="40" w:name="kstpstex32_1"/>
      <w:bookmarkEnd w:id="39"/>
      <w:bookmarkEnd w:id="40"/>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The Company’s Quarterly Report on Form 10-Q for the period ended March 31, 2024, to which this Certification is attached as Exhibit 32.1 (the “Report”), fully complies with the requirements of Section 13(a) or Section 15(d) of the Exchange Act;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May 9, 2024</w:t>
      </w:r>
    </w:p>
    <w:p>
      <w:pPr>
        <w:pStyle w:val="TextBody"/>
        <w:bidi w:val="0"/>
        <w:jc w:val="both"/>
        <w:rPr/>
      </w:pPr>
      <w:r>
        <w:rPr/>
        <w:t> </w:t>
      </w:r>
    </w:p>
    <w:tbl>
      <w:tblPr>
        <w:tblW w:w="6353" w:type="dxa"/>
        <w:jc w:val="left"/>
        <w:tblInd w:w="0" w:type="dxa"/>
        <w:tblLayout w:type="fixed"/>
        <w:tblCellMar>
          <w:top w:w="28" w:type="dxa"/>
          <w:left w:w="28" w:type="dxa"/>
          <w:bottom w:w="28" w:type="dxa"/>
          <w:right w:w="28" w:type="dxa"/>
        </w:tblCellMar>
      </w:tblPr>
      <w:tblGrid>
        <w:gridCol w:w="3031"/>
        <w:gridCol w:w="166"/>
        <w:gridCol w:w="3156"/>
      </w:tblGrid>
      <w:tr>
        <w:trPr/>
        <w:tc>
          <w:tcPr>
            <w:tcW w:w="30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4"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 xml:space="preserve">/s/ Stephen Brady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ind w:left="0" w:right="0" w:firstLine="20"/>
              <w:jc w:val="left"/>
              <w:rPr/>
            </w:pPr>
            <w:r>
              <w:rPr/>
              <w:t> </w:t>
            </w:r>
          </w:p>
        </w:tc>
        <w:tc>
          <w:tcPr>
            <w:tcW w:w="3156" w:type="dxa"/>
            <w:tcBorders>
              <w:bottom w:val="single" w:sz="4" w:space="0" w:color="000000"/>
            </w:tcBorders>
            <w:tcMar>
              <w:top w:w="0" w:type="dxa"/>
              <w:left w:w="0" w:type="dxa"/>
              <w:right w:w="0" w:type="dxa"/>
            </w:tcMar>
            <w:vAlign w:val="center"/>
          </w:tcPr>
          <w:p>
            <w:pPr>
              <w:pStyle w:val="TableContents"/>
              <w:bidi w:val="0"/>
              <w:spacing w:before="53" w:after="30"/>
              <w:ind w:left="20" w:right="0" w:firstLine="20"/>
              <w:jc w:val="left"/>
              <w:rPr>
                <w:rFonts w:ascii="Times New Roman" w:hAnsi="Times New Roman"/>
                <w:color w:val="000000"/>
                <w:sz w:val="20"/>
              </w:rPr>
            </w:pPr>
            <w:r>
              <w:rPr>
                <w:rFonts w:ascii="Times New Roman" w:hAnsi="Times New Roman"/>
                <w:color w:val="000000"/>
                <w:sz w:val="20"/>
              </w:rPr>
              <w:t xml:space="preserve">/s/ Nicholas Maestas </w:t>
            </w:r>
          </w:p>
        </w:tc>
      </w:tr>
      <w:tr>
        <w:trPr/>
        <w:tc>
          <w:tcPr>
            <w:tcW w:w="3031" w:type="dxa"/>
            <w:tcBorders/>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Stephen Brady</w:t>
            </w:r>
          </w:p>
        </w:tc>
        <w:tc>
          <w:tcPr>
            <w:tcW w:w="166" w:type="dxa"/>
            <w:tcBorders/>
            <w:vAlign w:val="center"/>
          </w:tcPr>
          <w:p>
            <w:pPr>
              <w:pStyle w:val="TableContents"/>
              <w:bidi w:val="0"/>
              <w:spacing w:before="0" w:after="283"/>
              <w:ind w:left="0" w:right="0" w:firstLine="20"/>
              <w:jc w:val="left"/>
              <w:rPr/>
            </w:pPr>
            <w:r>
              <w:rPr/>
              <w:t> </w:t>
            </w:r>
          </w:p>
        </w:tc>
        <w:tc>
          <w:tcPr>
            <w:tcW w:w="3156" w:type="dxa"/>
            <w:tcBorders/>
            <w:vAlign w:val="center"/>
          </w:tcPr>
          <w:p>
            <w:pPr>
              <w:pStyle w:val="TableContents"/>
              <w:bidi w:val="0"/>
              <w:spacing w:before="53" w:after="30"/>
              <w:ind w:left="20" w:right="0" w:firstLine="20"/>
              <w:jc w:val="left"/>
              <w:rPr>
                <w:rFonts w:ascii="Times New Roman" w:hAnsi="Times New Roman"/>
                <w:color w:val="000000"/>
                <w:sz w:val="20"/>
              </w:rPr>
            </w:pPr>
            <w:r>
              <w:rPr>
                <w:rFonts w:ascii="Times New Roman" w:hAnsi="Times New Roman"/>
                <w:color w:val="000000"/>
                <w:sz w:val="20"/>
              </w:rPr>
              <w:t>Nicholas Maestas</w:t>
            </w:r>
          </w:p>
        </w:tc>
      </w:tr>
      <w:tr>
        <w:trPr/>
        <w:tc>
          <w:tcPr>
            <w:tcW w:w="3031" w:type="dxa"/>
            <w:tcBorders/>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&amp; President</w:t>
            </w:r>
          </w:p>
        </w:tc>
        <w:tc>
          <w:tcPr>
            <w:tcW w:w="166" w:type="dxa"/>
            <w:tcBorders/>
            <w:vAlign w:val="center"/>
          </w:tcPr>
          <w:p>
            <w:pPr>
              <w:pStyle w:val="TableContents"/>
              <w:bidi w:val="0"/>
              <w:spacing w:before="0" w:after="283"/>
              <w:ind w:left="0" w:right="0" w:firstLine="20"/>
              <w:jc w:val="left"/>
              <w:rPr/>
            </w:pPr>
            <w:r>
              <w:rPr/>
              <w:t> </w:t>
            </w:r>
          </w:p>
        </w:tc>
        <w:tc>
          <w:tcPr>
            <w:tcW w:w="3156" w:type="dxa"/>
            <w:tcBorders/>
            <w:vAlign w:val="center"/>
          </w:tcPr>
          <w:p>
            <w:pPr>
              <w:pStyle w:val="TableContents"/>
              <w:bidi w:val="0"/>
              <w:spacing w:before="53" w:after="30"/>
              <w:ind w:left="20" w:right="0" w:firstLine="20"/>
              <w:jc w:val="left"/>
              <w:rPr>
                <w:rFonts w:ascii="Times New Roman" w:hAnsi="Times New Roman"/>
                <w:color w:val="000000"/>
                <w:sz w:val="20"/>
              </w:rPr>
            </w:pPr>
            <w:r>
              <w:rPr>
                <w:rFonts w:ascii="Times New Roman" w:hAnsi="Times New Roman"/>
                <w:color w:val="000000"/>
                <w:sz w:val="20"/>
              </w:rPr>
              <w:t>Vice-President, Strategy and Finance</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4227/000155837019005038/mlnd-20190331ex31b53fa83.htm" TargetMode="External"/><Relationship Id="rId3" Type="http://schemas.openxmlformats.org/officeDocument/2006/relationships/hyperlink" Target="https://www.sec.gov/Archives/edgar/data/1544227/000119312521201157/d196630dex31.htm" TargetMode="External"/><Relationship Id="rId4" Type="http://schemas.openxmlformats.org/officeDocument/2006/relationships/hyperlink" Target="https://www.sec.gov/Archives/edgar/data/1544227/000119312521201157/d196630dex32.htm" TargetMode="External"/><Relationship Id="rId5" Type="http://schemas.openxmlformats.org/officeDocument/2006/relationships/hyperlink" Target="https://www.sec.gov/Archives/edgar/data/1544227/000119312523253882/d547808dex31.htm" TargetMode="External"/><Relationship Id="rId6" Type="http://schemas.openxmlformats.org/officeDocument/2006/relationships/hyperlink" Target="https://www.sec.gov/Archives/edgar/data/1544227/000119312521281694/d222030dex3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46585</Words>
  <Characters>259655</Characters>
  <CharactersWithSpaces>305749</CharactersWithSpaces>
  <Paragraphs>3711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