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001-35890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4"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45-1472564</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0"/>
              </w:rPr>
              <w:t>7000 Shoreline Court, Suite 275</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0"/>
              </w:rPr>
              <w:t>South San Francisco, California</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480" w:type="dxa"/>
            <w:vAlign w:val="bottom"/>
          </w:tcPr>
          <w:p>
            <w:pPr>
              <w:spacing w:after="0"/>
              <w:rPr>
                <w:sz w:val="14"/>
                <w:szCs w:val="14"/>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3"/>
              </w:rPr>
              <w:t>Trading</w:t>
            </w:r>
          </w:p>
        </w:tc>
        <w:tc>
          <w:tcPr>
            <w:tcW w:w="380" w:type="dxa"/>
            <w:vAlign w:val="bottom"/>
          </w:tcPr>
          <w:p>
            <w:pPr>
              <w:spacing w:after="0"/>
              <w:rPr>
                <w:sz w:val="14"/>
                <w:szCs w:val="14"/>
                <w:color w:val="auto"/>
              </w:rPr>
            </w:pPr>
          </w:p>
        </w:tc>
        <w:tc>
          <w:tcPr>
            <w:tcW w:w="2540" w:type="dxa"/>
            <w:vAlign w:val="bottom"/>
            <w:gridSpan w:val="2"/>
          </w:tcPr>
          <w:p>
            <w:pPr>
              <w:jc w:val="center"/>
              <w:ind w:right="910"/>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8"/>
              </w:rPr>
              <w:t>Symbol(s)</w:t>
            </w:r>
          </w:p>
        </w:tc>
        <w:tc>
          <w:tcPr>
            <w:tcW w:w="380" w:type="dxa"/>
            <w:vAlign w:val="bottom"/>
          </w:tcPr>
          <w:p>
            <w:pPr>
              <w:spacing w:after="0"/>
              <w:rPr>
                <w:sz w:val="16"/>
                <w:szCs w:val="16"/>
                <w:color w:val="auto"/>
              </w:rPr>
            </w:pPr>
          </w:p>
        </w:tc>
        <w:tc>
          <w:tcPr>
            <w:tcW w:w="2540" w:type="dxa"/>
            <w:vAlign w:val="bottom"/>
            <w:gridSpan w:val="2"/>
          </w:tcPr>
          <w:p>
            <w:pPr>
              <w:jc w:val="center"/>
              <w:ind w:right="910"/>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414"/>
        </w:trPr>
        <w:tc>
          <w:tcPr>
            <w:tcW w:w="8100" w:type="dxa"/>
            <w:vAlign w:val="bottom"/>
            <w:gridSpan w:val="7"/>
          </w:tcPr>
          <w:p>
            <w:pPr>
              <w:ind w:left="308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20" w:type="dxa"/>
            <w:vAlign w:val="bottom"/>
            <w:gridSpan w:val="4"/>
          </w:tcPr>
          <w:p>
            <w:pPr>
              <w:spacing w:after="0"/>
              <w:rPr>
                <w:sz w:val="24"/>
                <w:szCs w:val="24"/>
                <w:color w:val="auto"/>
              </w:rPr>
            </w:pPr>
          </w:p>
        </w:tc>
        <w:tc>
          <w:tcPr>
            <w:tcW w:w="7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4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480" w:type="dxa"/>
            <w:vAlign w:val="bottom"/>
            <w:gridSpan w:val="8"/>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w:t>
            </w:r>
          </w:p>
        </w:tc>
        <w:tc>
          <w:tcPr>
            <w:tcW w:w="380" w:type="dxa"/>
            <w:vAlign w:val="bottom"/>
          </w:tcPr>
          <w:p>
            <w:pPr>
              <w:ind w:left="100"/>
              <w:spacing w:after="0"/>
              <w:rPr>
                <w:sz w:val="20"/>
                <w:szCs w:val="20"/>
                <w:color w:val="auto"/>
              </w:rPr>
            </w:pPr>
            <w:r>
              <w:rPr>
                <w:rFonts w:ascii="Arial" w:cs="Arial" w:eastAsia="Arial" w:hAnsi="Arial"/>
                <w:sz w:val="18"/>
                <w:szCs w:val="18"/>
                <w:color w:val="auto"/>
                <w:w w:val="83"/>
              </w:rPr>
              <w:t>Yes</w:t>
            </w:r>
          </w:p>
        </w:tc>
        <w:tc>
          <w:tcPr>
            <w:tcW w:w="7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8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60"/>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w:t>
      </w:r>
    </w:p>
    <w:p>
      <w:pPr>
        <w:spacing w:after="0" w:line="2" w:lineRule="exact"/>
        <w:rPr>
          <w:sz w:val="24"/>
          <w:szCs w:val="24"/>
          <w:color w:val="auto"/>
        </w:rPr>
      </w:pPr>
    </w:p>
    <w:p>
      <w:pPr>
        <w:ind w:left="4"/>
        <w:spacing w:after="0" w:line="207" w:lineRule="exact"/>
        <w:tabs>
          <w:tab w:leader="none" w:pos="744" w:val="left"/>
          <w:tab w:leader="none" w:pos="1444" w:val="left"/>
        </w:tabs>
        <w:rPr>
          <w:sz w:val="20"/>
          <w:szCs w:val="20"/>
          <w:color w:val="auto"/>
        </w:rPr>
      </w:pPr>
      <w:r>
        <w:rPr>
          <w:rFonts w:ascii="Arial" w:cs="Arial" w:eastAsia="Arial" w:hAnsi="Arial"/>
          <w:sz w:val="18"/>
          <w:szCs w:val="18"/>
          <w:color w:val="auto"/>
        </w:rPr>
        <w:t>submit).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4"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368" w:right="439" w:bottom="0" w:gutter="0" w:footer="0" w:header="0"/>
        </w:sectPr>
      </w:pPr>
    </w:p>
    <w:bookmarkStart w:id="1" w:name="page2"/>
    <w:bookmarkEnd w:id="1"/>
    <w:p>
      <w:pPr>
        <w:ind w:right="280"/>
        <w:spacing w:after="0" w:line="227" w:lineRule="exact"/>
        <w:rPr>
          <w:sz w:val="20"/>
          <w:szCs w:val="20"/>
          <w:color w:val="auto"/>
        </w:rPr>
      </w:pPr>
      <w:r>
        <w:rPr>
          <w:rFonts w:ascii="Arial" w:cs="Arial" w:eastAsia="Arial" w:hAnsi="Arial"/>
          <w:sz w:val="18"/>
          <w:szCs w:val="18"/>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aggregate market value of the voting and non-voting common equity of the registrant held by non-affiliates as of June 30, 2021 (the last business day of the registrant’s most recently completed second fiscal quarter), based on a closing price of $11.18 per share of the registrant’s common stock as reported on The Nasdaq Stock Market on June 30, 2021, was approximately $74.2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2022, the registrant had 7,173,094 shares of common stock, $0.001 par value per share,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Portions of the registrant’s definitive Proxy Statement for its 2022 Annual Meeting of Stockholders to be filed with the Securities and Exchange Commission pursuant to Regulation 14A not later than 120 days after the end of the fiscal year covered by the Annual Report on Form 10-K which is being amended hereby, are incorporated by reference into Part III of the Annual Report on Form 10-K.</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Auditor Firm ID: 42</w:t>
            </w:r>
          </w:p>
        </w:tc>
        <w:tc>
          <w:tcPr>
            <w:tcW w:w="4600" w:type="dxa"/>
            <w:vAlign w:val="bottom"/>
          </w:tcPr>
          <w:p>
            <w:pPr>
              <w:ind w:left="860"/>
              <w:spacing w:after="0"/>
              <w:rPr>
                <w:sz w:val="20"/>
                <w:szCs w:val="20"/>
                <w:color w:val="auto"/>
              </w:rPr>
            </w:pPr>
            <w:r>
              <w:rPr>
                <w:rFonts w:ascii="Arial" w:cs="Arial" w:eastAsia="Arial" w:hAnsi="Arial"/>
                <w:sz w:val="18"/>
                <w:szCs w:val="18"/>
                <w:color w:val="auto"/>
              </w:rPr>
              <w:t>Auditor Name: Ernst &amp; Young LLP</w:t>
            </w:r>
          </w:p>
        </w:tc>
        <w:tc>
          <w:tcPr>
            <w:tcW w:w="4080" w:type="dxa"/>
            <w:vAlign w:val="bottom"/>
          </w:tcPr>
          <w:p>
            <w:pPr>
              <w:jc w:val="right"/>
              <w:spacing w:after="0"/>
              <w:rPr>
                <w:sz w:val="20"/>
                <w:szCs w:val="20"/>
                <w:color w:val="auto"/>
              </w:rPr>
            </w:pPr>
            <w:r>
              <w:rPr>
                <w:rFonts w:ascii="Arial" w:cs="Arial" w:eastAsia="Arial" w:hAnsi="Arial"/>
                <w:sz w:val="18"/>
                <w:szCs w:val="18"/>
                <w:color w:val="auto"/>
              </w:rPr>
              <w:t>Auditor Location: Grand Rapids, Michigan</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Auditor Firm ID: 34</w:t>
            </w:r>
          </w:p>
        </w:tc>
        <w:tc>
          <w:tcPr>
            <w:tcW w:w="4600" w:type="dxa"/>
            <w:vAlign w:val="bottom"/>
          </w:tcPr>
          <w:p>
            <w:pPr>
              <w:ind w:left="860"/>
              <w:spacing w:after="0"/>
              <w:rPr>
                <w:sz w:val="20"/>
                <w:szCs w:val="20"/>
                <w:color w:val="auto"/>
              </w:rPr>
            </w:pPr>
            <w:r>
              <w:rPr>
                <w:rFonts w:ascii="Arial" w:cs="Arial" w:eastAsia="Arial" w:hAnsi="Arial"/>
                <w:sz w:val="18"/>
                <w:szCs w:val="18"/>
                <w:color w:val="auto"/>
              </w:rPr>
              <w:t>Auditor Name: Deloitte &amp; Touche LLP</w:t>
            </w:r>
          </w:p>
        </w:tc>
        <w:tc>
          <w:tcPr>
            <w:tcW w:w="4080" w:type="dxa"/>
            <w:vAlign w:val="bottom"/>
          </w:tcPr>
          <w:p>
            <w:pPr>
              <w:jc w:val="right"/>
              <w:spacing w:after="0"/>
              <w:rPr>
                <w:sz w:val="20"/>
                <w:szCs w:val="20"/>
                <w:color w:val="auto"/>
              </w:rPr>
            </w:pPr>
            <w:r>
              <w:rPr>
                <w:rFonts w:ascii="Arial" w:cs="Arial" w:eastAsia="Arial" w:hAnsi="Arial"/>
                <w:sz w:val="18"/>
                <w:szCs w:val="18"/>
                <w:color w:val="auto"/>
              </w:rPr>
              <w:t>Auditor Location: San Francisco, California</w:t>
            </w:r>
          </w:p>
        </w:tc>
      </w:tr>
      <w:tr>
        <w:trPr>
          <w:trHeight w:val="270"/>
        </w:trPr>
        <w:tc>
          <w:tcPr>
            <w:tcW w:w="2340" w:type="dxa"/>
            <w:vAlign w:val="bottom"/>
            <w:tcBorders>
              <w:bottom w:val="single" w:sz="8" w:color="auto"/>
            </w:tcBorders>
          </w:tcPr>
          <w:p>
            <w:pPr>
              <w:spacing w:after="0"/>
              <w:rPr>
                <w:sz w:val="23"/>
                <w:szCs w:val="23"/>
                <w:color w:val="auto"/>
              </w:rPr>
            </w:pPr>
          </w:p>
        </w:tc>
        <w:tc>
          <w:tcPr>
            <w:tcW w:w="460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25"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Tempest Therapeutics, Inc. (the “Company,” “our,” “us” or “we”) is filing this Amendment No. 1 on Form 10-K/A (this “Amendment No. 1”) to our Annual Report on Form 10-K for the fiscal year ended December 31, 2021 (the “Form 10-K”), which was filed with the Securities and Exchange Commission (the “SEC”) on March 29, 2022, to file Exhibits 4.1 and 21.1 to the Form 10-K, which were unintentionally omitted from the Form 10-K. As required by Rule 12b-15 under the Securities Exchange Act of 1934, as amended, new certifications by the registrant’s principal executive officer and principal financial officer are filed as exhibits to this Amendment No. 1. Item 15 of Part IV is also being amended to reflect the filing of these new certifications, the filing of Exhibits 4.1 and 21.1, the sequential renumbering of certain exhibits, the removal of inapplicable legends and the addition of Exhibit 104.</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other changes have been made to the Form 10-K other than those described above. This Amendment No. 1 does not reflect subsequent events occurring after the original filing date of the Form 10-K or modify or update in any way the financial statements, consents or any other items or disclosures made in the Form 10-K in any way other than as required to reflect the amendments discussed above. Accordingly, this Amendment No. 1 should be read in conjunction with the Form 10-K.</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40" w:top="297" w:right="55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are included in Item 8. “Financial Statements and Supplementary Data” of the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All schedules are omitted as information required is inapplicable or the information is presented in the financial statements and the related notes included in the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8"/>
          </w:tcPr>
          <w:p>
            <w:pPr>
              <w:ind w:left="560"/>
              <w:spacing w:after="0"/>
              <w:rPr>
                <w:sz w:val="20"/>
                <w:szCs w:val="20"/>
                <w:color w:val="auto"/>
              </w:rPr>
            </w:pPr>
            <w:r>
              <w:rPr>
                <w:rFonts w:ascii="Arial" w:cs="Arial" w:eastAsia="Arial" w:hAnsi="Arial"/>
                <w:sz w:val="14"/>
                <w:szCs w:val="14"/>
                <w:b w:val="1"/>
                <w:bCs w:val="1"/>
                <w:color w:val="auto"/>
              </w:rPr>
              <w:t>Incorporation by Reference</w:t>
            </w: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gridSpan w:val="22"/>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13"/>
                <w:szCs w:val="13"/>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6"/>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gridSpan w:val="2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63"/>
        </w:trPr>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420" w:type="dxa"/>
            <w:vAlign w:val="bottom"/>
          </w:tcPr>
          <w:p>
            <w:pPr>
              <w:spacing w:after="0"/>
              <w:rPr>
                <w:sz w:val="22"/>
                <w:szCs w:val="22"/>
                <w:color w:val="auto"/>
              </w:rPr>
            </w:pPr>
          </w:p>
        </w:tc>
        <w:tc>
          <w:tcPr>
            <w:tcW w:w="5400" w:type="dxa"/>
            <w:vAlign w:val="bottom"/>
            <w:tcBorders>
              <w:top w:val="single" w:sz="8" w:color="auto"/>
              <w:bottom w:val="single" w:sz="8" w:color="0000EE"/>
            </w:tcBorders>
            <w:gridSpan w:val="18"/>
          </w:tcPr>
          <w:p>
            <w:pPr>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Agreement and Plan of Merger, dated as of March 29, 2021, by and among</w:t>
              </w:r>
            </w:hyperlink>
          </w:p>
        </w:tc>
        <w:tc>
          <w:tcPr>
            <w:tcW w:w="600" w:type="dxa"/>
            <w:vAlign w:val="bottom"/>
            <w:tcBorders>
              <w:top w:val="single" w:sz="8" w:color="auto"/>
            </w:tcBorders>
            <w:gridSpan w:val="11"/>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7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6">
              <w:r>
                <w:rPr>
                  <w:rFonts w:ascii="Arial" w:cs="Arial" w:eastAsia="Arial" w:hAnsi="Arial"/>
                  <w:sz w:val="18"/>
                  <w:szCs w:val="18"/>
                  <w:color w:val="0000EE"/>
                  <w:w w:val="89"/>
                </w:rPr>
                <w:t>Tempest Therapeutics, Inc., Mars Merger Corp. and Tempest Therapeutics, Inc.</w:t>
              </w:r>
            </w:hyperlink>
          </w:p>
        </w:tc>
        <w:tc>
          <w:tcPr>
            <w:tcW w:w="380" w:type="dxa"/>
            <w:vAlign w:val="bottom"/>
            <w:gridSpan w:val="7"/>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3/29/2021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17">
              <w:r>
                <w:rPr>
                  <w:rFonts w:ascii="Arial" w:cs="Arial" w:eastAsia="Arial" w:hAnsi="Arial"/>
                  <w:sz w:val="18"/>
                  <w:szCs w:val="18"/>
                  <w:color w:val="0000EE"/>
                </w:rPr>
                <w:t>Restated Certificate of Incorporation of the Registrant, as amended</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10-Q</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18">
              <w:r>
                <w:rPr>
                  <w:rFonts w:ascii="Arial" w:cs="Arial" w:eastAsia="Arial" w:hAnsi="Arial"/>
                  <w:sz w:val="18"/>
                  <w:szCs w:val="18"/>
                  <w:color w:val="0000EE"/>
                </w:rPr>
                <w:t>Certificate of Amendment to the Restated Certificate of Incorporation of the</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Company, as filed with the Secretary of State of the State of Delaware on June 24,</w:t>
              </w:r>
            </w:hyperlink>
          </w:p>
        </w:tc>
        <w:tc>
          <w:tcPr>
            <w:tcW w:w="1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8">
              <w:r>
                <w:rPr>
                  <w:rFonts w:ascii="Arial" w:cs="Arial" w:eastAsia="Arial" w:hAnsi="Arial"/>
                  <w:sz w:val="18"/>
                  <w:szCs w:val="18"/>
                  <w:color w:val="0000EE"/>
                  <w:w w:val="84"/>
                </w:rPr>
                <w:t>2021</w:t>
              </w:r>
            </w:hyperlink>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6/28/2021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19">
              <w:r>
                <w:rPr>
                  <w:rFonts w:ascii="Arial" w:cs="Arial" w:eastAsia="Arial" w:hAnsi="Arial"/>
                  <w:sz w:val="18"/>
                  <w:szCs w:val="18"/>
                  <w:color w:val="0000EE"/>
                </w:rPr>
                <w:t>Certificate of Amendment to the Restated Certificate of Incorporation of the</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Company, as filed with the Secretary of State of the State of Delaware on June 25,</w:t>
              </w:r>
            </w:hyperlink>
          </w:p>
        </w:tc>
        <w:tc>
          <w:tcPr>
            <w:tcW w:w="1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9">
              <w:r>
                <w:rPr>
                  <w:rFonts w:ascii="Arial" w:cs="Arial" w:eastAsia="Arial" w:hAnsi="Arial"/>
                  <w:sz w:val="18"/>
                  <w:szCs w:val="18"/>
                  <w:color w:val="0000EE"/>
                  <w:w w:val="84"/>
                </w:rPr>
                <w:t>2021</w:t>
              </w:r>
            </w:hyperlink>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6/28/2021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420" w:type="dxa"/>
            <w:vAlign w:val="bottom"/>
          </w:tcPr>
          <w:p>
            <w:pPr>
              <w:spacing w:after="0"/>
              <w:rPr>
                <w:sz w:val="24"/>
                <w:szCs w:val="24"/>
                <w:color w:val="auto"/>
              </w:rPr>
            </w:pPr>
          </w:p>
        </w:tc>
        <w:tc>
          <w:tcPr>
            <w:tcW w:w="3500" w:type="dxa"/>
            <w:vAlign w:val="bottom"/>
            <w:tcBorders>
              <w:bottom w:val="single" w:sz="8" w:color="0000EE"/>
            </w:tcBorders>
            <w:gridSpan w:val="10"/>
          </w:tcPr>
          <w:p>
            <w:pPr>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Amended and Restated Bylaws of the Registrant</w:t>
              </w:r>
            </w:hyperlink>
          </w:p>
        </w:tc>
        <w:tc>
          <w:tcPr>
            <w:tcW w:w="2620" w:type="dxa"/>
            <w:vAlign w:val="bottom"/>
            <w:gridSpan w:val="20"/>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9/24/2021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Description of Securities Registered Pursuant to Section 12 of the Securities</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Exchange Act of 1934</w:t>
              </w:r>
            </w:hyperlink>
          </w:p>
        </w:tc>
        <w:tc>
          <w:tcPr>
            <w:tcW w:w="3860" w:type="dxa"/>
            <w:vAlign w:val="bottom"/>
            <w:tcBorders>
              <w:top w:val="single" w:sz="8" w:color="0000EE"/>
            </w:tcBorders>
            <w:gridSpan w:val="16"/>
          </w:tcPr>
          <w:p>
            <w:pPr>
              <w:spacing w:after="0"/>
              <w:rPr>
                <w:sz w:val="17"/>
                <w:szCs w:val="17"/>
                <w:color w:val="auto"/>
              </w:rPr>
            </w:pPr>
          </w:p>
        </w:tc>
        <w:tc>
          <w:tcPr>
            <w:tcW w:w="64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5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24"/>
                <w:szCs w:val="24"/>
                <w:color w:val="auto"/>
              </w:rPr>
            </w:pPr>
          </w:p>
        </w:tc>
        <w:tc>
          <w:tcPr>
            <w:tcW w:w="4540" w:type="dxa"/>
            <w:vAlign w:val="bottom"/>
            <w:tcBorders>
              <w:bottom w:val="single" w:sz="8" w:color="0000EE"/>
            </w:tcBorders>
            <w:gridSpan w:val="13"/>
          </w:tcPr>
          <w:p>
            <w:pPr>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Form of Tempest Therapeutics, Inc. Warrant to Purchase Stock</w:t>
              </w:r>
            </w:hyperlink>
          </w:p>
        </w:tc>
        <w:tc>
          <w:tcPr>
            <w:tcW w:w="1580" w:type="dxa"/>
            <w:vAlign w:val="bottom"/>
            <w:gridSpan w:val="17"/>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S-4/A</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333-255198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5/4/2021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960" w:type="dxa"/>
            <w:vAlign w:val="bottom"/>
            <w:tcBorders>
              <w:bottom w:val="single" w:sz="8" w:color="0000EE"/>
            </w:tcBorders>
            <w:gridSpan w:val="5"/>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2011 Equity Incentive Plan</w:t>
              </w:r>
            </w:hyperlink>
          </w:p>
        </w:tc>
        <w:tc>
          <w:tcPr>
            <w:tcW w:w="4160" w:type="dxa"/>
            <w:vAlign w:val="bottom"/>
            <w:gridSpan w:val="25"/>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S-8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333-257727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7/7/2021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23">
              <w:r>
                <w:rPr>
                  <w:rFonts w:ascii="Arial" w:cs="Arial" w:eastAsia="Arial" w:hAnsi="Arial"/>
                  <w:sz w:val="18"/>
                  <w:szCs w:val="18"/>
                  <w:color w:val="0000EE"/>
                </w:rPr>
                <w:t>2017 Equity Incentive Plan</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S-8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333-257727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7/7/2021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5160" w:type="dxa"/>
            <w:vAlign w:val="bottom"/>
            <w:tcBorders>
              <w:bottom w:val="single" w:sz="8" w:color="0000EE"/>
            </w:tcBorders>
            <w:gridSpan w:val="17"/>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 of Stock Option Agreement under the 2017 Equity Incentive Plan</w:t>
              </w:r>
            </w:hyperlink>
          </w:p>
        </w:tc>
        <w:tc>
          <w:tcPr>
            <w:tcW w:w="960" w:type="dxa"/>
            <w:vAlign w:val="bottom"/>
            <w:gridSpan w:val="13"/>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3/29/22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10.4</w:t>
            </w:r>
            <w:r>
              <w:rPr>
                <w:rFonts w:ascii="Arial" w:cs="Arial" w:eastAsia="Arial" w:hAnsi="Arial"/>
                <w:sz w:val="25"/>
                <w:szCs w:val="25"/>
                <w:color w:val="auto"/>
                <w:vertAlign w:val="superscript"/>
              </w:rPr>
              <w:t>+</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25">
              <w:r>
                <w:rPr>
                  <w:rFonts w:ascii="Arial" w:cs="Arial" w:eastAsia="Arial" w:hAnsi="Arial"/>
                  <w:sz w:val="18"/>
                  <w:szCs w:val="18"/>
                  <w:color w:val="0000EE"/>
                </w:rPr>
                <w:t>2019 Equity Incentive Plan</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6/13/2019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10.5</w:t>
            </w:r>
            <w:r>
              <w:rPr>
                <w:rFonts w:ascii="Arial" w:cs="Arial" w:eastAsia="Arial" w:hAnsi="Arial"/>
                <w:sz w:val="25"/>
                <w:szCs w:val="25"/>
                <w:color w:val="auto"/>
                <w:vertAlign w:val="superscript"/>
              </w:rPr>
              <w:t>+</w:t>
            </w: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Borders>
              <w:bottom w:val="single" w:sz="8" w:color="0000EE"/>
            </w:tcBorders>
            <w:gridSpan w:val="14"/>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Form of Option Grant Package under 2019 Equity Incentive Plan</w:t>
              </w:r>
            </w:hyperlink>
          </w:p>
        </w:tc>
        <w:tc>
          <w:tcPr>
            <w:tcW w:w="1420" w:type="dxa"/>
            <w:vAlign w:val="bottom"/>
            <w:gridSpan w:val="16"/>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10-Q</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10.6</w:t>
            </w:r>
            <w:r>
              <w:rPr>
                <w:rFonts w:ascii="Arial" w:cs="Arial" w:eastAsia="Arial" w:hAnsi="Arial"/>
                <w:sz w:val="25"/>
                <w:szCs w:val="25"/>
                <w:color w:val="auto"/>
                <w:vertAlign w:val="superscript"/>
              </w:rPr>
              <w:t>+</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27">
              <w:r>
                <w:rPr>
                  <w:rFonts w:ascii="Arial" w:cs="Arial" w:eastAsia="Arial" w:hAnsi="Arial"/>
                  <w:sz w:val="18"/>
                  <w:szCs w:val="18"/>
                  <w:color w:val="0000EE"/>
                </w:rPr>
                <w:t>Form of RSU Grant Package under 2019 Equity Incentive Plan</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10-Q</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10.7</w:t>
            </w:r>
            <w:r>
              <w:rPr>
                <w:rFonts w:ascii="Arial" w:cs="Arial" w:eastAsia="Arial" w:hAnsi="Arial"/>
                <w:sz w:val="25"/>
                <w:szCs w:val="25"/>
                <w:color w:val="auto"/>
                <w:vertAlign w:val="superscript"/>
              </w:rPr>
              <w:t>+</w:t>
            </w: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Borders>
              <w:bottom w:val="single" w:sz="8" w:color="0000EE"/>
            </w:tcBorders>
            <w:gridSpan w:val="25"/>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Form of Stock Option Agreement under the Sub Plan for French Residents under</w:t>
              </w:r>
            </w:hyperlink>
          </w:p>
        </w:tc>
        <w:tc>
          <w:tcPr>
            <w:tcW w:w="28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gridSpan w:val="30"/>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2019 Equity Incentive Plan</w:t>
              </w:r>
            </w:hyperlink>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10.16</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3/11/2020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10.8</w:t>
            </w:r>
            <w:r>
              <w:rPr>
                <w:rFonts w:ascii="Arial" w:cs="Arial" w:eastAsia="Arial" w:hAnsi="Arial"/>
                <w:sz w:val="25"/>
                <w:szCs w:val="25"/>
                <w:color w:val="auto"/>
                <w:vertAlign w:val="superscript"/>
              </w:rPr>
              <w:t>+</w:t>
            </w: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Form of Inducement Nonqualified Stock Option Agreement subject to the terms of</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the 2019 Equity Incentive Plan</w:t>
              </w:r>
            </w:hyperlink>
          </w:p>
        </w:tc>
        <w:tc>
          <w:tcPr>
            <w:tcW w:w="3720" w:type="dxa"/>
            <w:vAlign w:val="bottom"/>
            <w:tcBorders>
              <w:top w:val="single" w:sz="8" w:color="0000EE"/>
            </w:tcBorders>
            <w:gridSpan w:val="21"/>
          </w:tcPr>
          <w:p>
            <w:pPr>
              <w:spacing w:after="0"/>
              <w:rPr>
                <w:sz w:val="17"/>
                <w:szCs w:val="17"/>
                <w:color w:val="auto"/>
              </w:rPr>
            </w:pPr>
          </w:p>
        </w:tc>
        <w:tc>
          <w:tcPr>
            <w:tcW w:w="160" w:type="dxa"/>
            <w:vAlign w:val="bottom"/>
            <w:gridSpan w:val="2"/>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10.17</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3/11/2020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10.9</w:t>
            </w:r>
            <w:r>
              <w:rPr>
                <w:rFonts w:ascii="Arial" w:cs="Arial" w:eastAsia="Arial" w:hAnsi="Arial"/>
                <w:sz w:val="25"/>
                <w:szCs w:val="25"/>
                <w:color w:val="auto"/>
                <w:vertAlign w:val="superscript"/>
              </w:rPr>
              <w:t>+</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30">
              <w:r>
                <w:rPr>
                  <w:rFonts w:ascii="Arial" w:cs="Arial" w:eastAsia="Arial" w:hAnsi="Arial"/>
                  <w:sz w:val="18"/>
                  <w:szCs w:val="18"/>
                  <w:color w:val="0000EE"/>
                </w:rPr>
                <w:t>2019 Employee Stock Purchase Plan</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6/13/2019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5600" w:type="dxa"/>
            <w:vAlign w:val="bottom"/>
            <w:tcBorders>
              <w:bottom w:val="single" w:sz="8" w:color="0000EE"/>
            </w:tcBorders>
            <w:gridSpan w:val="20"/>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Loan and Security Agreement, dated January 15, 2021, by and among Oxford</w:t>
              </w:r>
            </w:hyperlink>
          </w:p>
        </w:tc>
        <w:tc>
          <w:tcPr>
            <w:tcW w:w="5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Finance LLC, the Lenders party thereto, and Tempest</w:t>
              </w:r>
            </w:hyperlink>
          </w:p>
        </w:tc>
        <w:tc>
          <w:tcPr>
            <w:tcW w:w="2260" w:type="dxa"/>
            <w:vAlign w:val="bottom"/>
            <w:gridSpan w:val="19"/>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88"/>
              </w:rPr>
              <w:t>S-4/A</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333-255198</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w w:val="83"/>
              </w:rPr>
              <w:t>10.11</w:t>
            </w:r>
            <w:r>
              <w:rPr>
                <w:rFonts w:ascii="Arial" w:cs="Arial" w:eastAsia="Arial" w:hAnsi="Arial"/>
                <w:sz w:val="25"/>
                <w:szCs w:val="25"/>
                <w:color w:val="auto"/>
                <w:w w:val="83"/>
                <w:vertAlign w:val="superscript"/>
              </w:rPr>
              <w:t>+</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rPr>
            </w:pPr>
            <w:hyperlink r:id="rId32">
              <w:r>
                <w:rPr>
                  <w:rFonts w:ascii="Arial" w:cs="Arial" w:eastAsia="Arial" w:hAnsi="Arial"/>
                  <w:sz w:val="18"/>
                  <w:szCs w:val="18"/>
                  <w:color w:val="0000EE"/>
                </w:rPr>
                <w:t>Form of Indemnification Agreement</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7/07/2021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10.12</w:t>
            </w:r>
            <w:r>
              <w:rPr>
                <w:rFonts w:ascii="Arial" w:cs="Arial" w:eastAsia="Arial" w:hAnsi="Arial"/>
                <w:sz w:val="25"/>
                <w:szCs w:val="25"/>
                <w:color w:val="auto"/>
                <w:w w:val="83"/>
                <w:vertAlign w:val="superscript"/>
              </w:rPr>
              <w:t>+</w:t>
            </w: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Borders>
              <w:bottom w:val="single" w:sz="8" w:color="0000EE"/>
            </w:tcBorders>
            <w:gridSpan w:val="22"/>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Employment Agreement, dated July 7, 2021, by and between the Company and</w:t>
              </w:r>
            </w:hyperlink>
          </w:p>
        </w:tc>
        <w:tc>
          <w:tcPr>
            <w:tcW w:w="4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gridSpan w:val="30"/>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Stephen Brady</w:t>
              </w:r>
            </w:hyperlink>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7/07/2021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10.13</w:t>
            </w:r>
            <w:r>
              <w:rPr>
                <w:rFonts w:ascii="Arial" w:cs="Arial" w:eastAsia="Arial" w:hAnsi="Arial"/>
                <w:sz w:val="25"/>
                <w:szCs w:val="25"/>
                <w:color w:val="auto"/>
                <w:w w:val="83"/>
                <w:vertAlign w:val="superscript"/>
              </w:rPr>
              <w:t>+</w:t>
            </w:r>
          </w:p>
        </w:tc>
        <w:tc>
          <w:tcPr>
            <w:tcW w:w="4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Borders>
              <w:bottom w:val="single" w:sz="8" w:color="0000EE"/>
            </w:tcBorders>
            <w:gridSpan w:val="22"/>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Employment Agreement, dated July 7, 2021, by and between the Company and</w:t>
              </w:r>
            </w:hyperlink>
          </w:p>
        </w:tc>
        <w:tc>
          <w:tcPr>
            <w:tcW w:w="4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gridSpan w:val="30"/>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Thomas Dubensky, Ph.D.</w:t>
              </w:r>
            </w:hyperlink>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7/07/2021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10.14</w:t>
            </w:r>
            <w:r>
              <w:rPr>
                <w:rFonts w:ascii="Arial" w:cs="Arial" w:eastAsia="Arial" w:hAnsi="Arial"/>
                <w:sz w:val="25"/>
                <w:szCs w:val="25"/>
                <w:color w:val="auto"/>
                <w:w w:val="83"/>
                <w:vertAlign w:val="superscript"/>
              </w:rPr>
              <w:t>+</w:t>
            </w:r>
          </w:p>
        </w:tc>
        <w:tc>
          <w:tcPr>
            <w:tcW w:w="4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Borders>
              <w:bottom w:val="single" w:sz="8" w:color="0000EE"/>
            </w:tcBorders>
            <w:gridSpan w:val="22"/>
          </w:tcPr>
          <w:p>
            <w:pP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Employment Agreement, dated July 7, 2021, by and between the Company and</w:t>
              </w:r>
            </w:hyperlink>
          </w:p>
        </w:tc>
        <w:tc>
          <w:tcPr>
            <w:tcW w:w="4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gridSpan w:val="30"/>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Samuel Whiting, M.D., Ph.D.</w:t>
              </w:r>
            </w:hyperlink>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10.4</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7/07/2021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1100" w:type="dxa"/>
            <w:vAlign w:val="bottom"/>
            <w:tcBorders>
              <w:left w:val="single" w:sz="8" w:color="0000EE"/>
            </w:tcBorders>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5820" w:type="dxa"/>
            <w:vAlign w:val="bottom"/>
            <w:tcBorders>
              <w:bottom w:val="single" w:sz="8" w:color="0000EE"/>
            </w:tcBorders>
            <w:gridSpan w:val="24"/>
          </w:tcPr>
          <w:p>
            <w:pP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Lease Agreement, dated February 22, 2019, by and between ARE-San Francisco</w:t>
              </w:r>
            </w:hyperlink>
          </w:p>
        </w:tc>
        <w:tc>
          <w:tcPr>
            <w:tcW w:w="30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No. 17, LLC and Tempest Therapeutics, Inc.</w:t>
              </w:r>
            </w:hyperlink>
          </w:p>
        </w:tc>
        <w:tc>
          <w:tcPr>
            <w:tcW w:w="2900" w:type="dxa"/>
            <w:vAlign w:val="bottom"/>
            <w:gridSpan w:val="21"/>
          </w:tcPr>
          <w:p>
            <w:pPr>
              <w:spacing w:after="0"/>
              <w:rPr>
                <w:sz w:val="17"/>
                <w:szCs w:val="17"/>
                <w:color w:val="auto"/>
              </w:rPr>
            </w:pP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88"/>
              </w:rPr>
              <w:t>S-4/A</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333-255198</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5400" w:type="dxa"/>
            <w:vAlign w:val="bottom"/>
            <w:tcBorders>
              <w:bottom w:val="single" w:sz="8" w:color="0000EE"/>
            </w:tcBorders>
            <w:gridSpan w:val="18"/>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First Amendment to Lease, dated June 28, 2019, by and between ARE-San</w:t>
              </w:r>
            </w:hyperlink>
          </w:p>
        </w:tc>
        <w:tc>
          <w:tcPr>
            <w:tcW w:w="72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gridSpan w:val="30"/>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Francisco No. 17, LLC and Tempest Therapeutics, Inc.</w:t>
              </w:r>
            </w:hyperlink>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88"/>
              </w:rPr>
              <w:t>S-4/A</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333-255198</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5/4/2021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3960" w:type="dxa"/>
            <w:vAlign w:val="bottom"/>
            <w:tcBorders>
              <w:top w:val="single" w:sz="8" w:color="0000EE"/>
            </w:tcBorders>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Subsidiaries of the Registrant</w:t>
              </w:r>
            </w:hyperlink>
          </w:p>
        </w:tc>
        <w:tc>
          <w:tcPr>
            <w:tcW w:w="216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6120" w:type="dxa"/>
            <w:vAlign w:val="bottom"/>
            <w:gridSpan w:val="30"/>
          </w:tcPr>
          <w:p>
            <w:pPr>
              <w:spacing w:after="0"/>
              <w:rPr>
                <w:rFonts w:ascii="Arial" w:cs="Arial" w:eastAsia="Arial" w:hAnsi="Arial"/>
                <w:sz w:val="18"/>
                <w:szCs w:val="18"/>
                <w:color w:val="0000EE"/>
                <w:w w:val="98"/>
              </w:rPr>
            </w:pPr>
            <w:hyperlink r:id="rId38">
              <w:r>
                <w:rPr>
                  <w:rFonts w:ascii="Arial" w:cs="Arial" w:eastAsia="Arial" w:hAnsi="Arial"/>
                  <w:sz w:val="18"/>
                  <w:szCs w:val="18"/>
                  <w:color w:val="0000EE"/>
                  <w:w w:val="98"/>
                </w:rPr>
                <w:t>Consent of Ernst &amp; Young LLP, independent registered public accounting firm</w:t>
              </w:r>
            </w:hyperlink>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3/29/22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gridSpan w:val="15"/>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5920" w:type="dxa"/>
            <w:vAlign w:val="bottom"/>
            <w:tcBorders>
              <w:bottom w:val="single" w:sz="8" w:color="0000EE"/>
            </w:tcBorders>
            <w:gridSpan w:val="26"/>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Consent of Deloitte &amp; Touche LLP, independent registered public accounting firm</w:t>
              </w:r>
            </w:hyperlink>
          </w:p>
        </w:tc>
        <w:tc>
          <w:tcPr>
            <w:tcW w:w="200" w:type="dxa"/>
            <w:vAlign w:val="bottom"/>
            <w:gridSpan w:val="4"/>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3/29/22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4740" w:type="dxa"/>
            <w:vAlign w:val="bottom"/>
            <w:tcBorders>
              <w:bottom w:val="single" w:sz="8" w:color="0000EE"/>
            </w:tcBorders>
            <w:gridSpan w:val="15"/>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Power of Attorney (included on signature page to the Form 10-K)</w:t>
              </w:r>
            </w:hyperlink>
          </w:p>
        </w:tc>
        <w:tc>
          <w:tcPr>
            <w:tcW w:w="1380" w:type="dxa"/>
            <w:vAlign w:val="bottom"/>
            <w:gridSpan w:val="15"/>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001-35890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3/29/22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298"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31.1</w:t>
            </w:r>
          </w:p>
        </w:tc>
        <w:tc>
          <w:tcPr>
            <w:tcW w:w="5480" w:type="dxa"/>
            <w:vAlign w:val="bottom"/>
            <w:tcBorders>
              <w:bottom w:val="single" w:sz="8" w:color="0000EE"/>
            </w:tcBorders>
            <w:gridSpan w:val="2"/>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Certification of Principal Executive Officer pursuant to Rules 13a-14(a) and</w:t>
              </w:r>
            </w:hyperlink>
          </w:p>
        </w:tc>
        <w:tc>
          <w:tcPr>
            <w:tcW w:w="4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15d-14(a) promulgated under the Securities Exchange Act of 1934, as adopted</w:t>
              </w:r>
            </w:hyperlink>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920" w:type="dxa"/>
            <w:vAlign w:val="bottom"/>
            <w:gridSpan w:val="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pursuant to Section 302 of the Sarbanes-Oxley Act of 2002</w:t>
              </w:r>
            </w:hyperlink>
          </w:p>
        </w:tc>
        <w:tc>
          <w:tcPr>
            <w:tcW w:w="780" w:type="dxa"/>
            <w:vAlign w:val="bottom"/>
          </w:tcPr>
          <w:p>
            <w:pPr>
              <w:ind w:left="260"/>
              <w:spacing w:after="0" w:line="196" w:lineRule="exact"/>
              <w:rPr>
                <w:sz w:val="20"/>
                <w:szCs w:val="20"/>
                <w:color w:val="auto"/>
              </w:rPr>
            </w:pPr>
            <w:r>
              <w:rPr>
                <w:rFonts w:ascii="Arial" w:cs="Arial" w:eastAsia="Arial" w:hAnsi="Arial"/>
                <w:sz w:val="18"/>
                <w:szCs w:val="18"/>
                <w:color w:val="auto"/>
              </w:rPr>
              <w:t>10-K</w:t>
            </w:r>
          </w:p>
        </w:tc>
        <w:tc>
          <w:tcPr>
            <w:tcW w:w="11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001-35890</w:t>
            </w:r>
          </w:p>
        </w:tc>
        <w:tc>
          <w:tcPr>
            <w:tcW w:w="7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31.1</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3/29/22</w:t>
            </w:r>
          </w:p>
        </w:tc>
      </w:tr>
      <w:tr>
        <w:trPr>
          <w:trHeight w:val="385"/>
        </w:trPr>
        <w:tc>
          <w:tcPr>
            <w:tcW w:w="900" w:type="dxa"/>
            <w:vAlign w:val="bottom"/>
          </w:tcPr>
          <w:p>
            <w:pPr>
              <w:spacing w:after="0"/>
              <w:rPr>
                <w:sz w:val="24"/>
                <w:szCs w:val="24"/>
                <w:color w:val="auto"/>
              </w:rPr>
            </w:pPr>
          </w:p>
        </w:tc>
        <w:tc>
          <w:tcPr>
            <w:tcW w:w="4260" w:type="dxa"/>
            <w:vAlign w:val="bottom"/>
            <w:tcBorders>
              <w:top w:val="single" w:sz="8" w:color="0000EE"/>
            </w:tcBorders>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180"/>
          </w:cols>
          <w:pgMar w:left="520" w:top="108" w:right="11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1080" w:type="dxa"/>
            <w:vAlign w:val="bottom"/>
          </w:tcPr>
          <w:p>
            <w:pPr>
              <w:ind w:left="80"/>
              <w:spacing w:after="0"/>
              <w:rPr>
                <w:sz w:val="20"/>
                <w:szCs w:val="20"/>
                <w:color w:val="auto"/>
              </w:rPr>
            </w:pPr>
            <w:r>
              <w:rPr>
                <w:rFonts w:ascii="Arial" w:cs="Arial" w:eastAsia="Arial" w:hAnsi="Arial"/>
                <w:sz w:val="18"/>
                <w:szCs w:val="18"/>
                <w:color w:val="auto"/>
              </w:rPr>
              <w:t>31.2</w:t>
            </w:r>
          </w:p>
        </w:tc>
        <w:tc>
          <w:tcPr>
            <w:tcW w:w="6200" w:type="dxa"/>
            <w:vAlign w:val="bottom"/>
            <w:tcBorders>
              <w:bottom w:val="single" w:sz="8" w:color="0000EE"/>
            </w:tcBorders>
            <w:gridSpan w:val="5"/>
          </w:tcPr>
          <w:p>
            <w:pPr>
              <w:spacing w:after="0"/>
              <w:rPr>
                <w:rFonts w:ascii="Arial" w:cs="Arial" w:eastAsia="Arial" w:hAnsi="Arial"/>
                <w:sz w:val="18"/>
                <w:szCs w:val="18"/>
                <w:color w:val="0000EE"/>
                <w:w w:val="92"/>
              </w:rPr>
            </w:pPr>
            <w:hyperlink r:id="rId43">
              <w:r>
                <w:rPr>
                  <w:rFonts w:ascii="Arial" w:cs="Arial" w:eastAsia="Arial" w:hAnsi="Arial"/>
                  <w:sz w:val="18"/>
                  <w:szCs w:val="18"/>
                  <w:color w:val="0000EE"/>
                  <w:w w:val="92"/>
                </w:rPr>
                <w:t>Certification of Principal Financial Officer pursuant to Rules 13a-14(a) and 15d-14(a)</w:t>
              </w:r>
            </w:hyperlink>
          </w:p>
        </w:tc>
        <w:tc>
          <w:tcPr>
            <w:tcW w:w="1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promulgated under the Securities Exchange Act of 1934, as adopted pursuant to section</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302 of the Sarbanes-Oxley Act of 2002</w:t>
              </w:r>
            </w:hyperlink>
          </w:p>
        </w:tc>
        <w:tc>
          <w:tcPr>
            <w:tcW w:w="3500" w:type="dxa"/>
            <w:vAlign w:val="bottom"/>
            <w:gridSpan w:val="8"/>
          </w:tcPr>
          <w:p>
            <w:pPr>
              <w:spacing w:after="0"/>
              <w:rPr>
                <w:sz w:val="17"/>
                <w:szCs w:val="17"/>
                <w:color w:val="auto"/>
              </w:rPr>
            </w:pPr>
          </w:p>
        </w:tc>
        <w:tc>
          <w:tcPr>
            <w:tcW w:w="840" w:type="dxa"/>
            <w:vAlign w:val="bottom"/>
          </w:tcPr>
          <w:p>
            <w:pPr>
              <w:ind w:left="360"/>
              <w:spacing w:after="0" w:line="196" w:lineRule="exact"/>
              <w:rPr>
                <w:sz w:val="20"/>
                <w:szCs w:val="20"/>
                <w:color w:val="auto"/>
              </w:rPr>
            </w:pPr>
            <w:r>
              <w:rPr>
                <w:rFonts w:ascii="Arial" w:cs="Arial" w:eastAsia="Arial" w:hAnsi="Arial"/>
                <w:sz w:val="18"/>
                <w:szCs w:val="18"/>
                <w:color w:val="auto"/>
              </w:rPr>
              <w:t>10-K</w:t>
            </w:r>
          </w:p>
        </w:tc>
        <w:tc>
          <w:tcPr>
            <w:tcW w:w="9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001-35890</w:t>
            </w: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31.2</w:t>
            </w:r>
          </w:p>
        </w:tc>
        <w:tc>
          <w:tcPr>
            <w:tcW w:w="90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3/29/22</w:t>
            </w:r>
          </w:p>
        </w:tc>
      </w:tr>
      <w:tr>
        <w:trPr>
          <w:trHeight w:val="304"/>
        </w:trPr>
        <w:tc>
          <w:tcPr>
            <w:tcW w:w="1080" w:type="dxa"/>
            <w:vAlign w:val="bottom"/>
          </w:tcPr>
          <w:p>
            <w:pPr>
              <w:ind w:left="80"/>
              <w:spacing w:after="0"/>
              <w:rPr>
                <w:sz w:val="20"/>
                <w:szCs w:val="20"/>
                <w:color w:val="auto"/>
              </w:rPr>
            </w:pPr>
            <w:r>
              <w:rPr>
                <w:rFonts w:ascii="Arial" w:cs="Arial" w:eastAsia="Arial" w:hAnsi="Arial"/>
                <w:sz w:val="18"/>
                <w:szCs w:val="18"/>
                <w:color w:val="auto"/>
              </w:rPr>
              <w:t>31.3</w:t>
            </w:r>
          </w:p>
        </w:tc>
        <w:tc>
          <w:tcPr>
            <w:tcW w:w="6340" w:type="dxa"/>
            <w:vAlign w:val="bottom"/>
            <w:gridSpan w:val="10"/>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Certification of Principal Executive Officer pursuant to Rules 13a-14(a) and 15d-14(a)</w:t>
              </w:r>
            </w:hyperlink>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promulgated under the Securities Exchange Act of 1934, as adopted pursuant to</w:t>
              </w:r>
            </w:hyperlink>
          </w:p>
        </w:tc>
        <w:tc>
          <w:tcPr>
            <w:tcW w:w="480" w:type="dxa"/>
            <w:vAlign w:val="bottom"/>
            <w:tcBorders>
              <w:top w:val="single" w:sz="8" w:color="0000EE"/>
            </w:tcBorders>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Section 302 of the Sarbanes-Oxley Act of 2002</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80" w:type="dxa"/>
            <w:vAlign w:val="bottom"/>
          </w:tcPr>
          <w:p>
            <w:pPr>
              <w:ind w:left="80"/>
              <w:spacing w:after="0"/>
              <w:rPr>
                <w:sz w:val="20"/>
                <w:szCs w:val="20"/>
                <w:color w:val="auto"/>
              </w:rPr>
            </w:pPr>
            <w:r>
              <w:rPr>
                <w:rFonts w:ascii="Arial" w:cs="Arial" w:eastAsia="Arial" w:hAnsi="Arial"/>
                <w:sz w:val="18"/>
                <w:szCs w:val="18"/>
                <w:color w:val="auto"/>
              </w:rPr>
              <w:t>31.4</w:t>
            </w:r>
          </w:p>
        </w:tc>
        <w:tc>
          <w:tcPr>
            <w:tcW w:w="62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Certification of Principal Financial Officer pursuant to Rules 13a-14(a) and 15d-14(a)</w:t>
              </w:r>
            </w:hyperlink>
          </w:p>
        </w:tc>
        <w:tc>
          <w:tcPr>
            <w:tcW w:w="1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promulgated under the Securities Exchange Act of 1934, as adopted pursuant to section</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302 of the Sarbanes-Oxley Act of 2002</w:t>
              </w:r>
            </w:hyperlink>
          </w:p>
        </w:tc>
        <w:tc>
          <w:tcPr>
            <w:tcW w:w="350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1080" w:type="dxa"/>
            <w:vAlign w:val="bottom"/>
          </w:tcPr>
          <w:p>
            <w:pPr>
              <w:ind w:left="80"/>
              <w:spacing w:after="0"/>
              <w:rPr>
                <w:sz w:val="20"/>
                <w:szCs w:val="20"/>
                <w:color w:val="auto"/>
              </w:rPr>
            </w:pPr>
            <w:r>
              <w:rPr>
                <w:rFonts w:ascii="Arial" w:cs="Arial" w:eastAsia="Arial" w:hAnsi="Arial"/>
                <w:sz w:val="18"/>
                <w:szCs w:val="18"/>
                <w:color w:val="auto"/>
              </w:rPr>
              <w:t>32.1</w:t>
            </w:r>
            <w:r>
              <w:rPr>
                <w:rFonts w:ascii="Arial" w:cs="Arial" w:eastAsia="Arial" w:hAnsi="Arial"/>
                <w:sz w:val="25"/>
                <w:szCs w:val="25"/>
                <w:color w:val="auto"/>
                <w:vertAlign w:val="superscript"/>
              </w:rPr>
              <w:t>^</w:t>
            </w:r>
          </w:p>
        </w:tc>
        <w:tc>
          <w:tcPr>
            <w:tcW w:w="6260" w:type="dxa"/>
            <w:vAlign w:val="bottom"/>
            <w:tcBorders>
              <w:bottom w:val="single" w:sz="8" w:color="0000EE"/>
            </w:tcBorders>
            <w:gridSpan w:val="7"/>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Certification of Principal Executive Officer and Principal Financial Officer pursuant to</w:t>
              </w:r>
            </w:hyperlink>
          </w:p>
        </w:tc>
        <w:tc>
          <w:tcPr>
            <w:tcW w:w="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Rules 13a-14(b) and 15d-14(b) promulgated under the Securities Exchange Act of 1934</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and 18 U.S.C. Section 1350, as adopted pursuant to section 906 of The Sarbanes-Oxley</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Act of 2002</w:t>
              </w:r>
            </w:hyperlink>
          </w:p>
        </w:tc>
        <w:tc>
          <w:tcPr>
            <w:tcW w:w="40" w:type="dxa"/>
            <w:vAlign w:val="bottom"/>
            <w:gridSpan w:val="2"/>
          </w:tcPr>
          <w:p>
            <w:pPr>
              <w:spacing w:after="0"/>
              <w:rPr>
                <w:sz w:val="17"/>
                <w:szCs w:val="17"/>
                <w:color w:val="auto"/>
              </w:rPr>
            </w:pPr>
          </w:p>
        </w:tc>
        <w:tc>
          <w:tcPr>
            <w:tcW w:w="18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32.1</w:t>
            </w:r>
          </w:p>
        </w:tc>
        <w:tc>
          <w:tcPr>
            <w:tcW w:w="90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3/29/22</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101.SCH</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101.CAL</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101.DEF</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10-K  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101.LAB</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6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40" w:type="dxa"/>
            <w:vAlign w:val="bottom"/>
          </w:tcPr>
          <w:p>
            <w:pPr>
              <w:ind w:left="36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9"/>
              </w:rPr>
              <w:t>001-35890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101.PRE</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3/29/22</w:t>
            </w:r>
          </w:p>
        </w:tc>
      </w:tr>
    </w:tbl>
    <w:p>
      <w:pPr>
        <w:spacing w:after="0" w:line="94" w:lineRule="exact"/>
        <w:rPr>
          <w:sz w:val="20"/>
          <w:szCs w:val="20"/>
          <w:color w:val="auto"/>
        </w:rPr>
      </w:pPr>
    </w:p>
    <w:p>
      <w:pPr>
        <w:ind w:left="1084" w:right="3720" w:hanging="1084"/>
        <w:spacing w:after="0" w:line="277" w:lineRule="auto"/>
        <w:tabs>
          <w:tab w:leader="none" w:pos="108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24" w:right="40" w:hanging="424"/>
        <w:spacing w:after="0" w:line="27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certifications were furnished solely to accompany the Annual Report pursuant to 18 U.S.C. Section 1350, and were not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84" w:right="4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the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97"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Tempest Therapeutics, Inc. (the “Company,” or “we,” “us,” and “our”) has one class of securities registered under Section 12 of the Securities Exchange Act of 1934, as amended: our common stock.</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following descriptions of our capital stock, provisions of our restated certificate of incorporation, as amended, and amended and restated by-laws, and certain provisions of Delaware law are summaries and do not purport to be complete. You should also refer to the restated certificate and the amended and restated by-laws, which are incorporated by reference as exhibits to the Annual Report on Form 10-K of which this Exhibit 4.1 is a part. We refer in this section to our restated certificate of incorporation and amended and restated by-laws as our restated certificate and by-laws,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w:t>
      </w:r>
    </w:p>
    <w:p>
      <w:pPr>
        <w:sectPr>
          <w:pgSz w:w="11900" w:h="16838" w:orient="portrait"/>
          <w:cols w:equalWidth="0" w:num="1">
            <w:col w:w="11020"/>
          </w:cols>
          <w:pgMar w:left="440" w:top="121" w:right="439" w:bottom="1440" w:gutter="0" w:footer="0" w:header="0"/>
        </w:sectPr>
      </w:pPr>
    </w:p>
    <w:bookmarkStart w:id="8" w:name="page9"/>
    <w:bookmarkEnd w:id="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Securities and Exchange Commission, the form of any certificate of designation that describes the terms of the series of preferred stock we are offering before the issuance of that series of preferred stock. This description will include:</w:t>
      </w:r>
    </w:p>
    <w:p>
      <w:pPr>
        <w:spacing w:after="0" w:line="67"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9"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960" w:right="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ectPr>
          <w:pgSz w:w="11900" w:h="16838" w:orient="portrait"/>
          <w:cols w:equalWidth="0" w:num="1">
            <w:col w:w="11000"/>
          </w:cols>
          <w:pgMar w:left="440" w:top="274" w:right="45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9" w:lineRule="exact"/>
        <w:rPr>
          <w:sz w:val="20"/>
          <w:szCs w:val="20"/>
          <w:color w:val="auto"/>
        </w:rPr>
      </w:pPr>
    </w:p>
    <w:p>
      <w:pPr>
        <w:ind w:left="960" w:right="18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960" w:right="40" w:hanging="424"/>
        <w:spacing w:after="0" w:line="275"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96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Staggered Board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Meeting of Stockholders; Advance Notice Requirements for Stockholder Proposals and Director Nominations; Stockholder Action</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 Majority Voting</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Forum</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“TPST”.</w:t>
      </w:r>
    </w:p>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Subsidiaries of Tempest Therapeutics, Inc.</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Arial" w:cs="Arial" w:eastAsia="Arial" w:hAnsi="Arial"/>
                <w:sz w:val="18"/>
                <w:szCs w:val="18"/>
                <w:b w:val="1"/>
                <w:bCs w:val="1"/>
                <w:color w:val="auto"/>
              </w:rPr>
              <w:t>Name of Subsidiary</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Jurisdiction of Organization</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TempestTx, Inc.</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 United States</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Millendo Therapeutics US, Inc.</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Delaware, United States</w:t>
            </w:r>
          </w:p>
        </w:tc>
      </w:tr>
    </w:tbl>
    <w:p>
      <w:pPr>
        <w:sectPr>
          <w:pgSz w:w="11900" w:h="16838" w:orient="portrait"/>
          <w:cols w:equalWidth="0" w:num="1">
            <w:col w:w="11020"/>
          </w:cols>
          <w:pgMar w:left="440" w:top="121"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Brady, certify that:</w:t>
      </w:r>
    </w:p>
    <w:p>
      <w:pPr>
        <w:spacing w:after="0" w:line="13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Tempest Therapeutics,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 Brady,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Nicholas Maestas,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Tempest Therapeutics,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Nicholas Maestas, Vice President, Strategy and Finance</w:t>
      </w:r>
    </w:p>
    <w:p>
      <w:pPr>
        <w:spacing w:after="0" w:line="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2"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16" Type="http://schemas.openxmlformats.org/officeDocument/2006/relationships/hyperlink" Target="http://www.sec.gov/Archives/edgar/data/1544227/000110465921042768/tm2111026d1_ex2-1.htm" TargetMode="External"/><Relationship Id="rId17" Type="http://schemas.openxmlformats.org/officeDocument/2006/relationships/hyperlink" Target="http://www.sec.gov/Archives/edgar/data/1544227/000155837019005038/mlnd-20190331ex31b53fa83.htm" TargetMode="External"/><Relationship Id="rId18" Type="http://schemas.openxmlformats.org/officeDocument/2006/relationships/hyperlink" Target="http://www.sec.gov/Archives/edgar/data/1544227/000119312521201157/d196630dex31.htm" TargetMode="External"/><Relationship Id="rId19" Type="http://schemas.openxmlformats.org/officeDocument/2006/relationships/hyperlink" Target="http://www.sec.gov/Archives/edgar/data/1544227/000119312521201157/d196630dex32.htm" TargetMode="External"/><Relationship Id="rId20" Type="http://schemas.openxmlformats.org/officeDocument/2006/relationships/hyperlink" Target="http://www.sec.gov/Archives/edgar/data/1544227/000119312521281694/d222030dex31.htm" TargetMode="External"/><Relationship Id="rId21" Type="http://schemas.openxmlformats.org/officeDocument/2006/relationships/hyperlink" Target="http://www.sec.gov/Archives/edgar/data/1544227/000119312521148605/d150774dex42.htm" TargetMode="External"/><Relationship Id="rId22" Type="http://schemas.openxmlformats.org/officeDocument/2006/relationships/hyperlink" Target="http://www.sec.gov/Archives/edgar/data/1544227/000119312521208968/d184348dex102.htm" TargetMode="External"/><Relationship Id="rId23" Type="http://schemas.openxmlformats.org/officeDocument/2006/relationships/hyperlink" Target="http://www.sec.gov/Archives/edgar/data/1544227/000119312521208968/d184348dex101.htm" TargetMode="External"/><Relationship Id="rId24" Type="http://schemas.openxmlformats.org/officeDocument/2006/relationships/hyperlink" Target="http://www.sec.gov/Archives/edgar/data/1544227/000162828022007717/tempest-2017eipxformofst.htm" TargetMode="External"/><Relationship Id="rId25" Type="http://schemas.openxmlformats.org/officeDocument/2006/relationships/hyperlink" Target="http://www.sec.gov/Archives/edgar/data/1544227/000110465919035378/a19-11518_1ex10d1.htm" TargetMode="External"/><Relationship Id="rId26" Type="http://schemas.openxmlformats.org/officeDocument/2006/relationships/hyperlink" Target="http://www.sec.gov/Archives/edgar/data/1544227/000155837019007932/mlnd-20190630ex107cfce16.htm" TargetMode="External"/><Relationship Id="rId27" Type="http://schemas.openxmlformats.org/officeDocument/2006/relationships/hyperlink" Target="http://www.sec.gov/Archives/edgar/data/1544227/000155837019007932/mlnd-20190630ex108da3c00.htm" TargetMode="External"/><Relationship Id="rId28" Type="http://schemas.openxmlformats.org/officeDocument/2006/relationships/hyperlink" Target="http://www.sec.gov/Archives/edgar/data/1544227/000154422720000004/mlnd-20191231xex1016.htm" TargetMode="External"/><Relationship Id="rId29" Type="http://schemas.openxmlformats.org/officeDocument/2006/relationships/hyperlink" Target="http://www.sec.gov/Archives/edgar/data/1544227/000154422720000004/mlnd-201912x31xex1017.htm" TargetMode="External"/><Relationship Id="rId30" Type="http://schemas.openxmlformats.org/officeDocument/2006/relationships/hyperlink" Target="http://www.sec.gov/Archives/edgar/data/1544227/000110465919035378/a19-11518_1ex10d2.htm" TargetMode="External"/><Relationship Id="rId31" Type="http://schemas.openxmlformats.org/officeDocument/2006/relationships/hyperlink" Target="http://www.sec.gov/Archives/edgar/data/1544227/000119312521148605/d150774dex103.htm" TargetMode="External"/><Relationship Id="rId32" Type="http://schemas.openxmlformats.org/officeDocument/2006/relationships/hyperlink" Target="http://www.sec.gov/Archives/edgar/data/1544227/000119312521209988/d69289dex101.htm" TargetMode="External"/><Relationship Id="rId33" Type="http://schemas.openxmlformats.org/officeDocument/2006/relationships/hyperlink" Target="http://www.sec.gov/Archives/edgar/data/1544227/000119312521209988/d69289dex102.htm" TargetMode="External"/><Relationship Id="rId34" Type="http://schemas.openxmlformats.org/officeDocument/2006/relationships/hyperlink" Target="http://www.sec.gov/Archives/edgar/data/1544227/000119312521209988/d69289dex103.htm" TargetMode="External"/><Relationship Id="rId35" Type="http://schemas.openxmlformats.org/officeDocument/2006/relationships/hyperlink" Target="http://www.sec.gov/Archives/edgar/data/1544227/000119312521209988/d69289dex104.htm" TargetMode="External"/><Relationship Id="rId36" Type="http://schemas.openxmlformats.org/officeDocument/2006/relationships/hyperlink" Target="http://www.sec.gov/Archives/edgar/data/1544227/000119312521148605/d150774dex101.htm" TargetMode="External"/><Relationship Id="rId37" Type="http://schemas.openxmlformats.org/officeDocument/2006/relationships/hyperlink" Target="http://www.sec.gov/Archives/edgar/data/1544227/000119312521148605/d150774dex102.htm" TargetMode="External"/><Relationship Id="rId38" Type="http://schemas.openxmlformats.org/officeDocument/2006/relationships/hyperlink" Target="http://www.sec.gov/Archives/edgar/data/1544227/000162828022007717/eyconsentexhibit231.htm" TargetMode="External"/><Relationship Id="rId39" Type="http://schemas.openxmlformats.org/officeDocument/2006/relationships/hyperlink" Target="http://www.sec.gov/Archives/edgar/data/1544227/000162828022007717/dtconsentexhibit232.htm" TargetMode="External"/><Relationship Id="rId40" Type="http://schemas.openxmlformats.org/officeDocument/2006/relationships/hyperlink" Target="http://www.sec.gov/ix?doc=/Archives/edgar/data/1544227/000162828022007717/tpst-20211231.htm#ifd3472dd5e6f4fc5a0831d2b781f243e_184" TargetMode="External"/><Relationship Id="rId41" Type="http://schemas.openxmlformats.org/officeDocument/2006/relationships/hyperlink" Target="http://www.sec.gov/Archives/edgar/data/1544227/000162828022007717/exhibit3111.htm" TargetMode="External"/><Relationship Id="rId43" Type="http://schemas.openxmlformats.org/officeDocument/2006/relationships/hyperlink" Target="http://www.sec.gov/Archives/edgar/data/1544227/000162828022007717/exhibit3121.htm" TargetMode="External"/><Relationship Id="rId44" Type="http://schemas.openxmlformats.org/officeDocument/2006/relationships/hyperlink" Target="http://www.sec.gov/Archives/edgar/data/1544227/000162828022007717/exhibit3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2022-04-01T06:00:26Z</dcterms:created>
  <dcterms:modified xsi:type="dcterms:W3CDTF">2022-04-01T06:00:26Z</dcterms:modified>
</cp:coreProperties>
</file>