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File No. 333-280918</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1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 Prospectus dated January 27, 2025)</w:t>
      </w:r>
    </w:p>
    <w:p>
      <w:pPr>
        <w:spacing w:after="0" w:line="6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Up to $14,500,000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78105</wp:posOffset>
            </wp:positionV>
            <wp:extent cx="228028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02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1" w:lineRule="exact"/>
        <w:rPr>
          <w:sz w:val="24"/>
          <w:szCs w:val="24"/>
          <w:color w:val="auto"/>
        </w:rPr>
      </w:pPr>
    </w:p>
    <w:p>
      <w:pPr>
        <w:ind w:left="120" w:right="220"/>
        <w:spacing w:after="0" w:line="237" w:lineRule="auto"/>
        <w:rPr>
          <w:sz w:val="20"/>
          <w:szCs w:val="20"/>
          <w:color w:val="auto"/>
        </w:rPr>
      </w:pPr>
      <w:r>
        <w:rPr>
          <w:rFonts w:ascii="Times New Roman" w:cs="Times New Roman" w:eastAsia="Times New Roman" w:hAnsi="Times New Roman"/>
          <w:sz w:val="16"/>
          <w:szCs w:val="16"/>
          <w:color w:val="auto"/>
        </w:rPr>
        <w:t>We have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6"/>
          <w:szCs w:val="16"/>
          <w:color w:val="auto"/>
        </w:rPr>
        <w:t>, dated June 20, 2024, or the sales agreement, with Jefferies LLC, or Jefferies, relating to the offer and sale of shares of our common stock, par value $0.001 per share, from time to time through Jefferies acting as our sales agent. In accordance with the terms of the sales agreement, we may offer and sell shares of our common stock having a maximum aggregate offering price of up to $14,500,000 from time to time through Jefferies, acting as our sales agent.</w:t>
      </w:r>
    </w:p>
    <w:p>
      <w:pPr>
        <w:spacing w:after="0" w:line="60" w:lineRule="exact"/>
        <w:rPr>
          <w:sz w:val="24"/>
          <w:szCs w:val="24"/>
          <w:color w:val="auto"/>
        </w:rPr>
      </w:pPr>
    </w:p>
    <w:p>
      <w:pPr>
        <w:ind w:left="120" w:right="500"/>
        <w:spacing w:after="0" w:line="298" w:lineRule="auto"/>
        <w:rPr>
          <w:sz w:val="20"/>
          <w:szCs w:val="20"/>
          <w:color w:val="auto"/>
        </w:rPr>
      </w:pPr>
      <w:r>
        <w:rPr>
          <w:rFonts w:ascii="Times New Roman" w:cs="Times New Roman" w:eastAsia="Times New Roman" w:hAnsi="Times New Roman"/>
          <w:sz w:val="16"/>
          <w:szCs w:val="16"/>
          <w:color w:val="auto"/>
        </w:rPr>
        <w:t>Our common stock is listed on the Nasdaq Capital Market under the symbol “TPST.” On February 5, 2025 the last reported sale price of our common stock on the Nasdaq Capital Market was $0.9355 per share.</w:t>
      </w:r>
    </w:p>
    <w:p>
      <w:pPr>
        <w:spacing w:after="0" w:line="16" w:lineRule="exact"/>
        <w:rPr>
          <w:sz w:val="24"/>
          <w:szCs w:val="24"/>
          <w:color w:val="auto"/>
        </w:rPr>
      </w:pPr>
    </w:p>
    <w:p>
      <w:pPr>
        <w:ind w:left="120" w:right="400"/>
        <w:spacing w:after="0" w:line="275" w:lineRule="auto"/>
        <w:rPr>
          <w:sz w:val="20"/>
          <w:szCs w:val="20"/>
          <w:color w:val="auto"/>
        </w:rPr>
      </w:pPr>
      <w:r>
        <w:rPr>
          <w:rFonts w:ascii="Times New Roman" w:cs="Times New Roman" w:eastAsia="Times New Roman" w:hAnsi="Times New Roman"/>
          <w:sz w:val="16"/>
          <w:szCs w:val="16"/>
          <w:color w:val="auto"/>
        </w:rPr>
        <w:t>Sales of shares of our common stock, if any, under this prospectus supplement and the accompanying prospectus will be made in sales deemed to be “at the market offerings” as defined in Rule 415(a)(4) promulgated under the Securities Act of 1933, as amended, or the Securities Act. Jefferies is not required to sell any specific amount of shares of common stock, but will act as our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48" w:lineRule="exact"/>
        <w:rPr>
          <w:sz w:val="24"/>
          <w:szCs w:val="24"/>
          <w:color w:val="auto"/>
        </w:rPr>
      </w:pPr>
    </w:p>
    <w:p>
      <w:pPr>
        <w:ind w:left="120" w:right="100"/>
        <w:spacing w:after="0" w:line="272" w:lineRule="auto"/>
        <w:rPr>
          <w:sz w:val="20"/>
          <w:szCs w:val="20"/>
          <w:color w:val="auto"/>
        </w:rPr>
      </w:pPr>
      <w:r>
        <w:rPr>
          <w:rFonts w:ascii="Times New Roman" w:cs="Times New Roman" w:eastAsia="Times New Roman" w:hAnsi="Times New Roman"/>
          <w:sz w:val="16"/>
          <w:szCs w:val="16"/>
          <w:color w:val="auto"/>
        </w:rPr>
        <w:t>The compensation to Jefferies for sales of common stock sold pursuant to the sales agreement will be an amount equal to 3.0% of the gross proceeds of any shares of common stock sold under the sales agreement. See “Plan of Distribution” beginning on page S-13 for additional information regarding the compensation to be paid to Jefferies. In connection with the sale of the common stock on our behalf, Jefferies will be deemed to be an “underwriter” within the meaning of the Securities Act of 1933, as amended, or the Securities Act, and the compensation of Jefferies will be deemed to be underwriting commissions or discounts. We have also agreed to provide indemnification and contribution to Jefferies with respect to certain liabilities, including liabilities under the Securities Act.</w:t>
      </w:r>
    </w:p>
    <w:p>
      <w:pPr>
        <w:spacing w:after="0" w:line="37" w:lineRule="exact"/>
        <w:rPr>
          <w:sz w:val="24"/>
          <w:szCs w:val="24"/>
          <w:color w:val="auto"/>
        </w:rPr>
      </w:pPr>
    </w:p>
    <w:p>
      <w:pPr>
        <w:jc w:val="both"/>
        <w:ind w:left="120" w:right="80"/>
        <w:spacing w:after="0" w:line="267" w:lineRule="auto"/>
        <w:rPr>
          <w:sz w:val="20"/>
          <w:szCs w:val="20"/>
          <w:color w:val="auto"/>
        </w:rPr>
      </w:pPr>
      <w:r>
        <w:rPr>
          <w:rFonts w:ascii="Times New Roman" w:cs="Times New Roman" w:eastAsia="Times New Roman" w:hAnsi="Times New Roman"/>
          <w:sz w:val="16"/>
          <w:szCs w:val="16"/>
          <w:color w:val="auto"/>
        </w:rPr>
        <w:t>The aggregate market value of our common stock held by non-affiliates as of February 6, 2025, pursuant to General Instruction I.B.6 of Form S-3 is $43,530,483, which was calculated based on 44,148,563 shares of our common stock outstanding held by non-affiliates as of January 30, 2025, and at a price of $0.986 per share, the closing price of our common stock on January 8, 2025. As of the date hereof, we have not offered or sold any securities pursuant to General Instruction I.B.6</w:t>
      </w:r>
    </w:p>
    <w:p>
      <w:pPr>
        <w:spacing w:after="0" w:line="1" w:lineRule="exact"/>
        <w:rPr>
          <w:sz w:val="24"/>
          <w:szCs w:val="24"/>
          <w:color w:val="auto"/>
        </w:rPr>
      </w:pPr>
    </w:p>
    <w:p>
      <w:pPr>
        <w:jc w:val="both"/>
        <w:ind w:left="120" w:right="140"/>
        <w:spacing w:after="0" w:line="276" w:lineRule="auto"/>
        <w:rPr>
          <w:sz w:val="20"/>
          <w:szCs w:val="20"/>
          <w:color w:val="auto"/>
        </w:rPr>
      </w:pPr>
      <w:r>
        <w:rPr>
          <w:rFonts w:ascii="Times New Roman" w:cs="Times New Roman" w:eastAsia="Times New Roman" w:hAnsi="Times New Roman"/>
          <w:sz w:val="16"/>
          <w:szCs w:val="16"/>
          <w:color w:val="auto"/>
        </w:rPr>
        <w:t>of Form S-3 during the prior 12 calendar month period that ends on and includes the date hereof. As a result of the limitations of General Instruction I.B.6 of Form S-3, and in accordance with the terms of the sales agreement, we are registering the offer and sale of shares of our common stock having an aggregate offering price of up to $14,500,000 from time to time through or to the Sales Agent.</w:t>
      </w:r>
    </w:p>
    <w:p>
      <w:pPr>
        <w:spacing w:after="0" w:line="32" w:lineRule="exact"/>
        <w:rPr>
          <w:sz w:val="24"/>
          <w:szCs w:val="24"/>
          <w:color w:val="auto"/>
        </w:rPr>
      </w:pPr>
    </w:p>
    <w:p>
      <w:pPr>
        <w:ind w:left="120" w:right="280"/>
        <w:spacing w:after="0" w:line="281" w:lineRule="auto"/>
        <w:rPr>
          <w:sz w:val="20"/>
          <w:szCs w:val="20"/>
          <w:color w:val="auto"/>
        </w:rPr>
      </w:pPr>
      <w:r>
        <w:rPr>
          <w:rFonts w:ascii="Times New Roman" w:cs="Times New Roman" w:eastAsia="Times New Roman" w:hAnsi="Times New Roman"/>
          <w:sz w:val="16"/>
          <w:szCs w:val="16"/>
          <w:color w:val="auto"/>
        </w:rPr>
        <w:t>We are a “smaller reporting company” under federal securities laws and as such, have elected to comply with reduced public company reporting requirements for this prospectus supplement, the accompanying prospectus, and the documents incorporated by reference herein and may elect to comply with reduced public company reporting requirements in future filings. See “Prospectus Summary—Implications of Being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113030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2" w:lineRule="exact"/>
        <w:rPr>
          <w:sz w:val="24"/>
          <w:szCs w:val="24"/>
          <w:color w:val="auto"/>
        </w:rPr>
      </w:pPr>
    </w:p>
    <w:p>
      <w:pPr>
        <w:ind w:left="120" w:right="100"/>
        <w:spacing w:after="0" w:line="247" w:lineRule="auto"/>
        <w:rPr>
          <w:sz w:val="20"/>
          <w:szCs w:val="20"/>
          <w:color w:val="auto"/>
        </w:rPr>
      </w:pPr>
      <w:r>
        <w:rPr>
          <w:rFonts w:ascii="Times New Roman" w:cs="Times New Roman" w:eastAsia="Times New Roman" w:hAnsi="Times New Roman"/>
          <w:sz w:val="20"/>
          <w:szCs w:val="20"/>
          <w:b w:val="1"/>
          <w:bCs w:val="1"/>
          <w:color w:val="auto"/>
        </w:rPr>
        <w:t>Investing in our common stock involves a high degree of risk. You should read this prospectus supplement, the accompanying prospectus and the documents incorporated by reference herein and therein before you make your investment decision. See “</w:t>
      </w:r>
      <w:r>
        <w:rPr>
          <w:rFonts w:ascii="Times New Roman" w:cs="Times New Roman" w:eastAsia="Times New Roman" w:hAnsi="Times New Roman"/>
          <w:sz w:val="20"/>
          <w:szCs w:val="20"/>
          <w:b w:val="1"/>
          <w:bCs w:val="1"/>
          <w:u w:val="single" w:color="auto"/>
          <w:color w:val="0000EE"/>
        </w:rPr>
        <w:t>Risk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0000EE"/>
        </w:rPr>
        <w:t>Factors</w:t>
      </w:r>
      <w:r>
        <w:rPr>
          <w:rFonts w:ascii="Times New Roman" w:cs="Times New Roman" w:eastAsia="Times New Roman" w:hAnsi="Times New Roman"/>
          <w:sz w:val="20"/>
          <w:szCs w:val="20"/>
          <w:b w:val="1"/>
          <w:bCs w:val="1"/>
          <w:color w:val="000000"/>
        </w:rPr>
        <w:t>“ beginning on page S-6 of this prospectus supplement, and under similar headings in the other documents incorporated</w:t>
      </w:r>
      <w:r>
        <w:rPr>
          <w:rFonts w:ascii="Times New Roman" w:cs="Times New Roman" w:eastAsia="Times New Roman" w:hAnsi="Times New Roman"/>
          <w:sz w:val="20"/>
          <w:szCs w:val="20"/>
          <w:b w:val="1"/>
          <w:bCs w:val="1"/>
          <w:color w:val="0000EE"/>
        </w:rPr>
        <w:t xml:space="preserve"> </w:t>
      </w:r>
      <w:r>
        <w:rPr>
          <w:rFonts w:ascii="Times New Roman" w:cs="Times New Roman" w:eastAsia="Times New Roman" w:hAnsi="Times New Roman"/>
          <w:sz w:val="20"/>
          <w:szCs w:val="20"/>
          <w:b w:val="1"/>
          <w:bCs w:val="1"/>
          <w:color w:val="000000"/>
        </w:rPr>
        <w:t>by reference herein, to read about risks that you should consider before making a decision to purchase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9" w:lineRule="exact"/>
        <w:rPr>
          <w:sz w:val="24"/>
          <w:szCs w:val="24"/>
          <w:color w:val="auto"/>
        </w:rPr>
      </w:pPr>
    </w:p>
    <w:p>
      <w:pPr>
        <w:ind w:left="120" w:right="6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104140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Jefferies</w:t>
      </w:r>
    </w:p>
    <w:p>
      <w:pPr>
        <w:spacing w:after="0" w:line="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February 6, 2025</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740" w:type="dxa"/>
            <w:vAlign w:val="bottom"/>
            <w:gridSpan w:val="3"/>
          </w:tcPr>
          <w:p>
            <w:pPr>
              <w:jc w:val="right"/>
              <w:ind w:right="199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40" w:type="dxa"/>
            <w:vAlign w:val="bottom"/>
            <w:gridSpan w:val="3"/>
            <w:vMerge w:val="restart"/>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40" w:type="dxa"/>
            <w:vAlign w:val="bottom"/>
            <w:gridSpan w:val="3"/>
            <w:vMerge w:val="continue"/>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4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100" w:type="dxa"/>
            <w:vAlign w:val="bottom"/>
            <w:gridSpan w:val="4"/>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304"/>
        </w:trPr>
        <w:tc>
          <w:tcPr>
            <w:tcW w:w="12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1"/>
          </w:tcPr>
          <w:p>
            <w:pPr>
              <w:spacing w:after="0"/>
              <w:rPr>
                <w:sz w:val="24"/>
                <w:szCs w:val="24"/>
                <w:color w:val="auto"/>
              </w:rPr>
            </w:pPr>
          </w:p>
        </w:tc>
        <w:tc>
          <w:tcPr>
            <w:tcW w:w="5260" w:type="dxa"/>
            <w:vAlign w:val="bottom"/>
            <w:gridSpan w:val="5"/>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3"/>
          </w:tcPr>
          <w:p>
            <w:pPr>
              <w:spacing w:after="0"/>
              <w:rPr>
                <w:sz w:val="24"/>
                <w:szCs w:val="24"/>
                <w:color w:val="auto"/>
              </w:rPr>
            </w:pPr>
          </w:p>
        </w:tc>
        <w:tc>
          <w:tcPr>
            <w:tcW w:w="32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304"/>
        </w:trPr>
        <w:tc>
          <w:tcPr>
            <w:tcW w:w="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DILUTION</w:t>
            </w:r>
          </w:p>
        </w:tc>
        <w:tc>
          <w:tcPr>
            <w:tcW w:w="7680" w:type="dxa"/>
            <w:vAlign w:val="bottom"/>
            <w:gridSpan w:val="19"/>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304"/>
        </w:trPr>
        <w:tc>
          <w:tcPr>
            <w:tcW w:w="14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24"/>
                <w:szCs w:val="24"/>
                <w:color w:val="auto"/>
              </w:rPr>
            </w:pPr>
          </w:p>
        </w:tc>
        <w:tc>
          <w:tcPr>
            <w:tcW w:w="6500" w:type="dxa"/>
            <w:vAlign w:val="bottom"/>
            <w:gridSpan w:val="12"/>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360" w:type="dxa"/>
            <w:vAlign w:val="bottom"/>
            <w:gridSpan w:val="2"/>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479"/>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40" w:type="dxa"/>
            <w:vAlign w:val="bottom"/>
            <w:gridSpan w:val="3"/>
          </w:tcPr>
          <w:p>
            <w:pPr>
              <w:jc w:val="right"/>
              <w:ind w:right="283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9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8"/>
          </w:tcPr>
          <w:p>
            <w:pPr>
              <w:spacing w:after="0"/>
              <w:rPr>
                <w:sz w:val="24"/>
                <w:szCs w:val="24"/>
                <w:color w:val="auto"/>
              </w:rPr>
            </w:pPr>
          </w:p>
        </w:tc>
        <w:tc>
          <w:tcPr>
            <w:tcW w:w="6320" w:type="dxa"/>
            <w:vAlign w:val="bottom"/>
            <w:gridSpan w:val="10"/>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3"/>
          </w:tcPr>
          <w:p>
            <w:pPr>
              <w:spacing w:after="0"/>
              <w:rPr>
                <w:sz w:val="24"/>
                <w:szCs w:val="24"/>
                <w:color w:val="auto"/>
              </w:rPr>
            </w:pPr>
          </w:p>
        </w:tc>
        <w:tc>
          <w:tcPr>
            <w:tcW w:w="32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20" w:type="dxa"/>
            <w:vAlign w:val="bottom"/>
            <w:gridSpan w:val="8"/>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00" w:type="dxa"/>
            <w:vAlign w:val="bottom"/>
            <w:gridSpan w:val="6"/>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4"/>
        </w:trPr>
        <w:tc>
          <w:tcPr>
            <w:tcW w:w="24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6060" w:type="dxa"/>
            <w:vAlign w:val="bottom"/>
            <w:gridSpan w:val="9"/>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04"/>
        </w:trPr>
        <w:tc>
          <w:tcPr>
            <w:tcW w:w="21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DESCRIPTION OF RIGHTS</w:t>
            </w:r>
          </w:p>
        </w:tc>
        <w:tc>
          <w:tcPr>
            <w:tcW w:w="6400" w:type="dxa"/>
            <w:vAlign w:val="bottom"/>
            <w:gridSpan w:val="11"/>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2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6520" w:type="dxa"/>
            <w:vAlign w:val="bottom"/>
            <w:gridSpan w:val="13"/>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30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LEGAL OWNERSHIP OF SECURITIES</w:t>
            </w:r>
          </w:p>
        </w:tc>
        <w:tc>
          <w:tcPr>
            <w:tcW w:w="5520" w:type="dxa"/>
            <w:vAlign w:val="bottom"/>
            <w:gridSpan w:val="7"/>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04"/>
        </w:trPr>
        <w:tc>
          <w:tcPr>
            <w:tcW w:w="14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24"/>
                <w:szCs w:val="24"/>
                <w:color w:val="auto"/>
              </w:rPr>
            </w:pPr>
          </w:p>
        </w:tc>
        <w:tc>
          <w:tcPr>
            <w:tcW w:w="6500" w:type="dxa"/>
            <w:vAlign w:val="bottom"/>
            <w:gridSpan w:val="12"/>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420" w:type="dxa"/>
            <w:vAlign w:val="bottom"/>
            <w:gridSpan w:val="18"/>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800" w:type="dxa"/>
            <w:vAlign w:val="bottom"/>
            <w:gridSpan w:val="18"/>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tcPr>
          <w:p>
            <w:pPr>
              <w:jc w:val="right"/>
              <w:ind w:right="2850"/>
              <w:spacing w:after="0"/>
              <w:rPr>
                <w:sz w:val="20"/>
                <w:szCs w:val="20"/>
                <w:color w:val="auto"/>
              </w:rPr>
            </w:pPr>
            <w:r>
              <w:rPr>
                <w:rFonts w:ascii="Times New Roman" w:cs="Times New Roman" w:eastAsia="Times New Roman" w:hAnsi="Times New Roman"/>
                <w:sz w:val="18"/>
                <w:szCs w:val="18"/>
                <w:color w:val="auto"/>
              </w:rPr>
              <w:t>S-i</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supplement is part of a shelf registration statement on Form S-3 that we filed with the Securities and Exchange Commission, or the SEC. This document is in two parts. This first part is this prospectus supplement, which describes the specific terms of the common stock we are offering and also adds to and updates information contained in the accompanying prospectus and the documents incorporated by reference therein. The second part is the accompanying prospectus, which provides more general information about securities we may offer from time to time, some of which does not apply to this offering.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 provided that if any statement in one of these documents is inconsistent with a statement in another document having a later date, the statement in the document having the later date modifies or supersedes the earlier statement.</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the accompanying prospectus or in any other prospectus supplement or free writing prospectus that we may authorize for use in connection with this offering. We have not, and Jefferies has not, authorized any other person to provide you with different or additional information. If anyone provides you with different, additional or inconsistent information, you should not rely on it. We are not, and Jefferies is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herein and therein,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herein and therein,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“Incorporation of Certain Documents by Reference” and “Where You Can Find More Information.”</w:t>
      </w:r>
    </w:p>
    <w:p>
      <w:pPr>
        <w:spacing w:after="0" w:line="190"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common stock only in jurisdictions where offers and sales are permitted. The distribution of this prospectus supplement and the accompanying prospectus and the offering of our common stock in certain jurisdictions may be restricted by law. Persons outside the United States who come into possession of this prospectus supplement and the accompanying prospectus must inform themselves about, and observe any restrictions relating to, the offering of our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supplement, references to “we,” “us,” “our,” “the company” and “Tempest” refer to Tempest Therapeutics, Inc.</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obtained the industry and market data in this prospectus supplement, including the information incorporated by reference herein, from our own research as well as from industry and general publications, surveys and studies conducted by third parties. These data involve a number of assumptions and limitations, and you are cautioned not to give undue weight to such estimates. In addition, projections, assumptions and estimates of our future performance and the future performance of the industry in which we operate is necessarily subject to a high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degree of uncertainty and risk due to a variety of factors, including those described in “Risk Factors” and elsewhere in this prospectus supplement and information incorporated by reference herein and therein. These and other factors could cause results to differ materially from those expressed in the estimates made by the independent parties and by us.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supplement and does not contain all of the information that you need to consider in making your investment decision. You should carefully read the entire prospectus supplement, the accompanying prospectus and any related free writing prospectus, including the risks of investing in our securities discussed under the heading “Risk Factors” contained in this prospectus supplement, the accompanying prospectus and any related free writing prospectus, and under similar headings in the other documents that are incorporated by reference into this prospectus supplement. You should also carefully read the information incorporated by reference into this prospectus supplement, including our financial statements, and the exhibits to the registration statement of which this prospectus supplement is a part.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240"/>
        <w:spacing w:after="0" w:line="261" w:lineRule="auto"/>
        <w:rPr>
          <w:sz w:val="20"/>
          <w:szCs w:val="20"/>
          <w:color w:val="auto"/>
        </w:rPr>
      </w:pPr>
      <w:r>
        <w:rPr>
          <w:rFonts w:ascii="Times New Roman" w:cs="Times New Roman" w:eastAsia="Times New Roman" w:hAnsi="Times New Roman"/>
          <w:sz w:val="18"/>
          <w:szCs w:val="18"/>
          <w:color w:val="auto"/>
        </w:rPr>
        <w:t>We are a clinical-stage biotechnology company moving into late-stage development with a diverse portfolio of targeted and immune-mediated product candidates with the potential to be first-in-class treatments for a wide range of cancers. Our novel programs range from early research to the lead program, amezalpat (previously known as TPST-1120), that is poised to begin a pivotal study in first-line hepatocellular carcinoma, or HCC.</w:t>
      </w:r>
    </w:p>
    <w:p>
      <w:pPr>
        <w:spacing w:after="0" w:line="180" w:lineRule="exact"/>
        <w:rPr>
          <w:sz w:val="20"/>
          <w:szCs w:val="20"/>
          <w:color w:val="auto"/>
        </w:rPr>
      </w:pPr>
    </w:p>
    <w:p>
      <w:pPr>
        <w:ind w:left="300" w:right="300"/>
        <w:spacing w:after="0" w:line="266" w:lineRule="auto"/>
        <w:rPr>
          <w:sz w:val="20"/>
          <w:szCs w:val="20"/>
          <w:color w:val="auto"/>
        </w:rPr>
      </w:pPr>
      <w:r>
        <w:rPr>
          <w:rFonts w:ascii="Times New Roman" w:cs="Times New Roman" w:eastAsia="Times New Roman" w:hAnsi="Times New Roman"/>
          <w:sz w:val="18"/>
          <w:szCs w:val="18"/>
          <w:color w:val="auto"/>
        </w:rPr>
        <w:t>Our philosophy is to build a company based upon not only good ideas and creative science, but also upon the efficient translation of those ideas into therapies that will improve patients’ lives. Each of our programs are designed to provide different and independent approaches to fighting cancer, providing a portfolio of truly diversified assets.</w:t>
      </w:r>
    </w:p>
    <w:p>
      <w:pPr>
        <w:spacing w:after="0" w:line="176"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Our two clinical-stage therapeutic product candidates are amezalpat and TPST-1495, which we believe are the first clinical-stage molecules designed to inhibit their respective targets. Amezalpat is a selective antagonist of peroxisome proliferator-activated receptor alpha, or PPARα. On August 15, 2024, we announced the successful completion of our end-of-Phase 2 meeting with the U.S. Food and Drug Administration, or FDA, regarding the development of amezalpat for the treatment first-line unresectable or metastatic HCC, and on November 12, 2024, we announced the receipt of a “Study May Proceed” letter from the FDA. The FDA provided positive feedback on the pivotal Phase 3 clinical trial design, which closely mirrors the randomized Phase 2 study that produced positive data across multiple clinical endpoints, including overall survival, or OS. The planned Phase 3 trial is designed to use the current amezalpat dose and schedule from the positive Phase 2 study in combination with atezolizumab and bevacizumab and will be compared to atezolizumab and bevacizumab alone, the standard of care. The primary endpoint of the trial will be OS. The FDA also agreed on a pre-specified early efficacy analysis, that if met would reduce the time to primary read-out by up to 8 months. In January 2025, the FDA granted Orphan Drug Designation to amezalpat for the treatment of patients with HCC.</w:t>
      </w:r>
    </w:p>
    <w:p>
      <w:pPr>
        <w:spacing w:after="0" w:line="194" w:lineRule="exact"/>
        <w:rPr>
          <w:sz w:val="20"/>
          <w:szCs w:val="20"/>
          <w:color w:val="auto"/>
        </w:rPr>
      </w:pPr>
    </w:p>
    <w:p>
      <w:pPr>
        <w:ind w:left="300" w:right="320"/>
        <w:spacing w:after="0" w:line="258" w:lineRule="auto"/>
        <w:rPr>
          <w:sz w:val="20"/>
          <w:szCs w:val="20"/>
          <w:color w:val="auto"/>
        </w:rPr>
      </w:pPr>
      <w:r>
        <w:rPr>
          <w:rFonts w:ascii="Times New Roman" w:cs="Times New Roman" w:eastAsia="Times New Roman" w:hAnsi="Times New Roman"/>
          <w:sz w:val="18"/>
          <w:szCs w:val="18"/>
          <w:color w:val="auto"/>
        </w:rPr>
        <w:t>Our second clinical program, TPST-1495, is a dual antagonist of the EP2 and EP4 receptors of prostaglandin E2. We are planning to advance TPST-1495 in a new indication, Familial Adenomatous Polyposis, or FAP, for which there are no approved systemic therapies. Given that prostaglandin signaling is implicated in FAP and based on positive preclinical data in a relevant mouse model, we believe there is strong mechanistic support for this approach. We are working with the Cancer Prevention Clinical Trials Network, and the study will be funded by the National Cancer Institute (NCI) Division of Cancer Prevention.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 and a Non-Accelerated Filer</w:t>
      </w:r>
    </w:p>
    <w:p>
      <w:pPr>
        <w:spacing w:after="0" w:line="121"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801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38017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0"/>
        <w:spacing w:after="0" w:line="255" w:lineRule="auto"/>
        <w:rPr>
          <w:sz w:val="20"/>
          <w:szCs w:val="20"/>
          <w:color w:val="auto"/>
        </w:rPr>
      </w:pPr>
      <w:r>
        <w:rPr>
          <w:rFonts w:ascii="Times New Roman" w:cs="Times New Roman" w:eastAsia="Times New Roman" w:hAnsi="Times New Roman"/>
          <w:sz w:val="18"/>
          <w:szCs w:val="18"/>
          <w:color w:val="auto"/>
        </w:rPr>
        <w:t>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189" w:lineRule="exact"/>
        <w:rPr>
          <w:sz w:val="20"/>
          <w:szCs w:val="20"/>
          <w:color w:val="auto"/>
        </w:rPr>
      </w:pPr>
    </w:p>
    <w:p>
      <w:pPr>
        <w:ind w:left="300" w:right="780"/>
        <w:spacing w:after="0" w:line="282" w:lineRule="auto"/>
        <w:rPr>
          <w:sz w:val="20"/>
          <w:szCs w:val="20"/>
          <w:color w:val="auto"/>
        </w:rPr>
      </w:pPr>
      <w:r>
        <w:rPr>
          <w:rFonts w:ascii="Times New Roman" w:cs="Times New Roman" w:eastAsia="Times New Roman" w:hAnsi="Times New Roman"/>
          <w:sz w:val="18"/>
          <w:szCs w:val="18"/>
          <w:color w:val="auto"/>
        </w:rPr>
        <w:t>Additionally, as a non-accelerated filer, we may continue to take advantage of the exception from compliance with the auditor attestation requirements of Section 404 of the Sarbanes-Oxley Act of 2002, as amended.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20"/>
        <w:spacing w:after="0" w:line="261" w:lineRule="auto"/>
        <w:rPr>
          <w:sz w:val="20"/>
          <w:szCs w:val="20"/>
          <w:color w:val="auto"/>
        </w:rPr>
      </w:pPr>
      <w:r>
        <w:rPr>
          <w:rFonts w:ascii="Times New Roman" w:cs="Times New Roman" w:eastAsia="Times New Roman" w:hAnsi="Times New Roman"/>
          <w:sz w:val="18"/>
          <w:szCs w:val="18"/>
          <w:color w:val="auto"/>
        </w:rPr>
        <w:t>Tempest was founded in 2011 and is currently incorporated in Delaware with headquarters in Brisbane, California. We are a clinical-stage biotechnology company moving into late-stage development with a diverse portfolio of first-in-class targeted and immune-mediated product candidates with the potential to treat a wide range of cancers. Our philosophy is to build a company based upon not only good ideas and creative science, but also upon the efficient translation of those ideas into therapies that will improve patients’ lives.</w:t>
      </w:r>
    </w:p>
    <w:p>
      <w:pPr>
        <w:spacing w:after="0" w:line="180"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The Tempest logo and other trademarks or service marks of Tempest Therapeutics, Inc. appearing in this prospectus supplement are the property of Tempest Therapeutics, Inc. Other trademarks, 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w:t>
      </w:r>
    </w:p>
    <w:p>
      <w:pPr>
        <w:spacing w:after="0" w:line="180"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2000 Sierra Point Parkway, Suite 400, Brisbane, CA 94005. Our telephone number is (415) 798-8589. Our website is located at http://www.tempesttx.com. We do not incorporate by reference into this prospectus supplement the information on, or accessible through, our website, and you should not consider it as part of this prospectus supplement.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3340" w:type="dxa"/>
            <w:vAlign w:val="bottom"/>
            <w:tcBorders>
              <w:top w:val="single" w:sz="8" w:color="auto"/>
              <w:left w:val="single" w:sz="8" w:color="auto"/>
            </w:tcBorders>
          </w:tcPr>
          <w:p>
            <w:pPr>
              <w:spacing w:after="0"/>
              <w:rPr>
                <w:sz w:val="24"/>
                <w:szCs w:val="24"/>
                <w:color w:val="auto"/>
              </w:rPr>
            </w:pPr>
          </w:p>
        </w:tc>
        <w:tc>
          <w:tcPr>
            <w:tcW w:w="7680" w:type="dxa"/>
            <w:vAlign w:val="bottom"/>
            <w:tcBorders>
              <w:top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33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$14,500,000.</w:t>
            </w:r>
          </w:p>
        </w:tc>
      </w:tr>
      <w:tr>
        <w:trPr>
          <w:trHeight w:val="454"/>
        </w:trPr>
        <w:tc>
          <w:tcPr>
            <w:tcW w:w="33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Plan of Distribution</w:t>
            </w: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“At the market” offering that may be made from time to time through our sales agent,</w:t>
            </w:r>
          </w:p>
        </w:tc>
      </w:tr>
      <w:tr>
        <w:trPr>
          <w:trHeight w:val="234"/>
        </w:trPr>
        <w:tc>
          <w:tcPr>
            <w:tcW w:w="334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Jefferies. See “Plan of Distribution” on page S-13.</w:t>
            </w:r>
          </w:p>
        </w:tc>
      </w:tr>
      <w:tr>
        <w:trPr>
          <w:trHeight w:val="441"/>
        </w:trPr>
        <w:tc>
          <w:tcPr>
            <w:tcW w:w="33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We currently intend to use the net proceeds from the sale of the securities offered hereby</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for (i) continued clinical development of amezalpat, primarily in the first-line treatment of</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patients with unresectable or metastatic HCC; (ii) research and development of other</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product candidates; and (iii) working capital. See “Use of Proceeds” on page S-10 of this</w:t>
            </w:r>
          </w:p>
        </w:tc>
      </w:tr>
      <w:tr>
        <w:trPr>
          <w:trHeight w:val="234"/>
        </w:trPr>
        <w:tc>
          <w:tcPr>
            <w:tcW w:w="334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441"/>
        </w:trPr>
        <w:tc>
          <w:tcPr>
            <w:tcW w:w="33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supplement, the</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accompanying prospectus and in the documents incorporated by reference herein and</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therein for a discussion of factors you should carefully consider before deciding to</w:t>
            </w:r>
          </w:p>
        </w:tc>
      </w:tr>
      <w:tr>
        <w:trPr>
          <w:trHeight w:val="234"/>
        </w:trPr>
        <w:tc>
          <w:tcPr>
            <w:tcW w:w="334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purchase shares of our common stock.</w:t>
            </w:r>
          </w:p>
        </w:tc>
      </w:tr>
      <w:tr>
        <w:trPr>
          <w:trHeight w:val="459"/>
        </w:trPr>
        <w:tc>
          <w:tcPr>
            <w:tcW w:w="33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“TPST”</w:t>
            </w:r>
          </w:p>
        </w:tc>
      </w:tr>
      <w:tr>
        <w:trPr>
          <w:trHeight w:val="186"/>
        </w:trPr>
        <w:tc>
          <w:tcPr>
            <w:tcW w:w="3340" w:type="dxa"/>
            <w:vAlign w:val="bottom"/>
            <w:tcBorders>
              <w:left w:val="single" w:sz="8" w:color="auto"/>
              <w:bottom w:val="single" w:sz="8" w:color="auto"/>
            </w:tcBorders>
          </w:tcPr>
          <w:p>
            <w:pPr>
              <w:spacing w:after="0"/>
              <w:rPr>
                <w:sz w:val="16"/>
                <w:szCs w:val="16"/>
                <w:color w:val="auto"/>
              </w:rPr>
            </w:pPr>
          </w:p>
        </w:tc>
        <w:tc>
          <w:tcPr>
            <w:tcW w:w="7680" w:type="dxa"/>
            <w:vAlign w:val="bottom"/>
            <w:tcBorders>
              <w:bottom w:val="single" w:sz="8" w:color="auto"/>
              <w:right w:val="single" w:sz="8" w:color="auto"/>
            </w:tcBorders>
          </w:tcPr>
          <w:p>
            <w:pPr>
              <w:spacing w:after="0"/>
              <w:rPr>
                <w:sz w:val="16"/>
                <w:szCs w:val="16"/>
                <w:color w:val="auto"/>
              </w:rPr>
            </w:pPr>
          </w:p>
        </w:tc>
      </w:tr>
      <w:tr>
        <w:trPr>
          <w:trHeight w:val="361"/>
        </w:trPr>
        <w:tc>
          <w:tcPr>
            <w:tcW w:w="3340" w:type="dxa"/>
            <w:vAlign w:val="bottom"/>
          </w:tcPr>
          <w:p>
            <w:pPr>
              <w:spacing w:after="0"/>
              <w:rPr>
                <w:sz w:val="24"/>
                <w:szCs w:val="24"/>
                <w:color w:val="auto"/>
              </w:rPr>
            </w:pPr>
          </w:p>
        </w:tc>
        <w:tc>
          <w:tcPr>
            <w:tcW w:w="7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deciding whether to invest in our common stock, you should consider carefully the risks and uncertainties described below and discussed under the heading “Risk Factors” contained in our most recent Annual Report on Form 10-K, and in our subsequent Quarterly Reports on Form 10-Q, as well as any amendments thereto reflected in subsequent filings with the SEC, which are incorporated by reference into this prospectus supplement in their entirety, together with other information in this prospectus supplement, the accompanying prospectus, the documents incorporated by reference herein and therein and any free writing prospectuses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our securities in this offering, you may experience immediate and substantial dilution in investment. You may experience further dilution if we issue additional equity securities in future financing transactions.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offering price per share of our common stock in this offering may exceed the net tangible book value per share of our common stock outstanding prior to this offering. Assuming that 15,499,732 shares of our common stock are sold in this offering, based on an assumed sale price of $0.94 per share, the last sale price of a share of our common stock on the Nasdaq Capital Market on February 5, 2025, for aggregate gross proceeds of approximately $14.5 million, and after deducting commissions and estimated offering expense payable by us, you would experience immediate dilution of approximately $0.17 per share, representing the difference between the price you pay and our pro forma as adjusted net tangible book value per share as of September 30, 2024, after giving effect to this offering and the sale of 17,600,456 shares of our common stock subsequent to September 30, 2024, pursuant to our “at-the-market” offering program for net proceeds of $20.4 million. In addition, we have a significant number of stock options and warrants outstanding. To the extent that these have been or may be exercised or settled, investors purchasing in this offering may experience further dilution. See the section titled “Dilution” below for a more detailed illustration of the dilution you would incur if you participate in this offering.</w:t>
      </w:r>
    </w:p>
    <w:p>
      <w:pPr>
        <w:spacing w:after="0" w:line="18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will also require more capital to pursue our preclinical and clinical activities, regulatory approval and the commercialization of our current or future candidates.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or result in downward pressure on the price of our common stock.</w:t>
      </w:r>
    </w:p>
    <w:p>
      <w:pPr>
        <w:spacing w:after="0" w:line="28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might apply the net proceeds from this offering in ways with which you do not agree and in ways that may impair the value of your investment.</w:t>
      </w:r>
    </w:p>
    <w:p>
      <w:pPr>
        <w:spacing w:after="0" w:line="5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primarily (i) continued clinical development of amezalpat, primarily in the first-line treatment of patients with unresectable or metastatic HCC; (ii) research and development of other product candidates; and (iii) working capital. We may also use the net proceeds from this offering for certain pre-commercialization activities and to acquire or invest in businesses, products or technologies that are complementary to our own, although we have no current plans, commitments or agreements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with respect to any acquisitions as of the date of this prospectus supplement. Pending these uses, we expect to invest the net proceeds in investment-grade, interest-bearing securities. Our management has broad discretion as to the use of these proceeds and you will be relying on the judgment of our management regarding the application of these proceeds. We might apply these proceeds in ways with which you do not agree, or in ways that do not yield a favorable return. If our management applies these proceeds in a manner that does not yield a significant return, if any, on our investment of these net proceeds, it could compromise our ability to pursue our growth strategy and adversely affect the market price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sales agreement, or the net proceeds resulting from those sales.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instruction to Jefferies to sell shares of our common stock at any time throughout the term of the sales agreement. The number of shares that are sold through Jefferies after our instruction will fluctuate based on a number of factors, including the market price of our common stock during the sales period, the limits we set with Jefferies in any instruction to sell shares, and the demand for our common stock during the sales period. Because the price per share of each share sold will fluctuate during this offering, it is not currently possible to predict the number of shares that will be sold or the net proceeds to be raised in connection with those sales.</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numbers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8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is likely to continue to be volatile, and purchasers of our common stock could incur substantial losses.</w:t>
      </w:r>
    </w:p>
    <w:p>
      <w:pPr>
        <w:spacing w:after="0" w:line="5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continue to be volatile. For example, during 2024, the closing price of our common stock on The Nasdaq Capital Market ranged from $0.6990 per share to $5.44 per share. Some of the factors that may cause the market price of our common stock to fluctuate include:</w:t>
      </w:r>
    </w:p>
    <w:p>
      <w:pPr>
        <w:spacing w:after="0" w:line="81"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 such as the Russia-Ukraine war and the armed conflict in Israel and the Gaza Strip;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documents incorporated by reference herein and therein, and any free writing prospectus that we have authorized for use in connection with this offering, contain forward-looking statements within the meaning of the Private Securities Litigation Reform Act of 1995. These statements are based on our management’s current beliefs, expectations and assumptions about future events, conditions and results and on information currently available to us. Discussions containing these forward-looking statements may be found, among other places, in the sections titled “Business,” “Risk Factors” and “Management’s Discussion and Analysis of Financial Condition and Results of Operations” incorporated by reference from our most recent Quarterly Report on Form 10-Q filed with the SEC, as well as any amendments thereto reflected in subsequent filings with the SEC.</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statements in this prospectus supplement or the accompanying prospectus, or incorporated by reference herein or therein, and any free writing prospectus, about our expectations, beliefs, plans, objectives, assumptions or future events or performance are not historical facts and are forward-looking statements. Within the meaning of Section 27A of the Securities Act of 1933, as amended, or the Securities Act, and Section 21E of the Exchange Act, these forward-looking statements include statements regarding:</w:t>
      </w:r>
    </w:p>
    <w:p>
      <w:pPr>
        <w:spacing w:after="0" w:line="85"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future growth and our ability to manage such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amezalpat, TPST-1495 and any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our obligations under our term loan with Oxford, or to obtain a waiver from Oxford for any failure to comply with the covenants contained in such term loan agreement;</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use of proceeds of this offering.</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also contain statements that are based on the current expectations of our company and management.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this prospectus supplement and the accompanying prospectus, together with all of the other information contained in or incorporated by reference into the prospectus supplement and the accompanying prospectus.</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including the securities laws of the United States and the rules and regulations of the SEC, we do not plan to publicly update or revise any forward-looking statements contained herein after we distribute this prospectus supplement, whether as a result of any new information, future events or otherwise.</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the documents incorporated by reference herein or therein and any free writing prospectus prepared by or on behalf of us or to which we have referred you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gross sales proceeds of up to $14.5 million from time to time. Because there is no minimum offering price for the shares that we may offer from time to time, the actual total public offering amount, commissions and proceeds to us, if any, are not determinable at this time. There can be no assurance that we will sell any shares under or fully utilize the sales agreement with Jefferies as a source of financing.</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primarily for: (i) continued clinical development of amezalpat, primarily in the first-line treatment of patients with unresectable or metastatic HCC; (ii) research and development of other product candidates; and (iii) working capital.</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amounts and timing of these expenditures will depend on a number of factors, such as the timing and progress of our research and development efforts, the timing and progress of any partnering efforts, and the competitive environment for our product candidates. As of the date of this prospectus supplement, we cannot specify with certainty all of the particular uses for the net proceeds to us from the shares of common stock we are selling in this offering. We will retain broad discretion in determining how we will allocate the net proceeds from this offering. Pending these uses, we expect to invest the net proceeds in investment-grade, interest-bearing securities.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September 30, 2024, was approximately $11.5 million, or $0.43 per share. Net tangible book value per share is determined by dividing our total tangible assets, less total liabilities, by the number of shares of our common stock outstanding as of September 30, 2024.</w:t>
      </w:r>
    </w:p>
    <w:p>
      <w:pPr>
        <w:spacing w:after="0" w:line="176"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Our pro forma net tangible book value as of September 30, 2024, was $20.4 million, or $0.29 per share, based on the total number of shares of our common stock outstanding as of September 30, 2024. Pro forma net tangible book value per share is determined by dividing our total tangible assets, less total liabilities, by the number of shares of our common stock outstanding as of September 30, 2024, after giving effect to the issuance of 17,600,456 shares of our common stock subsequent to September 30, 2024, for net proceeds of $20.4 million pursuant to our “at-the-market” offering program. Dilution with respect to pro forma net tangible book value per share represents the difference between the amount per share paid by purchasers of shares of common stock in this offering and the pro forma net tangible book value per share of our common stock immediately after this offering.</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giving effect to the sale of 15,499,732 shares of our common stock in this offering at an assumed offering price of $0.94 per share, the last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reported sale price of our common stock on the Nasdaq Capital Market on February 5, 2025, and after deducting estimated offering commissions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offering expenses payable by us, our pro forma as adjusted net tangible book value as of September 30, 2024 would have been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$45.7 million, or $0.77 per share. This represents an immediate increase in net tangible book value of $0.05 per share to existing stockholders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immediate dilution of $0.17 per share to investors purchasing our common stock in this offering at the assumed public offering price. The following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table illustrates this dilution on a per share basis: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15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$0.94</w:t>
            </w:r>
          </w:p>
        </w:tc>
      </w:tr>
      <w:tr>
        <w:trPr>
          <w:trHeight w:val="223"/>
        </w:trPr>
        <w:tc>
          <w:tcPr>
            <w:tcW w:w="2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per share of as of September 30, 2024</w:t>
            </w: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0.43</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8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increase in net tangible book value per share of as of September 30, 2024 attributable to the pro forma</w:t>
            </w:r>
          </w:p>
        </w:tc>
        <w:tc>
          <w:tcPr>
            <w:tcW w:w="2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transactions described above</w:t>
            </w: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0.29</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3"/>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tangible book value as of September 30, 2024</w:t>
            </w:r>
          </w:p>
        </w:tc>
        <w:tc>
          <w:tcPr>
            <w:tcW w:w="2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85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purchasing shares of common stock</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 this offering</w:t>
            </w: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0.05</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as of September 30, 2024, after giving effect to this offering</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purchasing our common stock in this offering</w:t>
            </w:r>
          </w:p>
        </w:tc>
        <w:tc>
          <w:tcPr>
            <w:tcW w:w="15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0.17</w:t>
            </w: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shares subject to the sales agreement with Jefferies are being sold from time to time at various prices. An increase of $0.50 per share in the price at which the shares are sold from the assumed offering price of $0.94 per share shown in the table above, assuming all of our common stock in the aggregate amount of $14.5 million during the term of the sales agreement with Jefferies is sold at that price, would increase our pro forma as adjusted net tangible book value per share after the offering to $0.84 per share and would increase the dilution in net tangible book value per share to new investors in this offering to $0.60 per share, after deducting commissions and estimated aggregate offering expenses payable by us. This information is supplied for illustrative purposes only and will adjust based on the actual public offering price and other terms of this offering determined at pricing.</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above discussion and table are based on 26,565,886 shares of our common stock outstanding as of September 30, 2024, and excludes the following:</w:t>
      </w:r>
    </w:p>
    <w:p>
      <w:pPr>
        <w:spacing w:after="0" w:line="131" w:lineRule="exact"/>
        <w:rPr>
          <w:sz w:val="20"/>
          <w:szCs w:val="20"/>
          <w:color w:val="auto"/>
        </w:rPr>
      </w:pPr>
    </w:p>
    <w:p>
      <w:pPr>
        <w:ind w:left="5460" w:right="1940" w:hanging="4804"/>
        <w:spacing w:after="0" w:line="454" w:lineRule="auto"/>
        <w:tabs>
          <w:tab w:leader="none" w:pos="10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6,036 shares of our common stock issuable upon the exercise of warrants outstanding as of September 30, 2024; S-12</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4,151,712 shares of our common stock issuable upon the exercise of stock options outstanding as of September 30, 2024, with a weighted average exercise price of $6.64 per share;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1,700,839 shares of common stock issuable upon the exercise of stock options granted subsequent to September 30, 2024, with a weighted-average exercise price of $0.86 per share;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508,017 shares of our common stock reserved for issuance under the Amended and Restated 2023 Equity Incentive Plan, or the 2023 Plan, as well as any future increases in the number of shares of common stock reserved for issuance under the 2023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933,450 shares of common stock reserved for future issuance under our 2023 Inducement Plan; and</w:t>
      </w:r>
    </w:p>
    <w:p>
      <w:pPr>
        <w:spacing w:after="0" w:line="130" w:lineRule="exact"/>
        <w:rPr>
          <w:rFonts w:ascii="Times New Roman" w:cs="Times New Roman" w:eastAsia="Times New Roman" w:hAnsi="Times New Roman"/>
          <w:sz w:val="18"/>
          <w:szCs w:val="18"/>
          <w:color w:val="auto"/>
        </w:rPr>
      </w:pPr>
    </w:p>
    <w:p>
      <w:pPr>
        <w:ind w:left="1080" w:right="520" w:hanging="424"/>
        <w:spacing w:after="0" w:line="312" w:lineRule="auto"/>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469,337 shares of our common stock reserved for issuance under our 2019 Employee Stock Purchase Plan, or the ESPP, as of September 30, 2024, as well as any future increases in the number of shares of common stock reserved for issuance under the ESPP.</w:t>
      </w:r>
    </w:p>
    <w:p>
      <w:pPr>
        <w:spacing w:after="0" w:line="14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To the extent that outstanding stock options or warrants are exercised or common stock is sold,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securities, the issuance of these securities could result in further dilution to our stockholders.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have entered into the sales agreement with Jefferies, under which we may offer and sell up to $14,500,000 of our shares of common stock under this prospectus supplement from time to time through Jefferies acting as agent. Sales of our shares of common stock, if any, under this prospectus supplement and the accompanying prospectus will be made by any method that is deemed to be an “at the market offering” as defined in Rule 415(a)(4) under the Securities Act.</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8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will pay Jefferies a commission equal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We estimate that the total expenses for the offering, excluding any commissions or expense reimbursement payable to Jefferies under the terms of the sales agreement, will be approximately $250,000. The remaining sale proceeds, after deducting any other transaction fees, will equal our net proceeds from the sale of such shares.</w:t>
      </w:r>
    </w:p>
    <w:p>
      <w:pPr>
        <w:spacing w:after="0" w:line="18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Jefferies will provide written confirmation to us before the open on the Nasdaq Capital Market on the day following each day on which our shares of common stock are sold under the sales agreement. Each confirmation will include the number of shares sold on that day, the aggregate gross proceeds of such sales and the proceeds to us.</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trading days’ prior notice.</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A copy of the sales agreement is filed as an exhibit to a current report on Form 8-K filed under the Securities Exchange Act of 1934, as amended, and incorporated by reference in this prospectus supplement. 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own account or for the accounts of customers, and, accordingly, Jefferies may at any time hold long or short positions in such securities. A prospectus supplement and the accompanying prospectus in electronic format may be made available on a website maintained by Jefferies, and Jefferies may distribute the prospectus supplement and the accompanying prospectus electronically.</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validity of the common stock offered by this prospectus supplement will be passed upon by Cooley LLP, Washington, DC. Latham &amp; Watkins LLP, San Diego, California is counsel for Jefferies in connection with this offering.</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as set forth in their report, which is incorporated by reference in this prospectus supplement and elsewhere in the registration statement. Our financial statements are incorporated by reference in reliance on Ernst &amp; Young LLP’s report, given on their authority as experts in accounting and auditing.</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the registration statement on Form S-3 we filed with the SEC under the Securities Act and do not contain all of the information set forth or incorporated by reference in the registration statement and the exhibits to the registration statement. For further information with respect to us and the securities we are offering under this prospectus supplement, we refer you to the registration statement and the exhibits and schedules filed as a part of the registration statement. We file annual, quarterly and current reports, proxy statements and other information with the SEC. The SEC maintains a website that contains reports, proxy and information statements and other information regarding issuers that file electronically with the SEC, including Tempest. The address of the SEC website is www.sec.gov.</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maintain a website at www.tempesttx.com. Information contained in or accessible through our website does not constitute a part of this 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included our website address in this prospectus solely as an inactive textual reference.</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considered to be part of this prospectus supplement. Information in this prospectus supplement supersedes information incorporated by reference that we filed with the SEC prior to the date of this prospectus supplement. We incorporate by reference into this prospectus supplement the information or documents listed below that we have filed with the SEC (File No. 001-35890):</w:t>
      </w:r>
    </w:p>
    <w:p>
      <w:pPr>
        <w:spacing w:after="0" w:line="89"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31">
        <w:r>
          <w:rPr>
            <w:rFonts w:ascii="Times New Roman" w:cs="Times New Roman" w:eastAsia="Times New Roman" w:hAnsi="Times New Roman"/>
            <w:sz w:val="18"/>
            <w:szCs w:val="18"/>
            <w:u w:val="single" w:color="auto"/>
            <w:color w:val="0000EE"/>
          </w:rPr>
          <w:t>March 19,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2023 from our Definitive Proxy Statement on Schedule 14A, filed with the SEC on </w:t>
      </w:r>
      <w:hyperlink r:id="rId32">
        <w:r>
          <w:rPr>
            <w:rFonts w:ascii="Times New Roman" w:cs="Times New Roman" w:eastAsia="Times New Roman" w:hAnsi="Times New Roman"/>
            <w:sz w:val="18"/>
            <w:szCs w:val="18"/>
            <w:u w:val="single" w:color="auto"/>
            <w:color w:val="0000EE"/>
          </w:rPr>
          <w:t>April 23,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2024, June 30, 2024 and September 30, 2024 filed with the SEC on </w:t>
      </w:r>
      <w:hyperlink r:id="rId33">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4">
        <w:r>
          <w:rPr>
            <w:rFonts w:ascii="Times New Roman" w:cs="Times New Roman" w:eastAsia="Times New Roman" w:hAnsi="Times New Roman"/>
            <w:sz w:val="18"/>
            <w:szCs w:val="18"/>
            <w:u w:val="single" w:color="auto"/>
            <w:color w:val="0000EE"/>
          </w:rPr>
          <w:t xml:space="preserve">August 8,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5">
        <w:r>
          <w:rPr>
            <w:rFonts w:ascii="Times New Roman" w:cs="Times New Roman" w:eastAsia="Times New Roman" w:hAnsi="Times New Roman"/>
            <w:sz w:val="18"/>
            <w:szCs w:val="18"/>
            <w:u w:val="single" w:color="auto"/>
            <w:color w:val="0000EE"/>
          </w:rPr>
          <w:t>November 12, 2024</w:t>
        </w:r>
      </w:hyperlink>
      <w:r>
        <w:rPr>
          <w:rFonts w:ascii="Times New Roman" w:cs="Times New Roman" w:eastAsia="Times New Roman" w:hAnsi="Times New Roman"/>
          <w:sz w:val="18"/>
          <w:szCs w:val="18"/>
          <w:color w:val="000000"/>
        </w:rPr>
        <w:t>;</w:t>
      </w:r>
    </w:p>
    <w:p>
      <w:pPr>
        <w:spacing w:after="0" w:line="94"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560" w:hanging="424"/>
        <w:spacing w:after="0" w:line="282" w:lineRule="auto"/>
        <w:tabs>
          <w:tab w:leader="none" w:pos="1080" w:val="left"/>
        </w:tabs>
        <w:numPr>
          <w:ilvl w:val="0"/>
          <w:numId w:val="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7">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June 20, 2024</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October 10, 2024</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December 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1">
        <w:r>
          <w:rPr>
            <w:rFonts w:ascii="Times New Roman" w:cs="Times New Roman" w:eastAsia="Times New Roman" w:hAnsi="Times New Roman"/>
            <w:sz w:val="18"/>
            <w:szCs w:val="18"/>
            <w:u w:val="single" w:color="auto"/>
            <w:color w:val="0000EE"/>
          </w:rPr>
          <w:t>December 31, 2024</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EE"/>
        </w:rPr>
      </w:pPr>
    </w:p>
    <w:p>
      <w:pPr>
        <w:jc w:val="both"/>
        <w:ind w:left="1080" w:right="10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the registration statement on Form 8-A registering our common stock under Section 12 of the Exchange Act, which was filed with the SEC on </w:t>
      </w:r>
      <w:hyperlink r:id="rId42">
        <w:r>
          <w:rPr>
            <w:rFonts w:ascii="Times New Roman" w:cs="Times New Roman" w:eastAsia="Times New Roman" w:hAnsi="Times New Roman"/>
            <w:sz w:val="18"/>
            <w:szCs w:val="18"/>
            <w:u w:val="single" w:color="auto"/>
            <w:color w:val="0000EE"/>
          </w:rPr>
          <w:t>April 25, 2013</w:t>
        </w:r>
      </w:hyperlink>
      <w:r>
        <w:rPr>
          <w:rFonts w:ascii="Times New Roman" w:cs="Times New Roman" w:eastAsia="Times New Roman" w:hAnsi="Times New Roman"/>
          <w:sz w:val="18"/>
          <w:szCs w:val="18"/>
          <w:color w:val="auto"/>
        </w:rPr>
        <w:t xml:space="preserve">, as updated by </w:t>
      </w:r>
      <w:hyperlink r:id="rId4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2023; and</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stock purchase rights in our registration statement on Form 8-A filed with the SEC on </w:t>
      </w:r>
      <w:hyperlink r:id="rId44">
        <w:r>
          <w:rPr>
            <w:rFonts w:ascii="Times New Roman" w:cs="Times New Roman" w:eastAsia="Times New Roman" w:hAnsi="Times New Roman"/>
            <w:sz w:val="18"/>
            <w:szCs w:val="18"/>
            <w:u w:val="single" w:color="auto"/>
            <w:color w:val="0000EE"/>
          </w:rPr>
          <w:t>October 17, 2023</w:t>
        </w:r>
      </w:hyperlink>
      <w:r>
        <w:rPr>
          <w:rFonts w:ascii="Times New Roman" w:cs="Times New Roman" w:eastAsia="Times New Roman" w:hAnsi="Times New Roman"/>
          <w:sz w:val="18"/>
          <w:szCs w:val="18"/>
          <w:color w:val="auto"/>
        </w:rPr>
        <w:t xml:space="preserve">, and as amended on </w:t>
      </w:r>
      <w:hyperlink r:id="rId45">
        <w:r>
          <w:rPr>
            <w:rFonts w:ascii="Times New Roman" w:cs="Times New Roman" w:eastAsia="Times New Roman" w:hAnsi="Times New Roman"/>
            <w:sz w:val="18"/>
            <w:szCs w:val="18"/>
            <w:u w:val="single" w:color="auto"/>
            <w:color w:val="0000EE"/>
          </w:rPr>
          <w:t>October 10, 2024</w:t>
        </w:r>
      </w:hyperlink>
      <w:r>
        <w:rPr>
          <w:rFonts w:ascii="Times New Roman" w:cs="Times New Roman" w:eastAsia="Times New Roman" w:hAnsi="Times New Roman"/>
          <w:sz w:val="18"/>
          <w:szCs w:val="18"/>
          <w:color w:val="auto"/>
        </w:rPr>
        <w:t>, including all amendments or reports filed for the purposes of updating this description.</w:t>
      </w:r>
    </w:p>
    <w:p>
      <w:pPr>
        <w:spacing w:after="0" w:line="162" w:lineRule="exact"/>
        <w:rPr>
          <w:rFonts w:ascii="Times New Roman" w:cs="Times New Roman" w:eastAsia="Times New Roman" w:hAnsi="Times New Roman"/>
          <w:sz w:val="18"/>
          <w:szCs w:val="18"/>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 supplement.</w:t>
      </w:r>
    </w:p>
    <w:p>
      <w:pPr>
        <w:spacing w:after="0" w:line="162" w:lineRule="exact"/>
        <w:rPr>
          <w:rFonts w:ascii="Times New Roman" w:cs="Times New Roman" w:eastAsia="Times New Roman" w:hAnsi="Times New Roman"/>
          <w:sz w:val="18"/>
          <w:szCs w:val="18"/>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all documents (other than current reports furnished under Item 2.02 or Item 7.01 of Form 8-K and exhibits filed on such form that are related to such items, and other information that is furnished or is otherwise not incorporated into registrations statements pursuant to applicable SEC rules) that are filed by us with the SEC pursuant to Sections 13(a), 13(c), 14 or 15(d) of the Exchange Act after the date of this prospectus supplement but prior to the termination of the offering. These documents include periodic reports, such as Annual Reports on Form 10-K, Quarterly Reports on Form 10-Q and Current Reports on Form 8-K, as well as proxy statements.</w:t>
      </w:r>
    </w:p>
    <w:p>
      <w:pPr>
        <w:spacing w:after="0" w:line="183" w:lineRule="exact"/>
        <w:rPr>
          <w:rFonts w:ascii="Times New Roman" w:cs="Times New Roman" w:eastAsia="Times New Roman" w:hAnsi="Times New Roman"/>
          <w:sz w:val="18"/>
          <w:szCs w:val="18"/>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supplement but not delivered with the prospectus, including exhibits that are specifically incorporated by reference into such documents. You should direct any requests for documents to Tempest Therapeutics, Inc., Attn: Investor Relations, 2000 Sierra Point Parkway, Suite 400, Brisbane, California 94005; telephone: (415) 798-8589.</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99060</wp:posOffset>
            </wp:positionV>
            <wp:extent cx="2143125"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21431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$300,000,000</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Preferred Stock</w:t>
      </w:r>
    </w:p>
    <w:p>
      <w:pPr>
        <w:jc w:val="center"/>
        <w:ind w:right="-139"/>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139"/>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ind w:right="-139"/>
        <w:spacing w:after="0" w:line="230" w:lineRule="auto"/>
        <w:rPr>
          <w:sz w:val="20"/>
          <w:szCs w:val="20"/>
          <w:color w:val="auto"/>
        </w:rPr>
      </w:pPr>
      <w:r>
        <w:rPr>
          <w:rFonts w:ascii="Times New Roman" w:cs="Times New Roman" w:eastAsia="Times New Roman" w:hAnsi="Times New Roman"/>
          <w:sz w:val="22"/>
          <w:szCs w:val="22"/>
          <w:b w:val="1"/>
          <w:bCs w:val="1"/>
          <w:color w:val="auto"/>
        </w:rPr>
        <w:t>Rights</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0"/>
          <w:szCs w:val="20"/>
          <w:color w:val="auto"/>
        </w:rPr>
      </w:pPr>
    </w:p>
    <w:p>
      <w:pPr>
        <w:jc w:val="both"/>
        <w:ind w:left="120" w:right="180"/>
        <w:spacing w:after="0" w:line="281" w:lineRule="auto"/>
        <w:rPr>
          <w:sz w:val="20"/>
          <w:szCs w:val="20"/>
          <w:color w:val="auto"/>
        </w:rPr>
      </w:pPr>
      <w:r>
        <w:rPr>
          <w:rFonts w:ascii="Times New Roman" w:cs="Times New Roman" w:eastAsia="Times New Roman" w:hAnsi="Times New Roman"/>
          <w:sz w:val="16"/>
          <w:szCs w:val="16"/>
          <w:color w:val="auto"/>
        </w:rPr>
        <w:t>From time to time, we may offer up to $300,000,000 of any combination of the securities described in this prospectus in one or more offerings. We may also offer the securities registered hereunder as may be issuable upon conversion, redemption, repurchase, exchange or exercise of any securities registered hereunder, including any applicable anti-dilution provisions.</w:t>
      </w:r>
    </w:p>
    <w:p>
      <w:pPr>
        <w:spacing w:after="0" w:line="69"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6"/>
          <w:szCs w:val="16"/>
          <w:color w:val="auto"/>
        </w:rPr>
        <w:t>This prospectus provides a general description of the securities we may offer. Each time we offer securities, we will provide specific terms of the securities offered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This prospectus may not be used to consummate a sale of any securities unless accompanied by a prospectus supplement.</w:t>
      </w:r>
    </w:p>
    <w:p>
      <w:pPr>
        <w:spacing w:after="0" w:line="129" w:lineRule="exact"/>
        <w:rPr>
          <w:sz w:val="20"/>
          <w:szCs w:val="20"/>
          <w:color w:val="auto"/>
        </w:rPr>
      </w:pPr>
    </w:p>
    <w:p>
      <w:pPr>
        <w:ind w:left="120" w:right="160"/>
        <w:spacing w:after="0" w:line="298" w:lineRule="auto"/>
        <w:rPr>
          <w:sz w:val="20"/>
          <w:szCs w:val="20"/>
          <w:color w:val="auto"/>
        </w:rPr>
      </w:pPr>
      <w:r>
        <w:rPr>
          <w:rFonts w:ascii="Times New Roman" w:cs="Times New Roman" w:eastAsia="Times New Roman" w:hAnsi="Times New Roman"/>
          <w:sz w:val="16"/>
          <w:szCs w:val="16"/>
          <w:color w:val="auto"/>
        </w:rPr>
        <w:t>Our common stock is traded on the Nasdaq Capital Market under the symbol “TPST.” On July 18, 2024 the last reported sale price of our common stock was $1.95 per share.</w:t>
      </w:r>
    </w:p>
    <w:p>
      <w:pPr>
        <w:spacing w:after="0" w:line="56"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6"/>
          <w:szCs w:val="16"/>
          <w:color w:val="auto"/>
        </w:rPr>
        <w:t>As of July 18, 2024, the aggregate market value of our common stock held by our non-affiliates, as calculated pursuant to the rules of the Securities and Exchange Commission, was approximately $40.6 million, based upon 20,842,381 shares of our outstanding common stock held by non-affiliates at the per share price of $1.95, the closing sale price of our common stock on Nasdaq on July 18, 2024. We have not offered any securities pursuant to General Instruction I.B.6 of Form S-3 during the prior 12-calendar-month period that ends on and includes the date of this prospectus. Pursuant to General Instruction I.B.6 of Form S-3, in no event will we sell securities in a public offering with a value exceeding more than one-third of our “public float” (i.e., the market value of our common stock held by our non-affiliates) in any 12-month period so long as our public float remains below $75.0 million.</w:t>
      </w:r>
    </w:p>
    <w:p>
      <w:pPr>
        <w:spacing w:after="0" w:line="76" w:lineRule="exact"/>
        <w:rPr>
          <w:sz w:val="20"/>
          <w:szCs w:val="20"/>
          <w:color w:val="auto"/>
        </w:rPr>
      </w:pPr>
    </w:p>
    <w:p>
      <w:pPr>
        <w:ind w:left="120" w:right="100"/>
        <w:spacing w:after="0" w:line="272" w:lineRule="auto"/>
        <w:rPr>
          <w:sz w:val="20"/>
          <w:szCs w:val="20"/>
          <w:color w:val="auto"/>
        </w:rPr>
      </w:pPr>
      <w:r>
        <w:rPr>
          <w:rFonts w:ascii="Times New Roman" w:cs="Times New Roman" w:eastAsia="Times New Roman" w:hAnsi="Times New Roman"/>
          <w:sz w:val="16"/>
          <w:szCs w:val="16"/>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78" w:lineRule="exact"/>
        <w:rPr>
          <w:sz w:val="20"/>
          <w:szCs w:val="20"/>
          <w:color w:val="auto"/>
        </w:rPr>
      </w:pPr>
    </w:p>
    <w:p>
      <w:pPr>
        <w:ind w:left="120" w:right="260"/>
        <w:spacing w:after="0" w:line="281" w:lineRule="auto"/>
        <w:rPr>
          <w:sz w:val="20"/>
          <w:szCs w:val="20"/>
          <w:color w:val="auto"/>
        </w:rPr>
      </w:pPr>
      <w:r>
        <w:rPr>
          <w:rFonts w:ascii="Times New Roman" w:cs="Times New Roman" w:eastAsia="Times New Roman" w:hAnsi="Times New Roman"/>
          <w:sz w:val="16"/>
          <w:szCs w:val="16"/>
          <w:color w:val="auto"/>
        </w:rPr>
        <w:t>We are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9" w:lineRule="exact"/>
        <w:rPr>
          <w:sz w:val="20"/>
          <w:szCs w:val="20"/>
          <w:color w:val="auto"/>
        </w:rPr>
      </w:pPr>
    </w:p>
    <w:p>
      <w:pPr>
        <w:ind w:left="120" w:right="20"/>
        <w:spacing w:after="0" w:line="250" w:lineRule="auto"/>
        <w:rPr>
          <w:sz w:val="20"/>
          <w:szCs w:val="20"/>
          <w:color w:val="auto"/>
        </w:rPr>
      </w:pPr>
      <w:r>
        <w:rPr>
          <w:rFonts w:ascii="Times New Roman" w:cs="Times New Roman" w:eastAsia="Times New Roman" w:hAnsi="Times New Roman"/>
          <w:sz w:val="20"/>
          <w:szCs w:val="20"/>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on page 6 of this prospectus and any similar section contained in the applicable prospectus supplement and any related free writing prospectus, and under similar headings in the other documents that are incorporated by reference into this prospectus, as described on page 6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137160</wp:posOffset>
            </wp:positionV>
            <wp:extent cx="1474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2" w:lineRule="exact"/>
        <w:rPr>
          <w:sz w:val="20"/>
          <w:szCs w:val="20"/>
          <w:color w:val="auto"/>
        </w:rPr>
      </w:pPr>
    </w:p>
    <w:p>
      <w:pPr>
        <w:jc w:val="both"/>
        <w:ind w:left="120" w:right="4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The date of this prospectus is January 27, 2025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7"/>
          </w:tcPr>
          <w:p>
            <w:pPr>
              <w:spacing w:after="0"/>
              <w:rPr>
                <w:sz w:val="17"/>
                <w:szCs w:val="17"/>
                <w:color w:val="auto"/>
              </w:rPr>
            </w:pP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1"/>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1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586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98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3800" w:type="dxa"/>
            <w:vAlign w:val="bottom"/>
            <w:gridSpan w:val="14"/>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Securities and Exchange Commission, or SEC, utilizing a “shelf” registration process. Under this shelf registration process, we may, from time to time, sell any combination of the securities described in this prospectus in one or more offerings up to a total aggregate offering price of $300,000,000. This prospectus provides you with a general description of the securities we may offer.</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291"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The distribution of this prospectus and any related prospectus supplement or free writing prospectuses and the offering of our securities in certain jurisdictions may be restricted by law. Persons outside the United States who come into possession of this prospectus and any related prospectus supplement or free writing prospectuses must inform themselves about, and observe any restrictions relating to, the offering of our securities and the distribution of this prospectus and any related prospectus supplement outside the United States</w:t>
      </w:r>
    </w:p>
    <w:p>
      <w:pPr>
        <w:spacing w:after="0" w:line="19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take no responsibility for, and can provide no assurance as to the reliability of, any other information that others may give you.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Our business, financial condition, results of operations and prospects may have changed since those dates.</w:t>
      </w:r>
    </w:p>
    <w:p>
      <w:pPr>
        <w:spacing w:after="0" w:line="187"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obtained the industry and market data in this prospectus, including the information incorporated by reference herein, from our own research as well as from industry and general publications, surveys and studies conducted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by third parties. These data involve a number of assumptions and limitations, and you are cautioned not to give undue weight to such estimates.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and information incorporated by reference herein. These and other factors could cause results to differ materially from those expressed in the estimates made by the independent parties and by us.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Throughout this prospectus, the terms “we,” “us,” “our,” and our “company” refer to Tempest Therapeutics, Inc. and its subsidiaries.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20"/>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moving into late-stage development with a diverse portfolio of targeted and immune-mediated product candidates with the potential to be first-in-class treatments for a wide range of cancers. Our novel programs range from early research to the lead program, amezalpat (previously known as TPST-1120), that is poised to begin a pivotal study in first-line hepatocellular carcinoma, or HCC, cancer. Our philosophy is to build a company based upon not only good ideas and creative science, but also upon the efficient translation of those ideas into therapies that will improve patients’ lives. Each of our programs are designed to provide different and independent approaches to fighting cancer, providing a portfolio of truly diversified assets.</w:t>
      </w:r>
    </w:p>
    <w:p>
      <w:pPr>
        <w:spacing w:after="0" w:line="187"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Our two clinical-stage therapeutic product candidates are amezalpat and TPST-1495, which we believe are the first clinical-stage molecules designed to inhibit their respective targets. Amezalpat is a selective antagonist of peroxisome proliferator-activated receptor alpha, or PPARα, for which we recently released new and positive data results from our randomized Phase 1b/2 study in first-line hepatocellular carcinoma, or HCC, on June 20, 2024, and which we plan to advance into a Phase 3 clinical trial in HCC, subject to ongoing discussions with the U.S. Food and Drug Administration, or FDA. TPST-1495, a dual antagonist of the EP2 and EP4 receptors of prostaglandin E2, is in the process of completing its Phase 1 trials and we are working with the Cancer Prevention Clinical Trials Network on a National Cancer Institute -funded Phase 2 study and subject to final approval from the consortium, plan to start the study in the second half of 2024.</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right="16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in the applicable prospectus supplement and contained in our most recent Annual Report on Form 10-K and in our most recent Quarterly Report on Form 10-Q, as well as any amendments thereto reflected in subsequent filings with the SEC, before you invest in our securities.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Additionally, as a smaller reporting company, we may continue to take advantage of the</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331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6998970" cy="6433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200"/>
        <w:spacing w:after="0" w:line="266" w:lineRule="auto"/>
        <w:rPr>
          <w:sz w:val="20"/>
          <w:szCs w:val="20"/>
          <w:color w:val="auto"/>
        </w:rPr>
      </w:pPr>
      <w:r>
        <w:rPr>
          <w:rFonts w:ascii="Times New Roman" w:cs="Times New Roman" w:eastAsia="Times New Roman" w:hAnsi="Times New Roman"/>
          <w:sz w:val="18"/>
          <w:szCs w:val="18"/>
          <w:color w:val="auto"/>
        </w:rPr>
        <w:t>exception from compliance with the auditor attestation requirements of Section 404 of the Sarbanes-Oxley Act of 2002, as amended.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20"/>
        <w:spacing w:after="0" w:line="261" w:lineRule="auto"/>
        <w:rPr>
          <w:sz w:val="20"/>
          <w:szCs w:val="20"/>
          <w:color w:val="auto"/>
        </w:rPr>
      </w:pPr>
      <w:r>
        <w:rPr>
          <w:rFonts w:ascii="Times New Roman" w:cs="Times New Roman" w:eastAsia="Times New Roman" w:hAnsi="Times New Roman"/>
          <w:sz w:val="18"/>
          <w:szCs w:val="18"/>
          <w:color w:val="auto"/>
        </w:rPr>
        <w:t>Tempest was founded in 2011 and is currently incorporated in Delaware with headquarters in Brisbane, California. We are a clinical-stage biotechnology company moving into late-stage development with a diverse portfolio of first-in-class targeted and immune-mediated product candidates with the potential to treat a wide range of cancers. Our philosophy is to build a company based upon not only good ideas and creative science, but also upon the efficient translation of those ideas into therapies that will improve patients’ lives.</w:t>
      </w:r>
    </w:p>
    <w:p>
      <w:pPr>
        <w:spacing w:after="0" w:line="180" w:lineRule="exact"/>
        <w:rPr>
          <w:sz w:val="20"/>
          <w:szCs w:val="20"/>
          <w:color w:val="auto"/>
        </w:rPr>
      </w:pPr>
    </w:p>
    <w:p>
      <w:pPr>
        <w:ind w:left="300" w:right="140"/>
        <w:spacing w:after="0" w:line="261" w:lineRule="auto"/>
        <w:rPr>
          <w:sz w:val="20"/>
          <w:szCs w:val="20"/>
          <w:color w:val="auto"/>
        </w:rPr>
      </w:pPr>
      <w:r>
        <w:rPr>
          <w:rFonts w:ascii="Times New Roman" w:cs="Times New Roman" w:eastAsia="Times New Roman" w:hAnsi="Times New Roman"/>
          <w:sz w:val="18"/>
          <w:szCs w:val="18"/>
          <w:color w:val="auto"/>
        </w:rPr>
        <w:t>The Tempest logo and other trademarks or service marks of Tempest Therapeutics, Inc. appearing in this prospectus are the property of Tempest Therapeutics,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w:t>
      </w:r>
    </w:p>
    <w:p>
      <w:pPr>
        <w:spacing w:after="0" w:line="180"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2000 Sierra Point Parkway, Suite 400, Brisbane, CA 94005. Our telephone number is (415) 798-8589. Our website is located at http://www.tempesttx.com. We do not incorporate by reference into this prospectus the information on, or accessible through, our website, and you should not consider it as part of this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We may offer any of the securities described in this prospectus, either individually or in combination, up to a total dollar amount of $300,000,000, from time to time under this prospectus, together with the applicable prospectus supplement and any related free writing prospectuses, at prices and on terms to be determined by market conditions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89" w:lineRule="exact"/>
        <w:rPr>
          <w:sz w:val="20"/>
          <w:szCs w:val="20"/>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30"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316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prospectuses that we may authorize to be provided to you may also add, update or change any of the information contained in this prospectus or in the documents we have incorporated by reference. However, no prospectus supplement or free writing prospectuses will offer a security that is not registered and described in this prospectus at the time of the effectiveness of the registration statement of which this prospectus is a part.</w:t>
      </w:r>
    </w:p>
    <w:p>
      <w:pPr>
        <w:spacing w:after="0" w:line="180" w:lineRule="exact"/>
        <w:rPr>
          <w:sz w:val="20"/>
          <w:szCs w:val="20"/>
          <w:color w:val="auto"/>
        </w:rPr>
      </w:pPr>
    </w:p>
    <w:p>
      <w:pPr>
        <w:jc w:val="both"/>
        <w:ind w:left="300" w:right="4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underwriters or dealers, reserve the right to accept or reject all or part of any proposed purchase of securities. If we do offer securities to or through agents, underwriters or dealers,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underwriters or dealers;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329" w:lineRule="exact"/>
        <w:rPr>
          <w:sz w:val="20"/>
          <w:szCs w:val="20"/>
          <w:color w:val="auto"/>
        </w:rPr>
      </w:pPr>
    </w:p>
    <w:p>
      <w:pPr>
        <w:ind w:left="300" w:right="38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200"/>
        <w:spacing w:after="0" w:line="26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or for any other purpose we describe in the applicable prospectus supplement.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121" w:lineRule="exact"/>
        <w:rPr>
          <w:sz w:val="20"/>
          <w:szCs w:val="20"/>
          <w:color w:val="auto"/>
        </w:rPr>
      </w:pPr>
    </w:p>
    <w:p>
      <w:pPr>
        <w:ind w:left="300" w:right="2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“TPST.” The applicable prospectus supplement will contain information, where applicable, as to other listings, if any, on the Nasdaq Capital Market or other securities exchange of the securities covered by the applicable prospectus supplement.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deciding whether to invest in our common stock, you should consider carefully the risks and uncertainties described below and discussed under the heading “Risk Factors” contained in our most recent Annual Report on Form 10-K, and in our subsequent Quarterly Reports on Form 10-Q, as well as any amendments thereto reflected in subsequent filings with the SEC, which are incorporated by reference into this prospectus in their entirety, together with other information in this prospectus, any related prospectus supplement, the documents incorporated by reference and any free writing prospectuses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as amended, or the Securities Act, and Section 21E of the Exchange Act. The words “may,” “might,” “will,” “could,” “would,” “should,” “expect,” “intend,” “plan,” “objective,” “anticipate,” “believe,” “estimate,” “predict,” “project,” “potential,” “continue” and “ongoing,” or the negative of these terms, or other comparable terminology are intended to identify forward-looking statements, but are not the exclusive means of identifying such statements.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may include, but are not limited to, statements about:</w:t>
      </w:r>
    </w:p>
    <w:p>
      <w:pPr>
        <w:spacing w:after="0" w:line="94"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future growth and our ability to manage such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amezalpat, TPST-1495 and any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our obligations under our term loan with Oxford, or to obtain a waiver from Oxford for any failure to comply with the covenants contained in such term loan agreement;</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76" w:lineRule="exact"/>
        <w:rPr>
          <w:sz w:val="20"/>
          <w:szCs w:val="20"/>
          <w:color w:val="auto"/>
        </w:rPr>
      </w:pPr>
    </w:p>
    <w:p>
      <w:pPr>
        <w:ind w:left="120" w:right="540"/>
        <w:spacing w:after="0" w:line="261" w:lineRule="auto"/>
        <w:rPr>
          <w:sz w:val="20"/>
          <w:szCs w:val="20"/>
          <w:color w:val="auto"/>
        </w:rPr>
      </w:pPr>
      <w:r>
        <w:rPr>
          <w:rFonts w:ascii="Times New Roman" w:cs="Times New Roman" w:eastAsia="Times New Roman" w:hAnsi="Times New Roman"/>
          <w:sz w:val="18"/>
          <w:szCs w:val="18"/>
          <w:color w:val="auto"/>
        </w:rPr>
        <w:t>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w:t>
      </w:r>
    </w:p>
    <w:p>
      <w:pPr>
        <w:spacing w:after="0" w:line="187"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76"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(as supplemented or amended), the documents incorporated by reference or any free writing prospectus prepared by or on behalf of us or to which we have referred you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investment-grade, interest-bearing securities.</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40"/>
          </w:cols>
          <w:pgMar w:left="320" w:top="455" w:right="5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restated certificate of incorporation, as amended, and amended and restated bylaws. This description also summarizes relevant provisions of the General Corporation Law of the State of Delaware, or “DGCL.” Therefore, please carefully consider the actual provisions of the restated certificate of incorporation, as amended, and amended and restated bylaws, which have been filed with the SEC as exhibits to the registration statement of which this prospectus forms a part, and the DGCL.</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Our restated certificate authorizes us to issue up to 100,000,000 shares of common stock, $0.001 par value per share, and 5,000,000 shares of preferred stock, $0.001 par value per share, all of which shares of preferred stock are undesignated. Our board of directors may establish the rights and preferences of the preferred stock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 See “Preferred Stock Purchase Rights” below.</w:t>
      </w:r>
    </w:p>
    <w:p>
      <w:pPr>
        <w:spacing w:after="0" w:line="16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from time to time, direct the issuance of shares of up to 5,000,000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8"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Our board of directors will fix the designations, voting powers, preferences and rights of each series, as well as the qualifications, limitations or restrictions thereof, of the preferred stock of each series that we offer under this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85"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and payment dates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period, the exchange price, or how it will be calculated, and under what circumstances it may be adjusted;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stock.</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General Corporation Law of the State of Delaware, or DGCL, the state of our incorporation, provides that the holders of preferred stock will have the right to vote separately as a class (or, in some cases, as a series) on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 Purchase Rights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October 10, 2023, our board of directors declared a dividend of one preferred share purchase right (each a “Purchase Right,” and collectively, the “Purchase Rights”) to purchase one-thousandth of one share of our newly designated Preferred Shares (as defined below) for each outstanding share of our common stock to the stockholders of record as of the close of business on October 23, 2023 (the “Record Date”), and adopted a limited duration stockholder rights plan (the “Rights Plan”), effective immediately, as set forth in the Rights Agreement, dated as of October 10, 2023 (the “Rights Agreement”), by and between the Company and Computershare Trust Company, N.A., as rights agent (“Rights Agent”). The Rights Agent currently serves as our transfer agent with respect to our common stock and also has been appointed transfer agent with respect to the Series A Junior Participating Preferred Stock, par value $0.001 per share (each, a “Preferred Share” and collectively, the “Preferred Shares”), if any, that may be issued pursuant to the exercise of Purchase Rights under the Rights Agreement. The Purchase Rights will expire on October 10, 2024 or, if our stockholders approve the Rights Plan, on October 10, 2026 (“Final Expiration Date”), unless the Purchase Rights are earlier redeemed or exchanged by the Company. We do not have any obligation under the Rights Agreement to seek stockholder approval for the Rights Plan.</w:t>
      </w:r>
    </w:p>
    <w:p>
      <w:pPr>
        <w:spacing w:after="0" w:line="19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general terms, the Rights Agreement works by imposing a significant penalty upon any person or group that acquires beneficial ownership of 10% (15% in the case of a passive institutional investor) or more of the outstanding shares of our common stock without the approval of the Board. The Rights Agreement was adopted in response to the significant and ongoing dislocation in the trading price of our common stock and not in response to a specific takeover threat. Our board adopted the Rights Agreement to enable all stockholders of the Company to realize the long-term value of their investment. The Rights Agreement should reduce the likelihood that any person or group gains control of Tempest through open market accumulation without paying all stockholders an appropriate control premium or without providing the board sufficient time to make informed judgments and take actions that are in the best interests of all stockholders. The Rights Agreement does not prevent the board from engaging with parties or accepting an acquisition proposal if the board believes that it is in the best interests of Tempest and its stockholders. The Rights Agreement is similar to other plans adopted by publicly held companies in comparable circumstances.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Purchase Rights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The Purchase Rights will not be exercisable and will trade with shares of our common stock until the earlier to occur of (a) the tenth calendar day (or such later date as may be determined by the board) after a person or group acquires beneficial ownership of 10% (15% in the case of a passive institutional investor) or more of our outstanding common stock (an “Acquiring Person”) or (b) the tenth business day (or such later date as may be determined by action of the Board prior to such time as any person or entity becomes an Acquiring Person) following the date of commencement of, or the first announcement of, an intention to commence, a tender offer or exchange offer, the consummation of which would result in any person or entity or group of persons or entities acting in concert becoming an Acquiring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term “Acquiring Person” is subject to certain customary exceptions whereby certain stockholders that would have otherwise been an Acquiring Person are excluded from the definition of “Acquiring Person.” Any stockholders with beneficial ownership of our common stock above the applicable threshold as of the time of this announcement are grandfathered at their current ownership levels but are not permitted to increase their ownership without triggering the Purchase Rights. Prior to exercise, the Purchase Right does not give its holder any dividend, voting or liquidation rights.</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date when the Purchase Rights separate from our common stock and become exercisable is referred to herein as the “Distribution Date.” Until that date, common stock certificates or, in the case of uncertificated shares, notations in the book-entry account system, will evidence the Purchase Rights, and any transfer of shares of our common stock will constitute a transfer of Purchase Rights. After the Distribution Date, the Purchase Rights will be evidenced by separate book-entry credits or by Purchase Rights certificates that the Company will mail to all eligible, certificated holders of our common stock. Any Purchase Rights held by an Acquiring Person are null and void and may not be exercised.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ind w:left="120"/>
        <w:spacing w:after="0" w:line="222" w:lineRule="auto"/>
        <w:rPr>
          <w:sz w:val="20"/>
          <w:szCs w:val="20"/>
          <w:color w:val="auto"/>
        </w:rPr>
      </w:pPr>
      <w:r>
        <w:rPr>
          <w:rFonts w:ascii="Times New Roman" w:cs="Times New Roman" w:eastAsia="Times New Roman" w:hAnsi="Times New Roman"/>
          <w:sz w:val="18"/>
          <w:szCs w:val="18"/>
          <w:color w:val="auto"/>
        </w:rPr>
        <w:t>After the Distribution Date, each Purchase Right will entitle the holder to purchase one-thousandth (1/1000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a Preferred Share for $25.00, subject to adjustment (the “Exercise Price”). Each one-thousandth (1/1000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a Preferred Share has economic terms similar to that of one share of our common stock. The Exercise Price payable, and the number of Preferred Shares or other securities or other property issuable upon exercise of the Purchase Rights will be subject to adjustment from time to time to prevent dilution in the event of a stock dividend on, or a subdivision, combination or reclassification of, the Preferred Shares. The exercise of Purchase Rights to purchase Preferred Shares will at all times be subject to the availability of a sufficient number of authorized but unissued Preferred Shares. Notwithstanding the foregoing, with certain exceptions, no adjustment in the Exercise Price will be required until cumulative adjustments require an adjustment of at least 1% in such Exercise Price. No fractional Preferred Shares will be issued (other than fractions which are integral multiples of the number of one one-hundredth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a Preferred Share issuable upon the exercise of one Purchase Right, which may, at our election, be evidenced by depositary receipts), and in lieu thereof, an adjustment in cash will be made based on the market price of the Preferred Shares on the last trading day prior to the date of exercise.</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Ownership</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Certain synthetic interests in securities created by derivative positions — whether or not such interests are considered to be ownership of underlying shares of our common stock or are reportable for purposes of Regulation 13D of the Securities Exchange Act of 1934, as amended — are treated as beneficial ownership of the number of shares of our common stock equivalent to the economic exposure created by the derivative position, to the extent actual shares of our common stock are directly or indirectly held by counterparties to the derivatives contracts. Swaps dealers unassociated with any control intent or intent to evade the purposes of the Rights Agreement are excepted from such imputed beneficial ownership. In addition, shares held by affiliates and associates of an Acquiring Person, including shares that are subject of, or the reference securities for, or that underline, any derivative position of such persons, will be deemed to be beneficially owned by the Acquiring Person. In addition, any securities beneficially owned by a third party with whom the Acquiring Person has any agreement, arrangement or understanding (whether or not in writing) (i) for the purpose of acquiring, holding or voting securities of the Company or (ii) to cooperate in obtaining, changing or influencing control of the Company, will be deemed to be beneficially owned by the Acquiring Person.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Consequences of a Person or Group Becoming an Acquiring Person</w:t>
      </w:r>
    </w:p>
    <w:p>
      <w:pPr>
        <w:spacing w:after="0" w:line="133" w:lineRule="exact"/>
        <w:rPr>
          <w:sz w:val="20"/>
          <w:szCs w:val="20"/>
          <w:color w:val="auto"/>
        </w:rPr>
      </w:pPr>
    </w:p>
    <w:p>
      <w:pPr>
        <w:ind w:left="1080" w:hanging="424"/>
        <w:spacing w:after="0" w:line="284"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Flip-In</w:t>
      </w:r>
      <w:r>
        <w:rPr>
          <w:rFonts w:ascii="Times New Roman" w:cs="Times New Roman" w:eastAsia="Times New Roman" w:hAnsi="Times New Roman"/>
          <w:sz w:val="18"/>
          <w:szCs w:val="18"/>
          <w:color w:val="auto"/>
        </w:rPr>
        <w:t>. If a person or group becomes an Acquiring Person, all holders of Purchase Rights except the Acquiring Person or its affiliates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Exercise Price, purchase shares of Company Common Stock with a market value of twice the Exercise Price.</w:t>
      </w:r>
    </w:p>
    <w:p>
      <w:pPr>
        <w:spacing w:after="0" w:line="63" w:lineRule="exact"/>
        <w:rPr>
          <w:rFonts w:ascii="Times New Roman" w:cs="Times New Roman" w:eastAsia="Times New Roman" w:hAnsi="Times New Roman"/>
          <w:sz w:val="18"/>
          <w:szCs w:val="18"/>
          <w:color w:val="auto"/>
        </w:rPr>
      </w:pPr>
    </w:p>
    <w:p>
      <w:pPr>
        <w:ind w:left="1080" w:right="40" w:hanging="424"/>
        <w:spacing w:after="0" w:line="267"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In lieu of “flip-in” feature described above, the Board may, at its option at any time after a person or group becomes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Acquiring Person, exchange the Purchase Rights (other than Purchase Rights owned by the Acquiring Person or its affiliates), in whole or in part, for shares of our common stock at an exchange ratio of one share of our common stock per Purchase Right (subject to adjustment).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080" w:right="80" w:hanging="424"/>
        <w:spacing w:after="0" w:line="267"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Flip-Over</w:t>
      </w:r>
      <w:r>
        <w:rPr>
          <w:rFonts w:ascii="Times New Roman" w:cs="Times New Roman" w:eastAsia="Times New Roman" w:hAnsi="Times New Roman"/>
          <w:sz w:val="18"/>
          <w:szCs w:val="18"/>
          <w:color w:val="auto"/>
        </w:rPr>
        <w:t>. If the Company is later acquired in a merger or similar transaction after the Distribution Date, all holders of Purchase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the Acquiring Person or its affiliates may purchase, for the Exercise Price, a number of shares of our common stock of the person engaging in the transaction having a market value of twice the Exercise Price.</w:t>
      </w:r>
    </w:p>
    <w:p>
      <w:pPr>
        <w:spacing w:after="0" w:line="279"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18"/>
          <w:szCs w:val="18"/>
          <w:b w:val="1"/>
          <w:bCs w:val="1"/>
          <w:i w:val="1"/>
          <w:iCs w:val="1"/>
          <w:color w:val="auto"/>
        </w:rPr>
        <w:t>Company Preferred Share Provision</w:t>
      </w:r>
    </w:p>
    <w:p>
      <w:pPr>
        <w:spacing w:after="0" w:line="121"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18"/>
          <w:szCs w:val="18"/>
          <w:color w:val="auto"/>
        </w:rPr>
        <w:t>Each Preferred Share, if issued:</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if any dividend is declared on our common stock, entitle the holder to a preferential quarterly dividend payment equal to 1,000 times the aggregate per share price of all cash and non-cash dividends declared per share of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entitle the holder upon liquidation either to receive $1,000 plus an amount equal to accrued and unpaid dividends and distributions thereon or an aggregate amount per share equal to 1,000 times the aggregate amount to be distributed per share to holders of our common stock;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1,000 votes, voting together with the our common stock;</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our common stock are exchanged via merger, consolidation, or a similar transaction, will entitle the holder to a per share payment equal to 1,000 times the amount of consideration received per share of our common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Shares would rank junior to any other series of the Company’s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value of one-thousandth interest in a Preferred Share is intended to approximate the value of one share of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Expiration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Purchase Rights will expire on the Final Expiration Date.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board may redeem the Purchase Rights for $0.001 per Purchase Right at any time prior to the earlier of (A) such time as any person or group becomes an Acquiring Person or (B) the close of business on the Final Expiration Date. Following the expiration of the above periods, the Purchase Rights become nonredeemable. If the board redeems any Purchase Rights, it must redeem all of the Purchase Rights. Once the Purchase Rights are redeemed, the only right of the holders of Purchase Rights will be to receive the redemption price of $0.001 per Purchase Right. The redemption price will be adjusted if the Company effects a stock split or stock dividend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Anti-Dilution Provisions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Rights will have the benefit of certain customary anti-dilution provisions.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121"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The terms of the Rights Agreement may be amended by the board without the consent of the holders of the Purchase Rights. After a person or group becomes an Acquiring Person, the board may not amend the Rights Agreement in a way that adversely affects holders of the Purchase Rights.</w:t>
      </w:r>
    </w:p>
    <w:p>
      <w:pPr>
        <w:spacing w:after="0" w:line="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320" w:top="455" w:right="5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Rights Agreement does not contain any dead-hand, slow-hand, no-hand or similar feature that limits the ability of a future board to redeem the Purchase Rights. Until a Purchase Right is exercised, the holder thereof, as such, will have no rights as a stockholder of the Company, including, without limitation, the right to vote or to receive dividends.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ind w:left="120" w:right="320"/>
        <w:spacing w:after="0" w:line="312" w:lineRule="auto"/>
        <w:rPr>
          <w:sz w:val="20"/>
          <w:szCs w:val="20"/>
          <w:color w:val="auto"/>
        </w:rPr>
      </w:pPr>
      <w:r>
        <w:rPr>
          <w:rFonts w:ascii="Times New Roman" w:cs="Times New Roman" w:eastAsia="Times New Roman" w:hAnsi="Times New Roman"/>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45" w:lineRule="exact"/>
        <w:rPr>
          <w:sz w:val="20"/>
          <w:szCs w:val="20"/>
          <w:color w:val="auto"/>
        </w:rPr>
      </w:pPr>
    </w:p>
    <w:p>
      <w:pPr>
        <w:ind w:left="1080" w:right="1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20" w:hanging="424"/>
        <w:spacing w:after="0" w:line="224"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/3% of the outstanding voting stock that is not owned by the interested stockholder.</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restated certificate and by-laws divide our board of directors into three classes with staggered three year terms. In addition, our restated certificate and by-laws provide that directors may be removed only for cause and only by the affirmative vote of the holders of 75% of our shares of capital stock present in person or by proxy and entitled to vote. Under our restated certificate and by-laws, any vacancy on our board of directors, including a vacancy resulting from an enlargement of our board of directors, may be filled only by vote of a majority of our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directors then in office. Furthermore, our restated certificate provides that the authorized number of directors may be changed only by the resolution of our board of directors, subject to the rights of any holders of preferred stock to elect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any exchange on which our shares are listed.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 Advance Notice Requirements for Stockholder Proposals and Director Nominations; Stockholder Action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 Majority Voting</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 a greater percentage. Our by-laws may be amended or repealed by a majority vote of our board of directors or the affirmative vote of the holders of at least 75% of the votes that all of our stockholders would be entitled to cast in any election of directors. In addition, the affirmative vote of the holders of at least 75% of the votes that all of our stockholders would be entitled to cast in any election of directors is required to amend or repeal or to adopt any provisions inconsistent with certain of the provisions of our restated certificate.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shall, to the fullest extent permitted by applicable law, be the sole and exclusive forum for (A) any derivative action or proceeding brought on behalf of the Company; (B) any action asserting a claim of breach of a fiduciary duty owed by any director, officer or other employee of the Company to the Company or the Company’s stockholders; (C) any action asserting a claim against the Company or any director or officer or other employee of the Company arising pursuant to any provision of the DGCL, our restated certificate or our bylaws; or (D) any action asserting a claim against the Company or any director or officer or other employee of the Company governed by the internal affairs doctrine.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with offices at 250 Royall Street, Canton, Massachusetts 02021. The transfer agent for any series of preferred stock that we may offer under this prospectus will be named and described in the prospectus supplement for that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Nasdaq</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“TPST.”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5540" w:right="140" w:hanging="4884"/>
        <w:spacing w:after="0" w:line="454" w:lineRule="auto"/>
        <w:tabs>
          <w:tab w:leader="none" w:pos="10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19</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0"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6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0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40"/>
          </w:cols>
          <w:pgMar w:left="320" w:top="455" w:right="5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rights that we may offer under this prospectus and the related rights agreements. While the terms we have summarized below will apply generally to any rights that we may offer under this prospectus, we will describe the particular terms of any rights in more detail in the applicable prospectus supplement. The terms of any rights offered under a prospectus supplement may differ from the terms described below.</w:t>
      </w:r>
    </w:p>
    <w:p>
      <w:pPr>
        <w:spacing w:after="0" w:line="18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any rights certificate or rights agreement that describes the terms of the rights we are offering, and any supplemental agreements, before the issuance of the related rights. The following summaries of material terms and provisions of the rights are subject to, and qualified in their entirety by reference to, all the provisions of any rights certificate or rights agreement and any supplemental agreements applicable to particular rights. We urge you to read the applicable prospectus supplements related to the particular rights that we may offer under this prospectus, as well as any related free writing prospectuses and the complete rights certificate or rights agreement and any supplemental agreements that contain the terms of the rights.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We may issue rights to purchase our equity or debt securities described in this prospectus. We may offer rights separately or together with one or more securities offered hereby and may or may not be transferable by the shareholder receiving the rights in such offering, as described in the applicable prospectus supplement. In connection with any offering of rights, we may enter into a standby agreement with one or more underwriters or other purchasers pursuant to which the underwriter or other purchasers may be required to purchase any securities remaining unsubscribed for after such offering.</w:t>
      </w:r>
    </w:p>
    <w:p>
      <w:pPr>
        <w:spacing w:after="0" w:line="183"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specific terms of any offering of rights for which this prospectus is being delivered, including the following:</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equity or debt securities upon the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rights issued to each shareholder;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equity or debt securities that may be purchased per each right;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the terms, procedures and limitations relating to the exchange and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shall commence, and the date on which the rights shall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may include an over-subscription privilege with respect to unsubscribed securities;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rights agent, if any, for any rights we offer will be set forth in the applicable prospectus supplement.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related to the particular series of units that we may offer under this prospectus, as well as any related free writing prospectuses and the complete unit agreement and any supplemental agreements that contain the terms of the units.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2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U.S. federal income tax considerations and material U.K. tax considerations relevant to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the sections entitled “Description of Capital Stock,” “Description of Debt Securities,” “Description of Warrants” and “Description of Rights” will apply to each unit, as applicable, and to any shares of capital stock, debt security, warrant or right included in each unit, as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name and address of the unit agent, if any,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jc w:val="both"/>
        <w:ind w:left="120" w:right="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its participants or customers or by law,</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legal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we provide otherwise in the applicable prospectus supplement, a global security will terminate when the following special situations occur:</w:t>
      </w:r>
    </w:p>
    <w:p>
      <w:pPr>
        <w:spacing w:after="0" w:line="131" w:lineRule="exact"/>
        <w:rPr>
          <w:sz w:val="20"/>
          <w:szCs w:val="20"/>
          <w:color w:val="auto"/>
        </w:rPr>
      </w:pPr>
    </w:p>
    <w:p>
      <w:pPr>
        <w:ind w:left="1080" w:right="2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40"/>
          </w:cols>
          <w:pgMar w:left="320" w:top="455" w:right="6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Capital Market or any other securities exchange or quotation or trading service on which such securities may be listed, quoted or traded at the time of sale.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“at the market” offerings, if any, may be conducted by underwriters acting as principal or agent.</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securities underwritten or purchased by each of them;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securities. If a dealer is used in the sale of securities, we or an underwriter will sell the securities to the dealer, as principal. The dealer may then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58"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in connection with the offering and the validity of the securities offered by this prospectus, and any supplement thereto, will be passed upon by Cooley LLP, Seattle, Washington.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9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Copies of certain information filed by us with the SEC are also available on our website at www.tempesttx.com. Information contained in or accessible through our website does not constitute a part of this prospectus and is not incorporated by reference in this prospectus.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001-35890. The documents incorporated by reference into this prospectus contain important information that you should read about 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92">
        <w:r>
          <w:rPr>
            <w:rFonts w:ascii="Times New Roman" w:cs="Times New Roman" w:eastAsia="Times New Roman" w:hAnsi="Times New Roman"/>
            <w:sz w:val="18"/>
            <w:szCs w:val="18"/>
            <w:u w:val="single" w:color="auto"/>
            <w:color w:val="0000EE"/>
          </w:rPr>
          <w:t>March 19,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2023 from our Definitive Proxy Statement on Schedule 14A, filed with the SEC on </w:t>
      </w:r>
      <w:hyperlink r:id="rId32">
        <w:r>
          <w:rPr>
            <w:rFonts w:ascii="Times New Roman" w:cs="Times New Roman" w:eastAsia="Times New Roman" w:hAnsi="Times New Roman"/>
            <w:sz w:val="18"/>
            <w:szCs w:val="18"/>
            <w:u w:val="single" w:color="auto"/>
            <w:color w:val="0000EE"/>
          </w:rPr>
          <w:t>April 23, 2024</w:t>
        </w:r>
      </w:hyperlink>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with the SEC on </w:t>
      </w:r>
      <w:hyperlink r:id="rId33">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37">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8">
        <w:r>
          <w:rPr>
            <w:rFonts w:ascii="Times New Roman" w:cs="Times New Roman" w:eastAsia="Times New Roman" w:hAnsi="Times New Roman"/>
            <w:sz w:val="18"/>
            <w:szCs w:val="18"/>
            <w:u w:val="single" w:color="auto"/>
            <w:color w:val="0000EE"/>
          </w:rPr>
          <w:t>June 20, 2024</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the registration statement on </w:t>
      </w:r>
      <w:hyperlink r:id="rId9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registering our common stock under Section 12 of the Exchange Act, which was filed with the SEC on April 25, 2013, as updated by </w:t>
      </w:r>
      <w:hyperlink r:id="rId4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2023.</w:t>
      </w:r>
    </w:p>
    <w:p>
      <w:pPr>
        <w:spacing w:after="0" w:line="176"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We also incorporate by reference into this prospectus any future filings (other than current reports furnished under Item 2.02 or Item 7.01 of</w:t>
      </w:r>
    </w:p>
    <w:p>
      <w:pPr>
        <w:spacing w:after="0" w:line="27" w:lineRule="exact"/>
        <w:rPr>
          <w:rFonts w:ascii="Times New Roman" w:cs="Times New Roman" w:eastAsia="Times New Roman" w:hAnsi="Times New Roman"/>
          <w:sz w:val="18"/>
          <w:szCs w:val="18"/>
          <w:color w:val="auto"/>
        </w:rPr>
      </w:pPr>
    </w:p>
    <w:p>
      <w:pPr>
        <w:ind w:left="120" w:right="240"/>
        <w:spacing w:after="0" w:line="253" w:lineRule="auto"/>
        <w:rPr>
          <w:sz w:val="20"/>
          <w:szCs w:val="20"/>
          <w:color w:val="auto"/>
        </w:rPr>
      </w:pPr>
      <w:r>
        <w:rPr>
          <w:rFonts w:ascii="Times New Roman" w:cs="Times New Roman" w:eastAsia="Times New Roman" w:hAnsi="Times New Roman"/>
          <w:sz w:val="18"/>
          <w:szCs w:val="18"/>
          <w:color w:val="auto"/>
        </w:rPr>
        <w:t>Form 8-K and exhibits filed on such form that are related to such items unless such Form 8-K expressly provides to the contrary)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87" w:lineRule="exact"/>
        <w:rPr>
          <w:rFonts w:ascii="Times New Roman" w:cs="Times New Roman" w:eastAsia="Times New Roman" w:hAnsi="Times New Roman"/>
          <w:sz w:val="18"/>
          <w:szCs w:val="18"/>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Tempest Therapeutics, Inc., Attn: Investor Relations, 2000 Sierra Point Parkway, Suite 400, Brisbane, CA 94005, telephone: (415) 798-8589.</w:t>
      </w:r>
    </w:p>
    <w:p>
      <w:pPr>
        <w:spacing w:after="0" w:line="180" w:lineRule="exact"/>
        <w:rPr>
          <w:rFonts w:ascii="Times New Roman" w:cs="Times New Roman" w:eastAsia="Times New Roman" w:hAnsi="Times New Roman"/>
          <w:sz w:val="18"/>
          <w:szCs w:val="18"/>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108"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320" w:top="455" w:right="5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9"/>
          <w:szCs w:val="29"/>
          <w:b w:val="1"/>
          <w:bCs w:val="1"/>
          <w:color w:val="auto"/>
        </w:rPr>
        <w:t>Up to $14,500,000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344170</wp:posOffset>
            </wp:positionV>
            <wp:extent cx="1508760" cy="3689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150876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2467610</wp:posOffset>
            </wp:positionV>
            <wp:extent cx="1474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i w:val="1"/>
          <w:i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400685</wp:posOffset>
            </wp:positionV>
            <wp:extent cx="1474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February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6"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jpe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3"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jpe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31" Type="http://schemas.openxmlformats.org/officeDocument/2006/relationships/hyperlink" Target="http://www.sec.gov/ix?doc=/Archives/edgar/data/0001544227/000095017024033555/tpst-20231231.htm" TargetMode="External"/><Relationship Id="rId32" Type="http://schemas.openxmlformats.org/officeDocument/2006/relationships/hyperlink" Target="http://www.sec.gov/Archives/edgar/data/1544227/000119312524106959/d240250ddef14a.htm" TargetMode="External"/><Relationship Id="rId33" Type="http://schemas.openxmlformats.org/officeDocument/2006/relationships/hyperlink" Target="http://www.sec.gov/ix?doc=/Archives/edgar/data/1544227/000095017024057072/tpst-20240331.htm" TargetMode="External"/><Relationship Id="rId34" Type="http://schemas.openxmlformats.org/officeDocument/2006/relationships/hyperlink" Target="http://www.sec.gov/ix?doc=/Archives/edgar/data/1544227/000095017024094124/tpst-20240630.htm" TargetMode="External"/><Relationship Id="rId35" Type="http://schemas.openxmlformats.org/officeDocument/2006/relationships/hyperlink" Target="http://www.sec.gov/ix?doc=/Archives/edgar/data/1544227/000095017024125499/tpst-20240930.htm" TargetMode="External"/><Relationship Id="rId37" Type="http://schemas.openxmlformats.org/officeDocument/2006/relationships/hyperlink" Target="http://www.sec.gov/ix?doc=/Archives/edgar/data/1544227/000119312524161685/d853541d8k.htm" TargetMode="External"/><Relationship Id="rId38" Type="http://schemas.openxmlformats.org/officeDocument/2006/relationships/hyperlink" Target="http://www.sec.gov/ix?doc=/Archives/edgar/data/1544227/000119312524164015/d857887d8k.htm" TargetMode="External"/><Relationship Id="rId39" Type="http://schemas.openxmlformats.org/officeDocument/2006/relationships/hyperlink" Target="http://www.sec.gov/ix?doc=/Archives/edgar/data/1544227/000119312524235598/d877681d8k.htm" TargetMode="External"/><Relationship Id="rId40" Type="http://schemas.openxmlformats.org/officeDocument/2006/relationships/hyperlink" Target="http://www.sec.gov/ix?doc=/Archives/edgar/data/1544227/000119312524272464/d899818d8k.htm" TargetMode="External"/><Relationship Id="rId41" Type="http://schemas.openxmlformats.org/officeDocument/2006/relationships/hyperlink" Target="http://www.sec.gov/ix?doc=/Archives/edgar/data/1544227/000119312524287170/d848354d8k.htm" TargetMode="External"/><Relationship Id="rId42" Type="http://schemas.openxmlformats.org/officeDocument/2006/relationships/hyperlink" Target="http://www.sec.gov/Archives/edgar/data/1544227/000110465913033085/a13-9660_28a12b.htm" TargetMode="External"/><Relationship Id="rId43" Type="http://schemas.openxmlformats.org/officeDocument/2006/relationships/hyperlink" Target="http://www.sec.gov/Archives/edgar/data/1544227/000095017024033555/tpst-ex4_1.htm" TargetMode="External"/><Relationship Id="rId44" Type="http://schemas.openxmlformats.org/officeDocument/2006/relationships/hyperlink" Target="http://www.sec.gov/Archives/edgar/data/1544227/000119312523253894/d549614d8a12b.htm" TargetMode="External"/><Relationship Id="rId45" Type="http://schemas.openxmlformats.org/officeDocument/2006/relationships/hyperlink" Target="http://www.sec.gov/Archives/edgar/data/1544227/000119312524235607/d877679d8a12ba.htm" TargetMode="External"/><Relationship Id="rId92" Type="http://schemas.openxmlformats.org/officeDocument/2006/relationships/hyperlink" Target="http://www.sec.gov/ix?doc=/Archives/edgar/data/1544227/000095017024033555/tpst-20231231.htm" TargetMode="External"/><Relationship Id="rId94" Type="http://schemas.openxmlformats.org/officeDocument/2006/relationships/hyperlink" Target="http://www.sec.gov/Archives/edgar/data/0001544227/000110465913033085/a13-9660_2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2025-02-06T16:04:56Z</dcterms:created>
  <dcterms:modified xsi:type="dcterms:W3CDTF">2025-02-06T16:04:56Z</dcterms:modified>
</cp:coreProperties>
</file>