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919907ddefa14a.htm"/>
      <w:bookmarkStart w:id="1" w:name="ksd919907ddefa14a"/>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36"/>
        </w:rPr>
      </w:pPr>
      <w:r>
        <w:rPr>
          <w:rFonts w:ascii="Times New Roman" w:hAnsi="Times New Roman"/>
          <w:b/>
          <w:sz w:val="36"/>
        </w:rPr>
        <w:t xml:space="preserve">FORM 8-K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24"/>
        </w:rPr>
      </w:pPr>
      <w:r>
        <w:rPr>
          <w:rFonts w:ascii="Times New Roman" w:hAnsi="Times New Roman"/>
          <w:b/>
          <w:sz w:val="24"/>
        </w:rPr>
        <w:t xml:space="preserve">CURRENT REPORT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Section 13 or 15(d)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180" w:after="0"/>
        <w:jc w:val="center"/>
        <w:rPr>
          <w:rFonts w:ascii="Times New Roman" w:hAnsi="Times New Roman"/>
          <w:b/>
          <w:sz w:val="24"/>
        </w:rPr>
      </w:pPr>
      <w:r>
        <w:rPr>
          <w:rFonts w:ascii="Times New Roman" w:hAnsi="Times New Roman"/>
          <w:b/>
          <w:sz w:val="24"/>
        </w:rPr>
        <w:t xml:space="preserve">Date of Report (Date of earliest event reported): August 17,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48"/>
        </w:rPr>
      </w:pPr>
      <w:r>
        <w:rPr>
          <w:rFonts w:ascii="Times New Roman" w:hAnsi="Times New Roman"/>
          <w:b/>
          <w:sz w:val="48"/>
        </w:rPr>
        <w:t xml:space="preserve">Tempest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00"/>
        <w:gridCol w:w="3267"/>
        <w:gridCol w:w="100"/>
        <w:gridCol w:w="3267"/>
      </w:tblGrid>
      <w:tr>
        <w:trPr/>
        <w:tc>
          <w:tcPr>
            <w:tcW w:w="3471"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center"/>
              <w:rPr>
                <w:b/>
              </w:rPr>
            </w:pPr>
            <w:r>
              <w:rPr>
                <w:b/>
              </w:rPr>
              <w:t>Delaware</w:t>
            </w:r>
          </w:p>
        </w:tc>
        <w:tc>
          <w:tcPr>
            <w:tcW w:w="100"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001-35890</w:t>
            </w:r>
          </w:p>
        </w:tc>
        <w:tc>
          <w:tcPr>
            <w:tcW w:w="100"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45-1472564</w:t>
            </w:r>
          </w:p>
        </w:tc>
      </w:tr>
      <w:tr>
        <w:trPr/>
        <w:tc>
          <w:tcPr>
            <w:tcW w:w="3471"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100"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100"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283"/>
              <w:jc w:val="center"/>
              <w:rPr>
                <w:b/>
              </w:rPr>
            </w:pPr>
            <w:r>
              <w:rPr>
                <w:b/>
              </w:rPr>
              <w:t>2000 Sierra Point Parkway, Suite 400</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left"/>
              <w:rPr>
                <w:sz w:val="4"/>
                <w:szCs w:val="4"/>
              </w:rPr>
            </w:pPr>
            <w:r>
              <w:rPr>
                <w:sz w:val="4"/>
                <w:szCs w:val="4"/>
              </w:rPr>
            </w:r>
          </w:p>
        </w:tc>
      </w:tr>
      <w:tr>
        <w:trPr/>
        <w:tc>
          <w:tcPr>
            <w:tcW w:w="5153" w:type="dxa"/>
            <w:tcBorders/>
            <w:vAlign w:val="bottom"/>
          </w:tcPr>
          <w:p>
            <w:pPr>
              <w:pStyle w:val="TableContents"/>
              <w:bidi w:val="0"/>
              <w:spacing w:before="0" w:after="283"/>
              <w:jc w:val="center"/>
              <w:rPr>
                <w:b/>
              </w:rPr>
            </w:pPr>
            <w:r>
              <w:rPr>
                <w:b/>
              </w:rPr>
              <w:t>Brisbane, California</w:t>
            </w:r>
          </w:p>
        </w:tc>
        <w:tc>
          <w:tcPr>
            <w:tcW w:w="103" w:type="dxa"/>
            <w:tcBorders/>
            <w:vAlign w:val="bottom"/>
          </w:tcPr>
          <w:p>
            <w:pPr>
              <w:pStyle w:val="TableContents"/>
              <w:bidi w:val="0"/>
              <w:spacing w:before="0" w:after="283"/>
              <w:jc w:val="left"/>
              <w:rPr/>
            </w:pPr>
            <w:r>
              <w:rPr/>
              <w:t> </w:t>
            </w:r>
          </w:p>
        </w:tc>
        <w:tc>
          <w:tcPr>
            <w:tcW w:w="4949" w:type="dxa"/>
            <w:tcBorders/>
            <w:vAlign w:val="bottom"/>
          </w:tcPr>
          <w:p>
            <w:pPr>
              <w:pStyle w:val="TableContents"/>
              <w:bidi w:val="0"/>
              <w:spacing w:before="0" w:after="283"/>
              <w:jc w:val="center"/>
              <w:rPr>
                <w:b/>
              </w:rPr>
            </w:pPr>
            <w:r>
              <w:rPr>
                <w:b/>
              </w:rPr>
              <w:t>94005</w:t>
            </w:r>
          </w:p>
        </w:tc>
      </w:tr>
      <w:tr>
        <w:trPr/>
        <w:tc>
          <w:tcPr>
            <w:tcW w:w="5153" w:type="dxa"/>
            <w:tcBorders/>
          </w:tcPr>
          <w:p>
            <w:pPr>
              <w:pStyle w:val="TableContents"/>
              <w:bidi w:val="0"/>
              <w:spacing w:before="0" w:after="283"/>
              <w:jc w:val="center"/>
              <w:rPr>
                <w:b/>
              </w:rPr>
            </w:pPr>
            <w:r>
              <w:rPr>
                <w:b/>
              </w:rPr>
              <w:t>(Address of Principal Executive Offices)</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(Zip Code)</w:t>
            </w:r>
          </w:p>
        </w:tc>
      </w:tr>
    </w:tbl>
    <w:p>
      <w:pPr>
        <w:pStyle w:val="TextBody"/>
        <w:bidi w:val="0"/>
        <w:spacing w:before="180" w:after="0"/>
        <w:jc w:val="center"/>
        <w:rPr>
          <w:rFonts w:ascii="Times New Roman" w:hAnsi="Times New Roman"/>
          <w:b/>
          <w:sz w:val="20"/>
        </w:rPr>
      </w:pPr>
      <w:r>
        <w:rPr>
          <w:rFonts w:ascii="Times New Roman" w:hAnsi="Times New Roman"/>
          <w:b/>
          <w:sz w:val="20"/>
        </w:rPr>
        <w:t xml:space="preserve">Registrant’s Telephone Number, Including Area Code: (415) 798-8589 </w:t>
      </w:r>
    </w:p>
    <w:p>
      <w:pPr>
        <w:pStyle w:val="TextBody"/>
        <w:bidi w:val="0"/>
        <w:spacing w:before="180" w:after="0"/>
        <w:jc w:val="center"/>
        <w:rPr>
          <w:rFonts w:ascii="Times New Roman" w:hAnsi="Times New Roman"/>
          <w:b/>
          <w:sz w:val="16"/>
        </w:rPr>
      </w:pPr>
      <w:r>
        <w:rPr>
          <w:rFonts w:ascii="Times New Roman" w:hAnsi="Times New Roman"/>
          <w:b/>
          <w:sz w:val="16"/>
        </w:rPr>
        <w:t xml:space="preserve">(Former Name or Former Address, if Changed Since Last Report)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left"/>
        <w:rPr>
          <w:rFonts w:ascii="Times New Roman" w:hAnsi="Times New Roman"/>
          <w:sz w:val="20"/>
        </w:rPr>
      </w:pPr>
      <w:r>
        <w:rPr>
          <w:rFonts w:ascii="Times New Roman" w:hAnsi="Times New Roman"/>
          <w:sz w:val="20"/>
        </w:rPr>
        <w:t xml:space="preserve">Check the appropriate box below if the Form 8-K filing is intended to simultaneously satisfy the filing obligation of the registrant under any of the following provisions: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Rule 14a-12 under the Exchange Act (17 CFR 240.14a-12)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Pre-commencement communications pursuant to Rule 13e-4(c) under the Exchange Act (17 CFR 240.13e-4(c)) </w:t>
            </w:r>
          </w:p>
        </w:tc>
      </w:tr>
    </w:tbl>
    <w:p>
      <w:pPr>
        <w:pStyle w:val="TextBody"/>
        <w:bidi w:val="0"/>
        <w:spacing w:before="180" w:after="0"/>
        <w:jc w:val="center"/>
        <w:rPr>
          <w:rFonts w:ascii="Times New Roman" w:hAnsi="Times New Roman"/>
          <w:b/>
          <w:sz w:val="20"/>
        </w:rPr>
      </w:pPr>
      <w:r>
        <w:rPr>
          <w:rFonts w:ascii="Times New Roman" w:hAnsi="Times New Roman"/>
          <w:b/>
          <w:sz w:val="20"/>
        </w:rPr>
        <w:t xml:space="preserve">Securities registered pursuant to Section 12(b) of the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0"/>
        <w:gridCol w:w="101"/>
        <w:gridCol w:w="3266"/>
        <w:gridCol w:w="102"/>
        <w:gridCol w:w="3266"/>
      </w:tblGrid>
      <w:tr>
        <w:trPr/>
        <w:tc>
          <w:tcPr>
            <w:tcW w:w="347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47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101" w:type="dxa"/>
            <w:tcBorders/>
            <w:vAlign w:val="bottom"/>
          </w:tcPr>
          <w:p>
            <w:pPr>
              <w:pStyle w:val="TableContents"/>
              <w:bidi w:val="0"/>
              <w:spacing w:before="0" w:after="283"/>
              <w:jc w:val="left"/>
              <w:rPr/>
            </w:pPr>
            <w:r>
              <w:rPr/>
              <w:t> </w:t>
            </w:r>
          </w:p>
        </w:tc>
        <w:tc>
          <w:tcPr>
            <w:tcW w:w="32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102" w:type="dxa"/>
            <w:tcBorders/>
            <w:vAlign w:val="bottom"/>
          </w:tcPr>
          <w:p>
            <w:pPr>
              <w:pStyle w:val="TableContents"/>
              <w:bidi w:val="0"/>
              <w:spacing w:before="0" w:after="283"/>
              <w:jc w:val="left"/>
              <w:rPr/>
            </w:pPr>
            <w:r>
              <w:rPr/>
              <w:t> </w:t>
            </w:r>
          </w:p>
        </w:tc>
        <w:tc>
          <w:tcPr>
            <w:tcW w:w="3266"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470" w:type="dxa"/>
            <w:tcBorders/>
          </w:tcPr>
          <w:p>
            <w:pPr>
              <w:pStyle w:val="TableContents"/>
              <w:bidi w:val="0"/>
              <w:spacing w:before="0" w:after="283"/>
              <w:jc w:val="center"/>
              <w:rPr/>
            </w:pPr>
            <w:r>
              <w:rPr/>
              <w:t>Common Stock, $0.001 par value</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pPr>
            <w:r>
              <w:rPr/>
              <w:t>TPST</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pPr>
            <w:r>
              <w:rPr/>
              <w:t>The Nasdaq Stock Market LLC</w:t>
            </w:r>
          </w:p>
        </w:tc>
      </w:tr>
      <w:tr>
        <w:trPr/>
        <w:tc>
          <w:tcPr>
            <w:tcW w:w="3470" w:type="dxa"/>
            <w:tcBorders/>
          </w:tcPr>
          <w:p>
            <w:pPr>
              <w:pStyle w:val="TableContents"/>
              <w:bidi w:val="0"/>
              <w:spacing w:before="0" w:after="283"/>
              <w:jc w:val="center"/>
              <w:rPr/>
            </w:pPr>
            <w:r>
              <w:rPr/>
              <w:t>Series A Junior Participating Preferred Purchase Rights</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pPr>
            <w:r>
              <w:rPr/>
              <w:t>N/A</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pPr>
            <w:r>
              <w:rPr/>
              <w:t>The Nasdaq Stock Market LLC</w:t>
            </w:r>
          </w:p>
        </w:tc>
      </w:tr>
    </w:tbl>
    <w:p>
      <w:pPr>
        <w:pStyle w:val="TextBody"/>
        <w:bidi w:val="0"/>
        <w:spacing w:before="180" w:after="0"/>
        <w:jc w:val="left"/>
        <w:rPr>
          <w:rFonts w:ascii="Times New Roman" w:hAnsi="Times New Roman"/>
          <w:sz w:val="20"/>
        </w:rPr>
      </w:pPr>
      <w:r>
        <w:rPr>
          <w:rFonts w:ascii="Times New Roman" w:hAnsi="Times New Roman"/>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0"/>
        <w:jc w:val="left"/>
        <w:rPr>
          <w:rFonts w:ascii="Times New Roman" w:hAnsi="Times New Roman"/>
          <w:sz w:val="20"/>
        </w:rPr>
      </w:pPr>
      <w:r>
        <w:rPr>
          <w:rFonts w:ascii="Times New Roman" w:hAnsi="Times New Roman"/>
          <w:sz w:val="20"/>
        </w:rPr>
        <w:t xml:space="preserve">Emerging growth company ☐ </w:t>
      </w:r>
    </w:p>
    <w:p>
      <w:pPr>
        <w:pStyle w:val="TextBody"/>
        <w:bidi w:val="0"/>
        <w:spacing w:before="18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121"/>
        <w:gridCol w:w="9084"/>
      </w:tblGrid>
      <w:tr>
        <w:trPr/>
        <w:tc>
          <w:tcPr>
            <w:tcW w:w="1121" w:type="dxa"/>
            <w:tcBorders/>
          </w:tcPr>
          <w:p>
            <w:pPr>
              <w:pStyle w:val="TableContents"/>
              <w:bidi w:val="0"/>
              <w:spacing w:before="0" w:after="283"/>
              <w:jc w:val="left"/>
              <w:rPr>
                <w:b/>
              </w:rPr>
            </w:pPr>
            <w:r>
              <w:rPr>
                <w:b/>
              </w:rPr>
              <w:t>Item 5.07</w:t>
            </w:r>
          </w:p>
        </w:tc>
        <w:tc>
          <w:tcPr>
            <w:tcW w:w="9084"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Submission of Matters to a Vote of Security Holders.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disclosed in Item 8.01 of this Current Report on Form 8-K is incorporated herein by reference.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0"/>
        <w:gridCol w:w="9085"/>
      </w:tblGrid>
      <w:tr>
        <w:trPr/>
        <w:tc>
          <w:tcPr>
            <w:tcW w:w="1120" w:type="dxa"/>
            <w:tcBorders/>
          </w:tcPr>
          <w:p>
            <w:pPr>
              <w:pStyle w:val="TableContents"/>
              <w:bidi w:val="0"/>
              <w:spacing w:before="0" w:after="283"/>
              <w:jc w:val="left"/>
              <w:rPr>
                <w:b/>
              </w:rPr>
            </w:pPr>
            <w:r>
              <w:rPr>
                <w:b/>
              </w:rPr>
              <w:t>Item 8.01</w:t>
            </w:r>
          </w:p>
        </w:tc>
        <w:tc>
          <w:tcPr>
            <w:tcW w:w="908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17, 2026, Tempest Therapeutics, Inc. (the “Company”) called to order its reconvened special meeting of stockholders (the “Special Meeting”) originally convened and adjourned on July 27, 2026. The purpose of the Special Meeting is to approve a Certificate of Amendment to the Company’s Restated Certificate of Incorporation to replace specified supermajority voting requirements and permit stockholder action by written consent in the form attached as Exhibit A to the proxy statement previously distributed to the Company’s stockholders in connection with the Special Meeting (the “Proposal”). </w:t>
      </w:r>
    </w:p>
    <w:p>
      <w:pPr>
        <w:pStyle w:val="TextBody"/>
        <w:bidi w:val="0"/>
        <w:spacing w:before="240" w:after="0"/>
        <w:jc w:val="left"/>
        <w:rPr>
          <w:rFonts w:ascii="Times New Roman" w:hAnsi="Times New Roman"/>
          <w:sz w:val="20"/>
        </w:rPr>
      </w:pPr>
      <w:r>
        <w:rPr>
          <w:rFonts w:ascii="Times New Roman" w:hAnsi="Times New Roman"/>
          <w:sz w:val="20"/>
        </w:rPr>
        <w:t xml:space="preserve">At the Special Meeting, a total of 10,601,849 shares, or 71.6% of the 14,806,997 shares of common stock outstanding as of May 28, 2026, the record date for the Special Meeting, were present virtually or represented by proxy, constituting a quorum. However, because there were not sufficient votes to approve the Proposal at the time of the Special Meeting, the Company decided to adjourn the Special Meeting to provide stockholders with additional time to vote and to facilitate broader participation. </w:t>
      </w:r>
    </w:p>
    <w:p>
      <w:pPr>
        <w:pStyle w:val="TextBody"/>
        <w:bidi w:val="0"/>
        <w:spacing w:before="240" w:after="0"/>
        <w:jc w:val="left"/>
        <w:rPr>
          <w:rFonts w:ascii="Times New Roman" w:hAnsi="Times New Roman"/>
          <w:sz w:val="20"/>
        </w:rPr>
      </w:pPr>
      <w:r>
        <w:rPr>
          <w:rFonts w:ascii="Times New Roman" w:hAnsi="Times New Roman"/>
          <w:sz w:val="20"/>
        </w:rPr>
        <w:t xml:space="preserve">The Special Meeting will reconvene on September 15, 2026 at 12:00 p.m. Eastern Time via live webcast at the following virtual meeting link, www.virtualshareholdermeeting.com/TPST2026SM2. Stockholders can use the same access code to attend the reconvened meeting on September 15, 2026 that was used for the originally scheduled Special Meeting convened on July 27, 2026. </w:t>
      </w:r>
    </w:p>
    <w:p>
      <w:pPr>
        <w:pStyle w:val="TextBody"/>
        <w:bidi w:val="0"/>
        <w:spacing w:before="240" w:after="0"/>
        <w:jc w:val="left"/>
        <w:rPr>
          <w:rFonts w:ascii="Times New Roman" w:hAnsi="Times New Roman"/>
          <w:sz w:val="20"/>
        </w:rPr>
      </w:pPr>
      <w:r>
        <w:rPr>
          <w:rFonts w:ascii="Times New Roman" w:hAnsi="Times New Roman"/>
          <w:sz w:val="20"/>
        </w:rPr>
        <w:t xml:space="preserve">The Proposal requires the affirmative vote of the holders of at least seventy-five percent (75%) of the votes that all the stockholders would be entitled to cast in any annual election of directors or class of directors. </w:t>
      </w:r>
    </w:p>
    <w:p>
      <w:pPr>
        <w:pStyle w:val="TextBody"/>
        <w:bidi w:val="0"/>
        <w:spacing w:before="240" w:after="0"/>
        <w:jc w:val="left"/>
        <w:rPr>
          <w:rFonts w:ascii="Times New Roman" w:hAnsi="Times New Roman"/>
          <w:sz w:val="20"/>
        </w:rPr>
      </w:pPr>
      <w:r>
        <w:rPr>
          <w:rFonts w:ascii="Times New Roman" w:hAnsi="Times New Roman"/>
          <w:sz w:val="20"/>
        </w:rPr>
        <w:t xml:space="preserve">No changes have been made to the Proposal to be voted on by the stockholders at the Special Meeting. The record date for determining stockholder eligibility to vote at the Special Meeting remains the close of business on May 28, 2026. Proxies previously submitted will be voted at the reconvened Special Meeting unless properly revoked, and stockholders who have already submitted a proxy or otherwise voted and do not wish to change their vote need not take any action.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Important 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Tempest has filed a definitive proxy statement and other relevant documents with the U.S. Securities and Exchange Commission (“SEC”) in connection with the Special Meeting. INVESTORS AND SECURITY HOLDERS ARE URGED TO READ THE DEFINITIVE PROXY STATEMENT AND OTHER RELEVANT DOCUMENTS FILED WITH THE SEC CAREFULLY AND IN THEIR ENTIRETY because they contain important information about the matters to be voted on at the Special Meeting. Stockholders may obtain copies of these documents free of charge at the SEC’s website at www.sec.gov or on Tempest’s website at https://www.tempesttx.com. </w:t>
      </w:r>
    </w:p>
    <w:p>
      <w:pPr>
        <w:pStyle w:val="TextBody"/>
        <w:bidi w:val="0"/>
        <w:spacing w:before="360" w:after="0"/>
        <w:jc w:val="left"/>
        <w:rPr>
          <w:rFonts w:ascii="Times New Roman" w:hAnsi="Times New Roman"/>
          <w:b/>
          <w:i/>
          <w:sz w:val="20"/>
        </w:rPr>
      </w:pPr>
      <w:r>
        <w:rPr>
          <w:rFonts w:ascii="Times New Roman" w:hAnsi="Times New Roman"/>
          <w:b/>
          <w:i/>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and its directors and executive officers may be deemed to be participants in the solicitation of proxies from the Company’s stockholders in connection with the Special Meeting. Information about the Company’s directors and executive officers is outlined in Tempest’s Annual Report on Form 10-K for the year ended December 31, 2025, filed with the SEC on March 30, 2026, as updated by the Company’s Current Report on Form 8-K filed with the SEC on June 4, 2026, and information about their ownership of Tempest’s common stock is outlined in the definitive proxy statement for the Special Meeting filed with the SEC on July 17, 2026. The Company has also engaged Sodali &amp; Co., a proxy solicitation firm, to assist with obtaining adequate votes to achieve the required quorum of a majority of the outstanding shares of the Company’s common stock entitled to vote at the Special Meeting.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293"/>
        <w:gridCol w:w="111"/>
        <w:gridCol w:w="382"/>
        <w:gridCol w:w="111"/>
        <w:gridCol w:w="665"/>
        <w:gridCol w:w="111"/>
        <w:gridCol w:w="4532"/>
      </w:tblGrid>
      <w:tr>
        <w:trPr/>
        <w:tc>
          <w:tcPr>
            <w:tcW w:w="4293"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4532" w:type="dxa"/>
            <w:tcBorders/>
            <w:vAlign w:val="center"/>
          </w:tcPr>
          <w:p>
            <w:pPr>
              <w:pStyle w:val="TableContents"/>
              <w:bidi w:val="0"/>
              <w:spacing w:before="0" w:after="283"/>
              <w:jc w:val="left"/>
              <w:rPr>
                <w:sz w:val="4"/>
                <w:szCs w:val="4"/>
              </w:rPr>
            </w:pPr>
            <w:r>
              <w:rPr>
                <w:sz w:val="4"/>
                <w:szCs w:val="4"/>
              </w:rPr>
            </w:r>
          </w:p>
        </w:tc>
      </w:tr>
      <w:tr>
        <w:trPr/>
        <w:tc>
          <w:tcPr>
            <w:tcW w:w="4293" w:type="dxa"/>
            <w:tcBorders/>
            <w:vAlign w:val="bottom"/>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5308" w:type="dxa"/>
            <w:gridSpan w:val="3"/>
            <w:tcBorders/>
            <w:vAlign w:val="bottom"/>
          </w:tcPr>
          <w:p>
            <w:pPr>
              <w:pStyle w:val="TableContents"/>
              <w:bidi w:val="0"/>
              <w:spacing w:before="0" w:after="283"/>
              <w:jc w:val="left"/>
              <w:rPr>
                <w:b/>
              </w:rPr>
            </w:pPr>
            <w:r>
              <w:rPr>
                <w:b/>
              </w:rPr>
              <w:t>TEMPEST THERAPEUTICS, INC.</w:t>
            </w:r>
          </w:p>
        </w:tc>
      </w:tr>
      <w:tr>
        <w:trPr>
          <w:trHeight w:val="240" w:hRule="atLeast"/>
        </w:trPr>
        <w:tc>
          <w:tcPr>
            <w:tcW w:w="4293" w:type="dxa"/>
            <w:tcBorders/>
            <w:vAlign w:val="center"/>
          </w:tcPr>
          <w:p>
            <w:pPr>
              <w:pStyle w:val="TableContents"/>
              <w:bidi w:val="0"/>
              <w:spacing w:before="0" w:after="283"/>
              <w:jc w:val="left"/>
              <w:rPr>
                <w:sz w:val="4"/>
                <w:szCs w:val="4"/>
              </w:rPr>
            </w:pPr>
            <w:r>
              <w:rPr>
                <w:sz w:val="4"/>
                <w:szCs w:val="4"/>
              </w:rPr>
            </w:r>
          </w:p>
        </w:tc>
        <w:tc>
          <w:tcPr>
            <w:tcW w:w="493" w:type="dxa"/>
            <w:gridSpan w:val="2"/>
            <w:tcBorders/>
            <w:vAlign w:val="center"/>
          </w:tcPr>
          <w:p>
            <w:pPr>
              <w:pStyle w:val="TableContents"/>
              <w:bidi w:val="0"/>
              <w:spacing w:before="0" w:after="283"/>
              <w:jc w:val="left"/>
              <w:rPr>
                <w:sz w:val="4"/>
                <w:szCs w:val="4"/>
              </w:rPr>
            </w:pPr>
            <w:r>
              <w:rPr>
                <w:sz w:val="4"/>
                <w:szCs w:val="4"/>
              </w:rPr>
            </w:r>
          </w:p>
        </w:tc>
        <w:tc>
          <w:tcPr>
            <w:tcW w:w="776" w:type="dxa"/>
            <w:gridSpan w:val="2"/>
            <w:tcBorders/>
            <w:vAlign w:val="center"/>
          </w:tcPr>
          <w:p>
            <w:pPr>
              <w:pStyle w:val="TableContents"/>
              <w:bidi w:val="0"/>
              <w:spacing w:before="0" w:after="283"/>
              <w:jc w:val="left"/>
              <w:rPr>
                <w:sz w:val="4"/>
                <w:szCs w:val="4"/>
              </w:rPr>
            </w:pPr>
            <w:r>
              <w:rPr>
                <w:sz w:val="4"/>
                <w:szCs w:val="4"/>
              </w:rPr>
            </w:r>
          </w:p>
        </w:tc>
        <w:tc>
          <w:tcPr>
            <w:tcW w:w="4643" w:type="dxa"/>
            <w:gridSpan w:val="2"/>
            <w:tcBorders/>
            <w:vAlign w:val="center"/>
          </w:tcPr>
          <w:p>
            <w:pPr>
              <w:pStyle w:val="TableContents"/>
              <w:bidi w:val="0"/>
              <w:spacing w:before="0" w:after="283"/>
              <w:jc w:val="left"/>
              <w:rPr>
                <w:sz w:val="4"/>
                <w:szCs w:val="4"/>
              </w:rPr>
            </w:pPr>
            <w:r>
              <w:rPr>
                <w:sz w:val="4"/>
                <w:szCs w:val="4"/>
              </w:rPr>
            </w:r>
          </w:p>
        </w:tc>
      </w:tr>
      <w:tr>
        <w:trPr/>
        <w:tc>
          <w:tcPr>
            <w:tcW w:w="4293" w:type="dxa"/>
            <w:tcBorders/>
            <w:vAlign w:val="bottom"/>
          </w:tcPr>
          <w:p>
            <w:pPr>
              <w:pStyle w:val="TableContents"/>
              <w:bidi w:val="0"/>
              <w:spacing w:before="0" w:after="283"/>
              <w:jc w:val="left"/>
              <w:rPr/>
            </w:pPr>
            <w:r>
              <w:rPr/>
              <w:t>Date: August 18, 2026</w:t>
            </w:r>
          </w:p>
        </w:tc>
        <w:tc>
          <w:tcPr>
            <w:tcW w:w="111"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665" w:type="dxa"/>
            <w:tcBorders/>
          </w:tcPr>
          <w:p>
            <w:pPr>
              <w:pStyle w:val="TableContents"/>
              <w:bidi w:val="0"/>
              <w:spacing w:before="0" w:after="283"/>
              <w:jc w:val="left"/>
              <w:rPr/>
            </w:pPr>
            <w:r>
              <w:rPr/>
              <w:t>By:</w:t>
            </w:r>
          </w:p>
        </w:tc>
        <w:tc>
          <w:tcPr>
            <w:tcW w:w="111" w:type="dxa"/>
            <w:tcBorders/>
            <w:vAlign w:val="bottom"/>
          </w:tcPr>
          <w:p>
            <w:pPr>
              <w:pStyle w:val="TableContents"/>
              <w:bidi w:val="0"/>
              <w:spacing w:before="0" w:after="283"/>
              <w:jc w:val="left"/>
              <w:rPr/>
            </w:pPr>
            <w:r>
              <w:rPr/>
              <w:t> </w:t>
            </w:r>
          </w:p>
        </w:tc>
        <w:tc>
          <w:tcPr>
            <w:tcW w:w="4532" w:type="dxa"/>
            <w:tcBorders/>
            <w:vAlign w:val="bottom"/>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Matthew Angel</w:t>
            </w:r>
          </w:p>
        </w:tc>
      </w:tr>
      <w:tr>
        <w:trPr/>
        <w:tc>
          <w:tcPr>
            <w:tcW w:w="4293" w:type="dxa"/>
            <w:tcBorders/>
            <w:vAlign w:val="bottom"/>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665" w:type="dxa"/>
            <w:tcBorders/>
          </w:tcPr>
          <w:p>
            <w:pPr>
              <w:pStyle w:val="TableContents"/>
              <w:bidi w:val="0"/>
              <w:spacing w:before="0" w:after="283"/>
              <w:jc w:val="left"/>
              <w:rPr/>
            </w:pPr>
            <w:r>
              <w:rPr/>
              <w:t>Name:</w:t>
            </w:r>
          </w:p>
        </w:tc>
        <w:tc>
          <w:tcPr>
            <w:tcW w:w="111" w:type="dxa"/>
            <w:tcBorders/>
            <w:vAlign w:val="bottom"/>
          </w:tcPr>
          <w:p>
            <w:pPr>
              <w:pStyle w:val="TableContents"/>
              <w:bidi w:val="0"/>
              <w:spacing w:before="0" w:after="283"/>
              <w:jc w:val="left"/>
              <w:rPr/>
            </w:pPr>
            <w:r>
              <w:rPr/>
              <w:t> </w:t>
            </w:r>
          </w:p>
        </w:tc>
        <w:tc>
          <w:tcPr>
            <w:tcW w:w="4532" w:type="dxa"/>
            <w:tcBorders/>
            <w:vAlign w:val="bottom"/>
          </w:tcPr>
          <w:p>
            <w:pPr>
              <w:pStyle w:val="TableContents"/>
              <w:bidi w:val="0"/>
              <w:spacing w:before="0" w:after="283"/>
              <w:jc w:val="left"/>
              <w:rPr/>
            </w:pPr>
            <w:r>
              <w:rPr/>
              <w:t>Matthew Angel</w:t>
            </w:r>
          </w:p>
        </w:tc>
      </w:tr>
      <w:tr>
        <w:trPr/>
        <w:tc>
          <w:tcPr>
            <w:tcW w:w="4293" w:type="dxa"/>
            <w:tcBorders/>
            <w:vAlign w:val="bottom"/>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665" w:type="dxa"/>
            <w:tcBorders/>
          </w:tcPr>
          <w:p>
            <w:pPr>
              <w:pStyle w:val="TableContents"/>
              <w:bidi w:val="0"/>
              <w:spacing w:before="0" w:after="283"/>
              <w:jc w:val="left"/>
              <w:rPr/>
            </w:pPr>
            <w:r>
              <w:rPr/>
              <w:t>Title:</w:t>
            </w:r>
          </w:p>
        </w:tc>
        <w:tc>
          <w:tcPr>
            <w:tcW w:w="111" w:type="dxa"/>
            <w:tcBorders/>
            <w:vAlign w:val="bottom"/>
          </w:tcPr>
          <w:p>
            <w:pPr>
              <w:pStyle w:val="TableContents"/>
              <w:bidi w:val="0"/>
              <w:spacing w:before="0" w:after="283"/>
              <w:jc w:val="left"/>
              <w:rPr/>
            </w:pPr>
            <w:r>
              <w:rPr/>
              <w:t> </w:t>
            </w:r>
          </w:p>
        </w:tc>
        <w:tc>
          <w:tcPr>
            <w:tcW w:w="4532" w:type="dxa"/>
            <w:tcBorders/>
            <w:vAlign w:val="bottom"/>
          </w:tcPr>
          <w:p>
            <w:pPr>
              <w:pStyle w:val="TableContents"/>
              <w:bidi w:val="0"/>
              <w:spacing w:before="0" w:after="283"/>
              <w:jc w:val="left"/>
              <w:rPr/>
            </w:pPr>
            <w:r>
              <w:rPr/>
              <w:t>President and Chief Executive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990</Words>
  <Characters>5363</Characters>
  <CharactersWithSpaces>6368</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