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642,155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642,155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642,155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9.68%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642,155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642,155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642,155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9.68%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532,352</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532,352</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532,352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5.33%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Tempest Therapeutics,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275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980" w:hanging="180"/>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59"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87978U108</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jc w:val="both"/>
        <w:ind w:firstLine="792"/>
        <w:spacing w:after="0" w:line="259" w:lineRule="auto"/>
        <w:rPr>
          <w:sz w:val="20"/>
          <w:szCs w:val="20"/>
          <w:color w:val="auto"/>
        </w:rPr>
      </w:pPr>
      <w:r>
        <w:rPr>
          <w:rFonts w:ascii="Arial" w:cs="Arial" w:eastAsia="Arial" w:hAnsi="Arial"/>
          <w:sz w:val="18"/>
          <w:szCs w:val="18"/>
          <w:color w:val="auto"/>
        </w:rPr>
        <w:t>As of the date of this filing, the Reporting Persons may be deemed to be the beneficial owners of 642,155 Shares, which amount includes 532,352 Shares directly beneficially owned by the Master Fund, and 109,803 Shares directly beneficially owned by Four Pines. The percent of class is determined by dividing the number of Shares beneficially owned by the Reporting Persons by 6,635,303 as reported on the Issuer’s Form 8-K filed on June 28, 2021.</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642,155</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642,155</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532,352</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9.68%</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9.68%</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8.02%</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420" w:hanging="208"/>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000" w:hanging="208"/>
        <w:spacing w:after="0" w:line="272" w:lineRule="auto"/>
        <w:tabs>
          <w:tab w:leader="none" w:pos="1867"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Rock Springs Capital Management LP: 642,155 Rock Springs Capital LLC: 642,155</w:t>
      </w:r>
    </w:p>
    <w:p>
      <w:pPr>
        <w:spacing w:after="0" w:line="1" w:lineRule="exact"/>
        <w:rPr>
          <w:rFonts w:ascii="Arial" w:cs="Arial" w:eastAsia="Arial" w:hAnsi="Arial"/>
          <w:sz w:val="17"/>
          <w:szCs w:val="17"/>
          <w:b w:val="1"/>
          <w:bCs w:val="1"/>
          <w:color w:val="auto"/>
        </w:rPr>
      </w:pPr>
    </w:p>
    <w:p>
      <w:pPr>
        <w:ind w:left="1800"/>
        <w:spacing w:after="0"/>
        <w:rPr>
          <w:rFonts w:ascii="Arial" w:cs="Arial" w:eastAsia="Arial" w:hAnsi="Arial"/>
          <w:sz w:val="17"/>
          <w:szCs w:val="17"/>
          <w:b w:val="1"/>
          <w:bCs w:val="1"/>
          <w:color w:val="auto"/>
        </w:rPr>
      </w:pPr>
      <w:r>
        <w:rPr>
          <w:rFonts w:ascii="Arial" w:cs="Arial" w:eastAsia="Arial" w:hAnsi="Arial"/>
          <w:sz w:val="18"/>
          <w:szCs w:val="18"/>
          <w:color w:val="auto"/>
        </w:rPr>
        <w:t>Rock Springs Capital Master Fund LP: 532,352</w:t>
      </w:r>
    </w:p>
    <w:p>
      <w:pPr>
        <w:spacing w:after="0" w:line="206" w:lineRule="exact"/>
        <w:rPr>
          <w:rFonts w:ascii="Arial" w:cs="Arial" w:eastAsia="Arial" w:hAnsi="Arial"/>
          <w:sz w:val="17"/>
          <w:szCs w:val="17"/>
          <w:b w:val="1"/>
          <w:bCs w:val="1"/>
          <w:color w:val="auto"/>
        </w:rPr>
      </w:pPr>
    </w:p>
    <w:p>
      <w:pPr>
        <w:ind w:left="1800" w:right="5380" w:hanging="208"/>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160" w:hanging="208"/>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642,155</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642,155</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532,352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80"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0" w:gutter="0" w:footer="0" w:header="0"/>
        </w:sectPr>
      </w:pPr>
    </w:p>
    <w:bookmarkStart w:id="7" w:name="page8"/>
    <w:bookmarkEnd w:id="7"/>
    <w:p>
      <w:pPr>
        <w:jc w:val="both"/>
        <w:spacing w:after="0" w:line="255"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8,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240"/>
          </w:cols>
          <w:pgMar w:left="320" w:top="474" w:right="3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July 8,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2021-07-08T15:27:19Z</dcterms:created>
  <dcterms:modified xsi:type="dcterms:W3CDTF">2021-07-08T15:27:19Z</dcterms:modified>
</cp:coreProperties>
</file>