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444" w:type="dxa"/>
        <w:tblCellMar>
          <w:top w:w="0" w:type="dxa"/>
          <w:left w:w="0" w:type="dxa"/>
          <w:bottom w:w="0" w:type="dxa"/>
          <w:right w:w="0" w:type="dxa"/>
        </w:tblCellMar>
      </w:tblPr>
      <w:tr>
        <w:trPr>
          <w:trHeight w:val="212"/>
        </w:trPr>
        <w:tc>
          <w:tcPr>
            <w:tcW w:w="3820" w:type="dxa"/>
            <w:vAlign w:val="bottom"/>
          </w:tcPr>
          <w:p>
            <w:pPr>
              <w:jc w:val="center"/>
              <w:ind w:right="89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ind w:left="960"/>
              <w:spacing w:after="0"/>
              <w:rPr>
                <w:sz w:val="20"/>
                <w:szCs w:val="20"/>
                <w:color w:val="auto"/>
              </w:rPr>
            </w:pPr>
            <w:r>
              <w:rPr>
                <w:rFonts w:ascii="Arial" w:cs="Arial" w:eastAsia="Arial" w:hAnsi="Arial"/>
                <w:sz w:val="18"/>
                <w:szCs w:val="18"/>
                <w:b w:val="1"/>
                <w:bCs w:val="1"/>
                <w:color w:val="auto"/>
              </w:rPr>
              <w:t>001-35890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45-1472564</w:t>
            </w:r>
          </w:p>
        </w:tc>
      </w:tr>
      <w:tr>
        <w:trPr>
          <w:trHeight w:val="148"/>
        </w:trPr>
        <w:tc>
          <w:tcPr>
            <w:tcW w:w="3820" w:type="dxa"/>
            <w:vAlign w:val="bottom"/>
          </w:tcPr>
          <w:p>
            <w:pPr>
              <w:jc w:val="center"/>
              <w:ind w:right="8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100" w:type="dxa"/>
            <w:vAlign w:val="bottom"/>
          </w:tcPr>
          <w:p>
            <w:pPr>
              <w:ind w:left="9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20" w:type="dxa"/>
            <w:vAlign w:val="bottom"/>
          </w:tcPr>
          <w:p>
            <w:pPr>
              <w:jc w:val="center"/>
              <w:ind w:right="879"/>
              <w:spacing w:after="0"/>
              <w:rPr>
                <w:sz w:val="20"/>
                <w:szCs w:val="20"/>
                <w:color w:val="auto"/>
              </w:rPr>
            </w:pPr>
            <w:r>
              <w:rPr>
                <w:rFonts w:ascii="Arial" w:cs="Arial" w:eastAsia="Arial" w:hAnsi="Arial"/>
                <w:sz w:val="14"/>
                <w:szCs w:val="14"/>
                <w:b w:val="1"/>
                <w:bCs w:val="1"/>
                <w:color w:val="auto"/>
                <w:w w:val="94"/>
              </w:rPr>
              <w:t>of Incorporation)</w:t>
            </w:r>
          </w:p>
        </w:tc>
        <w:tc>
          <w:tcPr>
            <w:tcW w:w="3100" w:type="dxa"/>
            <w:vAlign w:val="bottom"/>
          </w:tcPr>
          <w:p>
            <w:pPr>
              <w:ind w:left="9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820" w:type="dxa"/>
            <w:vAlign w:val="bottom"/>
          </w:tcPr>
          <w:p>
            <w:pPr>
              <w:jc w:val="center"/>
              <w:ind w:right="879"/>
              <w:spacing w:after="0"/>
              <w:rPr>
                <w:sz w:val="20"/>
                <w:szCs w:val="20"/>
                <w:color w:val="auto"/>
              </w:rPr>
            </w:pPr>
            <w:r>
              <w:rPr>
                <w:rFonts w:ascii="Arial" w:cs="Arial" w:eastAsia="Arial" w:hAnsi="Arial"/>
                <w:sz w:val="18"/>
                <w:szCs w:val="18"/>
                <w:b w:val="1"/>
                <w:bCs w:val="1"/>
                <w:color w:val="auto"/>
                <w:w w:val="91"/>
              </w:rPr>
              <w:t>2000 Sierra Point Parkway, Suite 400</w:t>
            </w:r>
          </w:p>
        </w:tc>
        <w:tc>
          <w:tcPr>
            <w:tcW w:w="31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2"/>
        </w:trPr>
        <w:tc>
          <w:tcPr>
            <w:tcW w:w="3820" w:type="dxa"/>
            <w:vAlign w:val="bottom"/>
          </w:tcPr>
          <w:p>
            <w:pPr>
              <w:jc w:val="center"/>
              <w:ind w:right="879"/>
              <w:spacing w:after="0"/>
              <w:rPr>
                <w:sz w:val="20"/>
                <w:szCs w:val="20"/>
                <w:color w:val="auto"/>
              </w:rPr>
            </w:pPr>
            <w:r>
              <w:rPr>
                <w:rFonts w:ascii="Arial" w:cs="Arial" w:eastAsia="Arial" w:hAnsi="Arial"/>
                <w:sz w:val="18"/>
                <w:szCs w:val="18"/>
                <w:b w:val="1"/>
                <w:bCs w:val="1"/>
                <w:color w:val="auto"/>
                <w:w w:val="92"/>
              </w:rPr>
              <w:t>Brisbane, California</w:t>
            </w:r>
          </w:p>
        </w:tc>
        <w:tc>
          <w:tcPr>
            <w:tcW w:w="31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94005</w:t>
            </w:r>
          </w:p>
        </w:tc>
      </w:tr>
      <w:tr>
        <w:trPr>
          <w:trHeight w:val="186"/>
        </w:trPr>
        <w:tc>
          <w:tcPr>
            <w:tcW w:w="3820" w:type="dxa"/>
            <w:vAlign w:val="bottom"/>
          </w:tcPr>
          <w:p>
            <w:pPr>
              <w:jc w:val="center"/>
              <w:ind w:right="8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(415) 798-8589</w:t>
      </w:r>
    </w:p>
    <w:p>
      <w:pPr>
        <w:spacing w:after="0" w:line="19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 Notice of Delisting or Failure to Satisfy a Continued Listing Rule or Standard; Transfer of Listing.</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September 6, 2023, Tempest Therapeutics, Inc., a Delaware corporation (the “Company”), received a letter from the Listing Qualifications Staff (the “Staff”) of The Nasdaq Stock Market LLC (“Nasdaq”) notifying the Company that for the last 30 consecutive business days, the bid price of the Company’s common stock had closed below $1.00 per share, the minimum closing bid price required by the continued listing requirements of Nasdaq Listing Rule 5550(a)(2).</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notification received has no immediate effect on the listing of the Company’s common stock on the Nasdaq Stock Market. In accordance with Nasdaq Listing Rule 5810(c)(3)(A), the Company has 180 calendar days, or until March 4, 2024 (the “Compliance Date”), to regain compliance with the minimum bid price requirement. To regain compliance, the closing bid price of the Company’s common stock must be at least $1.00 per share for a minimum of ten consecutive business days before the Compliance Date.</w:t>
      </w:r>
    </w:p>
    <w:p>
      <w:pPr>
        <w:spacing w:after="0" w:line="1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If the Company’s common stock does not achieve compliance by the Compliance Date, the Company may be eligible for an additional 180-day period to regain compliance if it meets the continued listing requirement for market value of publicly held shares and all other initial listing standards, with the exception of the bid price requirement, and provides written notice to Nasdaq of its intention to cure the deficiency during the second compliance period by effecting a reverse stock split, if necessary.</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intends to actively monitor the closing bid price of its common stock between now and the Compliance Date and will evaluate available options to resolve the deficiency and regain compliance with the minimum bid price rule.</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TEMPEST THERAPEUTICS,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September 8, 2023</w:t>
            </w:r>
          </w:p>
        </w:tc>
        <w:tc>
          <w:tcPr>
            <w:tcW w:w="2440" w:type="dxa"/>
            <w:vAlign w:val="bottom"/>
          </w:tcPr>
          <w:p>
            <w:pPr>
              <w:ind w:left="18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r>
      <w:tr>
        <w:trPr>
          <w:trHeight w:val="209"/>
        </w:trPr>
        <w:tc>
          <w:tcPr>
            <w:tcW w:w="3720" w:type="dxa"/>
            <w:vAlign w:val="bottom"/>
          </w:tcPr>
          <w:p>
            <w:pPr>
              <w:spacing w:after="0"/>
              <w:rPr>
                <w:sz w:val="18"/>
                <w:szCs w:val="18"/>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Stephen Brady</w:t>
            </w:r>
          </w:p>
        </w:tc>
      </w:tr>
      <w:tr>
        <w:trPr>
          <w:trHeight w:val="230"/>
        </w:trPr>
        <w:tc>
          <w:tcPr>
            <w:tcW w:w="3720" w:type="dxa"/>
            <w:vAlign w:val="bottom"/>
          </w:tcPr>
          <w:p>
            <w:pPr>
              <w:spacing w:after="0"/>
              <w:rPr>
                <w:sz w:val="20"/>
                <w:szCs w:val="20"/>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2023-09-08T15:26:05Z</dcterms:created>
  <dcterms:modified xsi:type="dcterms:W3CDTF">2023-09-08T15:26:05Z</dcterms:modified>
</cp:coreProperties>
</file>