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306626-s3_tempest.htm"/>
      <w:bookmarkStart w:id="1" w:name="ksea0306626s3_tempest"/>
      <w:bookmarkEnd w:id="0"/>
      <w:bookmarkEnd w:id="1"/>
      <w:r>
        <w:rPr>
          <w:rFonts w:ascii="Times New Roman;Times;Serif" w:hAnsi="Times New Roman;Times;Serif"/>
          <w:b/>
          <w:i w:val="false"/>
          <w:caps w:val="false"/>
          <w:smallCaps w:val="false"/>
          <w:sz w:val="20"/>
        </w:rPr>
        <w:t xml:space="preserve">As filed with the Securities and Exchange Commission on September 25, 2026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S-3</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TEMPEST THERAPEUTICS,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28" w:type="dxa"/>
          <w:right w:w="0" w:type="dxa"/>
        </w:tblCellMar>
      </w:tblPr>
      <w:tblGrid>
        <w:gridCol w:w="3125"/>
        <w:gridCol w:w="60"/>
        <w:gridCol w:w="2375"/>
      </w:tblGrid>
      <w:tr>
        <w:trPr/>
        <w:tc>
          <w:tcPr>
            <w:tcW w:w="31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b/>
                <w:sz w:val="20"/>
              </w:rPr>
            </w:pPr>
            <w:r>
              <w:rPr>
                <w:b/>
                <w:sz w:val="20"/>
              </w:rPr>
              <w:t>45-1472564</w:t>
            </w:r>
          </w:p>
        </w:tc>
      </w:tr>
      <w:tr>
        <w:trPr/>
        <w:tc>
          <w:tcPr>
            <w:tcW w:w="3125" w:type="dxa"/>
            <w:tcBorders/>
            <w:tcMar>
              <w:bottom w:w="0" w:type="dxa"/>
            </w:tcMar>
            <w:vAlign w:val="center"/>
          </w:tcPr>
          <w:p>
            <w:pPr>
              <w:pStyle w:val="TableContents"/>
              <w:bidi w:val="0"/>
              <w:spacing w:before="0" w:after="283"/>
              <w:jc w:val="center"/>
              <w:rPr>
                <w:b/>
              </w:rPr>
            </w:pPr>
            <w:r>
              <w:rPr>
                <w:b/>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2000 Sierra Point Parkway, Suite 400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Brisbane, California, 94005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 798-8589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Matthew Angel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Executive Officer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2000 Sierra Point Parkway, Suite 400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Brisbane, CA 94005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 798-8589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Drew M. Altman,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Michael J. Minahan,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Greenberg Traurig,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One International Place, Suite 2000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Boston, Massachusetts 02110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(617) 310-6000</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From time to time after the effective date of this Registration Statement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The information in this prospectus is not complete and may be changed. The selling stockholders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SUBJECT TO COMPLETION, DATED SEPTEMBER 25,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419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9,534,164 Shares of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stockholders named in this prospectus, referred to as the selling stockholders, of up to 9,534,164 shares of common stock, par value $0.001 per share, of Tempest Therapeutics, Inc. (the “Shares”), consisting of (i) up to 3,105,591 shares of our common stock issuable upon the exercise of pre-funded warrants (the “Pre-Funded Warrants”), (ii) up to 3,105,591 shares of our common stock issuable upon the exercise of Series C warrants (the “Series C Warrants”), (iii) up to 3,105,591 shares of our common stock issuable upon the exercise of Series D warrants (the “Series D Warrants,” and, together with the Series C Warrants, the “Common Warrants”), and (iv) up to 217,391 shares of our common stock that are issuable upon the exercise of certain placement agent warrants (the “Placement Agent Warrants,” and together with the Pre-Funded Warrants and the Common Warrants, the “Warrants”) issued to designees of H.C. Wainwright &amp; Co., LLC, our placement agent (the “Placement Agent”) in connection with the private transaction pursuant to which we issued the Warrants.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Shares covered by this prospectus does not mean that the selling stockholders will sell any Shares. The Pre-Funded Warrants and the Common Warrants were issued and sold to certain of the selling stockholders named herein in a private placement pursuant to a securities purchase agreement, dated September 11, 2026 (the “Purchase Agreement”), by and among us and the parties named therein, in a transaction more fully described in the section titled “Prospectus Summary.”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or other securities under this prospectus, and will not receive any proceeds from the sale of the Shares by the selling stockholders; however, we will receive proceeds from the exercise of any Warrants for cash.</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offer and sell or otherwise dispose of the Shares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beginning on page 10  of this prospectus for more information about how the selling stockholders may sell or dispose of their respective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trading symbol “TPST”. On September 24, 2026, the closing price of our common stock as reported on The Nasdaq Capital Market was $0.85 per share.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carefully read the information under “Risk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on page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this prospectus and under similar headings in any amendment or supplement to this prospectus or in any filing with the Securities and Exchange Commission (the “SEC”) that is incorporated by reference herein.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 are a “smaller reporting company” under applicable SEC rules and a non-accelerated filer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As such, we are eligible for reduced public company reporting requirements. See “Prospectus Summary—Implications of Being a Smaller Reporting Company and a Non-Accelerated Filer” for more information. </w:t>
      </w:r>
      <w:r>
        <w:rPr>
          <w:rFonts w:ascii="Times New Roman;Times;Serif" w:hAnsi="Times New Roman;Times;Serif"/>
          <w:b w:val="false"/>
          <w:i w:val="false"/>
          <w:caps w:val="false"/>
          <w:smallCaps w:val="false"/>
          <w:sz w:val="20"/>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 nor any state securities commission has approved or disapproved of these securities, passed upon the accuracy or adequacy of this prospectus, or determined if this prospectus or any prospectus supplement is truthful or complete.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5765"/>
        <w:gridCol w:w="60"/>
        <w:gridCol w:w="82"/>
        <w:gridCol w:w="358"/>
        <w:gridCol w:w="7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c>
          <w:tcPr>
            <w:tcW w:w="7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ii</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2">
              <w:r>
                <w:rPr>
                  <w:rStyle w:val="InternetLink"/>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1</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3">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4</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4">
              <w:r>
                <w:rPr>
                  <w:rStyle w:val="InternetLink"/>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5</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7</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6">
              <w:r>
                <w:rPr>
                  <w:rStyle w:val="InternetLink"/>
                  <w:sz w:val="20"/>
                </w:rPr>
                <w:t>SELLING STOCKHOLDERS</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8</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7">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10</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08">
              <w:r>
                <w:rPr>
                  <w:rStyle w:val="InternetLink"/>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09">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hyperlink w:anchor="a_010">
              <w:r>
                <w:rPr>
                  <w:rStyle w:val="InternetLink"/>
                  <w:sz w:val="20"/>
                </w:rPr>
                <w:t>WHERE YOU CAN FIND ADDITIONAL INFORMATION</w:t>
              </w:r>
            </w:hyperlink>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center"/>
              <w:rPr/>
            </w:pPr>
            <w:r>
              <w:rPr/>
              <w:t> </w:t>
            </w:r>
          </w:p>
        </w:tc>
        <w:tc>
          <w:tcPr>
            <w:tcW w:w="358" w:type="dxa"/>
            <w:tcBorders/>
            <w:shd w:fill="FFFFFF" w:val="clear"/>
            <w:vAlign w:val="center"/>
          </w:tcPr>
          <w:p>
            <w:pPr>
              <w:pStyle w:val="TableContents"/>
              <w:bidi w:val="0"/>
              <w:spacing w:before="0" w:after="283"/>
              <w:jc w:val="center"/>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hyperlink w:anchor="a_011">
              <w:r>
                <w:rPr>
                  <w:rStyle w:val="InternetLink"/>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center"/>
              <w:rPr/>
            </w:pPr>
            <w:r>
              <w:rPr/>
              <w:t> </w:t>
            </w:r>
          </w:p>
        </w:tc>
        <w:tc>
          <w:tcPr>
            <w:tcW w:w="358" w:type="dxa"/>
            <w:tcBorders/>
            <w:shd w:fill="CCEEFF" w:val="clear"/>
            <w:vAlign w:val="center"/>
          </w:tcPr>
          <w:p>
            <w:pPr>
              <w:pStyle w:val="TableContents"/>
              <w:bidi w:val="0"/>
              <w:spacing w:before="0" w:after="283"/>
              <w:jc w:val="center"/>
              <w:rPr/>
            </w:pPr>
            <w:r>
              <w:rPr/>
              <w:t>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Under this registration statement, the selling stockholders may sell from time to time in one or more offerings the Shares offered pursuant to this prospectus. Information about the selling stockholders may change over time. When the selling stockholders sell Shares under this prospectus, we will, if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You should carefully read this prospectus and any accompanying prospectus supplement along with all of the information incorporated by reference herein and therein, before making an investment decision.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or any applicable prospectus supplement. Neither we nor the selling stockholders have authorized anyone to provide you with information other than the information contained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prospectus, the terms “we,” “us,” “our,” and the “company” refer to Tempest Therapeutics, Inc., a Delaware corporation, and its subsidiaries. The term “common stock” refers to common stock of Tempest Therapeutics, Inc.,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 xml:space="preserve">PROSPECTUS SUMMARY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prospectus summary highlights selected information appearing elsewhere in this prospectus and in documents we file with the SEC that are incorporated by reference in this prospectus. This summary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Company Overview </w:t>
      </w:r>
    </w:p>
    <w:p>
      <w:pPr>
        <w:pStyle w:val="TextBody"/>
        <w:shd w:fill="FFFFFF" w:val="clear"/>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clinical-stage biotechnology company advancing a pipeline of advanced chimeric antigen receptor T-cell (“CAR-T”) product candidates, including our lead program, TPST-4003, a dual-targeting CD19/B-cell maturation antigen (“BCMA”) in vivo CAR-T product candidate, which we are developing for indications in immunology and oncology. In February 2026, we expanded our pipeline through a strategic transaction under which we acquired rights to a dual-targeting CAR-T platform, which included product candidates with the potential to treat certain blood cancers, solid tumors and immunology indications, including TPST-2003, an autologous CD19/BCMA CAR-T therapy currently in clinical development for relapsed or refractory multiple myeloma and the rare disease, POEMS syndrome.</w:t>
      </w:r>
    </w:p>
    <w:p>
      <w:pPr>
        <w:pStyle w:val="TextBody"/>
        <w:shd w:fill="FFFFFF" w:val="clear"/>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develop therapeutic products with the potential to address high unmet medical needs by identifying promising clinical-stage candidates and advancing their development to create products that will improve patients’ lives.</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Private Placement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11, 2026, we entered into the Purchase Agreement with an institutional investor (the “Investor”), pursuant to which we issued and sold in a private placement (the “Private Placement”) the Pre-Funded Warrants to purchase up to 3,105,591 shares of common stock accompanied by (i) the Series C Warrants to purchase up to 3,105,591 shares of common stock and (ii) the Series D Warrants to purchase up to 3,105,591 shares of common stock. The combined purchase price per Pre-Funded Warrant and accompanying Common Warrants was $0.804. The Private Placement closed on September 15, 2026.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Purchase Agreement, we agreed to seek, within 90 days following the date of the Purchase Agreement, approval from our stockholders for the issuance of the Shares issuable upon exercise of the Common Warrants (the “Stockholder Approval”). The Common Warrants have an exercise price of $0.805 per share and will become exercisable on the effective date of Stockholder Approval (the “Stockholder Approval Date”). The Series C Warrants have a term of six years from the later of the Stockholder Approval Date and the Effectiveness Date (as defined below). The Series D Warrants have a term of three years from the later of the Stockholder Approval Date and the Effectiveness Date. The Pre-Funded Warrants became exercisable immediately following the closing date of the Private Placement, have an exercise price of $0.001 per share, and may be exercised at any time until exercised in full. The Pre-Funded Warrants and the Common Warrants contain customary adjustment provisions for stock dividends, stock splits, pro rata distributions and similar events, and beneficial ownership limitations of 9.99% with respect to the Pre-Funded Warrants or 4.99% (or, upon election of the holder, 9.99%) with respect to the Common Warrants. If at the time of exercise, there is no effective registration statement registering, or the prospectus contained therein is not available for, the resale of the Shares issuable upon exercise of the Common Warrants, then the holder thereof may elect to exercise such warrants on a cashless basis. The holder of Pre-Funded Warrants may at any time elect to exercise such warrants on a cashless basis.</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11, 2026, we entered into a registration rights agreement with the Investor (the “Registration Rights Agreement”) whereby we agreed to file a registration statement covering the resale of the Shares issuable upon exercise of the Pre-Funded Warrants and Common Warrants no later than 15 calendar days following the date of the Registration Rights Agreement, and to use reasonable best efforts to have the registration statement declared effective within 45 calendar days, and in no event later than 75 calendar days in the event of a “full review” by the SEC (the “Effectiveness Date”), in each case following the date of the Registration Rights Agreement. We are filing the registration statement of which this prospectus forms a part in satisfaction of such obligations.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pursuant to an engagement letter entered into between us and the Placement Agent, dated May 26, 2026 (the “Engagement Letter”), the Placement Agent acted as the exclusive placement agent in connection with the foregoing transaction, and we issued to the Placement Agent’s designees the Placement Agent Warrants in substantially the same form as the Series C Warrants, except that the exercise price thereunder is $1.0063 per share. We also reimbursed certain expenses of the Placement Agent in connection with the transaction. Additionally, we paid the Placement Agent an aggregate cash fee equal to 7.0% of the gross proceeds received in the Private Placement.</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Implications of Being a Smaller Reporting Company and a Non-Accelerated Filer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12b-2 of the Securities Exchange Act of 1934 (the “Exchange Act”), meaning that the market value of our common stock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 disclosure permitted for smaller reporting companies, then there may be a less active trading market for our common stock and our share price may be more volatile.</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as a non-accelerated filer, we may continue to take advantage of the exception from compliance with the auditor attestation requirements of Section 404 of the Sarbanes-Oxley Act of 2002, as amended.</w:t>
      </w:r>
    </w:p>
    <w:p>
      <w:pPr>
        <w:pStyle w:val="TextBody"/>
        <w:bidi w:val="0"/>
        <w:spacing w:before="0" w:after="0"/>
        <w:ind w:left="2"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Company Information </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the information on, or accessible through, our website, and you should not consider it as part of this prospectus.</w:t>
      </w:r>
    </w:p>
    <w:p>
      <w:pPr>
        <w:pStyle w:val="TextBody"/>
        <w:bidi w:val="0"/>
        <w:spacing w:before="0" w:after="0"/>
        <w:ind w:left="2" w:right="0" w:firstLine="49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The Offering </w:t>
      </w:r>
    </w:p>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99"/>
        <w:gridCol w:w="8606"/>
      </w:tblGrid>
      <w:tr>
        <w:trPr/>
        <w:tc>
          <w:tcPr>
            <w:tcW w:w="1599" w:type="dxa"/>
            <w:tcBorders/>
            <w:vAlign w:val="center"/>
          </w:tcPr>
          <w:p>
            <w:pPr>
              <w:pStyle w:val="TableContents"/>
              <w:bidi w:val="0"/>
              <w:spacing w:before="0" w:after="283"/>
              <w:ind w:left="0" w:right="0" w:hanging="180"/>
              <w:jc w:val="left"/>
              <w:rPr>
                <w:b/>
                <w:sz w:val="20"/>
              </w:rPr>
            </w:pPr>
            <w:r>
              <w:rPr>
                <w:b/>
                <w:sz w:val="20"/>
              </w:rPr>
              <w:t>Common stock offered by the selling stockholders</w:t>
            </w:r>
          </w:p>
        </w:tc>
        <w:tc>
          <w:tcPr>
            <w:tcW w:w="8606" w:type="dxa"/>
            <w:tcBorders/>
            <w:vAlign w:val="center"/>
          </w:tcPr>
          <w:p>
            <w:pPr>
              <w:pStyle w:val="TableContents"/>
              <w:bidi w:val="0"/>
              <w:spacing w:before="0" w:after="283"/>
              <w:jc w:val="left"/>
              <w:rPr>
                <w:sz w:val="20"/>
              </w:rPr>
            </w:pPr>
            <w:r>
              <w:rPr>
                <w:sz w:val="20"/>
              </w:rPr>
              <w:t xml:space="preserve">Up to an aggregate 9,534,164 Shares, consisting of (i) up to 3,105,591 shares of our common stock issuable upon the exercise of the Pre-Funded Warrants, (ii) up to 3,105,591 shares of our common stock issuable upon the exercise of the Series C Warrants, (iii) up to 3,105,591 shares of our common stock issuable upon the exercise of the Series D Warrants, and (iv) up to 217,391 shares of our common stock issuable upon the exercise of the Placement Agent Warrants.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8335" w:type="dxa"/>
        <w:jc w:val="left"/>
        <w:tblInd w:w="0" w:type="dxa"/>
        <w:tblLayout w:type="fixed"/>
        <w:tblCellMar>
          <w:top w:w="0" w:type="dxa"/>
          <w:left w:w="0" w:type="dxa"/>
          <w:bottom w:w="0" w:type="dxa"/>
          <w:right w:w="0" w:type="dxa"/>
        </w:tblCellMar>
      </w:tblPr>
      <w:tblGrid>
        <w:gridCol w:w="3215"/>
        <w:gridCol w:w="5120"/>
      </w:tblGrid>
      <w:tr>
        <w:trPr/>
        <w:tc>
          <w:tcPr>
            <w:tcW w:w="3215" w:type="dxa"/>
            <w:tcBorders/>
            <w:vAlign w:val="center"/>
          </w:tcPr>
          <w:p>
            <w:pPr>
              <w:pStyle w:val="TableContents"/>
              <w:bidi w:val="0"/>
              <w:spacing w:before="0" w:after="283"/>
              <w:ind w:left="0" w:right="0" w:hanging="180"/>
              <w:jc w:val="left"/>
              <w:rPr>
                <w:sz w:val="20"/>
              </w:rPr>
            </w:pPr>
            <w:r>
              <w:rPr>
                <w:b/>
                <w:sz w:val="20"/>
              </w:rPr>
              <w:t>Common stock currently outstanding</w:t>
            </w:r>
            <w:r>
              <w:rPr>
                <w:sz w:val="20"/>
              </w:rPr>
              <w:t> </w:t>
            </w:r>
          </w:p>
        </w:tc>
        <w:tc>
          <w:tcPr>
            <w:tcW w:w="5120" w:type="dxa"/>
            <w:tcBorders/>
            <w:vAlign w:val="center"/>
          </w:tcPr>
          <w:p>
            <w:pPr>
              <w:pStyle w:val="TableContents"/>
              <w:bidi w:val="0"/>
              <w:spacing w:before="0" w:after="283"/>
              <w:jc w:val="left"/>
              <w:rPr>
                <w:sz w:val="20"/>
              </w:rPr>
            </w:pPr>
            <w:r>
              <w:rPr>
                <w:sz w:val="20"/>
              </w:rPr>
              <w:t xml:space="preserve">16,889,767 shares of common stock as of September 21, 2026.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8815" w:type="dxa"/>
        <w:jc w:val="left"/>
        <w:tblInd w:w="0" w:type="dxa"/>
        <w:tblLayout w:type="fixed"/>
        <w:tblCellMar>
          <w:top w:w="0" w:type="dxa"/>
          <w:left w:w="0" w:type="dxa"/>
          <w:bottom w:w="0" w:type="dxa"/>
          <w:right w:w="0" w:type="dxa"/>
        </w:tblCellMar>
      </w:tblPr>
      <w:tblGrid>
        <w:gridCol w:w="5780"/>
        <w:gridCol w:w="3035"/>
      </w:tblGrid>
      <w:tr>
        <w:trPr/>
        <w:tc>
          <w:tcPr>
            <w:tcW w:w="5780" w:type="dxa"/>
            <w:tcBorders/>
            <w:vAlign w:val="center"/>
          </w:tcPr>
          <w:p>
            <w:pPr>
              <w:pStyle w:val="TableContents"/>
              <w:bidi w:val="0"/>
              <w:spacing w:before="0" w:after="283"/>
              <w:ind w:left="0" w:right="0" w:hanging="180"/>
              <w:jc w:val="left"/>
              <w:rPr>
                <w:sz w:val="20"/>
              </w:rPr>
            </w:pPr>
            <w:r>
              <w:rPr>
                <w:b/>
                <w:sz w:val="20"/>
              </w:rPr>
              <w:t>Common stock to be outstanding assuming exercise of the Warrants</w:t>
            </w:r>
            <w:r>
              <w:rPr>
                <w:sz w:val="20"/>
              </w:rPr>
              <w:t> </w:t>
            </w:r>
          </w:p>
        </w:tc>
        <w:tc>
          <w:tcPr>
            <w:tcW w:w="3035" w:type="dxa"/>
            <w:tcBorders/>
            <w:vAlign w:val="center"/>
          </w:tcPr>
          <w:p>
            <w:pPr>
              <w:pStyle w:val="TableContents"/>
              <w:bidi w:val="0"/>
              <w:spacing w:before="0" w:after="283"/>
              <w:jc w:val="left"/>
              <w:rPr>
                <w:sz w:val="20"/>
              </w:rPr>
            </w:pPr>
            <w:r>
              <w:rPr>
                <w:sz w:val="20"/>
              </w:rPr>
              <w:t xml:space="preserve">26,423,931 shares of common stock.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956"/>
        <w:gridCol w:w="9249"/>
      </w:tblGrid>
      <w:tr>
        <w:trPr/>
        <w:tc>
          <w:tcPr>
            <w:tcW w:w="956" w:type="dxa"/>
            <w:tcBorders/>
            <w:vAlign w:val="center"/>
          </w:tcPr>
          <w:p>
            <w:pPr>
              <w:pStyle w:val="TableContents"/>
              <w:bidi w:val="0"/>
              <w:spacing w:before="0" w:after="283"/>
              <w:jc w:val="left"/>
              <w:rPr>
                <w:sz w:val="20"/>
              </w:rPr>
            </w:pPr>
            <w:r>
              <w:rPr>
                <w:b/>
                <w:sz w:val="20"/>
              </w:rPr>
              <w:t>The Warrants</w:t>
            </w:r>
            <w:r>
              <w:rPr>
                <w:sz w:val="20"/>
              </w:rPr>
              <w:t> </w:t>
            </w:r>
          </w:p>
        </w:tc>
        <w:tc>
          <w:tcPr>
            <w:tcW w:w="9249" w:type="dxa"/>
            <w:tcBorders/>
            <w:vAlign w:val="center"/>
          </w:tcPr>
          <w:p>
            <w:pPr>
              <w:pStyle w:val="TableContents"/>
              <w:bidi w:val="0"/>
              <w:spacing w:before="0" w:after="283"/>
              <w:jc w:val="left"/>
              <w:rPr>
                <w:sz w:val="20"/>
              </w:rPr>
            </w:pPr>
            <w:r>
              <w:rPr>
                <w:sz w:val="20"/>
              </w:rPr>
              <w:t xml:space="preserve">The Pre-Funded Warrants are exercisable immediately, have an exercise price of $0.001 per share and may be exercised at any time until exercised in full. The Series C Warrants will become exercisable on the Stockholder Approval Date and have a term of six years from the later of the Stockholder Approval Date and the Effectiveness Date. The Series D Warrants will become exercisable on the Stockholder Approval Date and have a term of three years from the later of the Stockholder Approval Date and the Effectiveness Date. The Common Warrants have an exercise price of $0.805 per share. The Placement Agent Warrants have substantially the same terms as the Series C Warrants, except that the exercise price thereunder is $1.0063 per share.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23"/>
        <w:gridCol w:w="8682"/>
      </w:tblGrid>
      <w:tr>
        <w:trPr/>
        <w:tc>
          <w:tcPr>
            <w:tcW w:w="1523" w:type="dxa"/>
            <w:tcBorders/>
            <w:vAlign w:val="center"/>
          </w:tcPr>
          <w:p>
            <w:pPr>
              <w:pStyle w:val="TableContents"/>
              <w:bidi w:val="0"/>
              <w:spacing w:before="0" w:after="283"/>
              <w:jc w:val="left"/>
              <w:rPr>
                <w:sz w:val="20"/>
              </w:rPr>
            </w:pPr>
            <w:r>
              <w:rPr>
                <w:b/>
                <w:sz w:val="20"/>
              </w:rPr>
              <w:t>Selling stockholders</w:t>
            </w:r>
            <w:r>
              <w:rPr>
                <w:sz w:val="20"/>
              </w:rPr>
              <w:t> </w:t>
            </w:r>
          </w:p>
        </w:tc>
        <w:tc>
          <w:tcPr>
            <w:tcW w:w="8682" w:type="dxa"/>
            <w:tcBorders/>
            <w:vAlign w:val="center"/>
          </w:tcPr>
          <w:p>
            <w:pPr>
              <w:pStyle w:val="TableContents"/>
              <w:bidi w:val="0"/>
              <w:spacing w:before="0" w:after="283"/>
              <w:jc w:val="left"/>
              <w:rPr>
                <w:sz w:val="20"/>
              </w:rPr>
            </w:pPr>
            <w:r>
              <w:rPr>
                <w:sz w:val="20"/>
              </w:rPr>
              <w:t xml:space="preserve">All of the Shares are being offered by the selling stockholders. See “Selling Stockholders” on page 8 of this prospectus for more information on the selling stockholders.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27"/>
        <w:gridCol w:w="9178"/>
      </w:tblGrid>
      <w:tr>
        <w:trPr/>
        <w:tc>
          <w:tcPr>
            <w:tcW w:w="1027" w:type="dxa"/>
            <w:tcBorders/>
            <w:vAlign w:val="center"/>
          </w:tcPr>
          <w:p>
            <w:pPr>
              <w:pStyle w:val="TableContents"/>
              <w:bidi w:val="0"/>
              <w:spacing w:before="0" w:after="283"/>
              <w:jc w:val="left"/>
              <w:rPr>
                <w:sz w:val="20"/>
              </w:rPr>
            </w:pPr>
            <w:r>
              <w:rPr>
                <w:b/>
                <w:sz w:val="20"/>
              </w:rPr>
              <w:t>Use of Proceeds </w:t>
            </w:r>
            <w:r>
              <w:rPr>
                <w:sz w:val="20"/>
              </w:rPr>
              <w:t> </w:t>
            </w:r>
          </w:p>
        </w:tc>
        <w:tc>
          <w:tcPr>
            <w:tcW w:w="9178" w:type="dxa"/>
            <w:tcBorders/>
            <w:vAlign w:val="center"/>
          </w:tcPr>
          <w:p>
            <w:pPr>
              <w:pStyle w:val="TableContents"/>
              <w:bidi w:val="0"/>
              <w:spacing w:before="0" w:after="283"/>
              <w:jc w:val="left"/>
              <w:rPr>
                <w:sz w:val="20"/>
              </w:rPr>
            </w:pPr>
            <w:r>
              <w:rPr>
                <w:sz w:val="20"/>
              </w:rPr>
              <w:t xml:space="preserve">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 See the section of this prospectus titled “Use of Proceeds” on page 7 of this prospectus.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41"/>
        <w:gridCol w:w="8664"/>
      </w:tblGrid>
      <w:tr>
        <w:trPr/>
        <w:tc>
          <w:tcPr>
            <w:tcW w:w="1541" w:type="dxa"/>
            <w:tcBorders/>
            <w:vAlign w:val="center"/>
          </w:tcPr>
          <w:p>
            <w:pPr>
              <w:pStyle w:val="TableContents"/>
              <w:bidi w:val="0"/>
              <w:spacing w:before="0" w:after="283"/>
              <w:jc w:val="left"/>
              <w:rPr>
                <w:sz w:val="20"/>
              </w:rPr>
            </w:pPr>
            <w:r>
              <w:rPr>
                <w:b/>
                <w:sz w:val="20"/>
              </w:rPr>
              <w:t>Plan of Distribution</w:t>
            </w:r>
            <w:r>
              <w:rPr>
                <w:sz w:val="20"/>
              </w:rPr>
              <w:t> </w:t>
            </w:r>
          </w:p>
        </w:tc>
        <w:tc>
          <w:tcPr>
            <w:tcW w:w="8664" w:type="dxa"/>
            <w:tcBorders/>
            <w:vAlign w:val="center"/>
          </w:tcPr>
          <w:p>
            <w:pPr>
              <w:pStyle w:val="TableContents"/>
              <w:bidi w:val="0"/>
              <w:spacing w:before="0" w:after="283"/>
              <w:jc w:val="left"/>
              <w:rPr>
                <w:sz w:val="20"/>
              </w:rPr>
            </w:pPr>
            <w:r>
              <w:rPr>
                <w:sz w:val="20"/>
              </w:rPr>
              <w:t xml:space="preserve">Each selling stockholder will determine when and how it will sell the common stock offered in this prospectus, as described in “Plan of Distribution.”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sz w:val="20"/>
              </w:rPr>
            </w:pPr>
            <w:r>
              <w:rPr>
                <w:b/>
                <w:sz w:val="20"/>
              </w:rPr>
              <w:t>Risk Factors </w:t>
            </w:r>
            <w:r>
              <w:rPr>
                <w:sz w:val="20"/>
              </w:rPr>
              <w:t> </w:t>
            </w:r>
          </w:p>
        </w:tc>
        <w:tc>
          <w:tcPr>
            <w:tcW w:w="9225" w:type="dxa"/>
            <w:tcBorders/>
            <w:vAlign w:val="center"/>
          </w:tcPr>
          <w:p>
            <w:pPr>
              <w:pStyle w:val="TableContents"/>
              <w:bidi w:val="0"/>
              <w:spacing w:before="0" w:after="283"/>
              <w:jc w:val="left"/>
              <w:rPr>
                <w:sz w:val="20"/>
              </w:rPr>
            </w:pPr>
            <w:r>
              <w:rPr>
                <w:sz w:val="20"/>
              </w:rPr>
              <w:t xml:space="preserve">Any investment in the Shares offered hereby is speculative and involves a high degree of risk. You should carefully consider the information set forth under “Risk Factors” on page 4 and elsewhere in this prospectus. </w:t>
            </w:r>
          </w:p>
        </w:tc>
      </w:tr>
    </w:tbl>
    <w:p>
      <w:pPr>
        <w:pStyle w:val="TextBody"/>
        <w:bidi w:val="0"/>
        <w:spacing w:before="0" w:after="0"/>
        <w:ind w:left="360" w:right="0" w:hanging="0"/>
        <w:jc w:val="left"/>
        <w:rPr>
          <w:caps w:val="false"/>
          <w:smallCaps w:val="false"/>
          <w:bdr w:val="single" w:sz="12" w:space="1" w:color="000000"/>
        </w:rPr>
      </w:pPr>
      <w:r>
        <w:rPr>
          <w:caps w:val="false"/>
          <w:smallCaps w:val="false"/>
          <w:bdr w:val="single" w:sz="12" w:space="1" w:color="000000"/>
        </w:rPr>
        <w:t> </w:t>
      </w:r>
    </w:p>
    <w:tbl>
      <w:tblPr>
        <w:tblW w:w="9670" w:type="dxa"/>
        <w:jc w:val="left"/>
        <w:tblInd w:w="0" w:type="dxa"/>
        <w:tblLayout w:type="fixed"/>
        <w:tblCellMar>
          <w:top w:w="0" w:type="dxa"/>
          <w:left w:w="0" w:type="dxa"/>
          <w:bottom w:w="0" w:type="dxa"/>
          <w:right w:w="0" w:type="dxa"/>
        </w:tblCellMar>
      </w:tblPr>
      <w:tblGrid>
        <w:gridCol w:w="2675"/>
        <w:gridCol w:w="6995"/>
      </w:tblGrid>
      <w:tr>
        <w:trPr/>
        <w:tc>
          <w:tcPr>
            <w:tcW w:w="2675" w:type="dxa"/>
            <w:tcBorders/>
            <w:vAlign w:val="center"/>
          </w:tcPr>
          <w:p>
            <w:pPr>
              <w:pStyle w:val="TableContents"/>
              <w:bidi w:val="0"/>
              <w:spacing w:before="0" w:after="283"/>
              <w:jc w:val="left"/>
              <w:rPr>
                <w:b/>
                <w:sz w:val="20"/>
              </w:rPr>
            </w:pPr>
            <w:r>
              <w:rPr>
                <w:b/>
                <w:sz w:val="20"/>
              </w:rPr>
              <w:t>Nasdaq Capital Market symbol</w:t>
            </w:r>
          </w:p>
        </w:tc>
        <w:tc>
          <w:tcPr>
            <w:tcW w:w="6995" w:type="dxa"/>
            <w:tcBorders/>
            <w:vAlign w:val="center"/>
          </w:tcPr>
          <w:p>
            <w:pPr>
              <w:pStyle w:val="TableContents"/>
              <w:bidi w:val="0"/>
              <w:spacing w:before="0" w:after="283"/>
              <w:jc w:val="left"/>
              <w:rPr>
                <w:sz w:val="20"/>
              </w:rPr>
            </w:pPr>
            <w:r>
              <w:rPr>
                <w:sz w:val="20"/>
              </w:rPr>
              <w:t xml:space="preserve">Our common stock is listed on The Nasdaq Capital Market under the symbol “TPST”.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Before making an investment decision, you should carefully consider the risks described in the sections entitled “Risk Factors” in our most recent Annual Report on Form 10-K and in our subsequent Quarterly Reports on Form 10-Q, as filed with the SEC, which are incorporated herein by reference in their entirety, as well as any amendments or updates to our risk factors reflected in subsequent filings with the SEC, including any applicable prospectus supplement. The risks so described are not the only risks facing our company. Additional risks not presently known to us or that we currently deem immaterial may also impair our business operations. Our business, financial condition, results of operations or prospects could be materially adversely affected by any of these risks. The trading price of our securities could decline due to any of these risks, and you may lose all or part of your investment. This prospectus and the documents incorporated herein by reference also contain forward-looking statements that involve risks and uncertainties. Our actual results could differ materially from those anticipated in these forward-looking statements as a result of certain factors, including the risks mentioned elsewhere in this prospectus. For more information, see the section entitled “Where You Can Find Additional Information.” Please also read carefully the section entitled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number of shares of our common stock in the public market, including the resale of the Shares, could adversely affect the prevailing market price for our common stock.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up to 9,534,164 shares of our common stock, consisting of the Shares issuable to the selling stockholders upon exercise of the Warrants. Sales of substantial amounts of shares of our common stock in the public market, or the perception that such sales might occur, could adversely affect the market price of our common stock. We cannot predict if and when the selling stockholders may sell the Shares in the public markets. Furthermore, in the future, we may issue additional shares of our common stock or other equity or debt securities exercisable for, or convertible into, shares of our common stock. Any such issuances could result in substantial dilution to our existing stockholders and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or free writing prospectus, including the documents that we incorporate by reference herein and therein, contain “forward-looking statements” within the meaning of Section 27A of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As such, our actual results may differ significantly from those expressed in any forward-looking statements. Given these uncertainties, you should not place undue reliance on these forward-looking statements. In addition, statements indicating that “we believe” and similar statements reflect our beliefs and opinions on the relevant subject. These statements are based upon information available to us as of the date they were made, and while we believe such information formed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risks are described in greater detail under “Risk Factors” in this prospectus and in the “Risk Factors,” “Business” and “Management’s Discussion and Analysis of Financial Condition and Results of Operations” sections incorporated by reference from our most recent Annual Report on Form 10-K and in our Quarterly Reports on Form 10-Q for the quarterly periods ended subsequent to our filing of such Annual Report on Form 10-K, as well as any amendments thereto reflected in subsequent filings with the SEC.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contained in this prospectus, including the documents that we incorporate by reference herein,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w:t>
            </w:r>
          </w:p>
        </w:tc>
      </w:tr>
    </w:tbl>
    <w:p>
      <w:pPr>
        <w:pStyle w:val="TextBody"/>
        <w:bidi w:val="0"/>
        <w:spacing w:before="0" w:after="283"/>
        <w:jc w:val="left"/>
        <w:rPr/>
      </w:pPr>
      <w:r>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pPr>
            <w:r>
              <w:rPr/>
              <w:t>our ability to maintain compliance with the Nasdaq listing standards;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size and growth potential of the markets for our product candidates, and our ability to serve those markets;</w:t>
            </w:r>
          </w:p>
        </w:tc>
      </w:tr>
    </w:tbl>
    <w:p>
      <w:pPr>
        <w:pStyle w:val="TextBody"/>
        <w:bidi w:val="0"/>
        <w:spacing w:before="0" w:after="283"/>
        <w:jc w:val="left"/>
        <w:rPr/>
      </w:pPr>
      <w:r>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left"/>
              <w:rPr/>
            </w:pPr>
            <w:r>
              <w:rPr/>
              <w:t>the development, regulatory approval, efficacy and commercialization of competing products;</w:t>
            </w:r>
          </w:p>
        </w:tc>
      </w:tr>
    </w:tbl>
    <w:p>
      <w:pPr>
        <w:pStyle w:val="TextBody"/>
        <w:bidi w:val="0"/>
        <w:spacing w:before="0" w:after="283"/>
        <w:jc w:val="left"/>
        <w:rPr/>
      </w:pPr>
      <w:r>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the development plans, regulatory approvals, and timing for TPST-4003 and other product candidates;</w:t>
            </w:r>
          </w:p>
        </w:tc>
      </w:tr>
    </w:tbl>
    <w:p>
      <w:pPr>
        <w:pStyle w:val="TextBody"/>
        <w:bidi w:val="0"/>
        <w:spacing w:before="0" w:after="283"/>
        <w:jc w:val="left"/>
        <w:rPr/>
      </w:pPr>
      <w:r>
        <w:rPr/>
        <w:t> </w:t>
      </w:r>
    </w:p>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our ability to obtain stockholder approval for the issuance of the Shares upon exercise of the Warrants;</w:t>
            </w:r>
          </w:p>
        </w:tc>
      </w:tr>
    </w:tbl>
    <w:p>
      <w:pPr>
        <w:pStyle w:val="TextBody"/>
        <w:bidi w:val="0"/>
        <w:spacing w:before="0" w:after="283"/>
        <w:jc w:val="left"/>
        <w:rPr/>
      </w:pPr>
      <w:r>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pPr>
            <w:r>
              <w:rPr/>
              <w:t>the expected proceeds from cash exercises of Warrants, if 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establish sales and marketing capabilities or enter into agreements with third parties to market and sell our product candidates;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retain regulatory approval for our product candidates or future product candidates in the United States and in any foreign countries in which we may seek to do business;</w:t>
            </w:r>
          </w:p>
        </w:tc>
      </w:tr>
    </w:tbl>
    <w:p>
      <w:pPr>
        <w:pStyle w:val="TextBody"/>
        <w:bidi w:val="0"/>
        <w:spacing w:before="0" w:after="283"/>
        <w:jc w:val="left"/>
        <w:rPr/>
      </w:pPr>
      <w:r>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pPr>
            <w:r>
              <w:rPr/>
              <w:t>our ability to retain and hire our board of directors, senior management, or operational personnel;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ability to develop and maintain our corporate infrastructure, including our ability to design and maintain an effective system of internal controls;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general economic, political, and market conditions and overall fluctuations in the financial markets in the United States and abroad, including as a result of bank failures, public health crises or geopolitical tensions;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expectation regarding the period during which we will qualify as a smaller reporting company under the federal securities laws;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tc>
      </w:tr>
    </w:tbl>
    <w:p>
      <w:pPr>
        <w:pStyle w:val="TextBody"/>
        <w:bidi w:val="0"/>
        <w:spacing w:before="0" w:after="0"/>
        <w:ind w:left="63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applicable prospectus supplement, together with the documents that we have filed with the SEC that are incorporated by reference, and any free writing prospectus we have authorized for use in connection with this offering,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selling stockholders’ sale or other disposition of the Shares offered pursuant to this prospectus. All net proceeds from the sale of the Shares covered by this prospectus will go to the selling stockholders. However, we will receive proceeds from the exercise of any Warrants for cash.</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Warrants were exercised for cash in full, the gross proceeds to the Company would be approximately $5.22 million. We intend to use the net proceeds of such Warrant exercises, if any, for working capital and general corporate purposes. We can make no assurances that any of the Warrants will be exercised, or if exercised, that they will be exercised for cash, the quantity which will be exercised or in the period in which they will be exercised.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out-of-pocket costs, expenses and fees incurred in connection with the registration of the Shares being offered for resale by the selling stockholders pursuant to this prospectus. Other than registration expenses, the selling stockholders will bear underwriting discounts, commissions, or other similar expenses payable with respect to sales of the Shares offered hereby.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SELLING STOCKHOLDERS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by the selling stockholders are those shares of common stock issuable upon exercise of the Warrants issued pursuant to the Purchase Agreement and Engagement Letter in connection with the Private Placement. For additional information regarding the issuance of the Shares, see “Prospectus Summary—Private Placement.” We are registering the Shares in order to permit the selling stockholders (or their respective ’s pledgees, donees, transferees, assignees and other successors-in-interes) to offer the Shares for resale from time to time. Other than with respect to the Placement Agent, which acted as our placement agent in the Private Placement, our June 2026 warrant inducement (the “June 2026 Warrant Inducement”), as more fully described in our Current Report on Form 8-K as filed with the SEC on June 2, 2026, and in our March 2026 private placement (the “March 2026 PIPE”), as more fully described in our Annual Report on Form 10-K for the fiscal year ended December 31, 2025 as filed with the SEC on March 30, 2026, and except for the ownership of the Warrants issued to the selling stockholders in the Private Placement, and securities issued pursuant to prior financings, the selling stockholders have not had any material relationship with us within the past three years. No selling stockholder currently holds, nor has any selling stockholder held within the past three years, any position or office with us or any of our predecessors or affiliates.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some, all or none of their Shares. See “Plan of Distribution.” We do not know whether the selling stockholders will exercise any of their respective Warrants and acquire any Shares, nor if they do,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each of the selling stockholders will beneficially own after termination of sales under this prospectus. In addition, the selling stockholders may have sold, transferred or otherwise disposed of all or a portion of their Shares since the date on which they provided information for the table below.</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such selling stockholder’s ownership of our common stock, including Shares underlying the Warrants, as of September 21, 2026, assuming the full exercise of the Warrants held by the selling stockholders without regard to any limitations on exercise of the Warrants contained therein. The third column lists the maximum number of the Shares of common stock being offered in this prospectus by the selling stockholders. The fourth and fifth columns list the number of shares of common stock owned after this offering, by number of the shares of common stock and percentage of outstanding shares of common stock, assuming the full exercise of the Warrants without regard to any limitations on exercise of the Warrants contained therein. The percentage of shares of our common stock owned prior to and after the offering under this prospectus is based on 16,889,767 shares of our common stock outstanding as of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stockholder (together with its affiliates) of the Pre-Funded Warrants or Common Warrants may not exercise any portion of any Pre-Funded Warrant or Common Warrant, to the extent that such exercise would cause the aggregate number of shares of common stock beneficially owned by such selling stockholder (together with its affiliates) to exceed 9.99% with respect to the Pre-Funded Warrants or 4.99% (or, upon election of the selling stockholder, 9.99%) with respect to the Common Warrants of the number of shares of common stock outstanding immediately after giving effect to the exercise, subject to such selling stockholder’s rights under the Pre-Funded Warrants and the Common Warrants to increase or decrease such percentage to another percentage not in excess of 9.99% upon notice from such selling stockholder to our company (upon not less than 61 days’ prior notice in the case of an increase). As described above, the number of shares in the table below does not reflect this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1"/>
        <w:gridCol w:w="60"/>
        <w:gridCol w:w="82"/>
        <w:gridCol w:w="1341"/>
        <w:gridCol w:w="60"/>
        <w:gridCol w:w="60"/>
        <w:gridCol w:w="144"/>
        <w:gridCol w:w="2371"/>
        <w:gridCol w:w="60"/>
        <w:gridCol w:w="60"/>
        <w:gridCol w:w="116"/>
        <w:gridCol w:w="1472"/>
        <w:gridCol w:w="110"/>
        <w:gridCol w:w="110"/>
        <w:gridCol w:w="191"/>
        <w:gridCol w:w="1404"/>
        <w:gridCol w:w="233"/>
      </w:tblGrid>
      <w:tr>
        <w:trPr/>
        <w:tc>
          <w:tcPr>
            <w:tcW w:w="2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Shares of</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 Ownership After this Offering</w:t>
            </w:r>
            <w:r>
              <w:rPr>
                <w:rFonts w:ascii="Times New Roman;Times;Serif" w:hAnsi="Times New Roman;Times;Serif"/>
                <w:b/>
                <w:position w:val="7"/>
                <w:sz w:val="16"/>
                <w:sz w:val="20"/>
              </w:rPr>
              <w:t>(1)</w:t>
            </w:r>
          </w:p>
        </w:tc>
        <w:tc>
          <w:tcPr>
            <w:tcW w:w="233" w:type="dxa"/>
            <w:tcBorders/>
            <w:vAlign w:val="center"/>
          </w:tcPr>
          <w:p>
            <w:pPr>
              <w:pStyle w:val="TableContents"/>
              <w:bidi w:val="0"/>
              <w:spacing w:before="0" w:after="283"/>
              <w:jc w:val="left"/>
              <w:rPr/>
            </w:pPr>
            <w:r>
              <w:rPr/>
              <w:t> </w:t>
            </w:r>
          </w:p>
        </w:tc>
      </w:tr>
      <w:tr>
        <w:trPr/>
        <w:tc>
          <w:tcPr>
            <w:tcW w:w="2331" w:type="dxa"/>
            <w:tcBorders>
              <w:bottom w:val="single" w:sz="12"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Beneficially</w:t>
              <w:br/>
              <w:t>Owned</w:t>
              <w:br/>
              <w:t>prior to this</w:t>
              <w:b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Maximum</w:t>
              <w:br/>
              <w:t>Number of Shares Being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 of</w:t>
              <w:br/>
              <w:t>Outstanding</w:t>
              <w:br/>
              <w:t>Common Stock</w:t>
            </w:r>
          </w:p>
        </w:tc>
        <w:tc>
          <w:tcPr>
            <w:tcW w:w="233" w:type="dxa"/>
            <w:tcBorders/>
            <w:vAlign w:val="center"/>
          </w:tcPr>
          <w:p>
            <w:pPr>
              <w:pStyle w:val="TableContents"/>
              <w:bidi w:val="0"/>
              <w:spacing w:before="0" w:after="283"/>
              <w:jc w:val="left"/>
              <w:rPr/>
            </w:pPr>
            <w:r>
              <w:rPr/>
              <w:t> </w:t>
            </w:r>
          </w:p>
        </w:tc>
      </w:tr>
      <w:tr>
        <w:trPr/>
        <w:tc>
          <w:tcPr>
            <w:tcW w:w="23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Master Fund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10,242,699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71" w:type="dxa"/>
            <w:tcBorders/>
            <w:shd w:fill="CCEEFF" w:val="clear"/>
            <w:vAlign w:val="center"/>
          </w:tcPr>
          <w:p>
            <w:pPr>
              <w:pStyle w:val="TableContents"/>
              <w:bidi w:val="0"/>
              <w:spacing w:before="0" w:after="283"/>
              <w:jc w:val="right"/>
              <w:rPr/>
            </w:pPr>
            <w:r>
              <w:rPr/>
              <w:t>9,316,773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925,926</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4.99</w:t>
            </w:r>
          </w:p>
        </w:tc>
        <w:tc>
          <w:tcPr>
            <w:tcW w:w="233" w:type="dxa"/>
            <w:tcBorders/>
            <w:shd w:fill="CCEEFF" w:val="clear"/>
            <w:vAlign w:val="center"/>
          </w:tcPr>
          <w:p>
            <w:pPr>
              <w:pStyle w:val="TableContents"/>
              <w:bidi w:val="0"/>
              <w:spacing w:before="0" w:after="283"/>
              <w:jc w:val="left"/>
              <w:rPr/>
            </w:pPr>
            <w:r>
              <w:rPr/>
              <w:t>%</w:t>
            </w:r>
          </w:p>
        </w:tc>
      </w:tr>
      <w:tr>
        <w:trPr/>
        <w:tc>
          <w:tcPr>
            <w:tcW w:w="23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Augustus Trading LLC</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192,028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71" w:type="dxa"/>
            <w:tcBorders/>
            <w:shd w:fill="FFFFFF" w:val="clear"/>
            <w:vAlign w:val="center"/>
          </w:tcPr>
          <w:p>
            <w:pPr>
              <w:pStyle w:val="TableContents"/>
              <w:bidi w:val="0"/>
              <w:spacing w:before="0" w:after="283"/>
              <w:jc w:val="right"/>
              <w:rPr/>
            </w:pPr>
            <w:r>
              <w:rPr/>
              <w:t>139,402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52,626</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r>
              <w:rPr/>
              <w:t>*</w:t>
            </w:r>
          </w:p>
        </w:tc>
        <w:tc>
          <w:tcPr>
            <w:tcW w:w="233" w:type="dxa"/>
            <w:tcBorders/>
            <w:shd w:fill="FFFFFF" w:val="clear"/>
            <w:vAlign w:val="center"/>
          </w:tcPr>
          <w:p>
            <w:pPr>
              <w:pStyle w:val="TableContents"/>
              <w:bidi w:val="0"/>
              <w:spacing w:before="0" w:after="283"/>
              <w:jc w:val="left"/>
              <w:rPr/>
            </w:pPr>
            <w:r>
              <w:rPr/>
              <w:t> </w:t>
            </w:r>
          </w:p>
        </w:tc>
      </w:tr>
      <w:tr>
        <w:trPr/>
        <w:tc>
          <w:tcPr>
            <w:tcW w:w="23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Noam Rubinstein</w:t>
            </w:r>
            <w:r>
              <w:rPr>
                <w:rFonts w:ascii="Times New Roman;Times;Serif" w:hAnsi="Times New Roman;Times;Serif"/>
                <w:position w:val="7"/>
                <w:sz w:val="16"/>
                <w:sz w:val="20"/>
              </w:rPr>
              <w:t>(4)(5)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94,330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71" w:type="dxa"/>
            <w:tcBorders/>
            <w:shd w:fill="CCEEFF" w:val="clear"/>
            <w:vAlign w:val="center"/>
          </w:tcPr>
          <w:p>
            <w:pPr>
              <w:pStyle w:val="TableContents"/>
              <w:bidi w:val="0"/>
              <w:spacing w:before="0" w:after="283"/>
              <w:jc w:val="right"/>
              <w:rPr/>
            </w:pPr>
            <w:r>
              <w:rPr/>
              <w:t>68,478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25,852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r>
              <w:rPr/>
              <w:t>*</w:t>
            </w:r>
          </w:p>
        </w:tc>
        <w:tc>
          <w:tcPr>
            <w:tcW w:w="233" w:type="dxa"/>
            <w:tcBorders/>
            <w:shd w:fill="CCEEFF" w:val="clear"/>
            <w:vAlign w:val="center"/>
          </w:tcPr>
          <w:p>
            <w:pPr>
              <w:pStyle w:val="TableContents"/>
              <w:bidi w:val="0"/>
              <w:spacing w:before="0" w:after="283"/>
              <w:jc w:val="left"/>
              <w:rPr/>
            </w:pPr>
            <w:r>
              <w:rPr/>
              <w:t> </w:t>
            </w:r>
          </w:p>
        </w:tc>
      </w:tr>
      <w:tr>
        <w:trPr/>
        <w:tc>
          <w:tcPr>
            <w:tcW w:w="23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Drive Holdings LLC</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10,107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2371" w:type="dxa"/>
            <w:tcBorders/>
            <w:shd w:fill="FFFFFF" w:val="clear"/>
            <w:vAlign w:val="center"/>
          </w:tcPr>
          <w:p>
            <w:pPr>
              <w:pStyle w:val="TableContents"/>
              <w:bidi w:val="0"/>
              <w:spacing w:before="0" w:after="283"/>
              <w:jc w:val="right"/>
              <w:rPr/>
            </w:pPr>
            <w:r>
              <w:rPr/>
              <w:t>7,337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472" w:type="dxa"/>
            <w:tcBorders/>
            <w:shd w:fill="FFFFFF" w:val="clear"/>
            <w:vAlign w:val="center"/>
          </w:tcPr>
          <w:p>
            <w:pPr>
              <w:pStyle w:val="TableContents"/>
              <w:bidi w:val="0"/>
              <w:spacing w:before="0" w:after="283"/>
              <w:jc w:val="right"/>
              <w:rPr/>
            </w:pPr>
            <w:r>
              <w:rPr/>
              <w:t>2,770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pPr>
            <w:r>
              <w:rPr/>
              <w:t>   </w:t>
            </w:r>
            <w:r>
              <w:rPr/>
              <w:t>*</w:t>
            </w:r>
          </w:p>
        </w:tc>
        <w:tc>
          <w:tcPr>
            <w:tcW w:w="233" w:type="dxa"/>
            <w:tcBorders/>
            <w:shd w:fill="FFFFFF" w:val="clear"/>
            <w:vAlign w:val="center"/>
          </w:tcPr>
          <w:p>
            <w:pPr>
              <w:pStyle w:val="TableContents"/>
              <w:bidi w:val="0"/>
              <w:spacing w:before="0" w:after="283"/>
              <w:jc w:val="left"/>
              <w:rPr/>
            </w:pPr>
            <w:r>
              <w:rPr/>
              <w:t> </w:t>
            </w:r>
          </w:p>
        </w:tc>
      </w:tr>
      <w:tr>
        <w:trPr/>
        <w:tc>
          <w:tcPr>
            <w:tcW w:w="23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Worthman</w:t>
            </w:r>
            <w:r>
              <w:rPr>
                <w:rFonts w:ascii="Times New Roman;Times;Serif" w:hAnsi="Times New Roman;Times;Serif"/>
                <w:position w:val="7"/>
                <w:sz w:val="16"/>
                <w:sz w:val="20"/>
              </w:rPr>
              <w:t>(4)(7)</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2371" w:type="dxa"/>
            <w:tcBorders/>
            <w:shd w:fill="CCEEFF" w:val="clear"/>
            <w:vAlign w:val="center"/>
          </w:tcPr>
          <w:p>
            <w:pPr>
              <w:pStyle w:val="TableContents"/>
              <w:bidi w:val="0"/>
              <w:spacing w:before="0" w:after="283"/>
              <w:jc w:val="right"/>
              <w:rPr/>
            </w:pPr>
            <w:r>
              <w:rPr/>
              <w:t>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821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r>
              <w:rPr/>
              <w:t>*</w:t>
            </w:r>
          </w:p>
        </w:tc>
        <w:tc>
          <w:tcPr>
            <w:tcW w:w="23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945" w:type="dxa"/>
        <w:jc w:val="left"/>
        <w:tblInd w:w="0" w:type="dxa"/>
        <w:tblLayout w:type="fixed"/>
        <w:tblCellMar>
          <w:top w:w="0" w:type="dxa"/>
          <w:left w:w="0" w:type="dxa"/>
          <w:bottom w:w="0" w:type="dxa"/>
          <w:right w:w="0" w:type="dxa"/>
        </w:tblCellMar>
      </w:tblPr>
      <w:tblGrid>
        <w:gridCol w:w="125"/>
        <w:gridCol w:w="182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selling stockholders exercise all Warrants and sell all Shares offered under this prospectus, but that such selling stockholders do not sell or otherwise dispose of any of the other shares of common stock that it beneficially owns as of the date hereof.</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3,105,591 shares of common stock issuable upon the exercise of the Pre-Funded Warrants, (ii) 3,105,591 shares of common stock issuable upon the exercise of the Series C Warrants, (iii) 3,105,591 shares of common stock issuable upon the exercise of the Series D Warrants, (iv) 462,963 shares of common stock issuable upon the exercise of series A warrants to purchase shares of common stock issued to the selling stockholder in March 2026 at an exercise price of $2.16 per share, and (v) 462,963 shares of common stock issuable upon the exercise of series B warrants to purchase shares of common stock issued to the selling stockholder in March 2026 at an exercise price of $2.16 per share.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Pre-Funded Warrants are subject to a beneficial ownership limitation of 9.99%, and the Common Warrants, series A warrants and series B warrants are subject to a beneficial ownership limitation of 4.99% (or, upon election of the selling stockholder, 9.99%), which such limitation restricts the selling stockholder from exercising that portion of the Pre-Funded Warrants, Common Warrants, series A warrants or series B warrants, as applicable,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r>
        <w:trPr/>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prior to this offering consist of (i) 52,626 shares of common stock issuable upon exercise of certain placement agent warrants issued to the selling stockholder in May 2026 at an exercise price of $2.1625 per share, and (ii) 139,402 shares of common stock issuable upon exercise of the Placement Agent Warrants. Orsium Capital LLC, the authorized agent to Augustus Trading LLC, has discretionary authority to vote and dispose of the securities held by Augustus Trading LLC and may be deemed to be the beneficial owner of these securities (as determined under Section 13(d) of the Securities Exchange Act of 1934, as amended). Olivier Morali, in his capacity as managing member of Orsium Capital LLC, may also be deemed to have investment discretion and voting power over the shares held by Augustus Trading LLC. Orsium Capital LLC and Mr. Morali each disclaims any beneficial ownership of these securities. The business address of Augustus Trading LLC is 600 Lexington Avenue, 32nd Floor, New York, New York 10022.</w:t>
            </w:r>
          </w:p>
        </w:tc>
      </w:tr>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283"/>
              <w:jc w:val="left"/>
              <w:rPr/>
            </w:pPr>
            <w:r>
              <w:rPr/>
              <w:t>Each of these selling stockholders is affiliated with H.C. Wainwright &amp; Co., LLC, a registered broker-dealer with a business address of 430 Park Ave, 3rd Floor, New York, New York 10022. H.C. Wainwright &amp; Co., LLC served as our exclusive placement agent in connection with the Private Placement, the March 2026 PIPE and the June 2026 Warrant Inducement, for which it received compensation. Each of the selling stockholders has the voting and dispositive power over the securities held, acquired the securities in the ordinary course of business and, at the time the securities were acquired, the selling stockholders had no agreement or understanding, directly or indirectly, with any person to distribute such securities.</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(5)</w:t>
            </w:r>
          </w:p>
        </w:tc>
        <w:tc>
          <w:tcPr>
            <w:tcW w:w="9955" w:type="dxa"/>
            <w:tcBorders/>
            <w:vAlign w:val="center"/>
          </w:tcPr>
          <w:p>
            <w:pPr>
              <w:pStyle w:val="TableContents"/>
              <w:bidi w:val="0"/>
              <w:spacing w:before="0" w:after="283"/>
              <w:jc w:val="left"/>
              <w:rPr/>
            </w:pPr>
            <w:r>
              <w:rPr/>
              <w:t>Represents (i) 68,478 shares of common stock issuable upon exercise of the Placement Agent Warrants, which were issued in connection with the Private Placement, and (ii) 25,852 shares of common stock issuable upon exercise of certain placement agent warrants issued to the selling stockholder in May 2026 at an exercise price of $2.1625 per share.</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283"/>
              <w:jc w:val="left"/>
              <w:rPr/>
            </w:pPr>
            <w:r>
              <w:rPr/>
              <w:t>Represents (i) 2,770 shares of common stock issuable upon exercise of certain placement agent warrants issued to the selling stockholder in May 2026 at an exercise price of $2.1625 per share, and (ii) 7,337 shares of common stock issuable upon exercise of the Placement Agent Warrants, which were issued in connection with the Private Placement, and are held by Wilson Drive Holdings LLC. Craig Schwabe is the managing member of Wilson Drive Holdings LLC and has the power to vote and dispose of the securities held. Neither Wilson Drive Holdings LLC nor Mr. Schwabe is a broker-dealer. Mr. Schwabe is affiliated with the following registered broker-dealers: H.C. Wainwright &amp; Co., LLC, Rodman &amp; Renshaw LLC and Stockblock Securities LLC. The business address of Wilson Drive Holdings LLC is 600 Lexington Avenue, 32nd Floor, New York, NY 10022. The securities were acquired in the ordinary course of business and, at the time the securities were acquired, the selling stockholder had no agreement or understanding, directly or indirectly, with any person to distribute such securities.</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(7)</w:t>
            </w:r>
          </w:p>
        </w:tc>
        <w:tc>
          <w:tcPr>
            <w:tcW w:w="9955" w:type="dxa"/>
            <w:tcBorders/>
            <w:vAlign w:val="center"/>
          </w:tcPr>
          <w:p>
            <w:pPr>
              <w:pStyle w:val="TableContents"/>
              <w:bidi w:val="0"/>
              <w:spacing w:before="0" w:after="283"/>
              <w:jc w:val="left"/>
              <w:rPr/>
            </w:pPr>
            <w:r>
              <w:rPr/>
              <w:t>Represents (i) 2,174 shares of common stock issuable upon exercise of the Placement Agent Warrants, which were issued in connection with the Private Placement, and (ii) 821 shares of common stock issuable upon exercise of certain placement agent warrants issued to the selling stockholder in May 2026 at an exercise price of $2.1625 per share.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act independently of us in making decisions with respect to the timing, manner and size of each and any sale of Shares. Each selling stockholder and any of such selling stockholder’s pledgees, donees, transferees, assignees and other successors-in-interest may, from time to time, sell any or all of the Shares beneficially owned by them and offered hereby directly to investors, through one or more broker-dealers or agents, or through any other manner permitted by law, on a continuous or delayed basis. The selling stockholders will be responsible for commissions charged by any such broker-dealers or agents. The Shares may be sold in one or more transactions at fixed prices, at prevailing market prices at the time of the sale, at varying prices determined at the time of sale, or at negotiated prices. The offering price of the Shares from time to time will be determined by the selling stockholders and, at the time of the determination, may be higher or lower than the market price of our common stock on The Nasdaq Capital Market or any other exchange or market. Each selling stockholder may use any one or more of the following methods when selling the Shares covered by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through brokers or dealers (who may act as agent or principal and who may receive compensation in the form of discounts, concessions or commissions from such selling stockholder, the purchaser or such other persons who may be effecting such sales, which discounts, concessions or commissions as to any particular broker or dealer may be in excess of those customary to the types of transactions involved) for resale to the public or to institutional investors at various times;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through negotiated transactions, including, but not limited to, block trades in which the broker or dealer so engaged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pPr>
            <w:r>
              <w:rPr/>
              <w:t>through purchases by a broker or dealer as principal and resale by that broker or 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any national securities exchange or quotation service on which the shares may be listed or quoted at the time of sale at market prices prevailing at the time of sale, at prices related to such prevailing market prices, or at negotiated prices;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left"/>
              <w:rPr/>
            </w:pPr>
            <w:r>
              <w:rPr/>
              <w:t>in privately negotiated transactions other than exchange or quotation service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short sales, purchases or sales of put, call or other types of options, forward delivery contracts, swaps, offerings of structured equity-linked securities or other derivative transactions or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hedging transactions, including, but not limited to: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0" w:type="dxa"/>
            <w:tcBorders/>
            <w:vAlign w:val="center"/>
          </w:tcPr>
          <w:p>
            <w:pPr>
              <w:pStyle w:val="TableContents"/>
              <w:bidi w:val="0"/>
              <w:spacing w:before="0" w:after="283"/>
              <w:jc w:val="left"/>
              <w:rPr/>
            </w:pPr>
            <w:r>
              <w:rPr/>
              <w:t>transactions with a broker-dealer or its affiliate, whereby the broker-dealer or its affiliate will engage in short sales of shares and may use Shares held by such selling stockholder to close out its short position;</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0" w:type="dxa"/>
            <w:tcBorders/>
            <w:vAlign w:val="center"/>
          </w:tcPr>
          <w:p>
            <w:pPr>
              <w:pStyle w:val="TableContents"/>
              <w:bidi w:val="0"/>
              <w:spacing w:before="0" w:after="283"/>
              <w:jc w:val="left"/>
              <w:rPr/>
            </w:pPr>
            <w:r>
              <w:rPr/>
              <w:t>options or other types of transactions that require the delivery of Shares to a broker-dealer or an affiliate thereof, who will then resell or transfer the Shares; or</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9990" w:type="dxa"/>
            <w:tcBorders/>
            <w:vAlign w:val="center"/>
          </w:tcPr>
          <w:p>
            <w:pPr>
              <w:pStyle w:val="TableContents"/>
              <w:bidi w:val="0"/>
              <w:spacing w:before="0" w:after="283"/>
              <w:jc w:val="left"/>
              <w:rPr/>
            </w:pPr>
            <w:r>
              <w:rPr/>
              <w:t>loans or pledges of Shares to a broker-dealer or an affiliate, who may sell the loaned Shares or, in an event of default in the case of a pledge, sell the pledged Shares;</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through offerings of securities exercisable, convertible or exchangeable for shares, including, without limitation, securities issued by trusts, investment companies or other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7510" w:type="dxa"/>
        <w:jc w:val="left"/>
        <w:tblInd w:w="0" w:type="dxa"/>
        <w:tblLayout w:type="fixed"/>
        <w:tblCellMar>
          <w:top w:w="0" w:type="dxa"/>
          <w:left w:w="0" w:type="dxa"/>
          <w:bottom w:w="0" w:type="dxa"/>
          <w:right w:w="0" w:type="dxa"/>
        </w:tblCellMar>
      </w:tblPr>
      <w:tblGrid>
        <w:gridCol w:w="75"/>
        <w:gridCol w:w="170"/>
        <w:gridCol w:w="72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pPr>
            <w:r>
              <w:rPr/>
              <w:t>offerings directly to one or more purchasers, including institutional investors;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both"/>
              <w:rPr/>
            </w:pPr>
            <w:r>
              <w:rPr/>
              <w:t> </w:t>
            </w:r>
          </w:p>
        </w:tc>
      </w:tr>
    </w:tbl>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pPr>
            <w:r>
              <w:rPr/>
              <w:t>through ordinary brokerage transactions and transactions in which a broker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283"/>
              <w:jc w:val="both"/>
              <w:rPr/>
            </w:pPr>
            <w:r>
              <w:rPr/>
              <w:t> </w:t>
            </w:r>
          </w:p>
        </w:tc>
      </w:tr>
    </w:tbl>
    <w:tbl>
      <w:tblPr>
        <w:tblW w:w="6760" w:type="dxa"/>
        <w:jc w:val="left"/>
        <w:tblInd w:w="0" w:type="dxa"/>
        <w:tblLayout w:type="fixed"/>
        <w:tblCellMar>
          <w:top w:w="0" w:type="dxa"/>
          <w:left w:w="0" w:type="dxa"/>
          <w:bottom w:w="0" w:type="dxa"/>
          <w:right w:w="0" w:type="dxa"/>
        </w:tblCellMar>
      </w:tblPr>
      <w:tblGrid>
        <w:gridCol w:w="75"/>
        <w:gridCol w:w="170"/>
        <w:gridCol w:w="65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through distribution to the security holders of the selling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both"/>
              <w:rPr/>
            </w:pPr>
            <w:r>
              <w:rPr/>
              <w:t> </w:t>
            </w:r>
          </w:p>
        </w:tc>
      </w:tr>
    </w:tbl>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by pledge to secure debts and other obligations;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bl>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both"/>
              <w:rPr/>
            </w:pPr>
            <w:r>
              <w:rPr/>
              <w:t> </w:t>
            </w:r>
          </w:p>
        </w:tc>
      </w:tr>
    </w:tbl>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pPr>
            <w:r>
              <w:rPr/>
              <w:t>through any other method permitted under applicable law.</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stockholders will sell any or all of the Shares registered pursuant to the registration statement of which this prospectus forms a part.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stockholder may elect to make an in-kind distribution of securities to its members, partners or stockholders pursuant to the registration statement of which this prospectus forms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supplement to this prospectus in order to permit the distributees to use the prospectus to resell the securities acquired in the distribution.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or other successor-in-interest intends to sell our securities, we will, to the extent required, promptly file a supplement to this prospectus under Rule 424(b)(3) or other applicable provision of the Securities Act, amending the list of selling stockholders to include the donee, pledgee, transferee or other successors-in-interest as a selling stockholder under this prospectus.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offered hereby, the selling stockholders may enter into hedging transactions with broker-dealers or other financial institutions, which may in turn engage in short sales of the securities in the course of hedging the positions they assume. The selling stockholders may also sell common stock short and deliver these Shares of common stock to close out their respective short positions, or loan or pledge the Shares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the Shares offered by this prospectus, which securities such broker-dealer or other financial institution may resell pursuant to this registration statement (as supplemented or amended to reflect such transaction).</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Shares covered hereby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stockholders have informed us that they do not have any written or oral agreement or understanding, directly or indirectly, with any person to distribute the Shares offered hereby.</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common stock covered hereby. We have agreed to indemnify the selling stockholders against certain losses, claims, damages and liabilities, including liabilities under the Securities Act. We shall not be responsible for any of the selling stockholders’ selling costs incurred pursuant to any available method provided hereunder for selling securities.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obligated to maintain the effectiveness of this registration statement until no holder of Pre-Funded Warrants or Common Warrants owns any Pre-Funded Warrants, Common Warrants or Shares issuable upon exercise thereof. The Shares offered hereby will be sold only through registered or licensed brokers or dealers if required under applicable state securities laws. In addition, in certain states, the Shares offered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Shares offered hereby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including the validity of the shares of common stock offered by this prospectus, will be passed upon by Greenberg Traurig,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EXPERTS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WHERE YOU CAN FIND ADDITIONAL INFORMATION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website at www.tempesttx.com. Information contained in or accessible through our website does not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INCORPORATION OF CERTAIN INFORMATION BY REFERENCE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w:t>
      </w:r>
    </w:p>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fiscal year ended December 31, 2025, filed with the SEC on March 30, 2026;</w:t>
            </w:r>
          </w:p>
        </w:tc>
      </w:tr>
    </w:tbl>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Reports on Form 10-Q for the quarters ended March 31, 2026 and June 30, 2026, filed with the SEC on </w:t>
            </w:r>
            <w:hyperlink r:id="rId4">
              <w:r>
                <w:rPr>
                  <w:rStyle w:val="InternetLink"/>
                </w:rPr>
                <w:t>May 14, 2026</w:t>
              </w:r>
            </w:hyperlink>
            <w:r>
              <w:rPr/>
              <w:t xml:space="preserve"> and </w:t>
            </w:r>
            <w:hyperlink r:id="rId5">
              <w:r>
                <w:rPr>
                  <w:rStyle w:val="InternetLink"/>
                </w:rPr>
                <w:t>August 13, 2026</w:t>
              </w:r>
            </w:hyperlink>
            <w:r>
              <w:rPr/>
              <w:t>, respectively;</w:t>
            </w:r>
          </w:p>
        </w:tc>
      </w:tr>
    </w:tbl>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6">
              <w:r>
                <w:rPr>
                  <w:rStyle w:val="InternetLink"/>
                </w:rPr>
                <w:t>May 6, 2026</w:t>
              </w:r>
            </w:hyperlink>
            <w:r>
              <w:rPr/>
              <w:t xml:space="preserve">, </w:t>
            </w:r>
            <w:hyperlink r:id="rId7">
              <w:r>
                <w:rPr>
                  <w:rStyle w:val="InternetLink"/>
                </w:rPr>
                <w:t>May 22, 2026</w:t>
              </w:r>
            </w:hyperlink>
            <w:r>
              <w:rPr/>
              <w:t xml:space="preserve">, </w:t>
            </w:r>
            <w:hyperlink r:id="rId8">
              <w:r>
                <w:rPr>
                  <w:rStyle w:val="InternetLink"/>
                </w:rPr>
                <w:t>May 22, 2026</w:t>
              </w:r>
            </w:hyperlink>
            <w:r>
              <w:rPr/>
              <w:t xml:space="preserve">, </w:t>
            </w:r>
            <w:hyperlink r:id="rId9">
              <w:r>
                <w:rPr>
                  <w:rStyle w:val="InternetLink"/>
                </w:rPr>
                <w:t>May 29, 2026</w:t>
              </w:r>
            </w:hyperlink>
            <w:r>
              <w:rPr/>
              <w:t xml:space="preserve">, </w:t>
            </w:r>
            <w:hyperlink r:id="rId10">
              <w:r>
                <w:rPr>
                  <w:rStyle w:val="InternetLink"/>
                </w:rPr>
                <w:t>June 2, 2026</w:t>
              </w:r>
            </w:hyperlink>
            <w:r>
              <w:rPr/>
              <w:t xml:space="preserve">, </w:t>
            </w:r>
            <w:hyperlink r:id="rId11">
              <w:r>
                <w:rPr>
                  <w:rStyle w:val="InternetLink"/>
                </w:rPr>
                <w:t>June 4, 2026</w:t>
              </w:r>
            </w:hyperlink>
            <w:r>
              <w:rPr/>
              <w:t xml:space="preserve">, </w:t>
            </w:r>
            <w:hyperlink r:id="rId12">
              <w:r>
                <w:rPr>
                  <w:rStyle w:val="InternetLink"/>
                </w:rPr>
                <w:t>June 23, 2026</w:t>
              </w:r>
            </w:hyperlink>
            <w:r>
              <w:rPr/>
              <w:t xml:space="preserve">, </w:t>
            </w:r>
            <w:hyperlink r:id="rId13">
              <w:r>
                <w:rPr>
                  <w:rStyle w:val="InternetLink"/>
                </w:rPr>
                <w:t>July 22, 2026</w:t>
              </w:r>
            </w:hyperlink>
            <w:r>
              <w:rPr/>
              <w:t xml:space="preserve">, </w:t>
            </w:r>
            <w:hyperlink r:id="rId14">
              <w:r>
                <w:rPr>
                  <w:rStyle w:val="InternetLink"/>
                </w:rPr>
                <w:t>July 28, 2026</w:t>
              </w:r>
            </w:hyperlink>
            <w:r>
              <w:rPr/>
              <w:t xml:space="preserve">, </w:t>
            </w:r>
            <w:hyperlink r:id="rId15">
              <w:r>
                <w:rPr>
                  <w:rStyle w:val="InternetLink"/>
                </w:rPr>
                <w:t>August 13, 2026</w:t>
              </w:r>
            </w:hyperlink>
            <w:r>
              <w:rPr/>
              <w:t xml:space="preserve">, </w:t>
            </w:r>
            <w:hyperlink r:id="rId16">
              <w:r>
                <w:rPr>
                  <w:rStyle w:val="InternetLink"/>
                </w:rPr>
                <w:t>August 13, 2026</w:t>
              </w:r>
            </w:hyperlink>
            <w:r>
              <w:rPr/>
              <w:t xml:space="preserve">, </w:t>
            </w:r>
            <w:hyperlink r:id="rId17">
              <w:r>
                <w:rPr>
                  <w:rStyle w:val="InternetLink"/>
                </w:rPr>
                <w:t>August 18, 2026</w:t>
              </w:r>
            </w:hyperlink>
            <w:r>
              <w:rPr/>
              <w:t xml:space="preserve">, </w:t>
            </w:r>
            <w:hyperlink r:id="rId18">
              <w:r>
                <w:rPr>
                  <w:rStyle w:val="InternetLink"/>
                </w:rPr>
                <w:t>August 24, 2026</w:t>
              </w:r>
            </w:hyperlink>
            <w:r>
              <w:rPr/>
              <w:t xml:space="preserve">, </w:t>
            </w:r>
            <w:hyperlink r:id="rId19">
              <w:r>
                <w:rPr>
                  <w:rStyle w:val="InternetLink"/>
                </w:rPr>
                <w:t>September 15, 2026</w:t>
              </w:r>
            </w:hyperlink>
            <w:r>
              <w:rPr/>
              <w:t xml:space="preserve">, </w:t>
            </w:r>
            <w:hyperlink r:id="rId20">
              <w:r>
                <w:rPr>
                  <w:rStyle w:val="InternetLink"/>
                </w:rPr>
                <w:t>September 16, 2026</w:t>
              </w:r>
            </w:hyperlink>
            <w:r>
              <w:rPr/>
              <w:t xml:space="preserve"> and </w:t>
            </w:r>
            <w:hyperlink r:id="rId21">
              <w:r>
                <w:rPr>
                  <w:rStyle w:val="InternetLink"/>
                </w:rPr>
                <w:t>September 17, 2026</w:t>
              </w:r>
            </w:hyperlink>
            <w:r>
              <w:rPr/>
              <w:t>; and</w:t>
            </w:r>
          </w:p>
        </w:tc>
      </w:tr>
    </w:tbl>
    <w:p>
      <w:pPr>
        <w:pStyle w:val="TextBody"/>
        <w:bidi w:val="0"/>
        <w:spacing w:before="0" w:after="0"/>
        <w:ind w:left="63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common stock set forth in our registration statement on </w:t>
            </w:r>
            <w:hyperlink r:id="rId22">
              <w:r>
                <w:rPr>
                  <w:rStyle w:val="InternetLink"/>
                </w:rPr>
                <w:t>Form 8-A</w:t>
              </w:r>
            </w:hyperlink>
            <w:r>
              <w:rPr/>
              <w:t xml:space="preserve"> (File No. 001-35890), filed with the SEC on April 25, 2013, including any amendments thereto or reports filed for the purposes of updating this description, including </w:t>
            </w:r>
            <w:hyperlink r:id="rId23">
              <w:r>
                <w:rPr>
                  <w:rStyle w:val="InternetLink"/>
                </w:rPr>
                <w:t>Exhibit 4.1</w:t>
              </w:r>
            </w:hyperlink>
            <w:r>
              <w:rPr/>
              <w:t xml:space="preserve"> to our Annual Report on Form 10-K for the fiscal year ended December 31, 2025 filed with the SEC on March 30, 2026.</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(excluding information furnished pursuant to Items 2.02, 7.01 and 9.01 of Form 8-K or any other information that is identified as or is deemed “furnished” rather than filed or is otherwise not incorporated into registration statements pursuant to applicable SEC rules) that are filed by us with the SEC pursuant to Sections 13(a), 13(c), 14 or 15(d) of the Exchange Act after the date of the initial filing of the registration statement of which this prospectus forms a part and prior to the termination of this offering.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Tempest Therapeutics, Inc., Attn: Investor Relations, 2000 Sierra Point Parkway, Suite 400, Brisbane, California 94005; telephone: (415) 798-8589.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Tempest Therapeutics,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9545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695450" cy="419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9,534,164 Shares of Common Stock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NOT REQUIRED IN THE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Other Expenses of Issuance and Distribution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an estimate of the fees and expenses payable by us in connection with the sale of the securities being registered.</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140"/>
        <w:gridCol w:w="60"/>
        <w:gridCol w:w="146"/>
        <w:gridCol w:w="714"/>
        <w:gridCol w:w="75"/>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200"/>
              <w:jc w:val="left"/>
              <w:rPr/>
            </w:pPr>
            <w:r>
              <w:rPr/>
              <w:t> </w:t>
            </w:r>
          </w:p>
        </w:tc>
      </w:tr>
      <w:tr>
        <w:trPr/>
        <w:tc>
          <w:tcPr>
            <w:tcW w:w="3140" w:type="dxa"/>
            <w:tcBorders/>
            <w:shd w:fill="CCEEFF" w:val="clear"/>
            <w:vAlign w:val="center"/>
          </w:tcPr>
          <w:p>
            <w:pPr>
              <w:pStyle w:val="TableContents"/>
              <w:bidi w:val="0"/>
              <w:spacing w:before="0" w:after="283"/>
              <w:jc w:val="left"/>
              <w:rPr/>
            </w:pPr>
            <w:r>
              <w:rPr/>
              <w:t>SEC registration fees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1,133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4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15,000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35,000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40" w:type="dxa"/>
            <w:tcBorders/>
            <w:shd w:fill="FFFFFF" w:val="clear"/>
            <w:vAlign w:val="center"/>
          </w:tcPr>
          <w:p>
            <w:pPr>
              <w:pStyle w:val="TableContents"/>
              <w:bidi w:val="0"/>
              <w:spacing w:before="0" w:after="283"/>
              <w:jc w:val="left"/>
              <w:rPr/>
            </w:pPr>
            <w:r>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CCEEFF" w:val="clear"/>
            <w:tcMar>
              <w:bottom w:w="28" w:type="dxa"/>
            </w:tcMar>
            <w:vAlign w:val="center"/>
          </w:tcPr>
          <w:p>
            <w:pPr>
              <w:pStyle w:val="TableContents"/>
              <w:bidi w:val="0"/>
              <w:spacing w:before="0" w:after="283"/>
              <w:jc w:val="right"/>
              <w:rPr/>
            </w:pPr>
            <w:r>
              <w:rPr/>
              <w:t>56,133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Indemnification of Directors and Officers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145(a) of the Delaware General Corporation Law, as amended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for indemnification of our directors, officers, employees and other agents to the fullest extent permitted by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5687"/>
        <w:gridCol w:w="60"/>
        <w:gridCol w:w="815"/>
        <w:gridCol w:w="60"/>
        <w:gridCol w:w="850"/>
        <w:gridCol w:w="60"/>
        <w:gridCol w:w="650"/>
        <w:gridCol w:w="60"/>
        <w:gridCol w:w="1178"/>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5687" w:type="dxa"/>
            <w:tcBorders>
              <w:bottom w:val="single" w:sz="12" w:space="0" w:color="000000"/>
            </w:tcBorders>
            <w:vAlign w:val="center"/>
          </w:tcPr>
          <w:p>
            <w:pPr>
              <w:pStyle w:val="TableContents"/>
              <w:bidi w:val="0"/>
              <w:spacing w:before="0" w:after="283"/>
              <w:jc w:val="center"/>
              <w:rPr>
                <w:b/>
                <w:sz w:val="20"/>
              </w:rPr>
            </w:pPr>
            <w:r>
              <w:rPr>
                <w:b/>
                <w:sz w:val="20"/>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815" w:type="dxa"/>
            <w:tcBorders>
              <w:bottom w:val="single" w:sz="12" w:space="0" w:color="000000"/>
            </w:tcBorders>
            <w:vAlign w:val="center"/>
          </w:tcPr>
          <w:p>
            <w:pPr>
              <w:pStyle w:val="TableContents"/>
              <w:bidi w:val="0"/>
              <w:jc w:val="center"/>
              <w:rPr>
                <w:b/>
                <w:sz w:val="20"/>
              </w:rPr>
            </w:pPr>
            <w:r>
              <w:rPr>
                <w:b/>
                <w:sz w:val="20"/>
              </w:rPr>
              <w:t>Schedule /</w:t>
            </w:r>
          </w:p>
          <w:p>
            <w:pPr>
              <w:pStyle w:val="TableContents"/>
              <w:bidi w:val="0"/>
              <w:spacing w:before="0" w:after="283"/>
              <w:jc w:val="center"/>
              <w:rPr>
                <w:b/>
                <w:sz w:val="20"/>
              </w:rPr>
            </w:pPr>
            <w:r>
              <w:rPr>
                <w:b/>
                <w:sz w:val="20"/>
              </w:rPr>
              <w:t>Form</w:t>
            </w:r>
          </w:p>
        </w:tc>
        <w:tc>
          <w:tcPr>
            <w:tcW w:w="60" w:type="dxa"/>
            <w:tcBorders/>
            <w:tcMar>
              <w:bottom w:w="0" w:type="dxa"/>
            </w:tcMar>
            <w:vAlign w:val="center"/>
          </w:tcPr>
          <w:p>
            <w:pPr>
              <w:pStyle w:val="TableContents"/>
              <w:bidi w:val="0"/>
              <w:spacing w:before="0" w:after="283"/>
              <w:jc w:val="center"/>
              <w:rPr/>
            </w:pPr>
            <w:r>
              <w:rPr/>
              <w:t> </w:t>
            </w:r>
          </w:p>
        </w:tc>
        <w:tc>
          <w:tcPr>
            <w:tcW w:w="850" w:type="dxa"/>
            <w:tcBorders>
              <w:bottom w:val="single" w:sz="12" w:space="0" w:color="000000"/>
            </w:tcBorders>
            <w:vAlign w:val="center"/>
          </w:tcPr>
          <w:p>
            <w:pPr>
              <w:pStyle w:val="TableContents"/>
              <w:bidi w:val="0"/>
              <w:spacing w:before="0" w:after="283"/>
              <w:jc w:val="center"/>
              <w:rPr>
                <w:b/>
                <w:sz w:val="20"/>
              </w:rPr>
            </w:pPr>
            <w:r>
              <w:rPr>
                <w:b/>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650" w:type="dxa"/>
            <w:tcBorders>
              <w:bottom w:val="single" w:sz="12" w:space="0" w:color="000000"/>
            </w:tcBorders>
            <w:vAlign w:val="center"/>
          </w:tcPr>
          <w:p>
            <w:pPr>
              <w:pStyle w:val="TableContents"/>
              <w:bidi w:val="0"/>
              <w:spacing w:before="0" w:after="283"/>
              <w:jc w:val="center"/>
              <w:rPr>
                <w:b/>
                <w:sz w:val="20"/>
              </w:rPr>
            </w:pPr>
            <w:r>
              <w:rPr>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1178" w:type="dxa"/>
            <w:tcBorders>
              <w:bottom w:val="single" w:sz="12" w:space="0" w:color="000000"/>
            </w:tcBorders>
            <w:vAlign w:val="center"/>
          </w:tcPr>
          <w:p>
            <w:pPr>
              <w:pStyle w:val="TableContents"/>
              <w:bidi w:val="0"/>
              <w:spacing w:before="0" w:after="283"/>
              <w:jc w:val="center"/>
              <w:rPr>
                <w:b/>
                <w:sz w:val="20"/>
              </w:rPr>
            </w:pPr>
            <w:r>
              <w:rPr>
                <w:b/>
                <w:sz w:val="20"/>
              </w:rPr>
              <w:t>File Date</w:t>
            </w:r>
          </w:p>
        </w:tc>
      </w:tr>
      <w:tr>
        <w:trPr/>
        <w:tc>
          <w:tcPr>
            <w:tcW w:w="725" w:type="dxa"/>
            <w:tcBorders/>
            <w:tcMar>
              <w:bottom w:w="0" w:type="dxa"/>
            </w:tcMar>
            <w:vAlign w:val="center"/>
          </w:tcPr>
          <w:p>
            <w:pPr>
              <w:pStyle w:val="TableContents"/>
              <w:bidi w:val="0"/>
              <w:spacing w:before="0" w:after="283"/>
              <w:jc w:val="left"/>
              <w:rPr/>
            </w:pPr>
            <w:r>
              <w:rPr/>
              <w:t> </w:t>
            </w:r>
          </w:p>
        </w:tc>
        <w:tc>
          <w:tcPr>
            <w:tcW w:w="5747" w:type="dxa"/>
            <w:gridSpan w:val="2"/>
            <w:tcBorders/>
            <w:tcMar>
              <w:bottom w:w="0" w:type="dxa"/>
            </w:tcMar>
            <w:vAlign w:val="center"/>
          </w:tcPr>
          <w:p>
            <w:pPr>
              <w:pStyle w:val="TableContents"/>
              <w:bidi w:val="0"/>
              <w:spacing w:before="0" w:after="283"/>
              <w:jc w:val="left"/>
              <w:rPr/>
            </w:pPr>
            <w:r>
              <w:rPr/>
              <w:t> </w:t>
            </w:r>
          </w:p>
        </w:tc>
        <w:tc>
          <w:tcPr>
            <w:tcW w:w="875" w:type="dxa"/>
            <w:gridSpan w:val="2"/>
            <w:tcBorders/>
            <w:tcMar>
              <w:bottom w:w="0" w:type="dxa"/>
            </w:tcMar>
            <w:vAlign w:val="center"/>
          </w:tcPr>
          <w:p>
            <w:pPr>
              <w:pStyle w:val="TableContents"/>
              <w:bidi w:val="0"/>
              <w:spacing w:before="0" w:after="283"/>
              <w:jc w:val="left"/>
              <w:rPr/>
            </w:pPr>
            <w:r>
              <w:rPr/>
              <w:t> </w:t>
            </w:r>
          </w:p>
        </w:tc>
        <w:tc>
          <w:tcPr>
            <w:tcW w:w="910" w:type="dxa"/>
            <w:gridSpan w:val="2"/>
            <w:tcBorders/>
            <w:tcMar>
              <w:bottom w:w="0" w:type="dxa"/>
            </w:tcMar>
            <w:vAlign w:val="center"/>
          </w:tcPr>
          <w:p>
            <w:pPr>
              <w:pStyle w:val="TableContents"/>
              <w:bidi w:val="0"/>
              <w:spacing w:before="0" w:after="283"/>
              <w:jc w:val="left"/>
              <w:rPr/>
            </w:pPr>
            <w:r>
              <w:rPr/>
              <w:t> </w:t>
            </w:r>
          </w:p>
        </w:tc>
        <w:tc>
          <w:tcPr>
            <w:tcW w:w="710" w:type="dxa"/>
            <w:gridSpan w:val="2"/>
            <w:tcBorders/>
            <w:tcMar>
              <w:bottom w:w="0" w:type="dxa"/>
            </w:tcMar>
            <w:vAlign w:val="center"/>
          </w:tcPr>
          <w:p>
            <w:pPr>
              <w:pStyle w:val="TableContents"/>
              <w:bidi w:val="0"/>
              <w:spacing w:before="0" w:after="283"/>
              <w:jc w:val="left"/>
              <w:rPr/>
            </w:pPr>
            <w:r>
              <w:rPr/>
              <w:t> </w:t>
            </w:r>
          </w:p>
        </w:tc>
        <w:tc>
          <w:tcPr>
            <w:tcW w:w="1238" w:type="dxa"/>
            <w:gridSpan w:val="2"/>
            <w:tcBorders/>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25">
              <w:r>
                <w:rPr>
                  <w:rStyle w:val="InternetLink"/>
                  <w:sz w:val="20"/>
                </w:rPr>
                <w:t xml:space="preserve">Restated Certificate of Incorporation of the Registrant, as amended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10-Q</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May 15, 2019</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26">
              <w:r>
                <w:rPr>
                  <w:rStyle w:val="InternetLink"/>
                  <w:sz w:val="20"/>
                </w:rPr>
                <w:t xml:space="preserve">Certificate of Amendment to the Restated Certificate of Incorporation of the Company, as filed with the Secretary of State of the State of Delaware on June 24, 2021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June 28, 2021</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27">
              <w:r>
                <w:rPr>
                  <w:rStyle w:val="InternetLink"/>
                  <w:sz w:val="20"/>
                </w:rPr>
                <w:t xml:space="preserve">Certificate of Amendment to the Restated Certificate of Incorporation of the Company, as filed with the Secretary of State of the State of Delaware on June 25, 2021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June 28, 2021</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28">
              <w:r>
                <w:rPr>
                  <w:rStyle w:val="InternetLink"/>
                  <w:sz w:val="20"/>
                </w:rPr>
                <w:t xml:space="preserve">Certificate of Designation of Series A Junior Participating Preferred Stock filed with the Secretary of State of the State of Delaware on October 10, 2023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October 11, 2023</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29">
              <w:r>
                <w:rPr>
                  <w:rStyle w:val="InternetLink"/>
                  <w:sz w:val="20"/>
                </w:rPr>
                <w:t xml:space="preserve">Certificate of Amendment to the Restated Certificate of Incorporation of the Company, as filed with the Secretary of State of the State of Delaware on April 4, 2025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April 7, 2025</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3</w:t>
            </w:r>
            <w:r>
              <w:rPr>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30">
              <w:r>
                <w:rPr>
                  <w:rStyle w:val="InternetLink"/>
                  <w:sz w:val="20"/>
                </w:rPr>
                <w:t xml:space="preserve">Amended and Restated Bylaws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September 24, 2021</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31">
              <w:r>
                <w:rPr>
                  <w:rStyle w:val="InternetLink"/>
                  <w:sz w:val="20"/>
                </w:rPr>
                <w:t xml:space="preserve">Form of Pre-Funded Warrant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September 15, 2026</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32">
              <w:r>
                <w:rPr>
                  <w:rStyle w:val="InternetLink"/>
                  <w:sz w:val="20"/>
                </w:rPr>
                <w:t xml:space="preserve">Form of Common Warrant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September 15, 2026</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w:anchor="ea030662601ex5-1.htm">
              <w:r>
                <w:rPr>
                  <w:rStyle w:val="InternetLink"/>
                  <w:sz w:val="20"/>
                </w:rPr>
                <w:t>Opinion of Greenberg Traurig, LLP</w:t>
              </w:r>
            </w:hyperlink>
            <w:r>
              <w:rPr>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33">
              <w:r>
                <w:rPr>
                  <w:rStyle w:val="InternetLink"/>
                  <w:sz w:val="20"/>
                </w:rPr>
                <w:t xml:space="preserve">Form of Securities Purchase Agreement </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September 15, 2026</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8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8"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r:id="rId34">
              <w:r>
                <w:rPr>
                  <w:rStyle w:val="InternetLink"/>
                  <w:sz w:val="20"/>
                </w:rPr>
                <w:t>Form of Registration Rights Agreement</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sz w:val="20"/>
              </w:rPr>
            </w:pPr>
            <w:r>
              <w:rPr>
                <w:sz w:val="20"/>
              </w:rPr>
              <w:t>Form 8-K</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sz w:val="20"/>
              </w:rPr>
            </w:pPr>
            <w:r>
              <w:rPr>
                <w:sz w:val="20"/>
              </w:rPr>
              <w:t>001-35890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September 15, 2026</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w:anchor="ea030662601ex23-1.htm">
              <w:r>
                <w:rPr>
                  <w:rStyle w:val="InternetLink"/>
                  <w:sz w:val="20"/>
                </w:rPr>
                <w:t>Consent of Ernst &amp; Young LLP, independent registered public accounting firm</w:t>
              </w:r>
            </w:hyperlink>
            <w:r>
              <w:rPr>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w:anchor="ea030662601ex5-1.htm">
              <w:r>
                <w:rPr>
                  <w:rStyle w:val="InternetLink"/>
                  <w:sz w:val="20"/>
                </w:rPr>
                <w:t>Consent of Greenberg Traurig, LLP (included in legal opinion filed as Exhibit 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w:anchor="a_012">
              <w:r>
                <w:rPr>
                  <w:rStyle w:val="InternetLink"/>
                  <w:sz w:val="20"/>
                </w:rPr>
                <w:t>Power of Attorney (see signature page to this registration statement)</w:t>
              </w:r>
            </w:hyperlink>
            <w:r>
              <w:rPr>
                <w:sz w:val="20"/>
              </w:rPr>
              <w:t xml:space="preserv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5747" w:type="dxa"/>
            <w:gridSpan w:val="2"/>
            <w:tcBorders/>
            <w:shd w:fill="FFFFFF" w:val="clear"/>
            <w:tcMar>
              <w:bottom w:w="0" w:type="dxa"/>
            </w:tcMar>
            <w:vAlign w:val="center"/>
          </w:tcPr>
          <w:p>
            <w:pPr>
              <w:pStyle w:val="TableContents"/>
              <w:bidi w:val="0"/>
              <w:spacing w:before="0" w:after="283"/>
              <w:jc w:val="left"/>
              <w:rPr/>
            </w:pPr>
            <w:r>
              <w:rPr/>
              <w:t> </w:t>
            </w:r>
          </w:p>
        </w:tc>
        <w:tc>
          <w:tcPr>
            <w:tcW w:w="875" w:type="dxa"/>
            <w:gridSpan w:val="2"/>
            <w:tcBorders/>
            <w:shd w:fill="FFFFFF" w:val="clear"/>
            <w:tcMar>
              <w:bottom w:w="0" w:type="dxa"/>
            </w:tcMar>
            <w:vAlign w:val="center"/>
          </w:tcPr>
          <w:p>
            <w:pPr>
              <w:pStyle w:val="TableContents"/>
              <w:bidi w:val="0"/>
              <w:spacing w:before="0" w:after="283"/>
              <w:jc w:val="left"/>
              <w:rPr/>
            </w:pPr>
            <w:r>
              <w:rPr/>
              <w:t> </w:t>
            </w:r>
          </w:p>
        </w:tc>
        <w:tc>
          <w:tcPr>
            <w:tcW w:w="910" w:type="dxa"/>
            <w:gridSpan w:val="2"/>
            <w:tcBorders/>
            <w:shd w:fill="FFFFFF" w:val="clear"/>
            <w:tcMar>
              <w:bottom w:w="0" w:type="dxa"/>
            </w:tcMar>
            <w:vAlign w:val="center"/>
          </w:tcPr>
          <w:p>
            <w:pPr>
              <w:pStyle w:val="TableContents"/>
              <w:bidi w:val="0"/>
              <w:spacing w:before="0" w:after="283"/>
              <w:jc w:val="left"/>
              <w:rPr/>
            </w:pPr>
            <w:r>
              <w:rPr/>
              <w:t> </w:t>
            </w:r>
          </w:p>
        </w:tc>
        <w:tc>
          <w:tcPr>
            <w:tcW w:w="710" w:type="dxa"/>
            <w:gridSpan w:val="2"/>
            <w:tcBorders/>
            <w:shd w:fill="FFFFFF" w:val="clear"/>
            <w:tcMar>
              <w:bottom w:w="0" w:type="dxa"/>
            </w:tcMar>
            <w:vAlign w:val="center"/>
          </w:tcPr>
          <w:p>
            <w:pPr>
              <w:pStyle w:val="TableContents"/>
              <w:bidi w:val="0"/>
              <w:spacing w:before="0" w:after="283"/>
              <w:jc w:val="left"/>
              <w:rPr/>
            </w:pPr>
            <w:r>
              <w:rPr/>
              <w:t> </w:t>
            </w:r>
          </w:p>
        </w:tc>
        <w:tc>
          <w:tcPr>
            <w:tcW w:w="1238"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87" w:type="dxa"/>
            <w:tcBorders/>
            <w:shd w:fill="CCEEFF" w:val="clear"/>
            <w:tcMar>
              <w:bottom w:w="0" w:type="dxa"/>
            </w:tcMar>
            <w:vAlign w:val="center"/>
          </w:tcPr>
          <w:p>
            <w:pPr>
              <w:pStyle w:val="TableContents"/>
              <w:bidi w:val="0"/>
              <w:spacing w:before="0" w:after="283"/>
              <w:jc w:val="left"/>
              <w:rPr/>
            </w:pPr>
            <w:hyperlink w:anchor="ea030662601ex-fee.htm">
              <w:r>
                <w:rPr>
                  <w:rStyle w:val="InternetLink"/>
                  <w:sz w:val="20"/>
                </w:rPr>
                <w:t>Filing Fee Table</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8" w:type="dxa"/>
            <w:tcBorders/>
            <w:shd w:fill="CCEEFF" w:val="clear"/>
            <w:tcMar>
              <w:bottom w:w="0" w:type="dxa"/>
            </w:tcMar>
            <w:vAlign w:val="center"/>
          </w:tcPr>
          <w:p>
            <w:pPr>
              <w:pStyle w:val="TableContents"/>
              <w:bidi w:val="0"/>
              <w:spacing w:before="0" w:after="283"/>
              <w:jc w:val="center"/>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sz w:val="20"/>
              </w:rPr>
            </w:pPr>
            <w:r>
              <w:rPr>
                <w:sz w:val="20"/>
              </w:rPr>
              <w:t>*</w:t>
            </w:r>
          </w:p>
        </w:tc>
        <w:tc>
          <w:tcPr>
            <w:tcW w:w="1205"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Undertakings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36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(1)(ii) and (1)(iii)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Brisbane, State of California, on September 25, 2026.</w:t>
      </w:r>
    </w:p>
    <w:p>
      <w:pPr>
        <w:pStyle w:val="TextBody"/>
        <w:bidi w:val="0"/>
        <w:spacing w:before="0" w:after="0"/>
        <w:ind w:left="0" w:right="0" w:hanging="0"/>
        <w:jc w:val="left"/>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446"/>
        <w:gridCol w:w="2588"/>
        <w:gridCol w:w="75"/>
      </w:tblGrid>
      <w:tr>
        <w:trPr/>
        <w:tc>
          <w:tcPr>
            <w:tcW w:w="3034" w:type="dxa"/>
            <w:gridSpan w:val="2"/>
            <w:tcBorders/>
            <w:vAlign w:val="center"/>
          </w:tcPr>
          <w:p>
            <w:pPr>
              <w:pStyle w:val="TableContents"/>
              <w:bidi w:val="0"/>
              <w:spacing w:before="0" w:after="283"/>
              <w:jc w:val="left"/>
              <w:rPr>
                <w:b/>
                <w:sz w:val="20"/>
              </w:rPr>
            </w:pPr>
            <w:r>
              <w:rPr>
                <w:b/>
                <w:sz w:val="20"/>
              </w:rPr>
              <w:t>TEMPEST THERAPEUTICS, INC.</w:t>
            </w:r>
          </w:p>
        </w:tc>
        <w:tc>
          <w:tcPr>
            <w:tcW w:w="75" w:type="dxa"/>
            <w:tcBorders/>
            <w:vAlign w:val="center"/>
          </w:tcPr>
          <w:p>
            <w:pPr>
              <w:pStyle w:val="TableContents"/>
              <w:bidi w:val="0"/>
              <w:spacing w:before="0" w:after="283"/>
              <w:jc w:val="left"/>
              <w:rPr/>
            </w:pPr>
            <w:r>
              <w:rPr/>
              <w:t> </w:t>
            </w:r>
          </w:p>
        </w:tc>
      </w:tr>
      <w:tr>
        <w:trPr/>
        <w:tc>
          <w:tcPr>
            <w:tcW w:w="446" w:type="dxa"/>
            <w:tcBorders/>
            <w:vAlign w:val="center"/>
          </w:tcPr>
          <w:p>
            <w:pPr>
              <w:pStyle w:val="TableContents"/>
              <w:bidi w:val="0"/>
              <w:spacing w:before="0" w:after="283"/>
              <w:jc w:val="left"/>
              <w:rPr/>
            </w:pPr>
            <w:r>
              <w:rPr/>
              <w:t> </w:t>
            </w:r>
          </w:p>
        </w:tc>
        <w:tc>
          <w:tcPr>
            <w:tcW w:w="25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6" w:type="dxa"/>
            <w:tcBorders/>
            <w:vAlign w:val="center"/>
          </w:tcPr>
          <w:p>
            <w:pPr>
              <w:pStyle w:val="TableContents"/>
              <w:bidi w:val="0"/>
              <w:spacing w:before="0" w:after="283"/>
              <w:jc w:val="left"/>
              <w:rPr>
                <w:sz w:val="20"/>
              </w:rPr>
            </w:pPr>
            <w:r>
              <w:rPr>
                <w:sz w:val="20"/>
              </w:rPr>
              <w:t>By:</w:t>
            </w:r>
          </w:p>
        </w:tc>
        <w:tc>
          <w:tcPr>
            <w:tcW w:w="2588"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Angel</w:t>
            </w:r>
          </w:p>
        </w:tc>
        <w:tc>
          <w:tcPr>
            <w:tcW w:w="75" w:type="dxa"/>
            <w:tcBorders/>
            <w:vAlign w:val="center"/>
          </w:tcPr>
          <w:p>
            <w:pPr>
              <w:pStyle w:val="TableContents"/>
              <w:bidi w:val="0"/>
              <w:spacing w:before="0" w:after="283"/>
              <w:jc w:val="left"/>
              <w:rPr/>
            </w:pPr>
            <w:r>
              <w:rPr/>
              <w:t> </w:t>
            </w:r>
          </w:p>
        </w:tc>
      </w:tr>
      <w:tr>
        <w:trPr/>
        <w:tc>
          <w:tcPr>
            <w:tcW w:w="446" w:type="dxa"/>
            <w:tcBorders/>
            <w:vAlign w:val="center"/>
          </w:tcPr>
          <w:p>
            <w:pPr>
              <w:pStyle w:val="TableContents"/>
              <w:bidi w:val="0"/>
              <w:spacing w:before="0" w:after="283"/>
              <w:jc w:val="left"/>
              <w:rPr/>
            </w:pPr>
            <w:r>
              <w:rPr/>
              <w:t> </w:t>
            </w:r>
          </w:p>
        </w:tc>
        <w:tc>
          <w:tcPr>
            <w:tcW w:w="2588" w:type="dxa"/>
            <w:tcBorders/>
            <w:vAlign w:val="center"/>
          </w:tcPr>
          <w:p>
            <w:pPr>
              <w:pStyle w:val="TableContents"/>
              <w:bidi w:val="0"/>
              <w:spacing w:before="0" w:after="283"/>
              <w:jc w:val="left"/>
              <w:rPr>
                <w:sz w:val="20"/>
              </w:rPr>
            </w:pPr>
            <w:r>
              <w:rPr>
                <w:sz w:val="20"/>
              </w:rPr>
              <w:t>Matthew Angel</w:t>
            </w:r>
          </w:p>
        </w:tc>
        <w:tc>
          <w:tcPr>
            <w:tcW w:w="75" w:type="dxa"/>
            <w:tcBorders/>
            <w:vAlign w:val="center"/>
          </w:tcPr>
          <w:p>
            <w:pPr>
              <w:pStyle w:val="TableContents"/>
              <w:bidi w:val="0"/>
              <w:spacing w:before="0" w:after="283"/>
              <w:jc w:val="left"/>
              <w:rPr/>
            </w:pPr>
            <w:r>
              <w:rPr/>
              <w:t> </w:t>
            </w:r>
          </w:p>
        </w:tc>
      </w:tr>
      <w:tr>
        <w:trPr/>
        <w:tc>
          <w:tcPr>
            <w:tcW w:w="446" w:type="dxa"/>
            <w:tcBorders/>
            <w:vAlign w:val="center"/>
          </w:tcPr>
          <w:p>
            <w:pPr>
              <w:pStyle w:val="TableContents"/>
              <w:bidi w:val="0"/>
              <w:spacing w:before="0" w:after="283"/>
              <w:jc w:val="left"/>
              <w:rPr/>
            </w:pPr>
            <w:r>
              <w:rPr/>
              <w:t> </w:t>
            </w:r>
          </w:p>
        </w:tc>
        <w:tc>
          <w:tcPr>
            <w:tcW w:w="2588"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Matthew Angel and Constance Ames, and each of them, as true and lawful attorneys-in-fact and agents, with full powers of substitution and resubstitution, for them and in their name, place and stead, in any and all capacities, to sign any and all amendments (including pre-effective and post-effective amendments) to this registration statement, and to sign any registration statement for the same offering covered by this registration statement that is to be effective upon filing pursuant to Rule 462 under the Securities Act of 1933, as amended, and to file the same, with all exhibits thereto, and other documents in connection therewith, with the Securities and Exchange Commission, and generally to do all such things in their names and behalf in their capacities as officers and directors to enable Tempest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2165"/>
        <w:gridCol w:w="60"/>
        <w:gridCol w:w="4715"/>
        <w:gridCol w:w="60"/>
        <w:gridCol w:w="1655"/>
      </w:tblGrid>
      <w:tr>
        <w:trPr/>
        <w:tc>
          <w:tcPr>
            <w:tcW w:w="2165" w:type="dxa"/>
            <w:tcBorders>
              <w:bottom w:val="single" w:sz="12" w:space="0" w:color="000000"/>
            </w:tcBorders>
            <w:vAlign w:val="center"/>
          </w:tcPr>
          <w:p>
            <w:pPr>
              <w:pStyle w:val="TableContents"/>
              <w:bidi w:val="0"/>
              <w:spacing w:before="0" w:after="283"/>
              <w:jc w:val="center"/>
              <w:rPr>
                <w:b/>
                <w:sz w:val="20"/>
              </w:rPr>
            </w:pPr>
            <w:r>
              <w:rPr>
                <w:b/>
                <w:sz w:val="20"/>
              </w:rPr>
              <w:t>Signatures</w:t>
            </w:r>
          </w:p>
        </w:tc>
        <w:tc>
          <w:tcPr>
            <w:tcW w:w="60" w:type="dxa"/>
            <w:tcBorders/>
            <w:tcMar>
              <w:bottom w:w="0" w:type="dxa"/>
            </w:tcMar>
            <w:vAlign w:val="center"/>
          </w:tcPr>
          <w:p>
            <w:pPr>
              <w:pStyle w:val="TableContents"/>
              <w:bidi w:val="0"/>
              <w:spacing w:before="0" w:after="283"/>
              <w:jc w:val="left"/>
              <w:rPr/>
            </w:pPr>
            <w:r>
              <w:rPr/>
              <w:t> </w:t>
            </w:r>
          </w:p>
        </w:tc>
        <w:tc>
          <w:tcPr>
            <w:tcW w:w="4715"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2165" w:type="dxa"/>
            <w:tcBorders/>
            <w:tcMar>
              <w:bottom w:w="0" w:type="dxa"/>
            </w:tcMar>
            <w:vAlign w:val="center"/>
          </w:tcPr>
          <w:p>
            <w:pPr>
              <w:pStyle w:val="TableContents"/>
              <w:bidi w:val="0"/>
              <w:spacing w:before="0" w:after="283"/>
              <w:jc w:val="left"/>
              <w:rPr/>
            </w:pPr>
            <w:r>
              <w:rPr/>
              <w:t> </w:t>
            </w:r>
          </w:p>
        </w:tc>
        <w:tc>
          <w:tcPr>
            <w:tcW w:w="4775" w:type="dxa"/>
            <w:gridSpan w:val="2"/>
            <w:tcBorders/>
            <w:tcMar>
              <w:bottom w:w="0" w:type="dxa"/>
            </w:tcMar>
            <w:vAlign w:val="center"/>
          </w:tcPr>
          <w:p>
            <w:pPr>
              <w:pStyle w:val="TableContents"/>
              <w:bidi w:val="0"/>
              <w:spacing w:before="0" w:after="283"/>
              <w:jc w:val="left"/>
              <w:rPr/>
            </w:pPr>
            <w:r>
              <w:rPr/>
              <w:t> </w:t>
            </w:r>
          </w:p>
        </w:tc>
        <w:tc>
          <w:tcPr>
            <w:tcW w:w="1715" w:type="dxa"/>
            <w:gridSpan w:val="2"/>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Matthew Angel</w:t>
            </w:r>
          </w:p>
        </w:tc>
        <w:tc>
          <w:tcPr>
            <w:tcW w:w="60" w:type="dxa"/>
            <w:tcBorders/>
            <w:tcMar>
              <w:bottom w:w="0" w:type="dxa"/>
            </w:tcMar>
            <w:vAlign w:val="center"/>
          </w:tcPr>
          <w:p>
            <w:pPr>
              <w:pStyle w:val="TableContents"/>
              <w:bidi w:val="0"/>
              <w:spacing w:before="0" w:after="283"/>
              <w:jc w:val="left"/>
              <w:rPr/>
            </w:pPr>
            <w:r>
              <w:rPr/>
              <w:t> </w:t>
            </w:r>
          </w:p>
        </w:tc>
        <w:tc>
          <w:tcPr>
            <w:tcW w:w="471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25, 2026</w:t>
            </w:r>
          </w:p>
        </w:tc>
      </w:tr>
      <w:tr>
        <w:trPr/>
        <w:tc>
          <w:tcPr>
            <w:tcW w:w="2165" w:type="dxa"/>
            <w:tcBorders/>
            <w:tcMar>
              <w:bottom w:w="0" w:type="dxa"/>
            </w:tcMar>
            <w:vAlign w:val="center"/>
          </w:tcPr>
          <w:p>
            <w:pPr>
              <w:pStyle w:val="TableContents"/>
              <w:bidi w:val="0"/>
              <w:spacing w:before="0" w:after="283"/>
              <w:jc w:val="center"/>
              <w:rPr/>
            </w:pPr>
            <w:r>
              <w:rPr/>
              <w:t>Matthew Angel</w:t>
            </w:r>
          </w:p>
        </w:tc>
        <w:tc>
          <w:tcPr>
            <w:tcW w:w="60" w:type="dxa"/>
            <w:tcBorders/>
            <w:tcMar>
              <w:bottom w:w="0" w:type="dxa"/>
            </w:tcMar>
            <w:vAlign w:val="center"/>
          </w:tcPr>
          <w:p>
            <w:pPr>
              <w:pStyle w:val="TableContents"/>
              <w:bidi w:val="0"/>
              <w:spacing w:before="0" w:after="283"/>
              <w:jc w:val="left"/>
              <w:rPr/>
            </w:pPr>
            <w:r>
              <w:rPr/>
              <w:t> </w:t>
            </w:r>
          </w:p>
        </w:tc>
        <w:tc>
          <w:tcPr>
            <w:tcW w:w="4715" w:type="dxa"/>
            <w:tcBorders/>
            <w:tcMar>
              <w:bottom w:w="0" w:type="dxa"/>
            </w:tcMar>
            <w:vAlign w:val="center"/>
          </w:tcPr>
          <w:p>
            <w:pPr>
              <w:pStyle w:val="TableContents"/>
              <w:bidi w:val="0"/>
              <w:spacing w:before="0" w:after="283"/>
              <w:jc w:val="left"/>
              <w:rPr>
                <w:i/>
              </w:rPr>
            </w:pPr>
            <w:r>
              <w:rPr>
                <w:i/>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4775" w:type="dxa"/>
            <w:gridSpan w:val="2"/>
            <w:tcBorders/>
            <w:tcMar>
              <w:bottom w:w="0" w:type="dxa"/>
            </w:tcMar>
            <w:vAlign w:val="center"/>
          </w:tcPr>
          <w:p>
            <w:pPr>
              <w:pStyle w:val="TableContents"/>
              <w:bidi w:val="0"/>
              <w:spacing w:before="0" w:after="283"/>
              <w:jc w:val="left"/>
              <w:rPr/>
            </w:pPr>
            <w:r>
              <w:rPr/>
              <w:t> </w:t>
            </w:r>
          </w:p>
        </w:tc>
        <w:tc>
          <w:tcPr>
            <w:tcW w:w="1715" w:type="dxa"/>
            <w:gridSpan w:val="2"/>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Constance Ames</w:t>
            </w:r>
          </w:p>
        </w:tc>
        <w:tc>
          <w:tcPr>
            <w:tcW w:w="60" w:type="dxa"/>
            <w:tcBorders/>
            <w:tcMar>
              <w:bottom w:w="0" w:type="dxa"/>
            </w:tcMar>
            <w:vAlign w:val="center"/>
          </w:tcPr>
          <w:p>
            <w:pPr>
              <w:pStyle w:val="TableContents"/>
              <w:bidi w:val="0"/>
              <w:spacing w:before="0" w:after="283"/>
              <w:jc w:val="left"/>
              <w:rPr/>
            </w:pPr>
            <w:r>
              <w:rPr/>
              <w:t> </w:t>
            </w:r>
          </w:p>
        </w:tc>
        <w:tc>
          <w:tcPr>
            <w:tcW w:w="471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Corporate Secretary and Treasurer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25, 2026</w:t>
            </w:r>
          </w:p>
        </w:tc>
      </w:tr>
      <w:tr>
        <w:trPr/>
        <w:tc>
          <w:tcPr>
            <w:tcW w:w="2165" w:type="dxa"/>
            <w:tcBorders/>
            <w:tcMar>
              <w:bottom w:w="0" w:type="dxa"/>
            </w:tcMar>
            <w:vAlign w:val="center"/>
          </w:tcPr>
          <w:p>
            <w:pPr>
              <w:pStyle w:val="TableContents"/>
              <w:bidi w:val="0"/>
              <w:spacing w:before="0" w:after="283"/>
              <w:jc w:val="center"/>
              <w:rPr/>
            </w:pPr>
            <w:r>
              <w:rPr/>
              <w:t>Constance Ames</w:t>
            </w:r>
          </w:p>
        </w:tc>
        <w:tc>
          <w:tcPr>
            <w:tcW w:w="60" w:type="dxa"/>
            <w:tcBorders/>
            <w:tcMar>
              <w:bottom w:w="0" w:type="dxa"/>
            </w:tcMar>
            <w:vAlign w:val="center"/>
          </w:tcPr>
          <w:p>
            <w:pPr>
              <w:pStyle w:val="TableContents"/>
              <w:bidi w:val="0"/>
              <w:spacing w:before="0" w:after="283"/>
              <w:jc w:val="left"/>
              <w:rPr/>
            </w:pPr>
            <w:r>
              <w:rPr/>
              <w:t> </w:t>
            </w:r>
          </w:p>
        </w:tc>
        <w:tc>
          <w:tcPr>
            <w:tcW w:w="4715" w:type="dxa"/>
            <w:tcBorders/>
            <w:tcMar>
              <w:bottom w:w="0" w:type="dxa"/>
            </w:tcMar>
            <w:vAlign w:val="center"/>
          </w:tcPr>
          <w:p>
            <w:pPr>
              <w:pStyle w:val="TableContents"/>
              <w:bidi w:val="0"/>
              <w:spacing w:before="0" w:after="283"/>
              <w:jc w:val="left"/>
              <w:rPr/>
            </w:pPr>
            <w:r>
              <w:rPr/>
              <w:t>(</w:t>
            </w:r>
            <w:r>
              <w:rPr>
                <w:i/>
              </w:rPr>
              <w:t>Principal Financial and Accounting Officer</w:t>
            </w:r>
            <w:r>
              <w:rPr/>
              <w:t>)</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4775" w:type="dxa"/>
            <w:gridSpan w:val="2"/>
            <w:tcBorders/>
            <w:tcMar>
              <w:bottom w:w="0" w:type="dxa"/>
            </w:tcMar>
            <w:vAlign w:val="center"/>
          </w:tcPr>
          <w:p>
            <w:pPr>
              <w:pStyle w:val="TableContents"/>
              <w:bidi w:val="0"/>
              <w:spacing w:before="0" w:after="283"/>
              <w:jc w:val="left"/>
              <w:rPr/>
            </w:pPr>
            <w:r>
              <w:rPr/>
              <w:t> </w:t>
            </w:r>
          </w:p>
        </w:tc>
        <w:tc>
          <w:tcPr>
            <w:tcW w:w="1715" w:type="dxa"/>
            <w:gridSpan w:val="2"/>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Nancy Freda-Smith</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25, 2026</w:t>
            </w:r>
          </w:p>
        </w:tc>
      </w:tr>
      <w:tr>
        <w:trPr/>
        <w:tc>
          <w:tcPr>
            <w:tcW w:w="2165" w:type="dxa"/>
            <w:tcBorders/>
            <w:tcMar>
              <w:bottom w:w="0" w:type="dxa"/>
            </w:tcMar>
            <w:vAlign w:val="center"/>
          </w:tcPr>
          <w:p>
            <w:pPr>
              <w:pStyle w:val="TableContents"/>
              <w:bidi w:val="0"/>
              <w:spacing w:before="0" w:after="283"/>
              <w:jc w:val="center"/>
              <w:rPr>
                <w:sz w:val="20"/>
              </w:rPr>
            </w:pPr>
            <w:r>
              <w:rPr>
                <w:sz w:val="20"/>
              </w:rPr>
              <w:t>Nancy Freda-Smith</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1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Drake Richey</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25, 2026</w:t>
            </w:r>
          </w:p>
        </w:tc>
      </w:tr>
      <w:tr>
        <w:trPr/>
        <w:tc>
          <w:tcPr>
            <w:tcW w:w="2165" w:type="dxa"/>
            <w:tcBorders/>
            <w:tcMar>
              <w:bottom w:w="0" w:type="dxa"/>
            </w:tcMar>
            <w:vAlign w:val="center"/>
          </w:tcPr>
          <w:p>
            <w:pPr>
              <w:pStyle w:val="TableContents"/>
              <w:bidi w:val="0"/>
              <w:spacing w:before="0" w:after="283"/>
              <w:jc w:val="center"/>
              <w:rPr/>
            </w:pPr>
            <w:r>
              <w:rPr/>
              <w:t>William Drake Richey</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165" w:type="dxa"/>
            <w:tcBorders/>
            <w:tcMar>
              <w:bottom w:w="0" w:type="dxa"/>
            </w:tcMar>
            <w:vAlign w:val="center"/>
          </w:tcPr>
          <w:p>
            <w:pPr>
              <w:pStyle w:val="TableContents"/>
              <w:bidi w:val="0"/>
              <w:spacing w:before="0" w:after="283"/>
              <w:jc w:val="left"/>
              <w:rPr/>
            </w:pPr>
            <w:r>
              <w:rPr/>
              <w:t> </w:t>
            </w:r>
          </w:p>
        </w:tc>
        <w:tc>
          <w:tcPr>
            <w:tcW w:w="4775" w:type="dxa"/>
            <w:gridSpan w:val="2"/>
            <w:tcBorders/>
            <w:tcMar>
              <w:bottom w:w="0" w:type="dxa"/>
            </w:tcMar>
            <w:vAlign w:val="center"/>
          </w:tcPr>
          <w:p>
            <w:pPr>
              <w:pStyle w:val="TableContents"/>
              <w:bidi w:val="0"/>
              <w:spacing w:before="0" w:after="283"/>
              <w:jc w:val="left"/>
              <w:rPr/>
            </w:pPr>
            <w:r>
              <w:rPr/>
              <w:t> </w:t>
            </w:r>
          </w:p>
        </w:tc>
        <w:tc>
          <w:tcPr>
            <w:tcW w:w="1715" w:type="dxa"/>
            <w:gridSpan w:val="2"/>
            <w:tcBorders/>
            <w:tcMar>
              <w:bottom w:w="0" w:type="dxa"/>
            </w:tcMar>
            <w:vAlign w:val="center"/>
          </w:tcPr>
          <w:p>
            <w:pPr>
              <w:pStyle w:val="TableContents"/>
              <w:bidi w:val="0"/>
              <w:spacing w:before="0" w:after="283"/>
              <w:jc w:val="left"/>
              <w:rPr/>
            </w:pPr>
            <w:r>
              <w:rPr/>
              <w:t> </w:t>
            </w:r>
          </w:p>
        </w:tc>
      </w:tr>
      <w:tr>
        <w:trPr/>
        <w:tc>
          <w:tcPr>
            <w:tcW w:w="21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David Yee</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25, 2026</w:t>
            </w:r>
          </w:p>
        </w:tc>
      </w:tr>
      <w:tr>
        <w:trPr/>
        <w:tc>
          <w:tcPr>
            <w:tcW w:w="2165" w:type="dxa"/>
            <w:tcBorders/>
            <w:tcMar>
              <w:bottom w:w="0" w:type="dxa"/>
            </w:tcMar>
            <w:vAlign w:val="center"/>
          </w:tcPr>
          <w:p>
            <w:pPr>
              <w:pStyle w:val="TableContents"/>
              <w:bidi w:val="0"/>
              <w:spacing w:before="0" w:after="283"/>
              <w:jc w:val="center"/>
              <w:rPr/>
            </w:pPr>
            <w:r>
              <w:rPr/>
              <w:t>John David Yee</w:t>
            </w:r>
          </w:p>
        </w:tc>
        <w:tc>
          <w:tcPr>
            <w:tcW w:w="60" w:type="dxa"/>
            <w:tcBorders/>
            <w:tcMar>
              <w:bottom w:w="0" w:type="dxa"/>
            </w:tcMar>
            <w:vAlign w:val="center"/>
          </w:tcPr>
          <w:p>
            <w:pPr>
              <w:pStyle w:val="TableContents"/>
              <w:bidi w:val="0"/>
              <w:spacing w:before="0" w:after="283"/>
              <w:ind w:left="0" w:right="0" w:hanging="200"/>
              <w:jc w:val="left"/>
              <w:rPr/>
            </w:pPr>
            <w:r>
              <w:rPr/>
              <w:t> </w:t>
            </w:r>
          </w:p>
        </w:tc>
        <w:tc>
          <w:tcPr>
            <w:tcW w:w="47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4" w:name="ea030662601ex5-1.htm"/>
      <w:bookmarkStart w:id="15" w:name="ksea030662601ex51"/>
      <w:bookmarkEnd w:id="14"/>
      <w:bookmarkEnd w:id="15"/>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257550"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3257550" cy="704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65" w:type="dxa"/>
        <w:jc w:val="left"/>
        <w:tblInd w:w="0" w:type="dxa"/>
        <w:tblLayout w:type="fixed"/>
        <w:tblCellMar>
          <w:top w:w="0" w:type="dxa"/>
          <w:left w:w="0" w:type="dxa"/>
          <w:bottom w:w="0" w:type="dxa"/>
          <w:right w:w="0" w:type="dxa"/>
        </w:tblCellMar>
      </w:tblPr>
      <w:tblGrid>
        <w:gridCol w:w="2990"/>
        <w:gridCol w:w="75"/>
      </w:tblGrid>
      <w:tr>
        <w:trPr/>
        <w:tc>
          <w:tcPr>
            <w:tcW w:w="2990" w:type="dxa"/>
            <w:tcBorders/>
            <w:vAlign w:val="center"/>
          </w:tcPr>
          <w:p>
            <w:pPr>
              <w:pStyle w:val="TableContents"/>
              <w:bidi w:val="0"/>
              <w:spacing w:before="0" w:after="283"/>
              <w:jc w:val="left"/>
              <w:rPr>
                <w:sz w:val="20"/>
              </w:rPr>
            </w:pPr>
            <w:r>
              <w:rPr>
                <w:sz w:val="20"/>
              </w:rPr>
              <w:t>September 25, 2026</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20"/>
              </w:rPr>
            </w:pPr>
            <w:r>
              <w:rPr>
                <w:sz w:val="20"/>
              </w:rPr>
              <w:t xml:space="preserve">Tempest Therapeutics, Inc.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20"/>
              </w:rPr>
            </w:pPr>
            <w:r>
              <w:rPr>
                <w:sz w:val="20"/>
              </w:rPr>
              <w:t xml:space="preserve">200 Sierra Point Parkway, Suite 400 </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20"/>
              </w:rPr>
            </w:pPr>
            <w:r>
              <w:rPr>
                <w:sz w:val="20"/>
              </w:rPr>
              <w:t xml:space="preserve">Brisbane, CA 94005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sz w:val="20"/>
              </w:rPr>
            </w:pPr>
            <w:r>
              <w:rPr>
                <w:sz w:val="20"/>
              </w:rPr>
              <w:t>Re:</w:t>
            </w:r>
          </w:p>
        </w:tc>
        <w:tc>
          <w:tcPr>
            <w:tcW w:w="2930" w:type="dxa"/>
            <w:tcBorders/>
            <w:vAlign w:val="center"/>
          </w:tcPr>
          <w:p>
            <w:pPr>
              <w:pStyle w:val="TableContents"/>
              <w:bidi w:val="0"/>
              <w:spacing w:before="0" w:after="283"/>
              <w:jc w:val="both"/>
              <w:rPr>
                <w:sz w:val="20"/>
              </w:rPr>
            </w:pPr>
            <w:r>
              <w:rPr>
                <w:sz w:val="20"/>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Tempest Therapeutics, Inc., a Delaware corporation (the “Company”), in connection with the preparation of the Company’s Registration Statement on Form S-3 under the Securities Act of 1933, as amended (the “Securities Act”), filed by the Company with the Securities and Exchange Commission (the “Commission”) on September 25, 2026 (the “Registration Statement”). This opinion letter is being furnished to you in connection with your filing of the Registration Statement. The Registration Statement relates to the resale from time to time by the selling stockholders named in the Registration Statement of up to 9,534,164 shares of common stock, par value $0.001 per share, of the Company (the “Common Stock”), consisting of (i) up to 3,105,591 shares of Common Stock issuable upon the exercise of pre-funded warrants (the “Pre-Funded Warrants”), (ii) up to 3,105,591 shares of Common Stock issuable upon the exercise of outstanding Series C warrants (the “Series C Warrants”), (iii) up to 3,105,591 shares of Common Stock issuable upon the exercise of outstanding Series D warrants (the “Series D Warrants,” and together with the Pre-Funded Warrants and Series C Warrants, the “PIPE Warrants”), and (iv) up to 217,391 shares of Common Stock that are issuable upon the exercise of certain placement agent warrants (the “Placement Agent Warrants,” and together with the PIPE Warrants, the “Warrants”). The foregoing shares of Common Stock being registered for resale under the Registration Statement are referred to as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PIPE Warrants were issued pursuant to a securities purchase agreement, dated September 11, 2026, by and between the Company and the investor named thereto (the “Purchase Agreement”), and the Placement Agent Warrants were issued pursuant to an engagement letter, dated as of May 26, 2026, entered into between the Company and the placement agent (the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herein, we have examined the originals, or photostatic or certified copies, of (i) the Company’s Restated Certificate of Incorporation, as amended to the date hereof, (ii) the Third Amended and Restated Bylaws of the Company, (iii) resolutions of the Board of Directors of the Company, approving, among other things, the authorization and issuance of the Warrants and Warrant Shares and related matters, (iv) the Registration Statement and all exhibits thereto, (v) the Purchase Agreement, (vi) the Engagement Letter, (vii) the Warrants, and (viii) such other records, documents and instruments as we deemed relevant and necessary for purposes of the opinion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herein concerning any law other than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Warrant Shares, we express no opinion to the extent that future issuances of securities of the Company, antidilution adjustments to outstanding securities of the Company or other matters cause the Warrants to be exercisable for more shares of Common Stock than the number that remain available for issuance. Further, we have assumed the exercise price of the Warrants will not be adjusted to an amount below the par value per share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limitations and exceptions stated herein, we are of the opinion that the Warrant Shares, when issued against payment therefor in accordance with the terms of the Warrants,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speaks only as of the date hereof. We expressly disclaim any responsibility to advise you of any development or circumstance of any kind, including any change of law or fact, that may occur after the date of this opinion that might affect the opinions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submission of this opinion to the Commission as an exhibit to the Registration Statement. We hereby also consent to the reference to our firm under the caption “Legal Matters” in the Registration Statement. We do not admit in providing such consent that we are included within the category of persons whose consent is required under Section 7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3815"/>
      </w:tblGrid>
      <w:tr>
        <w:trPr/>
        <w:tc>
          <w:tcPr>
            <w:tcW w:w="3815" w:type="dxa"/>
            <w:tcBorders/>
            <w:vAlign w:val="center"/>
          </w:tcPr>
          <w:p>
            <w:pPr>
              <w:pStyle w:val="TableContents"/>
              <w:bidi w:val="0"/>
              <w:spacing w:before="0" w:after="283"/>
              <w:jc w:val="left"/>
              <w:rPr>
                <w:sz w:val="20"/>
              </w:rPr>
            </w:pPr>
            <w:r>
              <w:rPr>
                <w:sz w:val="20"/>
              </w:rPr>
              <w:t>Very truly yours,</w:t>
            </w:r>
          </w:p>
        </w:tc>
      </w:tr>
      <w:tr>
        <w:trPr/>
        <w:tc>
          <w:tcPr>
            <w:tcW w:w="3815" w:type="dxa"/>
            <w:tcBorders/>
            <w:vAlign w:val="center"/>
          </w:tcPr>
          <w:p>
            <w:pPr>
              <w:pStyle w:val="TableContents"/>
              <w:bidi w:val="0"/>
              <w:spacing w:before="0" w:after="283"/>
              <w:jc w:val="left"/>
              <w:rPr/>
            </w:pPr>
            <w:r>
              <w:rPr/>
              <w:t> </w:t>
            </w:r>
          </w:p>
        </w:tc>
      </w:tr>
      <w:tr>
        <w:trPr/>
        <w:tc>
          <w:tcPr>
            <w:tcW w:w="381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Greenberg Traurig, LLP</w:t>
            </w:r>
          </w:p>
        </w:tc>
      </w:tr>
      <w:tr>
        <w:trPr/>
        <w:tc>
          <w:tcPr>
            <w:tcW w:w="381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b/>
                <w:sz w:val="20"/>
              </w:rPr>
            </w:pPr>
            <w:r>
              <w:rPr>
                <w:b/>
                <w:sz w:val="20"/>
              </w:rPr>
              <w:t xml:space="preserve">Greenberg Traurig, LLP | Attorneys at Law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www.gtlaw.com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 w:name="ea030662601ex23-1.htm"/>
      <w:bookmarkStart w:id="17" w:name="ksea030662601ex231"/>
      <w:bookmarkEnd w:id="16"/>
      <w:bookmarkEnd w:id="17"/>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(Form S-3) and related Prospectus of Tempest Therapeutics, Inc. for the registration of 9,534,164 shares of its common stock and to the incorporation by reference therein of our report dated March 30, 2026, with respect to the consolidated financial statements of Tempest Therapeutics, Inc. included in its Annual Report (Form 10-K) for the year ended December 31,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283"/>
              <w:jc w:val="both"/>
              <w:rPr>
                <w:sz w:val="20"/>
              </w:rPr>
            </w:pPr>
            <w:r>
              <w:rPr>
                <w:sz w:val="20"/>
              </w:rPr>
              <w:t>/s/ Ernst &amp; Young LLP</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both"/>
              <w:rPr>
                <w:sz w:val="20"/>
              </w:rPr>
            </w:pPr>
            <w:r>
              <w:rPr>
                <w:sz w:val="20"/>
              </w:rPr>
              <w:t>Chicago, Illinois</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sz w:val="20"/>
              </w:rPr>
            </w:pPr>
            <w:r>
              <w:rPr>
                <w:sz w:val="20"/>
              </w:rPr>
              <w:t>September 25,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18" w:name="ea030662601ex-fee.htm"/>
      <w:bookmarkStart w:id="19" w:name="ksea030662601exfee"/>
      <w:bookmarkEnd w:id="18"/>
      <w:bookmarkEnd w:id="19"/>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Tempest Therapeutics,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39"/>
        <w:gridCol w:w="60"/>
        <w:gridCol w:w="805"/>
        <w:gridCol w:w="60"/>
        <w:gridCol w:w="929"/>
        <w:gridCol w:w="60"/>
        <w:gridCol w:w="575"/>
        <w:gridCol w:w="60"/>
        <w:gridCol w:w="1103"/>
        <w:gridCol w:w="60"/>
        <w:gridCol w:w="1032"/>
        <w:gridCol w:w="60"/>
        <w:gridCol w:w="244"/>
        <w:gridCol w:w="767"/>
        <w:gridCol w:w="60"/>
        <w:gridCol w:w="141"/>
        <w:gridCol w:w="1297"/>
        <w:gridCol w:w="60"/>
        <w:gridCol w:w="1040"/>
        <w:gridCol w:w="60"/>
        <w:gridCol w:w="163"/>
        <w:gridCol w:w="1030"/>
      </w:tblGrid>
      <w:tr>
        <w:trPr/>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r>
      <w:tr>
        <w:trPr/>
        <w:tc>
          <w:tcPr>
            <w:tcW w:w="539"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5"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29"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39"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pPr>
            <w:r>
              <w:rPr/>
              <w:t xml:space="preserve">Common Stock, par value of $0.001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9,534,164</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767" w:type="dxa"/>
            <w:tcBorders/>
            <w:vAlign w:val="center"/>
          </w:tcPr>
          <w:p>
            <w:pPr>
              <w:pStyle w:val="TableContents"/>
              <w:bidi w:val="0"/>
              <w:spacing w:before="0" w:after="283"/>
              <w:jc w:val="right"/>
              <w:rPr/>
            </w:pPr>
            <w:r>
              <w:rPr/>
              <w:t>0.86</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8,199,381.04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030" w:type="dxa"/>
            <w:tcBorders/>
            <w:vAlign w:val="center"/>
          </w:tcPr>
          <w:p>
            <w:pPr>
              <w:pStyle w:val="TableContents"/>
              <w:bidi w:val="0"/>
              <w:spacing w:before="0" w:after="283"/>
              <w:jc w:val="right"/>
              <w:rPr/>
            </w:pPr>
            <w:r>
              <w:rPr/>
              <w:t>1,132.33</w:t>
            </w:r>
          </w:p>
        </w:tc>
      </w:tr>
      <w:tr>
        <w:trPr/>
        <w:tc>
          <w:tcPr>
            <w:tcW w:w="5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12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4"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8,199,381.04</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1,132.33</w:t>
            </w:r>
          </w:p>
        </w:tc>
      </w:tr>
      <w:tr>
        <w:trPr/>
        <w:tc>
          <w:tcPr>
            <w:tcW w:w="6354"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0.00</w:t>
            </w:r>
          </w:p>
        </w:tc>
      </w:tr>
      <w:tr>
        <w:trPr/>
        <w:tc>
          <w:tcPr>
            <w:tcW w:w="6354"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single" w:sz="8" w:space="0" w:color="000000"/>
            </w:tcBorders>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54"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bottom w:val="double" w:sz="8" w:space="0" w:color="000000"/>
            </w:tcBorders>
            <w:tcMar>
              <w:bottom w:w="28" w:type="dxa"/>
            </w:tcMar>
            <w:vAlign w:val="center"/>
          </w:tcPr>
          <w:p>
            <w:pPr>
              <w:pStyle w:val="TableContents"/>
              <w:bidi w:val="0"/>
              <w:spacing w:before="0" w:after="283"/>
              <w:jc w:val="left"/>
              <w:rPr/>
            </w:pPr>
            <w:r>
              <w:rPr/>
              <w:t>$</w:t>
            </w:r>
          </w:p>
        </w:tc>
        <w:tc>
          <w:tcPr>
            <w:tcW w:w="1030" w:type="dxa"/>
            <w:tcBorders>
              <w:bottom w:val="double" w:sz="8" w:space="0" w:color="000000"/>
            </w:tcBorders>
            <w:tcMar>
              <w:bottom w:w="28" w:type="dxa"/>
            </w:tcMar>
            <w:vAlign w:val="center"/>
          </w:tcPr>
          <w:p>
            <w:pPr>
              <w:pStyle w:val="TableContents"/>
              <w:bidi w:val="0"/>
              <w:spacing w:before="0" w:after="283"/>
              <w:jc w:val="right"/>
              <w:rPr/>
            </w:pPr>
            <w:r>
              <w:rPr/>
              <w:t>1,132.33</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(A) Pursuant to Rule 416(a) promulgated under the Securities Act of 1933, as amended (the "Securities Act"), this registration statement shall also cover any additional shares of common stock, par value $0.001 per share, of Tempest Therapeutics, Inc. (the "Common Stock"), that may be offered or become issuable by reason of any share dividend, share split, recapitalization or other similar transaction effected without the receipt of consideration which results in an increase in the number of outstanding Common Stock. (B) Estimated solely for purposes of calculating the registration fee in accordance with Rule 457(c) under the Securities Act and based upon the average of the high and low sales prices of a Common Stock as reported on the Nasdaq Capital Market on September 21,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544227/000119312526130490/tpst-20251231.htm" TargetMode="External"/><Relationship Id="rId4" Type="http://schemas.openxmlformats.org/officeDocument/2006/relationships/hyperlink" Target="http://www.sec.gov/ix?doc=/Archives/edgar/data/1544227/000119312526224289/tpst-20260331.htm" TargetMode="External"/><Relationship Id="rId5" Type="http://schemas.openxmlformats.org/officeDocument/2006/relationships/hyperlink" Target="http://www.sec.gov/ix?doc=/Archives/edgar/data/1544227/000119312526349381/tpst-20260630.htm" TargetMode="External"/><Relationship Id="rId6" Type="http://schemas.openxmlformats.org/officeDocument/2006/relationships/hyperlink" Target="http://www.sec.gov/ix?doc=/Archives/edgar/data/1544227/000119312526207601/d93617d8k.htm" TargetMode="External"/><Relationship Id="rId7" Type="http://schemas.openxmlformats.org/officeDocument/2006/relationships/hyperlink" Target="http://www.sec.gov/ix?doc=/Archives/edgar/data/1544227/000119312526237150/d29824d8k.htm" TargetMode="External"/><Relationship Id="rId8" Type="http://schemas.openxmlformats.org/officeDocument/2006/relationships/hyperlink" Target="http://www.sec.gov/ix?doc=/Archives/edgar/data/1544227/000119312526237207/d131489d8k.htm" TargetMode="External"/><Relationship Id="rId9" Type="http://schemas.openxmlformats.org/officeDocument/2006/relationships/hyperlink" Target="http://www.sec.gov/ix?doc=/Archives/edgar/data/1544227/000119312526248648/d220128d8k.htm" TargetMode="External"/><Relationship Id="rId10" Type="http://schemas.openxmlformats.org/officeDocument/2006/relationships/hyperlink" Target="http://www.sec.gov/ix?doc=/Archives/edgar/data/1544227/000119312526251994/d105562d8k.htm" TargetMode="External"/><Relationship Id="rId11" Type="http://schemas.openxmlformats.org/officeDocument/2006/relationships/hyperlink" Target="http://www.sec.gov/ix?doc=/Archives/edgar/data/1544227/000119312526257684/d91703d8k.htm" TargetMode="External"/><Relationship Id="rId12" Type="http://schemas.openxmlformats.org/officeDocument/2006/relationships/hyperlink" Target="http://www.sec.gov/ix?doc=/Archives/edgar/data/1544227/000119312526278068/d158247d8k.htm" TargetMode="External"/><Relationship Id="rId13" Type="http://schemas.openxmlformats.org/officeDocument/2006/relationships/hyperlink" Target="http://www.sec.gov/ix?doc=/Archives/edgar/data/1544227/000119312526312391/d107304d8k.htm" TargetMode="External"/><Relationship Id="rId14" Type="http://schemas.openxmlformats.org/officeDocument/2006/relationships/hyperlink" Target="http://www.sec.gov/ix?doc=/Archives/edgar/data/1544227/000119312526321176/d105624d8k.htm" TargetMode="External"/><Relationship Id="rId15" Type="http://schemas.openxmlformats.org/officeDocument/2006/relationships/hyperlink" Target="http://www.sec.gov/ix?doc=/Archives/edgar/data/1544227/000119312526349334/d290418d8k.htm" TargetMode="External"/><Relationship Id="rId16" Type="http://schemas.openxmlformats.org/officeDocument/2006/relationships/hyperlink" Target="http://www.sec.gov/ix?doc=/Archives/edgar/data/1544227/000119312526349374/tpst-20260813.htm" TargetMode="External"/><Relationship Id="rId17" Type="http://schemas.openxmlformats.org/officeDocument/2006/relationships/hyperlink" Target="http://www.sec.gov/ix?doc=/Archives/edgar/data/1544227/000119312526355550/d919907d8k.htm" TargetMode="External"/><Relationship Id="rId18" Type="http://schemas.openxmlformats.org/officeDocument/2006/relationships/hyperlink" Target="http://www.sec.gov/ix?doc=/Archives/edgar/data/1544227/000119312526363695/d152818d8k.htm" TargetMode="External"/><Relationship Id="rId19" Type="http://schemas.openxmlformats.org/officeDocument/2006/relationships/hyperlink" Target="http://www.sec.gov/ix?doc=/Archives/edgar/data/1544227/000119312526391903/d108044d8k.htm" TargetMode="External"/><Relationship Id="rId20" Type="http://schemas.openxmlformats.org/officeDocument/2006/relationships/hyperlink" Target="http://www.sec.gov/ix?doc=/Archives/edgar/data/1544227/000119312526393151/d151966d8k.htm" TargetMode="External"/><Relationship Id="rId21" Type="http://schemas.openxmlformats.org/officeDocument/2006/relationships/hyperlink" Target="http://www.sec.gov/ix?doc=/Archives/edgar/data/1544227/000119312526394492/d185404d8k.htm" TargetMode="External"/><Relationship Id="rId22" Type="http://schemas.openxmlformats.org/officeDocument/2006/relationships/hyperlink" Target="http://www.sec.gov/Archives/edgar/data/1544227/000110465913033085/a13-9660_28a12b.htm" TargetMode="External"/><Relationship Id="rId23" Type="http://schemas.openxmlformats.org/officeDocument/2006/relationships/hyperlink" Target="http://www.sec.gov/Archives/edgar/data/1544227/000119312526130490/tpst-ex4_1.htm" TargetMode="External"/><Relationship Id="rId24" Type="http://schemas.openxmlformats.org/officeDocument/2006/relationships/image" Target="media/image1.jpeg"/><Relationship Id="rId25" Type="http://schemas.openxmlformats.org/officeDocument/2006/relationships/hyperlink" Target="http://www.sec.gov/Archives/edgar/data/1544227/000155837019005038/mlnd-20190331ex31b53fa83.htm" TargetMode="External"/><Relationship Id="rId26" Type="http://schemas.openxmlformats.org/officeDocument/2006/relationships/hyperlink" Target="http://www.sec.gov/Archives/edgar/data/1544227/000119312521201157/d196630dex31.htm" TargetMode="External"/><Relationship Id="rId27" Type="http://schemas.openxmlformats.org/officeDocument/2006/relationships/hyperlink" Target="http://www.sec.gov/Archives/edgar/data/1544227/000119312521201157/d196630dex32.htm" TargetMode="External"/><Relationship Id="rId28" Type="http://schemas.openxmlformats.org/officeDocument/2006/relationships/hyperlink" Target="http://www.sec.gov/Archives/edgar/data/1544227/000119312523253882/d547808dex31.htm" TargetMode="External"/><Relationship Id="rId29" Type="http://schemas.openxmlformats.org/officeDocument/2006/relationships/hyperlink" Target="http://www.sec.gov/Archives/edgar/data/1544227/000119312525073987/d905141dex31.htm" TargetMode="External"/><Relationship Id="rId30" Type="http://schemas.openxmlformats.org/officeDocument/2006/relationships/hyperlink" Target="http://www.sec.gov/Archives/edgar/data/1544227/000119312521281694/d222030dex31.htm" TargetMode="External"/><Relationship Id="rId31" Type="http://schemas.openxmlformats.org/officeDocument/2006/relationships/hyperlink" Target="http://www.sec.gov/Archives/edgar/data/1544227/000119312526391903/d108044dex41.htm" TargetMode="External"/><Relationship Id="rId32" Type="http://schemas.openxmlformats.org/officeDocument/2006/relationships/hyperlink" Target="http://www.sec.gov/Archives/edgar/data/1544227/000119312526391903/d108044dex42.htm" TargetMode="External"/><Relationship Id="rId33" Type="http://schemas.openxmlformats.org/officeDocument/2006/relationships/hyperlink" Target="http://www.sec.gov/Archives/edgar/data/1544227/000119312526391903/d108044dex101.htm" TargetMode="External"/><Relationship Id="rId34" Type="http://schemas.openxmlformats.org/officeDocument/2006/relationships/hyperlink" Target="http://www.sec.gov/Archives/edgar/data/1544227/000119312526391903/d108044dex102.htm" TargetMode="External"/><Relationship Id="rId35" Type="http://schemas.openxmlformats.org/officeDocument/2006/relationships/image" Target="media/image2.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12485</Words>
  <Characters>66800</Characters>
  <CharactersWithSpaces>79660</CharactersWithSpaces>
  <Paragraphs>1335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