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March 27, 2025</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980"/>
          </w:cols>
          <w:pgMar w:left="440" w:top="225" w:right="4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45-1472564</w:t>
      </w:r>
    </w:p>
    <w:p>
      <w:pPr>
        <w:spacing w:after="0" w:line="12" w:lineRule="exact"/>
        <w:rPr>
          <w:sz w:val="24"/>
          <w:szCs w:val="24"/>
          <w:color w:val="auto"/>
        </w:rPr>
      </w:pPr>
    </w:p>
    <w:p>
      <w:pPr>
        <w:sectPr>
          <w:pgSz w:w="11900" w:h="16838" w:orient="portrait"/>
          <w:cols w:equalWidth="0" w:num="2">
            <w:col w:w="7180" w:space="720"/>
            <w:col w:w="3080"/>
          </w:cols>
          <w:pgMar w:left="440" w:top="225" w:right="47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200"/>
          </w:cols>
          <w:pgMar w:left="440" w:top="225" w:right="479" w:bottom="1440" w:gutter="0" w:footer="0" w:header="0"/>
          <w:type w:val="continuous"/>
        </w:sectPr>
      </w:pP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2000 Sierra Point Parkway, Suite 400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Brisbane, California 94005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(415) 798-8589</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0980"/>
          </w:cols>
          <w:pgMar w:left="440" w:top="225" w:right="479" w:bottom="1440" w:gutter="0" w:footer="0" w:header="0"/>
          <w:type w:val="continuous"/>
        </w:sectPr>
      </w:pP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Tempest Therapeutics, Inc. Amended and Restated 2023 Equity Incentive Plan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Tempest Therapeutics, Inc. Amended and Restated 2019 Employee Stock Purchase Plan</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(Full titles of the plans)</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Stephen Brady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2000 Sierra Point Parkway, Suite 400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Brisbane, California 94005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(415) 798-8589</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Laura Berezin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Jaime Chase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1700 Seventh Avenue, Suite 1900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Seattle, Washington 98101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(206) 452-8700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165735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0"/>
          </w:cols>
          <w:pgMar w:left="440" w:top="225"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right="180" w:firstLine="440"/>
        <w:spacing w:after="0" w:line="255" w:lineRule="auto"/>
        <w:rPr>
          <w:sz w:val="20"/>
          <w:szCs w:val="20"/>
          <w:color w:val="auto"/>
        </w:rPr>
      </w:pPr>
      <w:r>
        <w:rPr>
          <w:rFonts w:ascii="Times New Roman" w:cs="Times New Roman" w:eastAsia="Times New Roman" w:hAnsi="Times New Roman"/>
          <w:sz w:val="18"/>
          <w:szCs w:val="18"/>
          <w:color w:val="auto"/>
        </w:rPr>
        <w:t>Tempest Therapeutics, Inc. (the “Registrant”) is filing this Registration Statement on Form S-8 for the purpose of registering (a) 1,758,864 additional shares of its common stock, par value $0.001 per share (the “Common Stock”), issuable to eligible persons under the Registrant’s Amended and Restated 2023 Equity Incentive Plan (the “2023 Plan”) pursuant to the provisions of the 2023 Plan providing for an automatic increase in the number of shares of Common Stock reserved and available for issuance under the 2023 Plan on January 1, 2025, and (b) 500,000 additional shares of Common Stock issuable to eligible persons under the Registrant’s Amended and Restated 2019 Employee Stock Purchase Plan (the “2019 ESPP”) pursuant to the provisions of the 2019 ESPP providing for an automatic increase in the number of shares of Common Stock reserved and available for issuance under the 2019 ESPP on January 1, 2025.</w:t>
      </w:r>
    </w:p>
    <w:p>
      <w:pPr>
        <w:spacing w:after="0" w:line="189"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In accordance with the instructional note to Part I of Form S-8 as promulgated by the Securities and Exchange Commission (the “SEC”), the information specified by Part I of the Form S-8 has been omitted from this Registration Statement.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Certain Documents By Reference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documents filed by the Registrant with the SEC are incorporated by reference into this Registration Statement: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the contents of the Registrant’s Registration Statements on Form S-8, previously filed with the SEC on December 16, 2019 (File</w:t>
      </w:r>
    </w:p>
    <w:p>
      <w:pPr>
        <w:spacing w:after="0" w:line="27" w:lineRule="exact"/>
        <w:rPr>
          <w:sz w:val="20"/>
          <w:szCs w:val="20"/>
          <w:color w:val="auto"/>
        </w:rPr>
      </w:pPr>
    </w:p>
    <w:p>
      <w:pPr>
        <w:ind w:right="120"/>
        <w:spacing w:after="0" w:line="255"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No. </w:t>
      </w:r>
      <w:hyperlink r:id="rId18">
        <w:r>
          <w:rPr>
            <w:rFonts w:ascii="Times New Roman" w:cs="Times New Roman" w:eastAsia="Times New Roman" w:hAnsi="Times New Roman"/>
            <w:sz w:val="18"/>
            <w:szCs w:val="18"/>
            <w:u w:val="single" w:color="auto"/>
            <w:color w:val="0000EE"/>
          </w:rPr>
          <w:t>333-235515</w:t>
        </w:r>
      </w:hyperlink>
      <w:r>
        <w:rPr>
          <w:rFonts w:ascii="Times New Roman" w:cs="Times New Roman" w:eastAsia="Times New Roman" w:hAnsi="Times New Roman"/>
          <w:sz w:val="18"/>
          <w:szCs w:val="18"/>
          <w:color w:val="auto"/>
        </w:rPr>
        <w:t xml:space="preserve">), November 10, 2020 (File No. </w:t>
      </w:r>
      <w:hyperlink r:id="rId19">
        <w:r>
          <w:rPr>
            <w:rFonts w:ascii="Times New Roman" w:cs="Times New Roman" w:eastAsia="Times New Roman" w:hAnsi="Times New Roman"/>
            <w:sz w:val="18"/>
            <w:szCs w:val="18"/>
            <w:color w:val="0000EE"/>
          </w:rPr>
          <w:t>333-249993</w:t>
        </w:r>
      </w:hyperlink>
      <w:r>
        <w:rPr>
          <w:rFonts w:ascii="Times New Roman" w:cs="Times New Roman" w:eastAsia="Times New Roman" w:hAnsi="Times New Roman"/>
          <w:sz w:val="18"/>
          <w:szCs w:val="18"/>
          <w:color w:val="auto"/>
        </w:rPr>
        <w:t xml:space="preserve">), April 15, 2021 (File No. </w:t>
      </w:r>
      <w:hyperlink r:id="rId20">
        <w:r>
          <w:rPr>
            <w:rFonts w:ascii="Times New Roman" w:cs="Times New Roman" w:eastAsia="Times New Roman" w:hAnsi="Times New Roman"/>
            <w:sz w:val="18"/>
            <w:szCs w:val="18"/>
            <w:color w:val="0000EE"/>
          </w:rPr>
          <w:t>333-255261</w:t>
        </w:r>
      </w:hyperlink>
      <w:r>
        <w:rPr>
          <w:rFonts w:ascii="Times New Roman" w:cs="Times New Roman" w:eastAsia="Times New Roman" w:hAnsi="Times New Roman"/>
          <w:sz w:val="18"/>
          <w:szCs w:val="18"/>
          <w:color w:val="auto"/>
        </w:rPr>
        <w:t xml:space="preserve">), May 13, 2022 (File No. </w:t>
      </w:r>
      <w:hyperlink r:id="rId21">
        <w:r>
          <w:rPr>
            <w:rFonts w:ascii="Times New Roman" w:cs="Times New Roman" w:eastAsia="Times New Roman" w:hAnsi="Times New Roman"/>
            <w:sz w:val="18"/>
            <w:szCs w:val="18"/>
            <w:color w:val="0000EE"/>
          </w:rPr>
          <w:t>333-264943</w:t>
        </w:r>
      </w:hyperlink>
      <w:r>
        <w:rPr>
          <w:rFonts w:ascii="Times New Roman" w:cs="Times New Roman" w:eastAsia="Times New Roman" w:hAnsi="Times New Roman"/>
          <w:sz w:val="18"/>
          <w:szCs w:val="18"/>
          <w:color w:val="auto"/>
        </w:rPr>
        <w:t xml:space="preserve">), June 21, 2022 (File No. </w:t>
      </w:r>
      <w:hyperlink r:id="rId22">
        <w:r>
          <w:rPr>
            <w:rFonts w:ascii="Times New Roman" w:cs="Times New Roman" w:eastAsia="Times New Roman" w:hAnsi="Times New Roman"/>
            <w:sz w:val="18"/>
            <w:szCs w:val="18"/>
            <w:color w:val="0000EE"/>
          </w:rPr>
          <w:t>333-265718</w:t>
        </w:r>
      </w:hyperlink>
      <w:r>
        <w:rPr>
          <w:rFonts w:ascii="Times New Roman" w:cs="Times New Roman" w:eastAsia="Times New Roman" w:hAnsi="Times New Roman"/>
          <w:sz w:val="18"/>
          <w:szCs w:val="18"/>
          <w:color w:val="auto"/>
        </w:rPr>
        <w:t xml:space="preserve">), each as amended by the Post-Effective Amendments to Form S-8 filed on November 17, 2023 (File Nos. </w:t>
      </w:r>
      <w:hyperlink r:id="rId23">
        <w:r>
          <w:rPr>
            <w:rFonts w:ascii="Times New Roman" w:cs="Times New Roman" w:eastAsia="Times New Roman" w:hAnsi="Times New Roman"/>
            <w:sz w:val="18"/>
            <w:szCs w:val="18"/>
            <w:u w:val="single" w:color="auto"/>
            <w:color w:val="0000EE"/>
          </w:rPr>
          <w:t>333-265718</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333-264943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5">
        <w:r>
          <w:rPr>
            <w:rFonts w:ascii="Times New Roman" w:cs="Times New Roman" w:eastAsia="Times New Roman" w:hAnsi="Times New Roman"/>
            <w:sz w:val="18"/>
            <w:szCs w:val="18"/>
            <w:u w:val="single" w:color="auto"/>
            <w:color w:val="0000EE"/>
          </w:rPr>
          <w:t>333-255261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6">
        <w:r>
          <w:rPr>
            <w:rFonts w:ascii="Times New Roman" w:cs="Times New Roman" w:eastAsia="Times New Roman" w:hAnsi="Times New Roman"/>
            <w:sz w:val="18"/>
            <w:szCs w:val="18"/>
            <w:u w:val="single" w:color="auto"/>
            <w:color w:val="0000EE"/>
          </w:rPr>
          <w:t xml:space="preserve">333-249993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27">
        <w:r>
          <w:rPr>
            <w:rFonts w:ascii="Times New Roman" w:cs="Times New Roman" w:eastAsia="Times New Roman" w:hAnsi="Times New Roman"/>
            <w:sz w:val="18"/>
            <w:szCs w:val="18"/>
            <w:u w:val="single" w:color="auto"/>
            <w:color w:val="0000EE"/>
          </w:rPr>
          <w:t>333-235515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November 17, 2023 (File No.</w:t>
      </w:r>
      <w:r>
        <w:rPr>
          <w:rFonts w:ascii="Times New Roman" w:cs="Times New Roman" w:eastAsia="Times New Roman" w:hAnsi="Times New Roman"/>
          <w:sz w:val="18"/>
          <w:szCs w:val="18"/>
          <w:color w:val="0000EE"/>
        </w:rPr>
        <w:t xml:space="preserve"> </w:t>
      </w:r>
      <w:hyperlink r:id="rId28">
        <w:r>
          <w:rPr>
            <w:rFonts w:ascii="Times New Roman" w:cs="Times New Roman" w:eastAsia="Times New Roman" w:hAnsi="Times New Roman"/>
            <w:sz w:val="18"/>
            <w:szCs w:val="18"/>
            <w:color w:val="0000EE"/>
          </w:rPr>
          <w:t>333-275637</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March 19, 2024 (File No.</w:t>
      </w:r>
      <w:r>
        <w:rPr>
          <w:rFonts w:ascii="Times New Roman" w:cs="Times New Roman" w:eastAsia="Times New Roman" w:hAnsi="Times New Roman"/>
          <w:sz w:val="18"/>
          <w:szCs w:val="18"/>
          <w:color w:val="0000EE"/>
        </w:rPr>
        <w:t xml:space="preserve"> </w:t>
      </w:r>
      <w:hyperlink r:id="rId29">
        <w:r>
          <w:rPr>
            <w:rFonts w:ascii="Times New Roman" w:cs="Times New Roman" w:eastAsia="Times New Roman" w:hAnsi="Times New Roman"/>
            <w:sz w:val="18"/>
            <w:szCs w:val="18"/>
            <w:color w:val="0000EE"/>
          </w:rPr>
          <w:t>333-278071</w:t>
        </w:r>
      </w:hyperlink>
      <w:r>
        <w:rPr>
          <w:rFonts w:ascii="Times New Roman" w:cs="Times New Roman" w:eastAsia="Times New Roman" w:hAnsi="Times New Roman"/>
          <w:sz w:val="18"/>
          <w:szCs w:val="18"/>
          <w:color w:val="000000"/>
        </w:rPr>
        <w:t>);</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2221865</wp:posOffset>
            </wp:positionH>
            <wp:positionV relativeFrom="paragraph">
              <wp:posOffset>-306705</wp:posOffset>
            </wp:positionV>
            <wp:extent cx="5803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extLst>
                    </a:blip>
                    <a:srcRect/>
                    <a:stretch>
                      <a:fillRect/>
                    </a:stretch>
                  </pic:blipFill>
                  <pic:spPr bwMode="auto">
                    <a:xfrm>
                      <a:off x="0" y="0"/>
                      <a:ext cx="580390" cy="8255"/>
                    </a:xfrm>
                    <a:prstGeom prst="rect">
                      <a:avLst/>
                    </a:prstGeom>
                    <a:noFill/>
                  </pic:spPr>
                </pic:pic>
              </a:graphicData>
            </a:graphic>
          </wp:anchor>
        </w:drawing>
        <w:drawing>
          <wp:anchor simplePos="0" relativeHeight="251657728" behindDoc="1" locked="0" layoutInCell="0" allowOverlap="1">
            <wp:simplePos x="0" y="0"/>
            <wp:positionH relativeFrom="column">
              <wp:posOffset>4036695</wp:posOffset>
            </wp:positionH>
            <wp:positionV relativeFrom="paragraph">
              <wp:posOffset>-306705</wp:posOffset>
            </wp:positionV>
            <wp:extent cx="5803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580390" cy="8255"/>
                    </a:xfrm>
                    <a:prstGeom prst="rect">
                      <a:avLst/>
                    </a:prstGeom>
                    <a:noFill/>
                  </pic:spPr>
                </pic:pic>
              </a:graphicData>
            </a:graphic>
          </wp:anchor>
        </w:drawing>
        <w:drawing>
          <wp:anchor simplePos="0" relativeHeight="251657728" behindDoc="1" locked="0" layoutInCell="0" allowOverlap="1">
            <wp:simplePos x="0" y="0"/>
            <wp:positionH relativeFrom="column">
              <wp:posOffset>5820410</wp:posOffset>
            </wp:positionH>
            <wp:positionV relativeFrom="paragraph">
              <wp:posOffset>-306705</wp:posOffset>
            </wp:positionV>
            <wp:extent cx="5803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5803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666750</wp:posOffset>
            </wp:positionH>
            <wp:positionV relativeFrom="paragraph">
              <wp:posOffset>-169545</wp:posOffset>
            </wp:positionV>
            <wp:extent cx="5803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580390" cy="825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-32385</wp:posOffset>
            </wp:positionV>
            <wp:extent cx="5803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580390" cy="8255"/>
                    </a:xfrm>
                    <a:prstGeom prst="rect">
                      <a:avLst/>
                    </a:prstGeom>
                    <a:noFill/>
                  </pic:spPr>
                </pic:pic>
              </a:graphicData>
            </a:graphic>
          </wp:anchor>
        </w:drawing>
        <w:drawing>
          <wp:anchor simplePos="0" relativeHeight="251657728" behindDoc="1" locked="0" layoutInCell="0" allowOverlap="1">
            <wp:simplePos x="0" y="0"/>
            <wp:positionH relativeFrom="column">
              <wp:posOffset>6054725</wp:posOffset>
            </wp:positionH>
            <wp:positionV relativeFrom="paragraph">
              <wp:posOffset>-32385</wp:posOffset>
            </wp:positionV>
            <wp:extent cx="5803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580390" cy="8255"/>
                    </a:xfrm>
                    <a:prstGeom prst="rect">
                      <a:avLst/>
                    </a:prstGeom>
                    <a:noFill/>
                  </pic:spPr>
                </pic:pic>
              </a:graphicData>
            </a:graphic>
          </wp:anchor>
        </w:drawing>
      </w:r>
    </w:p>
    <w:p>
      <w:pPr>
        <w:spacing w:after="0" w:line="166" w:lineRule="exact"/>
        <w:rPr>
          <w:rFonts w:ascii="Times New Roman" w:cs="Times New Roman" w:eastAsia="Times New Roman" w:hAnsi="Times New Roman"/>
          <w:sz w:val="18"/>
          <w:szCs w:val="18"/>
          <w:color w:val="0000EE"/>
        </w:rPr>
      </w:pPr>
    </w:p>
    <w:p>
      <w:pPr>
        <w:ind w:right="540" w:firstLine="436"/>
        <w:spacing w:after="0" w:line="282" w:lineRule="auto"/>
        <w:tabs>
          <w:tab w:leader="none" w:pos="6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Form 10-K for the fiscal year ended December 31, 2024, filed with the SEC on </w:t>
      </w:r>
      <w:hyperlink r:id="rId36">
        <w:r>
          <w:rPr>
            <w:rFonts w:ascii="Times New Roman" w:cs="Times New Roman" w:eastAsia="Times New Roman" w:hAnsi="Times New Roman"/>
            <w:sz w:val="18"/>
            <w:szCs w:val="18"/>
            <w:u w:val="single" w:color="auto"/>
            <w:color w:val="0000EE"/>
          </w:rPr>
          <w:t>March 27,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001-35890); and</w:t>
      </w:r>
    </w:p>
    <w:p>
      <w:pPr>
        <w:spacing w:after="0" w:line="161" w:lineRule="exact"/>
        <w:rPr>
          <w:rFonts w:ascii="Times New Roman" w:cs="Times New Roman" w:eastAsia="Times New Roman" w:hAnsi="Times New Roman"/>
          <w:sz w:val="18"/>
          <w:szCs w:val="18"/>
          <w:color w:val="auto"/>
        </w:rPr>
      </w:pPr>
    </w:p>
    <w:p>
      <w:pPr>
        <w:ind w:right="60" w:firstLine="436"/>
        <w:spacing w:after="0" w:line="266" w:lineRule="auto"/>
        <w:tabs>
          <w:tab w:leader="none" w:pos="68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Common Stock set forth in the Registrant’s registration statement on </w:t>
      </w:r>
      <w:hyperlink r:id="rId37">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001-35890), filed with the Commission on April 25, 2013, including any amendments thereto or reports filed for the purposes of updating this description, including </w:t>
      </w:r>
      <w:hyperlink r:id="rId38">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Annual Report on Form 10-K for the fiscal year ended December 31, 2024 filed with the SEC on March 27, 2025.</w:t>
      </w:r>
    </w:p>
    <w:p>
      <w:pPr>
        <w:spacing w:after="0" w:line="176" w:lineRule="exact"/>
        <w:rPr>
          <w:rFonts w:ascii="Times New Roman" w:cs="Times New Roman" w:eastAsia="Times New Roman" w:hAnsi="Times New Roman"/>
          <w:sz w:val="18"/>
          <w:szCs w:val="18"/>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All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000"/>
          </w:cols>
          <w:pgMar w:left="440" w:top="266" w:right="4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8. Exhibits</w:t>
      </w:r>
    </w:p>
    <w:p>
      <w:pPr>
        <w:spacing w:after="0" w:line="3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4"/>
        <w:spacing w:after="0"/>
        <w:tabs>
          <w:tab w:leader="none" w:pos="804" w:val="left"/>
        </w:tabs>
        <w:rPr>
          <w:sz w:val="20"/>
          <w:szCs w:val="20"/>
          <w:color w:val="auto"/>
        </w:rPr>
      </w:pPr>
      <w:r>
        <w:rPr>
          <w:rFonts w:ascii="Times New Roman" w:cs="Times New Roman" w:eastAsia="Times New Roman" w:hAnsi="Times New Roman"/>
          <w:sz w:val="14"/>
          <w:szCs w:val="14"/>
          <w:b w:val="1"/>
          <w:bCs w:val="1"/>
          <w:u w:val="single" w:color="auto"/>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5080</wp:posOffset>
            </wp:positionV>
            <wp:extent cx="42602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extLst>
                    </a:blip>
                    <a:srcRect/>
                    <a:stretch>
                      <a:fillRect/>
                    </a:stretch>
                  </pic:blipFill>
                  <pic:spPr bwMode="auto">
                    <a:xfrm>
                      <a:off x="0" y="0"/>
                      <a:ext cx="4260215" cy="8255"/>
                    </a:xfrm>
                    <a:prstGeom prst="rect">
                      <a:avLst/>
                    </a:prstGeom>
                    <a:noFill/>
                  </pic:spPr>
                </pic:pic>
              </a:graphicData>
            </a:graphic>
          </wp:anchor>
        </w:drawing>
      </w:r>
    </w:p>
    <w:p>
      <w:pPr>
        <w:spacing w:after="0" w:line="77" w:lineRule="exact"/>
        <w:rPr>
          <w:sz w:val="20"/>
          <w:szCs w:val="20"/>
          <w:color w:val="auto"/>
        </w:rPr>
      </w:pPr>
    </w:p>
    <w:p>
      <w:pPr>
        <w:ind w:left="84" w:hanging="84"/>
        <w:spacing w:after="0"/>
        <w:tabs>
          <w:tab w:leader="none" w:pos="84" w:val="left"/>
        </w:tabs>
        <w:numPr>
          <w:ilvl w:val="0"/>
          <w:numId w:val="2"/>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4.1</w:t>
      </w:r>
      <w:hyperlink r:id="rId41">
        <w:r>
          <w:rPr>
            <w:rFonts w:ascii="Times New Roman" w:cs="Times New Roman" w:eastAsia="Times New Roman" w:hAnsi="Times New Roman"/>
            <w:sz w:val="17"/>
            <w:szCs w:val="17"/>
            <w:u w:val="single" w:color="auto"/>
            <w:color w:val="0000EE"/>
          </w:rPr>
          <w:t>Restated Certificate of Incorporation of the Registrant, as amended</w:t>
        </w:r>
      </w:hyperlink>
    </w:p>
    <w:p>
      <w:pPr>
        <w:spacing w:after="0" w:line="128" w:lineRule="exact"/>
        <w:rPr>
          <w:rFonts w:ascii="Times New Roman" w:cs="Times New Roman" w:eastAsia="Times New Roman" w:hAnsi="Times New Roman"/>
          <w:sz w:val="17"/>
          <w:szCs w:val="17"/>
          <w:u w:val="single" w:color="auto"/>
          <w:color w:val="0000EE"/>
        </w:rPr>
      </w:pPr>
    </w:p>
    <w:p>
      <w:pPr>
        <w:ind w:left="824" w:right="200" w:hanging="824"/>
        <w:spacing w:after="0" w:line="282" w:lineRule="auto"/>
        <w:tabs>
          <w:tab w:leader="none" w:pos="91"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hyperlink r:id="rId42">
        <w:r>
          <w:rPr>
            <w:rFonts w:ascii="Times New Roman" w:cs="Times New Roman" w:eastAsia="Times New Roman" w:hAnsi="Times New Roman"/>
            <w:sz w:val="18"/>
            <w:szCs w:val="18"/>
            <w:u w:val="single" w:color="auto"/>
            <w:color w:val="0000EE"/>
          </w:rPr>
          <w:t>Certificate of Amendment to the Restated Certificate of Incorporation of the Company, as</w:t>
        </w:r>
      </w:hyperlink>
      <w:r>
        <w:rPr>
          <w:rFonts w:ascii="Times New Roman" w:cs="Times New Roman" w:eastAsia="Times New Roman" w:hAnsi="Times New Roman"/>
          <w:sz w:val="18"/>
          <w:szCs w:val="18"/>
          <w:u w:val="single" w:color="auto"/>
          <w:color w:val="0000EE"/>
        </w:rPr>
        <w:t xml:space="preserve"> </w:t>
      </w:r>
      <w:hyperlink r:id="rId42">
        <w:r>
          <w:rPr>
            <w:rFonts w:ascii="Times New Roman" w:cs="Times New Roman" w:eastAsia="Times New Roman" w:hAnsi="Times New Roman"/>
            <w:sz w:val="18"/>
            <w:szCs w:val="18"/>
            <w:u w:val="single" w:color="auto"/>
            <w:color w:val="0000EE"/>
          </w:rPr>
          <w:t>filed with the Secretary of State of the State of Delaware on June 24, 2021</w:t>
        </w:r>
      </w:hyperlink>
    </w:p>
    <w:p>
      <w:pPr>
        <w:spacing w:after="0" w:line="53" w:lineRule="exact"/>
        <w:rPr>
          <w:rFonts w:ascii="Times New Roman" w:cs="Times New Roman" w:eastAsia="Times New Roman" w:hAnsi="Times New Roman"/>
          <w:sz w:val="18"/>
          <w:szCs w:val="18"/>
          <w:u w:val="single" w:color="auto"/>
          <w:color w:val="0000EE"/>
        </w:rPr>
      </w:pPr>
    </w:p>
    <w:p>
      <w:pPr>
        <w:ind w:left="824" w:right="200" w:hanging="824"/>
        <w:spacing w:after="0" w:line="282" w:lineRule="auto"/>
        <w:tabs>
          <w:tab w:leader="none" w:pos="91"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hyperlink r:id="rId43">
        <w:r>
          <w:rPr>
            <w:rFonts w:ascii="Times New Roman" w:cs="Times New Roman" w:eastAsia="Times New Roman" w:hAnsi="Times New Roman"/>
            <w:sz w:val="18"/>
            <w:szCs w:val="18"/>
            <w:u w:val="single" w:color="auto"/>
            <w:color w:val="0000EE"/>
          </w:rPr>
          <w:t>Certificate of Amendment to the Restated Certificate of Incorporation of the Company, as</w:t>
        </w:r>
      </w:hyperlink>
      <w:r>
        <w:rPr>
          <w:rFonts w:ascii="Times New Roman" w:cs="Times New Roman" w:eastAsia="Times New Roman" w:hAnsi="Times New Roman"/>
          <w:sz w:val="18"/>
          <w:szCs w:val="18"/>
          <w:u w:val="single" w:color="auto"/>
          <w:color w:val="0000EE"/>
        </w:rPr>
        <w:t xml:space="preserve"> </w:t>
      </w:r>
      <w:hyperlink r:id="rId43">
        <w:r>
          <w:rPr>
            <w:rFonts w:ascii="Times New Roman" w:cs="Times New Roman" w:eastAsia="Times New Roman" w:hAnsi="Times New Roman"/>
            <w:sz w:val="18"/>
            <w:szCs w:val="18"/>
            <w:u w:val="single" w:color="auto"/>
            <w:color w:val="0000EE"/>
          </w:rPr>
          <w:t>filed with the Secretary of State of the State of Delaware on June 25, 2021</w:t>
        </w:r>
      </w:hyperlink>
    </w:p>
    <w:p>
      <w:pPr>
        <w:spacing w:after="0" w:line="53" w:lineRule="exact"/>
        <w:rPr>
          <w:rFonts w:ascii="Times New Roman" w:cs="Times New Roman" w:eastAsia="Times New Roman" w:hAnsi="Times New Roman"/>
          <w:sz w:val="18"/>
          <w:szCs w:val="18"/>
          <w:u w:val="single" w:color="auto"/>
          <w:color w:val="0000EE"/>
        </w:rPr>
      </w:pPr>
    </w:p>
    <w:p>
      <w:pPr>
        <w:ind w:left="824" w:right="60" w:hanging="824"/>
        <w:spacing w:after="0" w:line="282" w:lineRule="auto"/>
        <w:tabs>
          <w:tab w:leader="none" w:pos="91"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4.4</w:t>
      </w:r>
      <w:hyperlink r:id="rId44">
        <w:r>
          <w:rPr>
            <w:rFonts w:ascii="Times New Roman" w:cs="Times New Roman" w:eastAsia="Times New Roman" w:hAnsi="Times New Roman"/>
            <w:sz w:val="18"/>
            <w:szCs w:val="18"/>
            <w:u w:val="single" w:color="auto"/>
            <w:color w:val="0000EE"/>
          </w:rPr>
          <w:t>Certificate of Designation of Series A Junior Participating Preferred Stock, as filed with the</w:t>
        </w:r>
      </w:hyperlink>
      <w:r>
        <w:rPr>
          <w:rFonts w:ascii="Times New Roman" w:cs="Times New Roman" w:eastAsia="Times New Roman" w:hAnsi="Times New Roman"/>
          <w:sz w:val="18"/>
          <w:szCs w:val="18"/>
          <w:u w:val="single" w:color="auto"/>
          <w:color w:val="0000EE"/>
        </w:rPr>
        <w:t xml:space="preserve"> </w:t>
      </w:r>
      <w:hyperlink r:id="rId44">
        <w:r>
          <w:rPr>
            <w:rFonts w:ascii="Times New Roman" w:cs="Times New Roman" w:eastAsia="Times New Roman" w:hAnsi="Times New Roman"/>
            <w:sz w:val="18"/>
            <w:szCs w:val="18"/>
            <w:u w:val="single" w:color="auto"/>
            <w:color w:val="0000EE"/>
          </w:rPr>
          <w:t>Secretary of State of the State of Delaware on October 10, 2023</w:t>
        </w:r>
      </w:hyperlink>
    </w:p>
    <w:p>
      <w:pPr>
        <w:spacing w:after="0" w:line="53" w:lineRule="exact"/>
        <w:rPr>
          <w:rFonts w:ascii="Times New Roman" w:cs="Times New Roman" w:eastAsia="Times New Roman" w:hAnsi="Times New Roman"/>
          <w:sz w:val="18"/>
          <w:szCs w:val="18"/>
          <w:u w:val="single" w:color="auto"/>
          <w:color w:val="0000EE"/>
        </w:rPr>
      </w:pPr>
    </w:p>
    <w:p>
      <w:pPr>
        <w:ind w:left="84" w:hanging="84"/>
        <w:spacing w:after="0"/>
        <w:tabs>
          <w:tab w:leader="none" w:pos="84" w:val="left"/>
        </w:tabs>
        <w:numPr>
          <w:ilvl w:val="0"/>
          <w:numId w:val="2"/>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4.5</w:t>
      </w:r>
      <w:hyperlink r:id="rId45">
        <w:r>
          <w:rPr>
            <w:rFonts w:ascii="Times New Roman" w:cs="Times New Roman" w:eastAsia="Times New Roman" w:hAnsi="Times New Roman"/>
            <w:sz w:val="17"/>
            <w:szCs w:val="17"/>
            <w:u w:val="single" w:color="auto"/>
            <w:color w:val="0000EE"/>
          </w:rPr>
          <w:t>Amended and Restated Bylaws of the Registrant</w:t>
        </w:r>
      </w:hyperlink>
    </w:p>
    <w:p>
      <w:pPr>
        <w:spacing w:after="0" w:line="128" w:lineRule="exact"/>
        <w:rPr>
          <w:rFonts w:ascii="Times New Roman" w:cs="Times New Roman" w:eastAsia="Times New Roman" w:hAnsi="Times New Roman"/>
          <w:sz w:val="17"/>
          <w:szCs w:val="17"/>
          <w:u w:val="single" w:color="auto"/>
          <w:color w:val="0000EE"/>
        </w:rPr>
      </w:pPr>
    </w:p>
    <w:p>
      <w:pPr>
        <w:ind w:left="824" w:right="20" w:hanging="824"/>
        <w:spacing w:after="0" w:line="261" w:lineRule="auto"/>
        <w:tabs>
          <w:tab w:leader="none" w:pos="91"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4.6</w:t>
      </w:r>
      <w:hyperlink r:id="rId46">
        <w:r>
          <w:rPr>
            <w:rFonts w:ascii="Times New Roman" w:cs="Times New Roman" w:eastAsia="Times New Roman" w:hAnsi="Times New Roman"/>
            <w:sz w:val="18"/>
            <w:szCs w:val="18"/>
            <w:u w:val="single" w:color="auto"/>
            <w:color w:val="0000EE"/>
          </w:rPr>
          <w:t>Rights Agreement, dated as of October 10, 2023, between Tempest Therapeutics, Inc. and</w:t>
        </w:r>
      </w:hyperlink>
      <w:r>
        <w:rPr>
          <w:rFonts w:ascii="Times New Roman" w:cs="Times New Roman" w:eastAsia="Times New Roman" w:hAnsi="Times New Roman"/>
          <w:sz w:val="18"/>
          <w:szCs w:val="18"/>
          <w:u w:val="single" w:color="auto"/>
          <w:color w:val="0000EE"/>
        </w:rPr>
        <w:t xml:space="preserve"> </w:t>
      </w:r>
      <w:hyperlink r:id="rId46">
        <w:r>
          <w:rPr>
            <w:rFonts w:ascii="Times New Roman" w:cs="Times New Roman" w:eastAsia="Times New Roman" w:hAnsi="Times New Roman"/>
            <w:sz w:val="18"/>
            <w:szCs w:val="18"/>
            <w:u w:val="single" w:color="auto"/>
            <w:color w:val="0000EE"/>
          </w:rPr>
          <w:t>Computershare Trust Company, N.A., which includes the form of Certificate of Designation</w:t>
        </w:r>
      </w:hyperlink>
      <w:r>
        <w:rPr>
          <w:rFonts w:ascii="Times New Roman" w:cs="Times New Roman" w:eastAsia="Times New Roman" w:hAnsi="Times New Roman"/>
          <w:sz w:val="18"/>
          <w:szCs w:val="18"/>
          <w:u w:val="single" w:color="auto"/>
          <w:color w:val="0000EE"/>
        </w:rPr>
        <w:t xml:space="preserve"> </w:t>
      </w:r>
      <w:hyperlink r:id="rId46">
        <w:r>
          <w:rPr>
            <w:rFonts w:ascii="Times New Roman" w:cs="Times New Roman" w:eastAsia="Times New Roman" w:hAnsi="Times New Roman"/>
            <w:sz w:val="18"/>
            <w:szCs w:val="18"/>
            <w:u w:val="single" w:color="auto"/>
            <w:color w:val="0000EE"/>
          </w:rPr>
          <w:t>as Exhibit A, the form of Right Certificate as Exhibit B and the Summary of Rights to</w:t>
        </w:r>
      </w:hyperlink>
      <w:r>
        <w:rPr>
          <w:rFonts w:ascii="Times New Roman" w:cs="Times New Roman" w:eastAsia="Times New Roman" w:hAnsi="Times New Roman"/>
          <w:sz w:val="18"/>
          <w:szCs w:val="18"/>
          <w:u w:val="single" w:color="auto"/>
          <w:color w:val="0000EE"/>
        </w:rPr>
        <w:t xml:space="preserve"> </w:t>
      </w:r>
      <w:hyperlink r:id="rId46">
        <w:r>
          <w:rPr>
            <w:rFonts w:ascii="Times New Roman" w:cs="Times New Roman" w:eastAsia="Times New Roman" w:hAnsi="Times New Roman"/>
            <w:sz w:val="18"/>
            <w:szCs w:val="18"/>
            <w:u w:val="single" w:color="auto"/>
            <w:color w:val="0000EE"/>
          </w:rPr>
          <w:t>Purchase Preferred Shares as Exhibit C</w:t>
        </w:r>
      </w:hyperlink>
    </w:p>
    <w:p>
      <w:pPr>
        <w:spacing w:after="0" w:line="71" w:lineRule="exact"/>
        <w:rPr>
          <w:rFonts w:ascii="Times New Roman" w:cs="Times New Roman" w:eastAsia="Times New Roman" w:hAnsi="Times New Roman"/>
          <w:sz w:val="18"/>
          <w:szCs w:val="18"/>
          <w:u w:val="single" w:color="auto"/>
          <w:color w:val="0000EE"/>
        </w:rPr>
      </w:pPr>
    </w:p>
    <w:p>
      <w:pPr>
        <w:ind w:left="824" w:right="160" w:hanging="824"/>
        <w:spacing w:after="0" w:line="266" w:lineRule="auto"/>
        <w:tabs>
          <w:tab w:leader="none" w:pos="91"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4.7</w:t>
      </w:r>
      <w:hyperlink r:id="rId47">
        <w:r>
          <w:rPr>
            <w:rFonts w:ascii="Times New Roman" w:cs="Times New Roman" w:eastAsia="Times New Roman" w:hAnsi="Times New Roman"/>
            <w:sz w:val="18"/>
            <w:szCs w:val="18"/>
            <w:u w:val="single" w:color="auto"/>
            <w:color w:val="0000EE"/>
          </w:rPr>
          <w:t xml:space="preserve">Amendment No. 1, dated as of October </w:t>
        </w:r>
        <w:r>
          <w:rPr>
            <w:rFonts w:ascii="Times New Roman" w:cs="Times New Roman" w:eastAsia="Times New Roman" w:hAnsi="Times New Roman"/>
            <w:sz w:val="18"/>
            <w:szCs w:val="18"/>
            <w:color w:val="0000EE"/>
          </w:rPr>
          <w:t>9, 2024, to Rights Agreement, dated as of October</w:t>
        </w:r>
      </w:hyperlink>
      <w:r>
        <w:rPr>
          <w:rFonts w:ascii="Times New Roman" w:cs="Times New Roman" w:eastAsia="Times New Roman" w:hAnsi="Times New Roman"/>
          <w:sz w:val="18"/>
          <w:szCs w:val="18"/>
          <w:u w:val="single" w:color="auto"/>
          <w:color w:val="0000EE"/>
        </w:rPr>
        <w:t xml:space="preserve"> </w:t>
      </w:r>
      <w:hyperlink r:id="rId47">
        <w:r>
          <w:rPr>
            <w:rFonts w:ascii="Times New Roman" w:cs="Times New Roman" w:eastAsia="Times New Roman" w:hAnsi="Times New Roman"/>
            <w:sz w:val="18"/>
            <w:szCs w:val="18"/>
            <w:u w:val="single" w:color="auto"/>
            <w:color w:val="0000EE"/>
          </w:rPr>
          <w:t>10, 2023, by and between Tempest Therapeutics, Inc. and Computershare Trust Company,</w:t>
        </w:r>
      </w:hyperlink>
      <w:r>
        <w:rPr>
          <w:rFonts w:ascii="Times New Roman" w:cs="Times New Roman" w:eastAsia="Times New Roman" w:hAnsi="Times New Roman"/>
          <w:sz w:val="18"/>
          <w:szCs w:val="18"/>
          <w:u w:val="single" w:color="auto"/>
          <w:color w:val="0000EE"/>
        </w:rPr>
        <w:t xml:space="preserve"> </w:t>
      </w:r>
      <w:hyperlink r:id="rId47">
        <w:r>
          <w:rPr>
            <w:rFonts w:ascii="Times New Roman" w:cs="Times New Roman" w:eastAsia="Times New Roman" w:hAnsi="Times New Roman"/>
            <w:sz w:val="18"/>
            <w:szCs w:val="18"/>
            <w:u w:val="single" w:color="auto"/>
            <w:color w:val="0000EE"/>
          </w:rPr>
          <w:t>N.A., as rights agent</w:t>
        </w:r>
      </w:hyperlink>
    </w:p>
    <w:p>
      <w:pPr>
        <w:spacing w:after="0" w:line="67" w:lineRule="exact"/>
        <w:rPr>
          <w:rFonts w:ascii="Times New Roman" w:cs="Times New Roman" w:eastAsia="Times New Roman" w:hAnsi="Times New Roman"/>
          <w:sz w:val="18"/>
          <w:szCs w:val="18"/>
          <w:u w:val="single" w:color="auto"/>
          <w:color w:val="0000EE"/>
        </w:rPr>
      </w:pPr>
    </w:p>
    <w:p>
      <w:pPr>
        <w:ind w:left="824" w:hanging="824"/>
        <w:spacing w:after="0" w:line="266" w:lineRule="auto"/>
        <w:tabs>
          <w:tab w:leader="none" w:pos="91"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4.8</w:t>
      </w:r>
      <w:hyperlink r:id="rId48">
        <w:r>
          <w:rPr>
            <w:rFonts w:ascii="Times New Roman" w:cs="Times New Roman" w:eastAsia="Times New Roman" w:hAnsi="Times New Roman"/>
            <w:sz w:val="18"/>
            <w:szCs w:val="18"/>
            <w:u w:val="single" w:color="auto"/>
            <w:color w:val="0000EE"/>
          </w:rPr>
          <w:t xml:space="preserve">Amendment No. 2, dated as of December </w:t>
        </w:r>
        <w:r>
          <w:rPr>
            <w:rFonts w:ascii="Times New Roman" w:cs="Times New Roman" w:eastAsia="Times New Roman" w:hAnsi="Times New Roman"/>
            <w:sz w:val="18"/>
            <w:szCs w:val="18"/>
            <w:color w:val="0000EE"/>
          </w:rPr>
          <w:t>5, 2024, to Rights Agreement, dated as of October</w:t>
        </w:r>
      </w:hyperlink>
      <w:r>
        <w:rPr>
          <w:rFonts w:ascii="Times New Roman" w:cs="Times New Roman" w:eastAsia="Times New Roman" w:hAnsi="Times New Roman"/>
          <w:sz w:val="18"/>
          <w:szCs w:val="18"/>
          <w:u w:val="single" w:color="auto"/>
          <w:color w:val="0000EE"/>
        </w:rPr>
        <w:t xml:space="preserve"> </w:t>
      </w:r>
      <w:hyperlink r:id="rId48">
        <w:r>
          <w:rPr>
            <w:rFonts w:ascii="Times New Roman" w:cs="Times New Roman" w:eastAsia="Times New Roman" w:hAnsi="Times New Roman"/>
            <w:sz w:val="18"/>
            <w:szCs w:val="18"/>
            <w:u w:val="single" w:color="auto"/>
            <w:color w:val="0000EE"/>
          </w:rPr>
          <w:t>10, 2023, as amended, by and between Tempest Therapeutics, Inc. and Computershare Trust</w:t>
        </w:r>
      </w:hyperlink>
      <w:r>
        <w:rPr>
          <w:rFonts w:ascii="Times New Roman" w:cs="Times New Roman" w:eastAsia="Times New Roman" w:hAnsi="Times New Roman"/>
          <w:sz w:val="18"/>
          <w:szCs w:val="18"/>
          <w:u w:val="single" w:color="auto"/>
          <w:color w:val="0000EE"/>
        </w:rPr>
        <w:t xml:space="preserve"> </w:t>
      </w:r>
      <w:hyperlink r:id="rId48">
        <w:r>
          <w:rPr>
            <w:rFonts w:ascii="Times New Roman" w:cs="Times New Roman" w:eastAsia="Times New Roman" w:hAnsi="Times New Roman"/>
            <w:sz w:val="18"/>
            <w:szCs w:val="18"/>
            <w:u w:val="single" w:color="auto"/>
            <w:color w:val="0000EE"/>
          </w:rPr>
          <w:t>Company, N.A., as rights agent</w:t>
        </w:r>
      </w:hyperlink>
    </w:p>
    <w:p>
      <w:pPr>
        <w:spacing w:after="0" w:line="67" w:lineRule="exact"/>
        <w:rPr>
          <w:rFonts w:ascii="Times New Roman" w:cs="Times New Roman" w:eastAsia="Times New Roman" w:hAnsi="Times New Roman"/>
          <w:sz w:val="18"/>
          <w:szCs w:val="18"/>
          <w:u w:val="single" w:color="auto"/>
          <w:color w:val="0000EE"/>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w:t>
      </w:r>
      <w:r>
        <w:rPr>
          <w:rFonts w:ascii="Times New Roman" w:cs="Times New Roman" w:eastAsia="Times New Roman" w:hAnsi="Times New Roman"/>
          <w:sz w:val="18"/>
          <w:szCs w:val="18"/>
          <w:u w:val="single" w:color="auto"/>
          <w:color w:val="0000EE"/>
        </w:rPr>
        <w:t>Opinion of Cooley LLP</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2318385</wp:posOffset>
            </wp:positionH>
            <wp:positionV relativeFrom="paragraph">
              <wp:posOffset>-967740</wp:posOffset>
            </wp:positionV>
            <wp:extent cx="23571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9">
                      <a:extLst>
                        <a:ext uri="{28A0092B-C50C-407E-A947-70E740481C1C}"/>
                      </a:extLst>
                    </a:blip>
                    <a:srcRect/>
                    <a:stretch>
                      <a:fillRect/>
                    </a:stretch>
                  </pic:blipFill>
                  <pic:spPr bwMode="auto">
                    <a:xfrm>
                      <a:off x="0" y="0"/>
                      <a:ext cx="2357120" cy="825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-487680</wp:posOffset>
            </wp:positionV>
            <wp:extent cx="23571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97" w:lineRule="exact"/>
        <w:rPr>
          <w:rFonts w:ascii="Times New Roman" w:cs="Times New Roman" w:eastAsia="Times New Roman" w:hAnsi="Times New Roman"/>
          <w:sz w:val="18"/>
          <w:szCs w:val="18"/>
          <w:u w:val="single" w:color="auto"/>
          <w:color w:val="0000EE"/>
        </w:rPr>
      </w:pPr>
    </w:p>
    <w:p>
      <w:pPr>
        <w:ind w:left="4"/>
        <w:spacing w:after="0"/>
        <w:tabs>
          <w:tab w:leader="none" w:pos="804"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u w:val="single" w:color="auto"/>
          <w:color w:val="0000EE"/>
        </w:rPr>
        <w:t>Consent of Cooley LLP (included in Exhibit 5.1).</w:t>
      </w:r>
    </w:p>
    <w:p>
      <w:pPr>
        <w:spacing w:after="0" w:line="117" w:lineRule="exact"/>
        <w:rPr>
          <w:rFonts w:ascii="Times New Roman" w:cs="Times New Roman" w:eastAsia="Times New Roman" w:hAnsi="Times New Roman"/>
          <w:sz w:val="18"/>
          <w:szCs w:val="18"/>
          <w:u w:val="single" w:color="auto"/>
          <w:color w:val="0000EE"/>
        </w:rPr>
      </w:pPr>
    </w:p>
    <w:p>
      <w:pPr>
        <w:ind w:left="4"/>
        <w:spacing w:after="0"/>
        <w:tabs>
          <w:tab w:leader="none" w:pos="804"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Ernst &amp; Young LLP, independent registered public accounting firm</w:t>
      </w:r>
    </w:p>
    <w:p>
      <w:pPr>
        <w:spacing w:after="0" w:line="117" w:lineRule="exact"/>
        <w:rPr>
          <w:rFonts w:ascii="Times New Roman" w:cs="Times New Roman" w:eastAsia="Times New Roman" w:hAnsi="Times New Roman"/>
          <w:sz w:val="18"/>
          <w:szCs w:val="18"/>
          <w:u w:val="single" w:color="auto"/>
          <w:color w:val="0000EE"/>
        </w:rPr>
      </w:pPr>
    </w:p>
    <w:p>
      <w:pPr>
        <w:ind w:left="4"/>
        <w:spacing w:after="0"/>
        <w:tabs>
          <w:tab w:leader="none" w:pos="804"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u w:val="single" w:color="auto"/>
          <w:color w:val="0000EE"/>
        </w:rPr>
        <w:t>Power of Attorney (included on the signature page of this Form S-8)</w:t>
      </w:r>
    </w:p>
    <w:p>
      <w:pPr>
        <w:spacing w:after="0" w:line="117" w:lineRule="exact"/>
        <w:rPr>
          <w:rFonts w:ascii="Times New Roman" w:cs="Times New Roman" w:eastAsia="Times New Roman" w:hAnsi="Times New Roman"/>
          <w:sz w:val="18"/>
          <w:szCs w:val="18"/>
          <w:u w:val="single" w:color="auto"/>
          <w:color w:val="0000EE"/>
        </w:rPr>
      </w:pPr>
    </w:p>
    <w:p>
      <w:pPr>
        <w:ind w:left="4"/>
        <w:spacing w:after="0"/>
        <w:tabs>
          <w:tab w:leader="none" w:pos="80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r:id="rId51">
        <w:r>
          <w:rPr>
            <w:rFonts w:ascii="Times New Roman" w:cs="Times New Roman" w:eastAsia="Times New Roman" w:hAnsi="Times New Roman"/>
            <w:sz w:val="17"/>
            <w:szCs w:val="17"/>
            <w:u w:val="single" w:color="auto"/>
            <w:color w:val="0000EE"/>
          </w:rPr>
          <w:t>Tempest Therapeutics, Inc. Amended and Restated 2023 Equity Incentive Plan</w:t>
        </w:r>
      </w:hyperlink>
    </w:p>
    <w:p>
      <w:pPr>
        <w:spacing w:after="0" w:line="117" w:lineRule="exact"/>
        <w:rPr>
          <w:rFonts w:ascii="Times New Roman" w:cs="Times New Roman" w:eastAsia="Times New Roman" w:hAnsi="Times New Roman"/>
          <w:sz w:val="18"/>
          <w:szCs w:val="18"/>
          <w:u w:val="single" w:color="auto"/>
          <w:color w:val="0000EE"/>
        </w:rPr>
      </w:pPr>
    </w:p>
    <w:p>
      <w:pPr>
        <w:ind w:left="4"/>
        <w:spacing w:after="0"/>
        <w:tabs>
          <w:tab w:leader="none" w:pos="80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99.2</w:t>
      </w:r>
      <w:r>
        <w:rPr>
          <w:sz w:val="20"/>
          <w:szCs w:val="20"/>
          <w:color w:val="auto"/>
        </w:rPr>
        <w:tab/>
      </w:r>
      <w:hyperlink r:id="rId52">
        <w:r>
          <w:rPr>
            <w:rFonts w:ascii="Times New Roman" w:cs="Times New Roman" w:eastAsia="Times New Roman" w:hAnsi="Times New Roman"/>
            <w:sz w:val="17"/>
            <w:szCs w:val="17"/>
            <w:u w:val="single" w:color="auto"/>
            <w:color w:val="0000EE"/>
          </w:rPr>
          <w:t>Tempest Therapeutics, Inc. 2019 Employee Stock Purchase Plan</w:t>
        </w:r>
      </w:hyperlink>
    </w:p>
    <w:p>
      <w:pPr>
        <w:spacing w:after="0" w:line="117" w:lineRule="exact"/>
        <w:rPr>
          <w:rFonts w:ascii="Times New Roman" w:cs="Times New Roman" w:eastAsia="Times New Roman" w:hAnsi="Times New Roman"/>
          <w:sz w:val="18"/>
          <w:szCs w:val="18"/>
          <w:u w:val="single" w:color="auto"/>
          <w:color w:val="0000EE"/>
        </w:rPr>
      </w:pPr>
    </w:p>
    <w:p>
      <w:pPr>
        <w:ind w:left="4"/>
        <w:spacing w:after="0"/>
        <w:tabs>
          <w:tab w:leader="none" w:pos="804"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rFonts w:ascii="Times New Roman" w:cs="Times New Roman" w:eastAsia="Times New Roman" w:hAnsi="Times New Roman"/>
          <w:sz w:val="18"/>
          <w:szCs w:val="18"/>
          <w:u w:val="single" w:color="auto"/>
          <w:color w:val="0000EE"/>
        </w:rPr>
      </w:pPr>
    </w:p>
    <w:p>
      <w:pPr>
        <w:ind w:left="4"/>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200" w:lineRule="exact"/>
        <w:rPr>
          <w:rFonts w:ascii="Times New Roman" w:cs="Times New Roman" w:eastAsia="Times New Roman" w:hAnsi="Times New Roman"/>
          <w:sz w:val="18"/>
          <w:szCs w:val="18"/>
          <w:u w:val="single" w:color="auto"/>
          <w:color w:val="0000EE"/>
        </w:rPr>
      </w:pPr>
    </w:p>
    <w:p>
      <w:pPr>
        <w:spacing w:after="0" w:line="237" w:lineRule="exact"/>
        <w:rPr>
          <w:rFonts w:ascii="Times New Roman" w:cs="Times New Roman" w:eastAsia="Times New Roman" w:hAnsi="Times New Roman"/>
          <w:sz w:val="18"/>
          <w:szCs w:val="18"/>
          <w:u w:val="single" w:color="auto"/>
          <w:color w:val="0000EE"/>
        </w:rPr>
      </w:pP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173"/>
        </w:trPr>
        <w:tc>
          <w:tcPr>
            <w:tcW w:w="224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00" w:type="dxa"/>
            <w:vAlign w:val="bottom"/>
          </w:tcPr>
          <w:p>
            <w:pPr>
              <w:spacing w:after="0"/>
              <w:rPr>
                <w:sz w:val="15"/>
                <w:szCs w:val="15"/>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0" w:type="dxa"/>
            <w:vAlign w:val="bottom"/>
          </w:tcPr>
          <w:p>
            <w:pPr>
              <w:spacing w:after="0"/>
              <w:rPr>
                <w:sz w:val="1"/>
                <w:szCs w:val="1"/>
                <w:color w:val="auto"/>
              </w:rPr>
            </w:pPr>
          </w:p>
        </w:tc>
      </w:tr>
      <w:tr>
        <w:trPr>
          <w:trHeight w:val="117"/>
        </w:trPr>
        <w:tc>
          <w:tcPr>
            <w:tcW w:w="78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Schedule</w:t>
            </w:r>
          </w:p>
        </w:tc>
        <w:tc>
          <w:tcPr>
            <w:tcW w:w="100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File</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vMerge w:val="restart"/>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22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304"/>
        </w:trPr>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10-Q</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001-35890</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2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5/15/2019</w:t>
            </w:r>
          </w:p>
        </w:tc>
        <w:tc>
          <w:tcPr>
            <w:tcW w:w="0" w:type="dxa"/>
            <w:vAlign w:val="bottom"/>
          </w:tcPr>
          <w:p>
            <w:pPr>
              <w:spacing w:after="0"/>
              <w:rPr>
                <w:sz w:val="1"/>
                <w:szCs w:val="1"/>
                <w:color w:val="auto"/>
              </w:rPr>
            </w:pPr>
          </w:p>
        </w:tc>
      </w:tr>
      <w:tr>
        <w:trPr>
          <w:trHeight w:val="324"/>
        </w:trPr>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001-35890</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2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6/28/2021</w:t>
            </w:r>
          </w:p>
        </w:tc>
        <w:tc>
          <w:tcPr>
            <w:tcW w:w="0" w:type="dxa"/>
            <w:vAlign w:val="bottom"/>
          </w:tcPr>
          <w:p>
            <w:pPr>
              <w:spacing w:after="0"/>
              <w:rPr>
                <w:sz w:val="1"/>
                <w:szCs w:val="1"/>
                <w:color w:val="auto"/>
              </w:rPr>
            </w:pPr>
          </w:p>
        </w:tc>
      </w:tr>
      <w:tr>
        <w:trPr>
          <w:trHeight w:val="540"/>
        </w:trPr>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001-35890</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2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6/28/2021</w:t>
            </w:r>
          </w:p>
        </w:tc>
        <w:tc>
          <w:tcPr>
            <w:tcW w:w="0" w:type="dxa"/>
            <w:vAlign w:val="bottom"/>
          </w:tcPr>
          <w:p>
            <w:pPr>
              <w:spacing w:after="0"/>
              <w:rPr>
                <w:sz w:val="1"/>
                <w:szCs w:val="1"/>
                <w:color w:val="auto"/>
              </w:rPr>
            </w:pPr>
          </w:p>
        </w:tc>
      </w:tr>
      <w:tr>
        <w:trPr>
          <w:trHeight w:val="540"/>
        </w:trPr>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001-35890</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2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10/11/2023</w:t>
            </w:r>
          </w:p>
        </w:tc>
        <w:tc>
          <w:tcPr>
            <w:tcW w:w="0" w:type="dxa"/>
            <w:vAlign w:val="bottom"/>
          </w:tcPr>
          <w:p>
            <w:pPr>
              <w:spacing w:after="0"/>
              <w:rPr>
                <w:sz w:val="1"/>
                <w:szCs w:val="1"/>
                <w:color w:val="auto"/>
              </w:rPr>
            </w:pPr>
          </w:p>
        </w:tc>
      </w:tr>
      <w:tr>
        <w:trPr>
          <w:trHeight w:val="540"/>
        </w:trPr>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001-35890</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2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9/4/2021</w:t>
            </w:r>
          </w:p>
        </w:tc>
        <w:tc>
          <w:tcPr>
            <w:tcW w:w="0" w:type="dxa"/>
            <w:vAlign w:val="bottom"/>
          </w:tcPr>
          <w:p>
            <w:pPr>
              <w:spacing w:after="0"/>
              <w:rPr>
                <w:sz w:val="1"/>
                <w:szCs w:val="1"/>
                <w:color w:val="auto"/>
              </w:rPr>
            </w:pPr>
          </w:p>
        </w:tc>
      </w:tr>
      <w:tr>
        <w:trPr>
          <w:trHeight w:val="324"/>
        </w:trPr>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001-35890</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10/11/2023</w:t>
            </w:r>
          </w:p>
        </w:tc>
        <w:tc>
          <w:tcPr>
            <w:tcW w:w="0" w:type="dxa"/>
            <w:vAlign w:val="bottom"/>
          </w:tcPr>
          <w:p>
            <w:pPr>
              <w:spacing w:after="0"/>
              <w:rPr>
                <w:sz w:val="1"/>
                <w:szCs w:val="1"/>
                <w:color w:val="auto"/>
              </w:rPr>
            </w:pPr>
          </w:p>
        </w:tc>
      </w:tr>
    </w:tbl>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338" w:lineRule="exact"/>
        <w:rPr>
          <w:rFonts w:ascii="Times New Roman" w:cs="Times New Roman" w:eastAsia="Times New Roman" w:hAnsi="Times New Roman"/>
          <w:sz w:val="18"/>
          <w:szCs w:val="18"/>
          <w:u w:val="single" w:color="auto"/>
          <w:color w:val="0000EE"/>
        </w:rPr>
      </w:pPr>
    </w:p>
    <w:p>
      <w:pPr>
        <w:ind w:left="140"/>
        <w:spacing w:after="0"/>
        <w:tabs>
          <w:tab w:leader="none" w:pos="760" w:val="left"/>
          <w:tab w:leader="none" w:pos="1880" w:val="left"/>
          <w:tab w:leader="none" w:pos="24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001-35890</w:t>
      </w:r>
      <w:r>
        <w:rPr>
          <w:sz w:val="20"/>
          <w:szCs w:val="20"/>
          <w:color w:val="auto"/>
        </w:rPr>
        <w:tab/>
      </w: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10/10/2024</w:t>
      </w:r>
    </w:p>
    <w:p>
      <w:pPr>
        <w:spacing w:after="0" w:line="200" w:lineRule="exact"/>
        <w:rPr>
          <w:rFonts w:ascii="Times New Roman" w:cs="Times New Roman" w:eastAsia="Times New Roman" w:hAnsi="Times New Roman"/>
          <w:sz w:val="18"/>
          <w:szCs w:val="18"/>
          <w:u w:val="single" w:color="auto"/>
          <w:color w:val="0000EE"/>
        </w:rPr>
      </w:pPr>
    </w:p>
    <w:p>
      <w:pPr>
        <w:spacing w:after="0" w:line="349" w:lineRule="exact"/>
        <w:rPr>
          <w:rFonts w:ascii="Times New Roman" w:cs="Times New Roman" w:eastAsia="Times New Roman" w:hAnsi="Times New Roman"/>
          <w:sz w:val="18"/>
          <w:szCs w:val="18"/>
          <w:u w:val="single" w:color="auto"/>
          <w:color w:val="0000EE"/>
        </w:rPr>
      </w:pPr>
    </w:p>
    <w:p>
      <w:pPr>
        <w:ind w:left="140"/>
        <w:spacing w:after="0"/>
        <w:tabs>
          <w:tab w:leader="none" w:pos="760" w:val="left"/>
          <w:tab w:leader="none" w:pos="1880" w:val="left"/>
          <w:tab w:leader="none" w:pos="24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001-35890</w:t>
      </w:r>
      <w:r>
        <w:rPr>
          <w:sz w:val="20"/>
          <w:szCs w:val="20"/>
          <w:color w:val="auto"/>
        </w:rPr>
        <w:tab/>
      </w: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12/06/2024</w:t>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45" w:lineRule="exact"/>
        <w:rPr>
          <w:rFonts w:ascii="Times New Roman" w:cs="Times New Roman" w:eastAsia="Times New Roman" w:hAnsi="Times New Roman"/>
          <w:sz w:val="18"/>
          <w:szCs w:val="18"/>
          <w:u w:val="single" w:color="auto"/>
          <w:color w:val="0000EE"/>
        </w:rPr>
      </w:pPr>
    </w:p>
    <w:tbl>
      <w:tblPr>
        <w:tblLayout w:type="fixed"/>
        <w:tblInd w:w="100" w:type="dxa"/>
        <w:tblCellMar>
          <w:top w:w="0" w:type="dxa"/>
          <w:left w:w="0" w:type="dxa"/>
          <w:bottom w:w="0" w:type="dxa"/>
          <w:right w:w="0" w:type="dxa"/>
        </w:tblCellMar>
      </w:tblPr>
      <w:tr>
        <w:trPr>
          <w:trHeight w:val="234"/>
        </w:trPr>
        <w:tc>
          <w:tcPr>
            <w:tcW w:w="5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10-Q</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001-35890</w:t>
            </w: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8/10/2023</w:t>
            </w:r>
          </w:p>
        </w:tc>
      </w:tr>
      <w:tr>
        <w:trPr>
          <w:trHeight w:val="324"/>
        </w:trPr>
        <w:tc>
          <w:tcPr>
            <w:tcW w:w="5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001-35890</w:t>
            </w: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6/21/2022</w:t>
            </w:r>
          </w:p>
        </w:tc>
      </w:tr>
    </w:tbl>
    <w:p>
      <w:pPr>
        <w:sectPr>
          <w:pgSz w:w="11900" w:h="16838" w:orient="portrait"/>
          <w:cols w:equalWidth="0" w:num="2">
            <w:col w:w="7484" w:space="260"/>
            <w:col w:w="3280"/>
          </w:cols>
          <w:pgMar w:left="436" w:top="266"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Brisbane, State of California, on March 27,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Stephen Brady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Stephen Brady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Stephen Brady and Nicholas Maestas,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9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352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6"/>
                <w:szCs w:val="16"/>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Stephen Brady</w:t>
            </w:r>
          </w:p>
        </w:tc>
        <w:tc>
          <w:tcPr>
            <w:tcW w:w="3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Stephen Brady</w:t>
            </w:r>
          </w:p>
        </w:tc>
        <w:tc>
          <w:tcPr>
            <w:tcW w:w="374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342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Nicholas Maestas</w:t>
            </w:r>
          </w:p>
        </w:tc>
        <w:tc>
          <w:tcPr>
            <w:tcW w:w="3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 and Head of Corporate</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176"/>
        </w:trPr>
        <w:tc>
          <w:tcPr>
            <w:tcW w:w="38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Nicholas Maestas</w:t>
            </w:r>
          </w:p>
        </w:tc>
        <w:tc>
          <w:tcPr>
            <w:tcW w:w="3740" w:type="dxa"/>
            <w:vAlign w:val="bottom"/>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Strategy</w:t>
            </w:r>
          </w:p>
        </w:tc>
        <w:tc>
          <w:tcPr>
            <w:tcW w:w="3420" w:type="dxa"/>
            <w:vAlign w:val="bottom"/>
          </w:tcPr>
          <w:p>
            <w:pPr>
              <w:spacing w:after="0"/>
              <w:rPr>
                <w:sz w:val="15"/>
                <w:szCs w:val="15"/>
                <w:color w:val="auto"/>
              </w:rPr>
            </w:pPr>
          </w:p>
        </w:tc>
      </w:tr>
      <w:tr>
        <w:trPr>
          <w:trHeight w:val="236"/>
        </w:trPr>
        <w:tc>
          <w:tcPr>
            <w:tcW w:w="3860" w:type="dxa"/>
            <w:vAlign w:val="bottom"/>
          </w:tcPr>
          <w:p>
            <w:pPr>
              <w:spacing w:after="0"/>
              <w:rPr>
                <w:sz w:val="20"/>
                <w:szCs w:val="20"/>
                <w:color w:val="auto"/>
              </w:rPr>
            </w:pPr>
          </w:p>
        </w:tc>
        <w:tc>
          <w:tcPr>
            <w:tcW w:w="374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3420" w:type="dxa"/>
            <w:vAlign w:val="bottom"/>
          </w:tcPr>
          <w:p>
            <w:pPr>
              <w:spacing w:after="0"/>
              <w:rPr>
                <w:sz w:val="20"/>
                <w:szCs w:val="20"/>
                <w:color w:val="auto"/>
              </w:rPr>
            </w:pPr>
          </w:p>
        </w:tc>
      </w:tr>
      <w:tr>
        <w:trPr>
          <w:trHeight w:val="445"/>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Justin Trojanowski</w:t>
            </w:r>
          </w:p>
        </w:tc>
        <w:tc>
          <w:tcPr>
            <w:tcW w:w="3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Corporate Controller, Treasurer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Justin Trojanowski</w:t>
            </w:r>
          </w:p>
        </w:tc>
        <w:tc>
          <w:tcPr>
            <w:tcW w:w="374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342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Raab</w:t>
            </w:r>
          </w:p>
        </w:tc>
        <w:tc>
          <w:tcPr>
            <w:tcW w:w="3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Raab</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Geoff Nichol</w:t>
            </w:r>
          </w:p>
        </w:tc>
        <w:tc>
          <w:tcPr>
            <w:tcW w:w="3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Geoff Nichol, M.B., Ch.B., M.B.A.</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Christine Pellizzari</w:t>
            </w:r>
          </w:p>
        </w:tc>
        <w:tc>
          <w:tcPr>
            <w:tcW w:w="3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Christine Pellizzari</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Ronit Simantov</w:t>
            </w:r>
          </w:p>
        </w:tc>
        <w:tc>
          <w:tcPr>
            <w:tcW w:w="3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Ronit Simantov</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1165860" cy="3860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5">
                      <a:extLst>
                        <a:ext uri="{28A0092B-C50C-407E-A947-70E740481C1C}"/>
                      </a:extLst>
                    </a:blip>
                    <a:srcRect/>
                    <a:stretch>
                      <a:fillRect/>
                    </a:stretch>
                  </pic:blipFill>
                  <pic:spPr bwMode="auto">
                    <a:xfrm>
                      <a:off x="0" y="0"/>
                      <a:ext cx="116586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March 27, 2025</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Laura Berezin</w:t>
      </w:r>
    </w:p>
    <w:p>
      <w:pPr>
        <w:spacing w:after="0" w:line="27" w:lineRule="exact"/>
        <w:rPr>
          <w:sz w:val="20"/>
          <w:szCs w:val="20"/>
          <w:color w:val="auto"/>
        </w:rPr>
      </w:pPr>
    </w:p>
    <w:p>
      <w:pPr>
        <w:ind w:left="4" w:right="9460" w:hanging="4"/>
        <w:spacing w:after="0" w:line="290" w:lineRule="auto"/>
        <w:tabs>
          <w:tab w:leader="none" w:pos="2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+1 650 843 5128 lberezin@cooley.com</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2000 Sierra Point Parkway, Suite 400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Brisbane, California 94005</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 w:right="260"/>
        <w:spacing w:after="0" w:line="255" w:lineRule="auto"/>
        <w:rPr>
          <w:sz w:val="20"/>
          <w:szCs w:val="20"/>
          <w:color w:val="auto"/>
        </w:rPr>
      </w:pPr>
      <w:r>
        <w:rPr>
          <w:rFonts w:ascii="Times New Roman" w:cs="Times New Roman" w:eastAsia="Times New Roman" w:hAnsi="Times New Roman"/>
          <w:sz w:val="18"/>
          <w:szCs w:val="18"/>
          <w:color w:val="auto"/>
        </w:rPr>
        <w:t>We have acted as counsel to Tempest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filing by the Company of a Registration Statement on Form S-8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covering the offering of up to 2,258,865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Common Stock, $0.001 par value, consisting of (a) 1,758,865 shares of Common Stock issuable pursuant to the Company’s Amended and Restated 2023 Equity Incentive Plan (the “</w:t>
      </w:r>
      <w:r>
        <w:rPr>
          <w:rFonts w:ascii="Times New Roman" w:cs="Times New Roman" w:eastAsia="Times New Roman" w:hAnsi="Times New Roman"/>
          <w:sz w:val="18"/>
          <w:szCs w:val="18"/>
          <w:b w:val="1"/>
          <w:bCs w:val="1"/>
          <w:i w:val="1"/>
          <w:iCs w:val="1"/>
          <w:color w:val="auto"/>
        </w:rPr>
        <w:t>2023 EIP</w:t>
      </w:r>
      <w:r>
        <w:rPr>
          <w:rFonts w:ascii="Times New Roman" w:cs="Times New Roman" w:eastAsia="Times New Roman" w:hAnsi="Times New Roman"/>
          <w:sz w:val="18"/>
          <w:szCs w:val="18"/>
          <w:color w:val="auto"/>
        </w:rPr>
        <w:t>”), and (b) 500,000 shares of Common Stock issuable pursuant to the Company’s Amended and Restated 2019 Employee Stock Purchase Plan (the “</w:t>
      </w:r>
      <w:r>
        <w:rPr>
          <w:rFonts w:ascii="Times New Roman" w:cs="Times New Roman" w:eastAsia="Times New Roman" w:hAnsi="Times New Roman"/>
          <w:sz w:val="18"/>
          <w:szCs w:val="18"/>
          <w:b w:val="1"/>
          <w:bCs w:val="1"/>
          <w:i w:val="1"/>
          <w:iCs w:val="1"/>
          <w:color w:val="auto"/>
        </w:rPr>
        <w:t>2019 ESPP</w:t>
      </w:r>
      <w:r>
        <w:rPr>
          <w:rFonts w:ascii="Times New Roman" w:cs="Times New Roman" w:eastAsia="Times New Roman" w:hAnsi="Times New Roman"/>
          <w:sz w:val="18"/>
          <w:szCs w:val="18"/>
          <w:color w:val="auto"/>
        </w:rPr>
        <w:t>” and together with the 2023 EIP, the “</w:t>
      </w:r>
      <w:r>
        <w:rPr>
          <w:rFonts w:ascii="Times New Roman" w:cs="Times New Roman" w:eastAsia="Times New Roman" w:hAnsi="Times New Roman"/>
          <w:sz w:val="18"/>
          <w:szCs w:val="18"/>
          <w:b w:val="1"/>
          <w:bCs w:val="1"/>
          <w:i w:val="1"/>
          <w:iCs w:val="1"/>
          <w:color w:val="auto"/>
        </w:rPr>
        <w:t>Plans</w:t>
      </w:r>
      <w:r>
        <w:rPr>
          <w:rFonts w:ascii="Times New Roman" w:cs="Times New Roman" w:eastAsia="Times New Roman" w:hAnsi="Times New Roman"/>
          <w:sz w:val="18"/>
          <w:szCs w:val="18"/>
          <w:color w:val="auto"/>
        </w:rPr>
        <w:t>”). Each share of Common Stock includes a preferred share purchase right (each, a “</w:t>
      </w:r>
      <w:r>
        <w:rPr>
          <w:rFonts w:ascii="Times New Roman" w:cs="Times New Roman" w:eastAsia="Times New Roman" w:hAnsi="Times New Roman"/>
          <w:sz w:val="18"/>
          <w:szCs w:val="18"/>
          <w:b w:val="1"/>
          <w:bCs w:val="1"/>
          <w:i w:val="1"/>
          <w:iCs w:val="1"/>
          <w:color w:val="auto"/>
        </w:rPr>
        <w:t>Right</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color w:val="auto"/>
        </w:rPr>
        <w:t>”) as set forth in Rights Agreement (the “</w:t>
      </w:r>
      <w:r>
        <w:rPr>
          <w:rFonts w:ascii="Times New Roman" w:cs="Times New Roman" w:eastAsia="Times New Roman" w:hAnsi="Times New Roman"/>
          <w:sz w:val="18"/>
          <w:szCs w:val="18"/>
          <w:b w:val="1"/>
          <w:bCs w:val="1"/>
          <w:i w:val="1"/>
          <w:iCs w:val="1"/>
          <w:color w:val="auto"/>
        </w:rPr>
        <w:t>Rights Plan</w:t>
      </w:r>
      <w:r>
        <w:rPr>
          <w:rFonts w:ascii="Times New Roman" w:cs="Times New Roman" w:eastAsia="Times New Roman" w:hAnsi="Times New Roman"/>
          <w:sz w:val="18"/>
          <w:szCs w:val="18"/>
          <w:color w:val="auto"/>
        </w:rPr>
        <w:t>”), dated as October 10, 2023, as amended, between the Company and Computershare Trust Company, N.A., as rights agent (the “</w:t>
      </w:r>
      <w:r>
        <w:rPr>
          <w:rFonts w:ascii="Times New Roman" w:cs="Times New Roman" w:eastAsia="Times New Roman" w:hAnsi="Times New Roman"/>
          <w:sz w:val="18"/>
          <w:szCs w:val="18"/>
          <w:b w:val="1"/>
          <w:bCs w:val="1"/>
          <w:i w:val="1"/>
          <w:iCs w:val="1"/>
          <w:color w:val="auto"/>
        </w:rPr>
        <w:t>Rights Agent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(a) the Registration Statement and related prospectus, (b) the Plans, (c) the Company’s certificate of incorporation and bylaws, each as currently in effect, (d) the Rights Plan and (e) such other records, documents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respect to our opinion concerning the Rights:</w:t>
      </w:r>
    </w:p>
    <w:p>
      <w:pPr>
        <w:spacing w:after="0" w:line="117" w:lineRule="exact"/>
        <w:rPr>
          <w:sz w:val="20"/>
          <w:szCs w:val="20"/>
          <w:color w:val="auto"/>
        </w:rPr>
      </w:pPr>
    </w:p>
    <w:p>
      <w:pPr>
        <w:ind w:left="4" w:right="100" w:firstLine="436"/>
        <w:spacing w:after="0" w:line="266" w:lineRule="auto"/>
        <w:tabs>
          <w:tab w:leader="none" w:pos="6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 does not address the determination a court of competent jurisdiction may make regarding whether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may be required to redeem or terminate, or take other action with respect to, the Rights or Rights Plan in the future based on the facts and circumstances then existing.</w:t>
      </w:r>
    </w:p>
    <w:p>
      <w:pPr>
        <w:spacing w:after="0" w:line="175" w:lineRule="exact"/>
        <w:rPr>
          <w:rFonts w:ascii="Times New Roman" w:cs="Times New Roman" w:eastAsia="Times New Roman" w:hAnsi="Times New Roman"/>
          <w:sz w:val="18"/>
          <w:szCs w:val="18"/>
          <w:color w:val="auto"/>
        </w:rPr>
      </w:pPr>
    </w:p>
    <w:p>
      <w:pPr>
        <w:ind w:left="4" w:right="80" w:firstLine="436"/>
        <w:spacing w:after="0" w:line="258" w:lineRule="auto"/>
        <w:tabs>
          <w:tab w:leader="none" w:pos="70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 assumes that the Rights Plan has been duly authorized, executed and delivered by the Rights Agent and that members of the Board have acted in a manner consistent with their fiduciary duties as required under applicable law in adopting the Rights Plan. With respect to Rights associated with Shares to be offered in the future under the Registration Statement, our opinion assumes the Rights Plan has not been terminated by the Company or expired by its terms and the Rights have not expired or been redeemed or exchanged by the Company, in each case, prior to the issuance of such Shares.</w:t>
      </w:r>
    </w:p>
    <w:p>
      <w:pPr>
        <w:spacing w:after="0" w:line="183" w:lineRule="exact"/>
        <w:rPr>
          <w:rFonts w:ascii="Times New Roman" w:cs="Times New Roman" w:eastAsia="Times New Roman" w:hAnsi="Times New Roman"/>
          <w:sz w:val="18"/>
          <w:szCs w:val="18"/>
          <w:color w:val="auto"/>
        </w:rPr>
      </w:pPr>
    </w:p>
    <w:p>
      <w:pPr>
        <w:jc w:val="both"/>
        <w:ind w:left="4" w:right="20" w:firstLine="436"/>
        <w:spacing w:after="0" w:line="266" w:lineRule="auto"/>
        <w:tabs>
          <w:tab w:leader="none" w:pos="7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 addresses corporate procedures in connection with the issuance of the Rights associated with the Shares of the Company, and not any particular provision of the Rights or the Rights Plan. It should be understood that it is not settled whether the invalidity of any particular provision of a rights agreement or purchase rights issued thereunder would invalidate such rights in their entirety.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Cooley LLP 1700 Seventh Avenue Suite 1900. Seattle, WA 98101-1355</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 (206) 452-8700 f: (206) 452-8800 cooley.com</w:t>
      </w:r>
    </w:p>
    <w:p>
      <w:pPr>
        <w:sectPr>
          <w:pgSz w:w="11900" w:h="16838" w:orient="portrait"/>
          <w:cols w:equalWidth="0" w:num="1">
            <w:col w:w="11024"/>
          </w:cols>
          <w:pgMar w:left="436" w:top="117" w:right="439" w:bottom="1440" w:gutter="0" w:footer="0" w:header="0"/>
        </w:sectPr>
      </w:pPr>
    </w:p>
    <w:bookmarkStart w:id="5" w:name="page6"/>
    <w:bookmarkEnd w:id="5"/>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65860" cy="3860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86080"/>
                    </a:xfrm>
                    <a:prstGeom prst="rect">
                      <a:avLst/>
                    </a:prstGeom>
                    <a:noFill/>
                  </pic:spPr>
                </pic:pic>
              </a:graphicData>
            </a:graphic>
          </wp:anchor>
        </w:drawing>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the basis of the foregoing, and in reliance thereon, and subject to the qualifications herein stated, we are of the opinion that the Shares and associated Rights, when sold and issued against payment therefor in accordance with the Plans, the Registration Statement and the related prospectuses, will be validly issued, and the Shares will be fully paid and nonassessable (except as to shares issued pursuant to deferred payment arrangements, which will be fully paid and nonassessable when such deferred payments are made in full).</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opinion is limited to the matters expressly set forth in this letter, and no opinion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OOLEY</w:t>
      </w:r>
      <w:r>
        <w:rPr>
          <w:rFonts w:ascii="Times New Roman" w:cs="Times New Roman" w:eastAsia="Times New Roman" w:hAnsi="Times New Roman"/>
          <w:sz w:val="18"/>
          <w:szCs w:val="18"/>
          <w:color w:val="auto"/>
        </w:rPr>
        <w:t xml:space="preserv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Laura Berezin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Laura Berezin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Cooley LLP 1700 Seventh Avenue Suite 1900. Seattle, WA 98101-1355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 (206) 452-8700 f: (206) 452-8800 cooley.com</w:t>
      </w:r>
    </w:p>
    <w:p>
      <w:pPr>
        <w:sectPr>
          <w:pgSz w:w="11900" w:h="16838" w:orient="portrait"/>
          <w:cols w:equalWidth="0" w:num="1">
            <w:col w:w="11000"/>
          </w:cols>
          <w:pgMar w:left="440" w:top="1120" w:right="4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Tempest Therapeutics, Inc. Amended and Restated 2023 Equity Incentive Plan and the Tempest Therapeutics, Inc. Amended and Restated 2019 Employee Stock Purchase Plan of our report dated March 27, 2025, with respect to the consolidated financial statements of Tempest Therapeutics, Inc. included in its Annual Report (Form 10-K) for the year ended December 31, 2024,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ectPr>
          <w:pgSz w:w="11900" w:h="16838" w:orient="portrait"/>
          <w:cols w:equalWidth="0" w:num="1">
            <w:col w:w="11020"/>
          </w:cols>
          <w:pgMar w:left="440" w:top="117" w:right="4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50" w:lineRule="exact"/>
        <w:rPr>
          <w:sz w:val="20"/>
          <w:szCs w:val="20"/>
          <w:color w:val="auto"/>
        </w:rPr>
      </w:pPr>
    </w:p>
    <w:tbl>
      <w:tblPr>
        <w:tblLayout w:type="fixed"/>
        <w:tblInd w:w="74" w:type="dxa"/>
        <w:tblCellMar>
          <w:top w:w="0" w:type="dxa"/>
          <w:left w:w="0" w:type="dxa"/>
          <w:bottom w:w="0" w:type="dxa"/>
          <w:right w:w="0" w:type="dxa"/>
        </w:tblCellMar>
      </w:tblPr>
      <w:tr>
        <w:trPr>
          <w:trHeight w:val="144"/>
        </w:trPr>
        <w:tc>
          <w:tcPr>
            <w:tcW w:w="460" w:type="dxa"/>
            <w:vAlign w:val="bottom"/>
            <w:tcBorders>
              <w:top w:val="single" w:sz="8" w:color="auto"/>
              <w:left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spacing w:after="0"/>
              <w:rPr>
                <w:sz w:val="12"/>
                <w:szCs w:val="12"/>
                <w:color w:val="auto"/>
              </w:rPr>
            </w:pPr>
          </w:p>
        </w:tc>
        <w:tc>
          <w:tcPr>
            <w:tcW w:w="3480" w:type="dxa"/>
            <w:vAlign w:val="bottom"/>
            <w:tcBorders>
              <w:top w:val="single" w:sz="8" w:color="auto"/>
              <w:right w:val="single" w:sz="8" w:color="auto"/>
            </w:tcBorders>
          </w:tcPr>
          <w:p>
            <w:pPr>
              <w:spacing w:after="0"/>
              <w:rPr>
                <w:sz w:val="12"/>
                <w:szCs w:val="12"/>
                <w:color w:val="auto"/>
              </w:rPr>
            </w:pPr>
          </w:p>
        </w:tc>
        <w:tc>
          <w:tcPr>
            <w:tcW w:w="162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Proposed</w:t>
            </w:r>
          </w:p>
        </w:tc>
        <w:tc>
          <w:tcPr>
            <w:tcW w:w="1240" w:type="dxa"/>
            <w:vAlign w:val="bottom"/>
            <w:tcBorders>
              <w:top w:val="single" w:sz="8" w:color="auto"/>
              <w:right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r>
      <w:tr>
        <w:trPr>
          <w:trHeight w:val="135"/>
        </w:trPr>
        <w:tc>
          <w:tcPr>
            <w:tcW w:w="460" w:type="dxa"/>
            <w:vAlign w:val="bottom"/>
            <w:tcBorders>
              <w:left w:val="single" w:sz="8" w:color="auto"/>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3480" w:type="dxa"/>
            <w:vAlign w:val="bottom"/>
            <w:tcBorders>
              <w:right w:val="single" w:sz="8" w:color="auto"/>
            </w:tcBorders>
          </w:tcPr>
          <w:p>
            <w:pPr>
              <w:spacing w:after="0"/>
              <w:rPr>
                <w:sz w:val="11"/>
                <w:szCs w:val="11"/>
                <w:color w:val="auto"/>
              </w:rPr>
            </w:pPr>
          </w:p>
        </w:tc>
        <w:tc>
          <w:tcPr>
            <w:tcW w:w="162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240" w:type="dxa"/>
            <w:vAlign w:val="bottom"/>
            <w:tcBorders>
              <w:right w:val="single" w:sz="8" w:color="auto"/>
            </w:tcBorders>
          </w:tcPr>
          <w:p>
            <w:pPr>
              <w:jc w:val="center"/>
              <w:ind w:left="1"/>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0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r>
      <w:tr>
        <w:trPr>
          <w:trHeight w:val="135"/>
        </w:trPr>
        <w:tc>
          <w:tcPr>
            <w:tcW w:w="460" w:type="dxa"/>
            <w:vAlign w:val="bottom"/>
            <w:tcBorders>
              <w:left w:val="single" w:sz="8" w:color="auto"/>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34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8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240" w:type="dxa"/>
            <w:vAlign w:val="bottom"/>
            <w:tcBorders>
              <w:right w:val="single" w:sz="8" w:color="auto"/>
            </w:tcBorders>
          </w:tcPr>
          <w:p>
            <w:pPr>
              <w:jc w:val="center"/>
              <w:ind w:left="1"/>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10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r>
      <w:tr>
        <w:trPr>
          <w:trHeight w:val="135"/>
        </w:trPr>
        <w:tc>
          <w:tcPr>
            <w:tcW w:w="460" w:type="dxa"/>
            <w:vAlign w:val="bottom"/>
            <w:tcBorders>
              <w:left w:val="single" w:sz="8" w:color="auto"/>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34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Class</w:t>
            </w:r>
          </w:p>
        </w:tc>
        <w:tc>
          <w:tcPr>
            <w:tcW w:w="1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880" w:type="dxa"/>
            <w:vAlign w:val="bottom"/>
            <w:tcBorders>
              <w:right w:val="single" w:sz="8" w:color="auto"/>
            </w:tcBorders>
          </w:tcPr>
          <w:p>
            <w:pPr>
              <w:jc w:val="right"/>
              <w:ind w:right="124"/>
              <w:spacing w:after="0" w:line="135" w:lineRule="exact"/>
              <w:rPr>
                <w:sz w:val="20"/>
                <w:szCs w:val="20"/>
                <w:color w:val="auto"/>
              </w:rPr>
            </w:pPr>
            <w:r>
              <w:rPr>
                <w:rFonts w:ascii="Times New Roman" w:cs="Times New Roman" w:eastAsia="Times New Roman" w:hAnsi="Times New Roman"/>
                <w:sz w:val="13"/>
                <w:szCs w:val="13"/>
                <w:color w:val="auto"/>
              </w:rPr>
              <w:t>Amount</w:t>
            </w:r>
          </w:p>
        </w:tc>
        <w:tc>
          <w:tcPr>
            <w:tcW w:w="660" w:type="dxa"/>
            <w:vAlign w:val="bottom"/>
            <w:tcBorders>
              <w:right w:val="single" w:sz="8" w:color="auto"/>
            </w:tcBorders>
          </w:tcPr>
          <w:p>
            <w:pPr>
              <w:jc w:val="center"/>
              <w:ind w:left="2"/>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240" w:type="dxa"/>
            <w:vAlign w:val="bottom"/>
            <w:tcBorders>
              <w:right w:val="single" w:sz="8" w:color="auto"/>
            </w:tcBorders>
          </w:tcPr>
          <w:p>
            <w:pPr>
              <w:jc w:val="center"/>
              <w:ind w:left="1"/>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0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r>
      <w:tr>
        <w:trPr>
          <w:trHeight w:val="174"/>
        </w:trPr>
        <w:tc>
          <w:tcPr>
            <w:tcW w:w="460" w:type="dxa"/>
            <w:vAlign w:val="bottom"/>
            <w:tcBorders>
              <w:left w:val="single" w:sz="8" w:color="auto"/>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4"/>
              </w:rPr>
              <w:t>Type </w:t>
            </w: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880" w:type="dxa"/>
            <w:vAlign w:val="bottom"/>
            <w:tcBorders>
              <w:bottom w:val="single" w:sz="8" w:color="auto"/>
              <w:right w:val="single" w:sz="8" w:color="auto"/>
            </w:tcBorders>
          </w:tcPr>
          <w:p>
            <w:pPr>
              <w:jc w:val="right"/>
              <w:ind w:right="64"/>
              <w:spacing w:after="0"/>
              <w:rPr>
                <w:sz w:val="20"/>
                <w:szCs w:val="20"/>
                <w:color w:val="auto"/>
              </w:rPr>
            </w:pPr>
            <w:r>
              <w:rPr>
                <w:rFonts w:ascii="Times New Roman" w:cs="Times New Roman" w:eastAsia="Times New Roman" w:hAnsi="Times New Roman"/>
                <w:sz w:val="13"/>
                <w:szCs w:val="13"/>
                <w:color w:val="auto"/>
              </w:rPr>
              <w:t>Registered</w:t>
            </w:r>
          </w:p>
        </w:tc>
        <w:tc>
          <w:tcPr>
            <w:tcW w:w="66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3"/>
                <w:szCs w:val="13"/>
                <w:color w:val="auto"/>
                <w:w w:val="94"/>
              </w:rPr>
              <w:t>Unit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Rate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r>
      <w:tr>
        <w:trPr>
          <w:trHeight w:val="211"/>
        </w:trPr>
        <w:tc>
          <w:tcPr>
            <w:tcW w:w="46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3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6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46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3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2023 Equity Incentive Plan, together with the</w:t>
            </w:r>
          </w:p>
        </w:tc>
        <w:tc>
          <w:tcPr>
            <w:tcW w:w="16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46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3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associated Series A Junior Participating</w:t>
            </w:r>
          </w:p>
        </w:tc>
        <w:tc>
          <w:tcPr>
            <w:tcW w:w="16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41"/>
        </w:trPr>
        <w:tc>
          <w:tcPr>
            <w:tcW w:w="46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1 </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Equity </w:t>
            </w: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Preferred Purchase Rights</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Rule 457(c) and (h) </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1,758,864 </w:t>
            </w:r>
          </w:p>
        </w:tc>
        <w:tc>
          <w:tcPr>
            <w:tcW w:w="66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rPr>
              <w:t>$0.81 </w:t>
            </w:r>
          </w:p>
        </w:tc>
        <w:tc>
          <w:tcPr>
            <w:tcW w:w="1240" w:type="dxa"/>
            <w:vAlign w:val="bottom"/>
            <w:tcBorders>
              <w:bottom w:val="single" w:sz="8" w:color="auto"/>
              <w:right w:val="single" w:sz="8" w:color="auto"/>
            </w:tcBorders>
          </w:tcPr>
          <w:p>
            <w:pPr>
              <w:jc w:val="center"/>
              <w:ind w:left="1"/>
              <w:spacing w:after="0"/>
              <w:rPr>
                <w:sz w:val="20"/>
                <w:szCs w:val="20"/>
                <w:color w:val="auto"/>
              </w:rPr>
            </w:pPr>
            <w:r>
              <w:rPr>
                <w:rFonts w:ascii="Times New Roman" w:cs="Times New Roman" w:eastAsia="Times New Roman" w:hAnsi="Times New Roman"/>
                <w:sz w:val="18"/>
                <w:szCs w:val="18"/>
                <w:color w:val="auto"/>
              </w:rPr>
              <w:t>$1,424,679.84 </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0.00015310 </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$218.12</w:t>
            </w:r>
          </w:p>
        </w:tc>
      </w:tr>
      <w:tr>
        <w:trPr>
          <w:trHeight w:val="211"/>
        </w:trPr>
        <w:tc>
          <w:tcPr>
            <w:tcW w:w="46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3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6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46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3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2019 Employee Stock Purchase Plan, together</w:t>
            </w:r>
          </w:p>
        </w:tc>
        <w:tc>
          <w:tcPr>
            <w:tcW w:w="16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46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3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with the associated Series A Junior</w:t>
            </w:r>
          </w:p>
        </w:tc>
        <w:tc>
          <w:tcPr>
            <w:tcW w:w="16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41"/>
        </w:trPr>
        <w:tc>
          <w:tcPr>
            <w:tcW w:w="46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2 </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Equity </w:t>
            </w: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Participating Preferred Purchase Rights</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Rule 457(c) and (h) </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500,000 </w:t>
            </w:r>
          </w:p>
        </w:tc>
        <w:tc>
          <w:tcPr>
            <w:tcW w:w="66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rPr>
              <w:t>$0.69 </w:t>
            </w:r>
          </w:p>
        </w:tc>
        <w:tc>
          <w:tcPr>
            <w:tcW w:w="1240" w:type="dxa"/>
            <w:vAlign w:val="bottom"/>
            <w:tcBorders>
              <w:bottom w:val="single" w:sz="8" w:color="auto"/>
              <w:right w:val="single" w:sz="8" w:color="auto"/>
            </w:tcBorders>
          </w:tcPr>
          <w:p>
            <w:pPr>
              <w:jc w:val="center"/>
              <w:ind w:left="1"/>
              <w:spacing w:after="0"/>
              <w:rPr>
                <w:sz w:val="20"/>
                <w:szCs w:val="20"/>
                <w:color w:val="auto"/>
              </w:rPr>
            </w:pPr>
            <w:r>
              <w:rPr>
                <w:rFonts w:ascii="Times New Roman" w:cs="Times New Roman" w:eastAsia="Times New Roman" w:hAnsi="Times New Roman"/>
                <w:sz w:val="18"/>
                <w:szCs w:val="18"/>
                <w:color w:val="auto"/>
              </w:rPr>
              <w:t>$345,000.00 </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0.00015310 </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$52.82</w:t>
            </w:r>
          </w:p>
        </w:tc>
      </w:tr>
      <w:tr>
        <w:trPr>
          <w:trHeight w:val="239"/>
        </w:trPr>
        <w:tc>
          <w:tcPr>
            <w:tcW w:w="460" w:type="dxa"/>
            <w:vAlign w:val="bottom"/>
            <w:tcBorders>
              <w:left w:val="single" w:sz="8" w:color="auto"/>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tcPr>
          <w:p>
            <w:pPr>
              <w:spacing w:after="0"/>
              <w:rPr>
                <w:sz w:val="20"/>
                <w:szCs w:val="20"/>
                <w:color w:val="auto"/>
              </w:rPr>
            </w:pPr>
          </w:p>
        </w:tc>
        <w:tc>
          <w:tcPr>
            <w:tcW w:w="250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 Offering Amounts </w:t>
            </w:r>
          </w:p>
        </w:tc>
        <w:tc>
          <w:tcPr>
            <w:tcW w:w="66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Borders>
              <w:bottom w:val="single" w:sz="8" w:color="auto"/>
              <w:right w:val="single" w:sz="8" w:color="auto"/>
            </w:tcBorders>
          </w:tcPr>
          <w:p>
            <w:pPr>
              <w:jc w:val="center"/>
              <w:ind w:left="1"/>
              <w:spacing w:after="0"/>
              <w:rPr>
                <w:sz w:val="20"/>
                <w:szCs w:val="20"/>
                <w:color w:val="auto"/>
              </w:rPr>
            </w:pPr>
            <w:r>
              <w:rPr>
                <w:rFonts w:ascii="Times New Roman" w:cs="Times New Roman" w:eastAsia="Times New Roman" w:hAnsi="Times New Roman"/>
                <w:sz w:val="18"/>
                <w:szCs w:val="18"/>
                <w:color w:val="auto"/>
              </w:rPr>
              <w:t>$1,769,679.84 </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$270.94</w:t>
            </w:r>
          </w:p>
        </w:tc>
      </w:tr>
      <w:tr>
        <w:trPr>
          <w:trHeight w:val="237"/>
        </w:trPr>
        <w:tc>
          <w:tcPr>
            <w:tcW w:w="460" w:type="dxa"/>
            <w:vAlign w:val="bottom"/>
            <w:tcBorders>
              <w:left w:val="single" w:sz="8" w:color="auto"/>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tcPr>
          <w:p>
            <w:pPr>
              <w:spacing w:after="0"/>
              <w:rPr>
                <w:sz w:val="20"/>
                <w:szCs w:val="20"/>
                <w:color w:val="auto"/>
              </w:rPr>
            </w:pPr>
          </w:p>
        </w:tc>
        <w:tc>
          <w:tcPr>
            <w:tcW w:w="250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 Fees Previously Paid </w:t>
            </w:r>
          </w:p>
        </w:tc>
        <w:tc>
          <w:tcPr>
            <w:tcW w:w="66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460" w:type="dxa"/>
            <w:vAlign w:val="bottom"/>
            <w:tcBorders>
              <w:left w:val="single" w:sz="8" w:color="auto"/>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tcPr>
          <w:p>
            <w:pPr>
              <w:spacing w:after="0"/>
              <w:rPr>
                <w:sz w:val="20"/>
                <w:szCs w:val="20"/>
                <w:color w:val="auto"/>
              </w:rPr>
            </w:pPr>
          </w:p>
        </w:tc>
        <w:tc>
          <w:tcPr>
            <w:tcW w:w="250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 Fee Offsets </w:t>
            </w:r>
          </w:p>
        </w:tc>
        <w:tc>
          <w:tcPr>
            <w:tcW w:w="66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460" w:type="dxa"/>
            <w:vAlign w:val="bottom"/>
            <w:tcBorders>
              <w:left w:val="single" w:sz="8" w:color="auto"/>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tcPr>
          <w:p>
            <w:pPr>
              <w:spacing w:after="0"/>
              <w:rPr>
                <w:sz w:val="20"/>
                <w:szCs w:val="20"/>
                <w:color w:val="auto"/>
              </w:rPr>
            </w:pPr>
          </w:p>
        </w:tc>
        <w:tc>
          <w:tcPr>
            <w:tcW w:w="250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Net Fee Due </w:t>
            </w:r>
          </w:p>
        </w:tc>
        <w:tc>
          <w:tcPr>
            <w:tcW w:w="66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$270.94</w:t>
            </w:r>
          </w:p>
        </w:tc>
      </w:tr>
    </w:tbl>
    <w:p>
      <w:pPr>
        <w:spacing w:after="0" w:line="225" w:lineRule="exact"/>
        <w:rPr>
          <w:sz w:val="20"/>
          <w:szCs w:val="20"/>
          <w:color w:val="auto"/>
        </w:rPr>
      </w:pPr>
    </w:p>
    <w:p>
      <w:pPr>
        <w:ind w:left="424" w:right="160" w:hanging="424"/>
        <w:spacing w:after="0" w:line="244"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promulgated under the Securities Act of 1933, as amended, this Registration Statement shall also cover any additional shares of common stock of Tempest Therapeutics, Inc. (the “Registrant”) that become issuable under the Registrant’s 2023 Equity Incentive Plan (the “2023 Plan”) by reason of any stock dividend, stock split, recapitalization, or other similar transaction effected that results in an increase to the number of outstanding shares of Registrant’s common stock, as applicable. The “Amount Registered” represents 1,758,864 additional shares of Registrant’s common stock that were automatically added to the shares authorized for issuance under the 2023 Plan on January 1, 2025 pursuant to an annual “evergreen” increase provision contained in the 2023 Plan. Pursuant to such provision, the number of shares reserved for issuance under the 2023 Plan will automatically increase on the first day of each calendar year, starting on January 1, 2024 and ending on (and including) January 1, 2033, by the lesser of (a) 4% of the total number of shares of the Registrant’s common stock of all classes outstanding on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of the immediately preceding calendar year and (b) a number of shares determined by the Registrant’s board of directors prior to the first day of any calendar year. The “Proposed Maximum Offering Price Per Unit” and “Maximum Aggregate Offering Price” are estimated in accordance with Rule 457(c) and (h) solely for the purpose of calculating the registration fee on the basis of $0.81 per share of common stock, which represents the average of the high and low prices of the Registrant’s common stock as reported on The Nasdaq Capital Market on March 21, 2025. Each share of Common Stock registered hereunder includes an associated Series A Junior Participating Preferred Purchase Right. Until the occurrence of certain prescribed events, none of which has occurred, the Series A Junior Participating Preferred Purchase Rights are not exercisable, are evidenced by certificates representing the Common Stock, and may be transferred only with the Common Stock. No separate consideration is payable for the Series A Junior Participating Preferred Stock.</w:t>
      </w:r>
    </w:p>
    <w:p>
      <w:pPr>
        <w:spacing w:after="0" w:line="13" w:lineRule="exact"/>
        <w:rPr>
          <w:rFonts w:ascii="Times New Roman" w:cs="Times New Roman" w:eastAsia="Times New Roman" w:hAnsi="Times New Roman"/>
          <w:sz w:val="18"/>
          <w:szCs w:val="18"/>
          <w:color w:val="auto"/>
        </w:rPr>
      </w:pPr>
    </w:p>
    <w:p>
      <w:pPr>
        <w:ind w:left="424" w:right="80" w:hanging="424"/>
        <w:spacing w:after="0" w:line="252" w:lineRule="auto"/>
        <w:tabs>
          <w:tab w:leader="none" w:pos="42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Rule 416(a) promulgated under the Securities Act of 1933, as amended, this Registration Statement shall also cover any additional shares of common stock of the Registrant that become issuable under the Registrant’s 2019 Employee Stock Purchase Plan (the “2019 ESPP”) by reason of any stock dividend, stock split, recapitalization, or other similar transaction effected that results in an increase to the number of outstanding shares of Registrant’s common stock, as applicable. The “Amount Registered” represents 500,000 additional shares of common stock reserved for issuance under, and which annual increase is provided for in, the 2019 ESPP that were automatically added to the shares authorized for issuance under the 2019 ESPP on January 1, 2025 pursuant to the annual “evergreen” increase provision contained in the 2019 ESPP. Pursuant to such provision, the number of shares reserved for issuance under the 2019 ESPP will automatically increase on the first day of each calendar year, starting on January 1, 2023 and ending on (and including) January 1, 2029, by the lesser of (a) 1.5% of the total number of shares of the Registrant’s common stock outstanding on December 31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of the immediately preceding calendar year, (b) 500,000 shares of Common Stock or</w:t>
      </w:r>
    </w:p>
    <w:p>
      <w:pPr>
        <w:spacing w:after="0" w:line="1" w:lineRule="exact"/>
        <w:rPr>
          <w:rFonts w:ascii="Times New Roman" w:cs="Times New Roman" w:eastAsia="Times New Roman" w:hAnsi="Times New Roman"/>
          <w:sz w:val="17"/>
          <w:szCs w:val="17"/>
          <w:color w:val="auto"/>
        </w:rPr>
      </w:pPr>
    </w:p>
    <w:p>
      <w:pPr>
        <w:ind w:left="424" w:right="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a number of shares determined by the Registrant’s board of directors prior to the first day of any calendar year. The “Proposed Maximum Offering Price Per Unit” and “Maximum Aggregate Offering Price” are estimated in accordance with Rule 457(c) and (h) solely for the purpose of calculating the registration fee on the basis of $0.69 per share of common stock, which represents the average of the high and low prices of the Registrant’s common stock as reported on The Nasdaq Capital Market on March 21, 2025, multiplied by 85%, which is the percentage of the price per share applicable to shares issued under the 2019 ESPP. Each share of Common Stock registered hereunder includes an associated Series A Junior Participating Preferred Purchase Right. Until the occurrence of certain prescribed events, none of which has occurred, the Series A Junior Participating Preferred Purchase Rights are not exercisable, are evidenced by certificates representing the Common Stock, and may be transferred only with the Common Stock. No separate consideration is payable for the Series A Junior Participating Preferred Stock.</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2"/>
    </w:lvl>
  </w:abstractNum>
  <w:abstractNum w:abstractNumId="1">
    <w:nsid w:val="2AE8944A"/>
    <w:multiLevelType w:val="hybridMultilevel"/>
    <w:lvl w:ilvl="0">
      <w:lvlJc w:val="left"/>
      <w:lvlText w:val=" "/>
      <w:numFmt w:val="bullet"/>
      <w:start w:val="1"/>
    </w:lvl>
  </w:abstractNum>
  <w:abstractNum w:abstractNumId="2">
    <w:nsid w:val="625558EC"/>
    <w:multiLevelType w:val="hybridMultilevel"/>
    <w:lvl w:ilvl="0">
      <w:lvlJc w:val="left"/>
      <w:lvlText w:val="%1:"/>
      <w:numFmt w:val="upperLetter"/>
      <w:start w:val="20"/>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30"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png"/><Relationship Id="rId39" Type="http://schemas.openxmlformats.org/officeDocument/2006/relationships/image" Target="media/image17.png"/><Relationship Id="rId40" Type="http://schemas.openxmlformats.org/officeDocument/2006/relationships/image" Target="media/image18.png"/><Relationship Id="rId49" Type="http://schemas.openxmlformats.org/officeDocument/2006/relationships/image" Target="media/image19.png"/><Relationship Id="rId50" Type="http://schemas.openxmlformats.org/officeDocument/2006/relationships/image" Target="media/image20.png"/><Relationship Id="rId53" Type="http://schemas.openxmlformats.org/officeDocument/2006/relationships/image" Target="media/image21.png"/><Relationship Id="rId54" Type="http://schemas.openxmlformats.org/officeDocument/2006/relationships/image" Target="media/image22.png"/><Relationship Id="rId55" Type="http://schemas.openxmlformats.org/officeDocument/2006/relationships/image" Target="media/image23.jpeg"/><Relationship Id="rId56" Type="http://schemas.openxmlformats.org/officeDocument/2006/relationships/image" Target="media/image24.png"/><Relationship Id="rId57" Type="http://schemas.openxmlformats.org/officeDocument/2006/relationships/image" Target="media/image25.jpeg"/><Relationship Id="rId58" Type="http://schemas.openxmlformats.org/officeDocument/2006/relationships/image" Target="media/image26.png"/><Relationship Id="rId18" Type="http://schemas.openxmlformats.org/officeDocument/2006/relationships/hyperlink" Target="http://www.sec.gov/Archives/edgar/data/1544227/000110465919072796/a19-25226_1s8.htm" TargetMode="External"/><Relationship Id="rId19" Type="http://schemas.openxmlformats.org/officeDocument/2006/relationships/hyperlink" Target="http://www.sec.gov/Archives/edgar/data/1544227/000154422720000048/mlnd-202011xsx8.htm" TargetMode="External"/><Relationship Id="rId20" Type="http://schemas.openxmlformats.org/officeDocument/2006/relationships/hyperlink" Target="http://www.sec.gov/Archives/edgar/data/1544227/000154422721000021/mlnd-202104xsx8.htm" TargetMode="External"/><Relationship Id="rId21" Type="http://schemas.openxmlformats.org/officeDocument/2006/relationships/hyperlink" Target="http://www.sec.gov/Archives/edgar/data/1544227/000119312522150094/d312473ds8.htm" TargetMode="External"/><Relationship Id="rId22" Type="http://schemas.openxmlformats.org/officeDocument/2006/relationships/hyperlink" Target="http://www.sec.gov/Archives/edgar/data/1544227/000119312522177081/d307046ds8.htm" TargetMode="External"/><Relationship Id="rId23" Type="http://schemas.openxmlformats.org/officeDocument/2006/relationships/hyperlink" Target="http://www.sec.gov/Archives/edgar/data/1544227/000119312523279845/d599420ds8pos.htm" TargetMode="External"/><Relationship Id="rId24" Type="http://schemas.openxmlformats.org/officeDocument/2006/relationships/hyperlink" Target="http://www.sec.gov/Archives/edgar/data/1544227/000119312523279846/d599420ds8pos.htm" TargetMode="External"/><Relationship Id="rId25" Type="http://schemas.openxmlformats.org/officeDocument/2006/relationships/hyperlink" Target="http://www.sec.gov/Archives/edgar/data/1544227/000119312523279849/d599420ds8pos.htm" TargetMode="External"/><Relationship Id="rId26" Type="http://schemas.openxmlformats.org/officeDocument/2006/relationships/hyperlink" Target="http://www.sec.gov/Archives/edgar/data/1544227/000119312523279851/d599420ds8pos.htm" TargetMode="External"/><Relationship Id="rId27" Type="http://schemas.openxmlformats.org/officeDocument/2006/relationships/hyperlink" Target="http://www.sec.gov/Archives/edgar/data/1544227/000119312523279857/d599420ds8pos.htm" TargetMode="External"/><Relationship Id="rId28" Type="http://schemas.openxmlformats.org/officeDocument/2006/relationships/hyperlink" Target="http://www.sec.gov/Archives/edgar/data/1544227/000119312523279836/d609325ds8.htm" TargetMode="External"/><Relationship Id="rId29" Type="http://schemas.openxmlformats.org/officeDocument/2006/relationships/hyperlink" Target="http://www.sec.gov/Archives/edgar/data/1544227/000119312524071472/d784396ds8.htm" TargetMode="External"/><Relationship Id="rId36" Type="http://schemas.openxmlformats.org/officeDocument/2006/relationships/hyperlink" Target="http://www.sec.gov/ix?doc=/Archives/edgar/data/1544227/000095017025046144/tpst-20241231.htm" TargetMode="External"/><Relationship Id="rId37" Type="http://schemas.openxmlformats.org/officeDocument/2006/relationships/hyperlink" Target="http://www.sec.gov/Archives/edgar/data/1544227/000110465913033085/a13-9660_28a12b.htm" TargetMode="External"/><Relationship Id="rId38" Type="http://schemas.openxmlformats.org/officeDocument/2006/relationships/hyperlink" Target="http://www.sec.gov/Archives/edgar/data/1544227/000095017025046144/tpst-ex4_1.htm" TargetMode="External"/><Relationship Id="rId41" Type="http://schemas.openxmlformats.org/officeDocument/2006/relationships/hyperlink" Target="http://www.sec.gov/Archives/edgar/data/1544227/000155837019005038/mlnd-20190331ex31b53fa83.htm" TargetMode="External"/><Relationship Id="rId42" Type="http://schemas.openxmlformats.org/officeDocument/2006/relationships/hyperlink" Target="http://www.sec.gov/Archives/edgar/data/1544227/000119312521201157/d196630dex31.htm" TargetMode="External"/><Relationship Id="rId43" Type="http://schemas.openxmlformats.org/officeDocument/2006/relationships/hyperlink" Target="http://www.sec.gov/Archives/edgar/data/1544227/000119312521201157/d196630dex32.htm" TargetMode="External"/><Relationship Id="rId44" Type="http://schemas.openxmlformats.org/officeDocument/2006/relationships/hyperlink" Target="http://www.sec.gov/Archives/edgar/data/1544227/000119312523253882/d547808dex31.htm" TargetMode="External"/><Relationship Id="rId45" Type="http://schemas.openxmlformats.org/officeDocument/2006/relationships/hyperlink" Target="http://www.sec.gov/Archives/edgar/data/1544227/000119312521281694/d222030dex31.htm" TargetMode="External"/><Relationship Id="rId46" Type="http://schemas.openxmlformats.org/officeDocument/2006/relationships/hyperlink" Target="http://www.sec.gov/Archives/edgar/data/1544227/000119312523253882/d547808dex41.htm" TargetMode="External"/><Relationship Id="rId47" Type="http://schemas.openxmlformats.org/officeDocument/2006/relationships/hyperlink" Target="http://www.sec.gov/Archives/edgar/data/1544227/000119312524235598/d877681dex41.htm" TargetMode="External"/><Relationship Id="rId48" Type="http://schemas.openxmlformats.org/officeDocument/2006/relationships/hyperlink" Target="http://www.sec.gov/Archives/edgar/data/1544227/000119312524272464/d899818dex41.htm" TargetMode="External"/><Relationship Id="rId51" Type="http://schemas.openxmlformats.org/officeDocument/2006/relationships/hyperlink" Target="http://www.sec.gov/Archives/edgar/data/1544227/000095017023041429/tpst-ex10_1.htm" TargetMode="External"/><Relationship Id="rId52" Type="http://schemas.openxmlformats.org/officeDocument/2006/relationships/hyperlink" Target="http://www.sec.gov/Archives/edgar/data/1544227/000119312522177053/d370249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2025-03-27T17:17:19Z</dcterms:created>
  <dcterms:modified xsi:type="dcterms:W3CDTF">2025-03-27T17:17:19Z</dcterms:modified>
</cp:coreProperties>
</file>