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_page">
        <w:bookmarkStart w:id="0" w:name="tpst-20230331.htm"/>
        <w:bookmarkStart w:id="1" w:name="kstpst20230331"/>
        <w:bookmarkEnd w:id="0"/>
        <w:bookmarkEnd w:id="1"/>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pPr>
      <w:bookmarkStart w:id="2" w:name="section1"/>
      <w:bookmarkEnd w:id="2"/>
      <w:r>
        <w:rPr/>
        <w:t> </w:t>
      </w:r>
    </w:p>
    <w:p>
      <w:pPr>
        <w:pStyle w:val="TextBody"/>
        <w:pBdr>
          <w:top w:val="double" w:sz="6" w:space="1" w:color="000000"/>
        </w:pBdr>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6" w:space="1" w:color="000000"/>
        </w:pBdr>
        <w:bidi w:val="0"/>
        <w:spacing w:before="0" w:after="0"/>
        <w:jc w:val="center"/>
        <w:rPr/>
      </w:pPr>
      <w:r>
        <w:rPr/>
        <w:t> </w:t>
      </w:r>
    </w:p>
    <w:p>
      <w:pPr>
        <w:pStyle w:val="TextBody"/>
        <w:bidi w:val="0"/>
        <w:spacing w:before="4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6" w:space="1" w:color="000000"/>
        </w:pBdr>
        <w:bidi w:val="0"/>
        <w:spacing w:before="0" w:after="0"/>
        <w:jc w:val="center"/>
        <w:rPr/>
      </w:pPr>
      <w:r>
        <w:rPr/>
        <w:t> </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53" w:after="30"/>
              <w:ind w:left="0" w:right="0" w:hanging="0"/>
              <w:jc w:val="center"/>
              <w:rPr/>
            </w:pPr>
            <w:r>
              <w:rPr/>
              <w:t>☒</w:t>
            </w:r>
          </w:p>
        </w:tc>
        <w:tc>
          <w:tcPr>
            <w:tcW w:w="9874" w:type="dxa"/>
            <w:tcBorders/>
            <w:tcMar>
              <w:top w:w="0" w:type="dxa"/>
              <w:left w:w="0" w:type="dxa"/>
              <w:bottom w:w="0" w:type="dxa"/>
              <w:right w:w="0" w:type="dxa"/>
            </w:tcMar>
            <w:vAlign w:val="center"/>
          </w:tcPr>
          <w:p>
            <w:pPr>
              <w:pStyle w:val="TableContents"/>
              <w:bidi w:val="0"/>
              <w:spacing w:before="53" w:after="30"/>
              <w:ind w:left="0" w:right="0" w:hanging="0"/>
              <w:jc w:val="left"/>
              <w:rPr>
                <w:rFonts w:ascii="Times New Roman;serif" w:hAnsi="Times New Roman;serif"/>
                <w:b/>
                <w:sz w:val="24"/>
              </w:rPr>
            </w:pPr>
            <w:r>
              <w:rPr>
                <w:rFonts w:ascii="Times New Roman;serif" w:hAnsi="Times New Roman;serif"/>
                <w:b/>
                <w:sz w:val="24"/>
              </w:rPr>
              <w:t>QUARTERLY REPORT PURSUANT TO SECTION 13 OR 15(D) OF THE SECURITIES EXCHANGE ACT OF 1934</w:t>
            </w:r>
          </w:p>
        </w:tc>
      </w:tr>
    </w:tbl>
    <w:p>
      <w:pPr>
        <w:pStyle w:val="TextBody"/>
        <w:bidi w:val="0"/>
        <w:spacing w:before="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bidi w:val="0"/>
        <w:spacing w:before="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53" w:after="30"/>
              <w:ind w:left="0" w:right="0" w:hanging="0"/>
              <w:jc w:val="center"/>
              <w:rPr/>
            </w:pPr>
            <w:r>
              <w:rPr/>
              <w:t>☐</w:t>
            </w:r>
          </w:p>
        </w:tc>
        <w:tc>
          <w:tcPr>
            <w:tcW w:w="9874" w:type="dxa"/>
            <w:tcBorders/>
            <w:tcMar>
              <w:top w:w="0" w:type="dxa"/>
              <w:left w:w="0" w:type="dxa"/>
              <w:bottom w:w="0" w:type="dxa"/>
              <w:right w:w="0" w:type="dxa"/>
            </w:tcMar>
            <w:vAlign w:val="center"/>
          </w:tcPr>
          <w:p>
            <w:pPr>
              <w:pStyle w:val="TableContents"/>
              <w:bidi w:val="0"/>
              <w:spacing w:before="53" w:after="30"/>
              <w:ind w:left="0" w:right="0" w:hanging="0"/>
              <w:jc w:val="left"/>
              <w:rPr>
                <w:rFonts w:ascii="Times New Roman;serif" w:hAnsi="Times New Roman;serif"/>
                <w:b/>
                <w:sz w:val="24"/>
              </w:rPr>
            </w:pPr>
            <w:r>
              <w:rPr>
                <w:rFonts w:ascii="Times New Roman;serif" w:hAnsi="Times New Roman;serif"/>
                <w:b/>
                <w:sz w:val="24"/>
              </w:rPr>
              <w:t>TRANSITION REPORT PURSUANT TO SECTION 13 OR 15(D) OF THE SECURITIES EXCHANGE ACT OF 1934</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18"/>
        </w:rPr>
        <w:t>For the transition period from</w:t>
      </w:r>
      <w:r>
        <w:rPr>
          <w:rFonts w:ascii="Times New Roman" w:hAnsi="Times New Roman"/>
          <w:sz w:val="20"/>
          <w:u w:val="single"/>
        </w:rPr>
        <w:t xml:space="preserve"> </w:t>
      </w:r>
      <w:r>
        <w:rPr>
          <w:rFonts w:ascii="Times New Roman;serif" w:hAnsi="Times New Roman;serif"/>
          <w:b/>
          <w:sz w:val="18"/>
        </w:rPr>
        <w:t xml:space="preserve">to </w:t>
      </w:r>
      <w:r>
        <w:rPr>
          <w:rFonts w:ascii="Times New Roman;serif" w:hAnsi="Times New Roman;serif"/>
          <w:b/>
          <w:sz w:val="18"/>
          <w:u w:val="single"/>
        </w:rPr>
        <w:t>.</w:t>
      </w:r>
    </w:p>
    <w:p>
      <w:pPr>
        <w:pStyle w:val="TextBody"/>
        <w:bidi w:val="0"/>
        <w:spacing w:before="0" w:after="0"/>
        <w:jc w:val="center"/>
        <w:rPr>
          <w:rFonts w:ascii="Times New Roman;serif" w:hAnsi="Times New Roman;serif"/>
          <w:b/>
          <w:sz w:val="20"/>
        </w:rPr>
      </w:pPr>
      <w:r>
        <w:rPr>
          <w:rFonts w:ascii="Times New Roman;serif" w:hAnsi="Times New Roman;serif"/>
          <w:b/>
          <w:sz w:val="20"/>
        </w:rPr>
        <w:t>Commission File No. 001-35890</w:t>
      </w:r>
    </w:p>
    <w:p>
      <w:pPr>
        <w:pStyle w:val="TextBody"/>
        <w:pBdr>
          <w:bottom w:val="single" w:sz="6" w:space="1" w:color="000000"/>
        </w:pBdr>
        <w:bidi w:val="0"/>
        <w:spacing w:before="0" w:after="0"/>
        <w:jc w:val="center"/>
        <w:rPr/>
      </w:pPr>
      <w:r>
        <w:rPr/>
        <w:t> </w:t>
      </w:r>
    </w:p>
    <w:p>
      <w:pPr>
        <w:pStyle w:val="TextBody"/>
        <w:bidi w:val="0"/>
        <w:spacing w:before="0" w:after="0"/>
        <w:jc w:val="center"/>
        <w:rPr>
          <w:rFonts w:ascii="Times New Roman;serif" w:hAnsi="Times New Roman;serif"/>
          <w:b/>
          <w:sz w:val="48"/>
        </w:rPr>
      </w:pPr>
      <w:r>
        <w:rPr>
          <w:rFonts w:ascii="Times New Roman;serif" w:hAnsi="Times New Roman;serif"/>
          <w:b/>
          <w:sz w:val="48"/>
        </w:rPr>
        <w:t>Tempest Therapeutics, Inc.</w:t>
      </w:r>
    </w:p>
    <w:p>
      <w:pPr>
        <w:pStyle w:val="TextBody"/>
        <w:bidi w:val="0"/>
        <w:spacing w:before="0" w:after="0"/>
        <w:jc w:val="center"/>
        <w:rPr>
          <w:rFonts w:ascii="Times New Roman;serif" w:hAnsi="Times New Roman;serif"/>
          <w:b/>
          <w:sz w:val="18"/>
        </w:rPr>
      </w:pPr>
      <w:r>
        <w:rPr>
          <w:rFonts w:ascii="Times New Roman;serif" w:hAnsi="Times New Roman;serif"/>
          <w:b/>
          <w:sz w:val="18"/>
        </w:rPr>
        <w:t>(Exact Name of Registrant as Specified in its Charter)</w:t>
      </w:r>
    </w:p>
    <w:p>
      <w:pPr>
        <w:pStyle w:val="TextBody"/>
        <w:pBdr>
          <w:bottom w:val="single" w:sz="6" w:space="1" w:color="000000"/>
        </w:pBdr>
        <w:bidi w:val="0"/>
        <w:spacing w:before="0" w:after="0"/>
        <w:jc w:val="center"/>
        <w:rPr/>
      </w:pPr>
      <w:r>
        <w:rPr/>
        <w:t> </w:t>
      </w:r>
    </w:p>
    <w:p>
      <w:pPr>
        <w:pStyle w:val="TextBody"/>
        <w:bidi w:val="0"/>
        <w:spacing w:before="0" w:after="0"/>
        <w:jc w:val="center"/>
        <w:rPr/>
      </w:pPr>
      <w:r>
        <w:rPr/>
        <w:t> </w:t>
      </w:r>
    </w:p>
    <w:tbl>
      <w:tblPr>
        <w:tblW w:w="4472" w:type="dxa"/>
        <w:jc w:val="left"/>
        <w:tblInd w:w="0" w:type="dxa"/>
        <w:tblLayout w:type="fixed"/>
        <w:tblCellMar>
          <w:top w:w="28" w:type="dxa"/>
          <w:left w:w="28" w:type="dxa"/>
          <w:bottom w:w="28" w:type="dxa"/>
          <w:right w:w="28" w:type="dxa"/>
        </w:tblCellMar>
      </w:tblPr>
      <w:tblGrid>
        <w:gridCol w:w="3016"/>
        <w:gridCol w:w="1456"/>
      </w:tblGrid>
      <w:tr>
        <w:trPr/>
        <w:tc>
          <w:tcPr>
            <w:tcW w:w="301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53" w:after="30"/>
              <w:ind w:left="0" w:right="0" w:hanging="0"/>
              <w:jc w:val="center"/>
              <w:rPr>
                <w:rFonts w:ascii="Times New Roman;serif" w:hAnsi="Times New Roman;serif"/>
                <w:b/>
                <w:sz w:val="18"/>
              </w:rPr>
            </w:pPr>
            <w:r>
              <w:rPr>
                <w:rFonts w:ascii="Times New Roman;serif" w:hAnsi="Times New Roman;serif"/>
                <w:b/>
                <w:sz w:val="18"/>
              </w:rPr>
              <w:t>Delaware</w:t>
            </w:r>
          </w:p>
        </w:tc>
        <w:tc>
          <w:tcPr>
            <w:tcW w:w="1456" w:type="dxa"/>
            <w:tcBorders/>
            <w:tcMar>
              <w:top w:w="0" w:type="dxa"/>
              <w:left w:w="0" w:type="dxa"/>
              <w:bottom w:w="0" w:type="dxa"/>
              <w:right w:w="0" w:type="dxa"/>
            </w:tcMar>
            <w:vAlign w:val="center"/>
          </w:tcPr>
          <w:p>
            <w:pPr>
              <w:pStyle w:val="TableContents"/>
              <w:bidi w:val="0"/>
              <w:spacing w:before="53" w:after="30"/>
              <w:ind w:left="0" w:right="0" w:hanging="0"/>
              <w:jc w:val="center"/>
              <w:rPr>
                <w:rFonts w:ascii="Times New Roman;serif" w:hAnsi="Times New Roman;serif"/>
                <w:b/>
                <w:sz w:val="18"/>
              </w:rPr>
            </w:pPr>
            <w:r>
              <w:rPr>
                <w:rFonts w:ascii="Times New Roman;serif" w:hAnsi="Times New Roman;serif"/>
                <w:b/>
                <w:sz w:val="18"/>
              </w:rPr>
              <w:t>45-1472564</w:t>
            </w:r>
          </w:p>
        </w:tc>
      </w:tr>
      <w:tr>
        <w:trPr/>
        <w:tc>
          <w:tcPr>
            <w:tcW w:w="3016" w:type="dxa"/>
            <w:tcBorders/>
            <w:tcMar>
              <w:top w:w="0" w:type="dxa"/>
              <w:left w:w="0" w:type="dxa"/>
              <w:bottom w:w="0" w:type="dxa"/>
              <w:right w:w="0" w:type="dxa"/>
            </w:tcMar>
            <w:vAlign w:val="center"/>
          </w:tcPr>
          <w:p>
            <w:pPr>
              <w:pStyle w:val="TableContents"/>
              <w:bidi w:val="0"/>
              <w:spacing w:before="53" w:after="30"/>
              <w:ind w:left="0" w:right="0" w:hanging="0"/>
              <w:jc w:val="center"/>
              <w:rPr>
                <w:rFonts w:ascii="Times New Roman;serif" w:hAnsi="Times New Roman;serif"/>
                <w:b w:val="false"/>
                <w:sz w:val="18"/>
              </w:rPr>
            </w:pPr>
            <w:r>
              <w:rPr>
                <w:rFonts w:ascii="Times New Roman;serif" w:hAnsi="Times New Roman;serif"/>
                <w:b w:val="false"/>
                <w:sz w:val="18"/>
              </w:rPr>
              <w:t>(State or Other Jurisdiction of</w:t>
            </w:r>
          </w:p>
        </w:tc>
        <w:tc>
          <w:tcPr>
            <w:tcW w:w="1456" w:type="dxa"/>
            <w:tcBorders/>
            <w:tcMar>
              <w:top w:w="0" w:type="dxa"/>
              <w:left w:w="0" w:type="dxa"/>
              <w:bottom w:w="0" w:type="dxa"/>
              <w:right w:w="0" w:type="dxa"/>
            </w:tcMar>
            <w:vAlign w:val="center"/>
          </w:tcPr>
          <w:p>
            <w:pPr>
              <w:pStyle w:val="TableContents"/>
              <w:bidi w:val="0"/>
              <w:spacing w:before="53" w:after="30"/>
              <w:ind w:left="0" w:right="0" w:hanging="0"/>
              <w:jc w:val="center"/>
              <w:rPr>
                <w:rFonts w:ascii="Times New Roman;serif" w:hAnsi="Times New Roman;serif"/>
                <w:b w:val="false"/>
                <w:sz w:val="18"/>
              </w:rPr>
            </w:pPr>
            <w:r>
              <w:rPr>
                <w:rFonts w:ascii="Times New Roman;serif" w:hAnsi="Times New Roman;serif"/>
                <w:b w:val="false"/>
                <w:sz w:val="18"/>
              </w:rPr>
              <w:t>(I.R.S. Employer</w:t>
            </w:r>
          </w:p>
        </w:tc>
      </w:tr>
      <w:tr>
        <w:trPr/>
        <w:tc>
          <w:tcPr>
            <w:tcW w:w="3016" w:type="dxa"/>
            <w:tcBorders/>
            <w:tcMar>
              <w:top w:w="0" w:type="dxa"/>
              <w:left w:w="0" w:type="dxa"/>
              <w:bottom w:w="0" w:type="dxa"/>
              <w:right w:w="0" w:type="dxa"/>
            </w:tcMar>
            <w:vAlign w:val="center"/>
          </w:tcPr>
          <w:p>
            <w:pPr>
              <w:pStyle w:val="TableContents"/>
              <w:bidi w:val="0"/>
              <w:spacing w:before="53" w:after="30"/>
              <w:ind w:left="0" w:right="0" w:hanging="0"/>
              <w:jc w:val="center"/>
              <w:rPr>
                <w:rFonts w:ascii="Times New Roman;serif" w:hAnsi="Times New Roman;serif"/>
                <w:b w:val="false"/>
                <w:sz w:val="18"/>
              </w:rPr>
            </w:pPr>
            <w:r>
              <w:rPr>
                <w:rFonts w:ascii="Times New Roman;serif" w:hAnsi="Times New Roman;serif"/>
                <w:b w:val="false"/>
                <w:sz w:val="18"/>
              </w:rPr>
              <w:t>Incorporation or Organization)</w:t>
            </w:r>
          </w:p>
        </w:tc>
        <w:tc>
          <w:tcPr>
            <w:tcW w:w="1456" w:type="dxa"/>
            <w:tcBorders/>
            <w:tcMar>
              <w:top w:w="0" w:type="dxa"/>
              <w:left w:w="0" w:type="dxa"/>
              <w:bottom w:w="0" w:type="dxa"/>
              <w:right w:w="0" w:type="dxa"/>
            </w:tcMar>
            <w:vAlign w:val="center"/>
          </w:tcPr>
          <w:p>
            <w:pPr>
              <w:pStyle w:val="TableContents"/>
              <w:bidi w:val="0"/>
              <w:spacing w:before="53" w:after="30"/>
              <w:ind w:left="0" w:right="0" w:hanging="0"/>
              <w:jc w:val="center"/>
              <w:rPr>
                <w:rFonts w:ascii="Times New Roman;serif" w:hAnsi="Times New Roman;serif"/>
                <w:b w:val="false"/>
                <w:sz w:val="18"/>
              </w:rPr>
            </w:pPr>
            <w:r>
              <w:rPr>
                <w:rFonts w:ascii="Times New Roman;serif" w:hAnsi="Times New Roman;serif"/>
                <w:b w:val="false"/>
                <w:sz w:val="18"/>
              </w:rPr>
              <w:t>Identification No.)</w:t>
            </w:r>
          </w:p>
        </w:tc>
      </w:tr>
      <w:tr>
        <w:trPr/>
        <w:tc>
          <w:tcPr>
            <w:tcW w:w="3016" w:type="dxa"/>
            <w:tcBorders/>
            <w:tcMar>
              <w:top w:w="0" w:type="dxa"/>
              <w:left w:w="0" w:type="dxa"/>
              <w:bottom w:w="0" w:type="dxa"/>
              <w:right w:w="0" w:type="dxa"/>
            </w:tcMar>
            <w:vAlign w:val="center"/>
          </w:tcPr>
          <w:p>
            <w:pPr>
              <w:pStyle w:val="TableContents"/>
              <w:bidi w:val="0"/>
              <w:spacing w:before="53" w:after="30"/>
              <w:ind w:left="0" w:right="0" w:hanging="0"/>
              <w:jc w:val="center"/>
              <w:rPr>
                <w:rFonts w:ascii="Times New Roman;serif" w:hAnsi="Times New Roman;serif"/>
                <w:b/>
                <w:sz w:val="18"/>
              </w:rPr>
            </w:pPr>
            <w:r>
              <w:rPr>
                <w:rFonts w:ascii="Times New Roman;serif" w:hAnsi="Times New Roman;serif"/>
                <w:b/>
                <w:sz w:val="18"/>
              </w:rPr>
              <w:t>2000 Sierra Point Parkway, Suite 400</w:t>
            </w:r>
          </w:p>
        </w:tc>
        <w:tc>
          <w:tcPr>
            <w:tcW w:w="1456" w:type="dxa"/>
            <w:tcBorders/>
            <w:vAlign w:val="center"/>
          </w:tcPr>
          <w:p>
            <w:pPr>
              <w:pStyle w:val="TableContents"/>
              <w:bidi w:val="0"/>
              <w:spacing w:before="0" w:after="0"/>
              <w:ind w:left="0" w:right="0" w:hanging="0"/>
              <w:jc w:val="left"/>
              <w:rPr/>
            </w:pPr>
            <w:r>
              <w:rPr/>
              <w:t> </w:t>
            </w:r>
          </w:p>
        </w:tc>
      </w:tr>
      <w:tr>
        <w:trPr/>
        <w:tc>
          <w:tcPr>
            <w:tcW w:w="3016" w:type="dxa"/>
            <w:tcBorders/>
            <w:tcMar>
              <w:top w:w="0" w:type="dxa"/>
              <w:left w:w="0" w:type="dxa"/>
              <w:bottom w:w="0" w:type="dxa"/>
              <w:right w:w="0" w:type="dxa"/>
            </w:tcMar>
            <w:vAlign w:val="center"/>
          </w:tcPr>
          <w:p>
            <w:pPr>
              <w:pStyle w:val="TableContents"/>
              <w:bidi w:val="0"/>
              <w:spacing w:before="53" w:after="30"/>
              <w:ind w:left="0" w:right="0" w:hanging="0"/>
              <w:jc w:val="center"/>
              <w:rPr>
                <w:rFonts w:ascii="Times New Roman;serif" w:hAnsi="Times New Roman;serif"/>
                <w:b/>
                <w:sz w:val="18"/>
              </w:rPr>
            </w:pPr>
            <w:r>
              <w:rPr>
                <w:rFonts w:ascii="Times New Roman;serif" w:hAnsi="Times New Roman;serif"/>
                <w:b/>
                <w:sz w:val="18"/>
              </w:rPr>
              <w:t>Brisbane, California</w:t>
            </w:r>
          </w:p>
        </w:tc>
        <w:tc>
          <w:tcPr>
            <w:tcW w:w="1456" w:type="dxa"/>
            <w:tcBorders/>
            <w:tcMar>
              <w:top w:w="0" w:type="dxa"/>
              <w:left w:w="0" w:type="dxa"/>
              <w:bottom w:w="0" w:type="dxa"/>
              <w:right w:w="0" w:type="dxa"/>
            </w:tcMar>
            <w:vAlign w:val="center"/>
          </w:tcPr>
          <w:p>
            <w:pPr>
              <w:pStyle w:val="TableContents"/>
              <w:bidi w:val="0"/>
              <w:spacing w:before="53" w:after="30"/>
              <w:ind w:left="0" w:right="0" w:hanging="0"/>
              <w:jc w:val="center"/>
              <w:rPr>
                <w:rFonts w:ascii="Times New Roman;serif" w:hAnsi="Times New Roman;serif"/>
                <w:b/>
                <w:sz w:val="18"/>
              </w:rPr>
            </w:pPr>
            <w:r>
              <w:rPr>
                <w:rFonts w:ascii="Times New Roman;serif" w:hAnsi="Times New Roman;serif"/>
                <w:b/>
                <w:sz w:val="18"/>
              </w:rPr>
              <w:t>94005</w:t>
            </w:r>
          </w:p>
        </w:tc>
      </w:tr>
      <w:tr>
        <w:trPr/>
        <w:tc>
          <w:tcPr>
            <w:tcW w:w="3016" w:type="dxa"/>
            <w:tcBorders/>
            <w:tcMar>
              <w:top w:w="0" w:type="dxa"/>
              <w:left w:w="0" w:type="dxa"/>
              <w:bottom w:w="0" w:type="dxa"/>
              <w:right w:w="0" w:type="dxa"/>
            </w:tcMar>
            <w:vAlign w:val="center"/>
          </w:tcPr>
          <w:p>
            <w:pPr>
              <w:pStyle w:val="TableContents"/>
              <w:bidi w:val="0"/>
              <w:spacing w:before="53" w:after="30"/>
              <w:ind w:left="0" w:right="0" w:hanging="0"/>
              <w:jc w:val="center"/>
              <w:rPr>
                <w:rFonts w:ascii="Times New Roman;serif" w:hAnsi="Times New Roman;serif"/>
                <w:b w:val="false"/>
                <w:sz w:val="18"/>
              </w:rPr>
            </w:pPr>
            <w:r>
              <w:rPr>
                <w:rFonts w:ascii="Times New Roman;serif" w:hAnsi="Times New Roman;serif"/>
                <w:b w:val="false"/>
                <w:sz w:val="18"/>
              </w:rPr>
              <w:t>(Address of Principal Executive Offices)</w:t>
            </w:r>
          </w:p>
        </w:tc>
        <w:tc>
          <w:tcPr>
            <w:tcW w:w="1456" w:type="dxa"/>
            <w:tcBorders/>
            <w:tcMar>
              <w:top w:w="0" w:type="dxa"/>
              <w:left w:w="0" w:type="dxa"/>
              <w:bottom w:w="0" w:type="dxa"/>
              <w:right w:w="0" w:type="dxa"/>
            </w:tcMar>
            <w:vAlign w:val="center"/>
          </w:tcPr>
          <w:p>
            <w:pPr>
              <w:pStyle w:val="TableContents"/>
              <w:bidi w:val="0"/>
              <w:spacing w:before="53" w:after="30"/>
              <w:ind w:left="0" w:right="0" w:hanging="0"/>
              <w:jc w:val="center"/>
              <w:rPr>
                <w:rFonts w:ascii="Times New Roman;serif" w:hAnsi="Times New Roman;serif"/>
                <w:b w:val="false"/>
                <w:sz w:val="18"/>
              </w:rPr>
            </w:pPr>
            <w:r>
              <w:rPr>
                <w:rFonts w:ascii="Times New Roman;serif" w:hAnsi="Times New Roman;serif"/>
                <w:b w:val="false"/>
                <w:sz w:val="18"/>
              </w:rPr>
              <w:t>(Zip Code)</w:t>
            </w:r>
          </w:p>
        </w:tc>
      </w:tr>
    </w:tbl>
    <w:p>
      <w:pPr>
        <w:pStyle w:val="TextBody"/>
        <w:bidi w:val="0"/>
        <w:spacing w:before="0" w:after="120"/>
        <w:jc w:val="center"/>
        <w:rPr>
          <w:rFonts w:ascii="Times New Roman" w:hAnsi="Times New Roman"/>
          <w:sz w:val="20"/>
        </w:rPr>
      </w:pPr>
      <w:r>
        <w:rPr>
          <w:rFonts w:ascii="Times New Roman;serif" w:hAnsi="Times New Roman;serif"/>
          <w:b/>
          <w:sz w:val="18"/>
        </w:rPr>
        <w:t>Registrant’s telephone number, including area code: (415)</w:t>
      </w:r>
      <w:r>
        <w:rPr>
          <w:rFonts w:ascii="Times New Roman" w:hAnsi="Times New Roman"/>
          <w:sz w:val="20"/>
        </w:rPr>
        <w:t xml:space="preserve"> </w:t>
      </w:r>
      <w:r>
        <w:rPr>
          <w:rFonts w:ascii="Times New Roman;serif" w:hAnsi="Times New Roman;serif"/>
          <w:b/>
          <w:sz w:val="18"/>
        </w:rPr>
        <w:t>798-8589</w:t>
      </w:r>
    </w:p>
    <w:p>
      <w:pPr>
        <w:pStyle w:val="TextBody"/>
        <w:bidi w:val="0"/>
        <w:spacing w:before="0" w:after="0"/>
        <w:jc w:val="center"/>
        <w:rPr>
          <w:rFonts w:ascii="Times New Roman;serif" w:hAnsi="Times New Roman;serif"/>
          <w:b/>
          <w:sz w:val="14"/>
        </w:rPr>
      </w:pPr>
      <w:r>
        <w:rPr>
          <w:rFonts w:ascii="Times New Roman;serif" w:hAnsi="Times New Roman;serif"/>
          <w:b/>
          <w:sz w:val="14"/>
        </w:rPr>
        <w:t>(Former Name, Former Address and Former Fiscal Year, if Changed Since Last Report)</w:t>
      </w:r>
    </w:p>
    <w:p>
      <w:pPr>
        <w:pStyle w:val="TextBody"/>
        <w:pBdr>
          <w:bottom w:val="single" w:sz="6"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Securities registered pursuant to Section 12(b) of the Act:</w:t>
      </w:r>
    </w:p>
    <w:p>
      <w:pPr>
        <w:pStyle w:val="TextBody"/>
        <w:bidi w:val="0"/>
        <w:spacing w:before="0" w:after="0"/>
        <w:jc w:val="left"/>
        <w:rPr/>
      </w:pPr>
      <w:r>
        <w:rPr/>
        <w:t> </w:t>
      </w:r>
    </w:p>
    <w:tbl>
      <w:tblPr>
        <w:tblW w:w="7128" w:type="dxa"/>
        <w:jc w:val="left"/>
        <w:tblInd w:w="0" w:type="dxa"/>
        <w:tblLayout w:type="fixed"/>
        <w:tblCellMar>
          <w:top w:w="28" w:type="dxa"/>
          <w:left w:w="28" w:type="dxa"/>
          <w:bottom w:w="28" w:type="dxa"/>
          <w:right w:w="28" w:type="dxa"/>
        </w:tblCellMar>
      </w:tblPr>
      <w:tblGrid>
        <w:gridCol w:w="2476"/>
        <w:gridCol w:w="146"/>
        <w:gridCol w:w="496"/>
        <w:gridCol w:w="146"/>
        <w:gridCol w:w="2266"/>
        <w:gridCol w:w="146"/>
        <w:gridCol w:w="1261"/>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tcPr>
          <w:p>
            <w:pPr>
              <w:pStyle w:val="TableContents"/>
              <w:bidi w:val="0"/>
              <w:spacing w:before="0" w:after="283"/>
              <w:jc w:val="left"/>
              <w:rPr>
                <w:sz w:val="4"/>
                <w:szCs w:val="4"/>
              </w:rPr>
            </w:pPr>
            <w:r>
              <w:rPr>
                <w:sz w:val="4"/>
                <w:szCs w:val="4"/>
              </w:rPr>
            </w:r>
          </w:p>
        </w:tc>
        <w:tc>
          <w:tcPr>
            <w:tcW w:w="191" w:type="dxa"/>
            <w:tcBorders/>
          </w:tcPr>
          <w:p>
            <w:pPr>
              <w:pStyle w:val="TableContents"/>
              <w:bidi w:val="0"/>
              <w:spacing w:before="0" w:after="283"/>
              <w:jc w:val="left"/>
              <w:rPr>
                <w:sz w:val="4"/>
                <w:szCs w:val="4"/>
              </w:rPr>
            </w:pPr>
            <w:r>
              <w:rPr>
                <w:sz w:val="4"/>
                <w:szCs w:val="4"/>
              </w:rPr>
            </w:r>
          </w:p>
        </w:tc>
      </w:tr>
      <w:tr>
        <w:trPr/>
        <w:tc>
          <w:tcPr>
            <w:tcW w:w="2622" w:type="dxa"/>
            <w:gridSpan w:val="2"/>
            <w:vMerge w:val="restart"/>
            <w:tcBorders/>
            <w:tcMar>
              <w:top w:w="0" w:type="dxa"/>
              <w:left w:w="0" w:type="dxa"/>
              <w:bottom w:w="0" w:type="dxa"/>
              <w:right w:w="0" w:type="dxa"/>
            </w:tcMar>
            <w:vAlign w:val="center"/>
          </w:tcPr>
          <w:p>
            <w:pPr>
              <w:pStyle w:val="TableContents"/>
              <w:bidi w:val="0"/>
              <w:spacing w:before="53" w:after="30"/>
              <w:ind w:left="0" w:right="0" w:hanging="0"/>
              <w:jc w:val="center"/>
              <w:rPr>
                <w:rFonts w:ascii="Times New Roman;serif" w:hAnsi="Times New Roman;serif"/>
                <w:b/>
                <w:sz w:val="14"/>
              </w:rPr>
            </w:pPr>
            <w:r>
              <w:rPr>
                <w:rFonts w:ascii="Times New Roman;serif" w:hAnsi="Times New Roman;serif"/>
                <w:b/>
                <w:sz w:val="14"/>
              </w:rPr>
              <w:t>Title of each class</w:t>
            </w:r>
          </w:p>
        </w:tc>
        <w:tc>
          <w:tcPr>
            <w:tcW w:w="642" w:type="dxa"/>
            <w:gridSpan w:val="2"/>
            <w:tcBorders/>
            <w:tcMar>
              <w:top w:w="0" w:type="dxa"/>
              <w:left w:w="0" w:type="dxa"/>
              <w:bottom w:w="0" w:type="dxa"/>
              <w:right w:w="0" w:type="dxa"/>
            </w:tcMar>
            <w:vAlign w:val="center"/>
          </w:tcPr>
          <w:p>
            <w:pPr>
              <w:pStyle w:val="TableContents"/>
              <w:bidi w:val="0"/>
              <w:spacing w:before="53" w:after="30"/>
              <w:ind w:left="0" w:right="0" w:hanging="0"/>
              <w:jc w:val="center"/>
              <w:rPr>
                <w:rFonts w:ascii="Times New Roman;serif" w:hAnsi="Times New Roman;serif"/>
                <w:b/>
                <w:sz w:val="14"/>
              </w:rPr>
            </w:pPr>
            <w:r>
              <w:rPr>
                <w:rFonts w:ascii="Times New Roman;serif" w:hAnsi="Times New Roman;serif"/>
                <w:b/>
                <w:sz w:val="14"/>
              </w:rPr>
              <w:t>Trading</w:t>
            </w:r>
          </w:p>
        </w:tc>
        <w:tc>
          <w:tcPr>
            <w:tcW w:w="2266" w:type="dxa"/>
            <w:tcBorders/>
            <w:tcMar>
              <w:top w:w="0" w:type="dxa"/>
              <w:left w:w="0" w:type="dxa"/>
              <w:bottom w:w="0" w:type="dxa"/>
              <w:right w:w="0" w:type="dxa"/>
            </w:tcMar>
            <w:vAlign w:val="center"/>
          </w:tcPr>
          <w:p>
            <w:pPr>
              <w:pStyle w:val="TableContents"/>
              <w:bidi w:val="0"/>
              <w:spacing w:before="53" w:after="30"/>
              <w:ind w:left="0" w:right="0" w:hanging="0"/>
              <w:jc w:val="center"/>
              <w:rPr>
                <w:rFonts w:ascii="Times New Roman;serif" w:hAnsi="Times New Roman;serif"/>
                <w:b/>
                <w:sz w:val="14"/>
              </w:rPr>
            </w:pPr>
            <w:r>
              <w:rPr>
                <w:rFonts w:ascii="Times New Roman;serif" w:hAnsi="Times New Roman;serif"/>
                <w:b/>
                <w:sz w:val="14"/>
              </w:rPr>
              <w:t>Name of each exchange</w:t>
            </w:r>
          </w:p>
        </w:tc>
        <w:tc>
          <w:tcPr>
            <w:tcW w:w="146" w:type="dxa"/>
            <w:tcBorders/>
            <w:vAlign w:val="center"/>
          </w:tcPr>
          <w:p>
            <w:pPr>
              <w:pStyle w:val="TableContents"/>
              <w:bidi w:val="0"/>
              <w:spacing w:before="0" w:after="0"/>
              <w:ind w:left="0" w:right="0" w:hanging="0"/>
              <w:jc w:val="left"/>
              <w:rPr/>
            </w:pPr>
            <w:r>
              <w:rPr/>
              <w:t> </w:t>
            </w:r>
          </w:p>
        </w:tc>
        <w:tc>
          <w:tcPr>
            <w:tcW w:w="1261" w:type="dxa"/>
            <w:tcBorders/>
          </w:tcPr>
          <w:p>
            <w:pPr>
              <w:pStyle w:val="TableContents"/>
              <w:bidi w:val="0"/>
              <w:spacing w:before="0" w:after="283"/>
              <w:jc w:val="left"/>
              <w:rPr>
                <w:sz w:val="4"/>
                <w:szCs w:val="4"/>
              </w:rPr>
            </w:pPr>
            <w:r>
              <w:rPr>
                <w:sz w:val="4"/>
                <w:szCs w:val="4"/>
              </w:rPr>
            </w:r>
          </w:p>
        </w:tc>
        <w:tc>
          <w:tcPr>
            <w:tcW w:w="191" w:type="dxa"/>
            <w:tcBorders/>
          </w:tcPr>
          <w:p>
            <w:pPr>
              <w:pStyle w:val="TableContents"/>
              <w:bidi w:val="0"/>
              <w:spacing w:before="0" w:after="283"/>
              <w:jc w:val="left"/>
              <w:rPr>
                <w:sz w:val="4"/>
                <w:szCs w:val="4"/>
              </w:rPr>
            </w:pPr>
            <w:r>
              <w:rPr>
                <w:sz w:val="4"/>
                <w:szCs w:val="4"/>
              </w:rPr>
            </w:r>
          </w:p>
        </w:tc>
      </w:tr>
      <w:tr>
        <w:trPr/>
        <w:tc>
          <w:tcPr>
            <w:tcW w:w="2622" w:type="dxa"/>
            <w:gridSpan w:val="2"/>
            <w:vMerge w:val="continue"/>
            <w:tcBorders/>
            <w:tcMar>
              <w:top w:w="0" w:type="dxa"/>
              <w:left w:w="0" w:type="dxa"/>
              <w:bottom w:w="0" w:type="dxa"/>
              <w:right w:w="0" w:type="dxa"/>
            </w:tcMar>
            <w:vAlign w:val="center"/>
          </w:tcPr>
          <w:p>
            <w:pPr>
              <w:pStyle w:val="Normal"/>
              <w:bidi w:val="0"/>
              <w:jc w:val="left"/>
              <w:rPr/>
            </w:pPr>
            <w:r>
              <w:rPr/>
            </w:r>
          </w:p>
        </w:tc>
        <w:tc>
          <w:tcPr>
            <w:tcW w:w="64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412" w:type="dxa"/>
            <w:gridSpan w:val="2"/>
            <w:tcBorders/>
            <w:tcMar>
              <w:top w:w="0" w:type="dxa"/>
              <w:left w:w="0" w:type="dxa"/>
              <w:bottom w:w="0" w:type="dxa"/>
              <w:right w:w="0" w:type="dxa"/>
            </w:tcMar>
            <w:vAlign w:val="center"/>
          </w:tcPr>
          <w:p>
            <w:pPr>
              <w:pStyle w:val="TableContents"/>
              <w:bidi w:val="0"/>
              <w:spacing w:before="53" w:after="30"/>
              <w:ind w:left="0" w:right="0" w:hanging="0"/>
              <w:jc w:val="center"/>
              <w:rPr>
                <w:rFonts w:ascii="Times New Roman;serif" w:hAnsi="Times New Roman;serif"/>
                <w:b/>
                <w:sz w:val="14"/>
              </w:rPr>
            </w:pPr>
            <w:r>
              <w:rPr>
                <w:rFonts w:ascii="Times New Roman;serif" w:hAnsi="Times New Roman;serif"/>
                <w:b/>
                <w:sz w:val="14"/>
              </w:rPr>
              <w:t>Symbol(s)</w:t>
            </w:r>
          </w:p>
        </w:tc>
        <w:tc>
          <w:tcPr>
            <w:tcW w:w="1261" w:type="dxa"/>
            <w:tcBorders>
              <w:bottom w:val="single" w:sz="8" w:space="0" w:color="000000"/>
            </w:tcBorders>
            <w:tcMar>
              <w:top w:w="0" w:type="dxa"/>
              <w:left w:w="0" w:type="dxa"/>
              <w:right w:w="0" w:type="dxa"/>
            </w:tcMar>
            <w:vAlign w:val="center"/>
          </w:tcPr>
          <w:p>
            <w:pPr>
              <w:pStyle w:val="TableContents"/>
              <w:bidi w:val="0"/>
              <w:spacing w:before="53" w:after="30"/>
              <w:ind w:left="0" w:right="0" w:hanging="0"/>
              <w:jc w:val="center"/>
              <w:rPr>
                <w:rFonts w:ascii="Times New Roman;serif" w:hAnsi="Times New Roman;serif"/>
                <w:b/>
                <w:sz w:val="14"/>
              </w:rPr>
            </w:pPr>
            <w:r>
              <w:rPr>
                <w:rFonts w:ascii="Times New Roman;serif" w:hAnsi="Times New Roman;serif"/>
                <w:b/>
                <w:sz w:val="14"/>
              </w:rPr>
              <w:t>on which registered</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76" w:type="dxa"/>
            <w:tcBorders>
              <w:top w:val="single" w:sz="8" w:space="0" w:color="000000"/>
            </w:tcBorders>
            <w:tcMar>
              <w:left w:w="0" w:type="dxa"/>
              <w:bottom w:w="0" w:type="dxa"/>
              <w:right w:w="0" w:type="dxa"/>
            </w:tcMar>
            <w:vAlign w:val="center"/>
          </w:tcPr>
          <w:p>
            <w:pPr>
              <w:pStyle w:val="TableContents"/>
              <w:bidi w:val="0"/>
              <w:spacing w:before="33" w:after="30"/>
              <w:ind w:left="0" w:right="0" w:hanging="0"/>
              <w:jc w:val="center"/>
              <w:rPr>
                <w:rFonts w:ascii="Times New Roman;serif" w:hAnsi="Times New Roman;serif"/>
                <w:b w:val="false"/>
                <w:sz w:val="16"/>
              </w:rPr>
            </w:pPr>
            <w:r>
              <w:rPr>
                <w:rFonts w:ascii="Times New Roman;serif" w:hAnsi="Times New Roman;serif"/>
                <w:b w:val="false"/>
                <w:sz w:val="16"/>
              </w:rPr>
              <w:t>Common Stock, $0.001 par value</w:t>
            </w:r>
          </w:p>
        </w:tc>
        <w:tc>
          <w:tcPr>
            <w:tcW w:w="146" w:type="dxa"/>
            <w:tcBorders>
              <w:top w:val="single" w:sz="8"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496" w:type="dxa"/>
            <w:tcBorders>
              <w:top w:val="single" w:sz="8" w:space="0" w:color="000000"/>
            </w:tcBorders>
            <w:tcMar>
              <w:left w:w="0" w:type="dxa"/>
              <w:bottom w:w="0" w:type="dxa"/>
              <w:right w:w="0" w:type="dxa"/>
            </w:tcMar>
            <w:vAlign w:val="center"/>
          </w:tcPr>
          <w:p>
            <w:pPr>
              <w:pStyle w:val="TableContents"/>
              <w:bidi w:val="0"/>
              <w:spacing w:before="33" w:after="30"/>
              <w:ind w:left="0" w:right="0" w:hanging="0"/>
              <w:jc w:val="center"/>
              <w:rPr>
                <w:rFonts w:ascii="Times New Roman;serif" w:hAnsi="Times New Roman;serif"/>
                <w:b w:val="false"/>
                <w:sz w:val="16"/>
              </w:rPr>
            </w:pPr>
            <w:r>
              <w:rPr>
                <w:rFonts w:ascii="Times New Roman;serif" w:hAnsi="Times New Roman;serif"/>
                <w:b w:val="false"/>
                <w:sz w:val="16"/>
              </w:rPr>
              <w:t>TPST</w:t>
            </w:r>
          </w:p>
        </w:tc>
        <w:tc>
          <w:tcPr>
            <w:tcW w:w="146" w:type="dxa"/>
            <w:tcBorders>
              <w:top w:val="single" w:sz="8"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2266" w:type="dxa"/>
            <w:tcBorders/>
            <w:tcMar>
              <w:top w:w="0" w:type="dxa"/>
              <w:left w:w="0" w:type="dxa"/>
              <w:bottom w:w="0" w:type="dxa"/>
              <w:right w:w="0" w:type="dxa"/>
            </w:tcMar>
            <w:vAlign w:val="center"/>
          </w:tcPr>
          <w:p>
            <w:pPr>
              <w:pStyle w:val="TableContents"/>
              <w:bidi w:val="0"/>
              <w:spacing w:before="33" w:after="30"/>
              <w:ind w:left="0" w:right="0" w:hanging="0"/>
              <w:jc w:val="center"/>
              <w:rPr>
                <w:rFonts w:ascii="Times New Roman;serif" w:hAnsi="Times New Roman;serif"/>
                <w:b w:val="false"/>
                <w:sz w:val="16"/>
              </w:rPr>
            </w:pPr>
            <w:r>
              <w:rPr>
                <w:rFonts w:ascii="Times New Roman;serif" w:hAnsi="Times New Roman;serif"/>
                <w:b w:val="false"/>
                <w:sz w:val="16"/>
              </w:rPr>
              <w:t>The Nasdaq Stock Market LLC</w:t>
            </w:r>
          </w:p>
        </w:tc>
        <w:tc>
          <w:tcPr>
            <w:tcW w:w="146" w:type="dxa"/>
            <w:tcBorders/>
            <w:vAlign w:val="center"/>
          </w:tcPr>
          <w:p>
            <w:pPr>
              <w:pStyle w:val="TableContents"/>
              <w:bidi w:val="0"/>
              <w:spacing w:before="0" w:after="0"/>
              <w:ind w:left="0" w:right="0" w:hanging="0"/>
              <w:jc w:val="left"/>
              <w:rPr/>
            </w:pPr>
            <w:r>
              <w:rPr/>
              <w:t> </w:t>
            </w:r>
          </w:p>
        </w:tc>
        <w:tc>
          <w:tcPr>
            <w:tcW w:w="1452"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w:t>
        <w:br/>
        <w:t>and (2) has been subject to such filing requirements for the past 90 days. Yes</w:t>
      </w:r>
      <w:r>
        <w:rPr>
          <w:rFonts w:ascii="Times New Roman" w:hAnsi="Times New Roman"/>
          <w:sz w:val="20"/>
        </w:rPr>
        <w:t xml:space="preserve"> ☒ </w:t>
      </w:r>
      <w:r>
        <w:rPr>
          <w:rFonts w:ascii="Times New Roman;serif" w:hAnsi="Times New Roman;serif"/>
          <w:b w:val="false"/>
          <w:sz w:val="16"/>
        </w:rPr>
        <w:t>No ☐</w:t>
      </w:r>
    </w:p>
    <w:p>
      <w:pPr>
        <w:pStyle w:val="TextBody"/>
        <w:bidi w:val="0"/>
        <w:spacing w:before="0" w:after="0"/>
        <w:jc w:val="left"/>
        <w:rPr>
          <w:rFonts w:ascii="Times New Roman" w:hAnsi="Times New Roman"/>
          <w:sz w:val="20"/>
        </w:rPr>
      </w:pPr>
      <w:r>
        <w:rPr>
          <w:rFonts w:ascii="Times New Roman;serif" w:hAnsi="Times New Roman;serif"/>
          <w:b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6"/>
        </w:rPr>
        <w:t>No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29" w:type="dxa"/>
        <w:jc w:val="left"/>
        <w:tblInd w:w="0" w:type="dxa"/>
        <w:tblLayout w:type="fixed"/>
        <w:tblCellMar>
          <w:top w:w="28" w:type="dxa"/>
          <w:left w:w="28" w:type="dxa"/>
          <w:bottom w:w="28" w:type="dxa"/>
          <w:right w:w="28" w:type="dxa"/>
        </w:tblCellMar>
      </w:tblPr>
      <w:tblGrid>
        <w:gridCol w:w="2041"/>
        <w:gridCol w:w="316"/>
        <w:gridCol w:w="201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53" w:after="30"/>
              <w:ind w:left="0" w:right="0" w:hanging="0"/>
              <w:jc w:val="left"/>
              <w:rPr>
                <w:rFonts w:ascii="Times New Roman;serif" w:hAnsi="Times New Roman;serif"/>
                <w:b w:val="false"/>
                <w:sz w:val="16"/>
              </w:rPr>
            </w:pPr>
            <w:r>
              <w:rPr>
                <w:rFonts w:ascii="Times New Roman;serif" w:hAnsi="Times New Roman;serif"/>
                <w:b w:val="false"/>
                <w:sz w:val="16"/>
              </w:rPr>
              <w:t>Large accelerated filer</w:t>
            </w:r>
          </w:p>
        </w:tc>
        <w:tc>
          <w:tcPr>
            <w:tcW w:w="316" w:type="dxa"/>
            <w:tcBorders/>
            <w:tcMar>
              <w:top w:w="0" w:type="dxa"/>
              <w:left w:w="0" w:type="dxa"/>
              <w:bottom w:w="0" w:type="dxa"/>
              <w:right w:w="0" w:type="dxa"/>
            </w:tcMar>
            <w:vAlign w:val="center"/>
          </w:tcPr>
          <w:p>
            <w:pPr>
              <w:pStyle w:val="TableContents"/>
              <w:bidi w:val="0"/>
              <w:spacing w:before="53" w:after="30"/>
              <w:ind w:left="0" w:right="0" w:hanging="0"/>
              <w:jc w:val="left"/>
              <w:rPr/>
            </w:pPr>
            <w:r>
              <w:rPr/>
              <w:t>☐</w:t>
            </w:r>
          </w:p>
        </w:tc>
        <w:tc>
          <w:tcPr>
            <w:tcW w:w="2011" w:type="dxa"/>
            <w:tcBorders/>
            <w:tcMar>
              <w:top w:w="0" w:type="dxa"/>
              <w:left w:w="0" w:type="dxa"/>
              <w:bottom w:w="0" w:type="dxa"/>
              <w:right w:w="0" w:type="dxa"/>
            </w:tcMar>
            <w:vAlign w:val="center"/>
          </w:tcPr>
          <w:p>
            <w:pPr>
              <w:pStyle w:val="TableContents"/>
              <w:bidi w:val="0"/>
              <w:spacing w:before="53" w:after="30"/>
              <w:ind w:left="0" w:right="0" w:hanging="0"/>
              <w:jc w:val="left"/>
              <w:rPr>
                <w:rFonts w:ascii="Times New Roman;serif" w:hAnsi="Times New Roman;serif"/>
                <w:b w:val="false"/>
                <w:sz w:val="16"/>
              </w:rPr>
            </w:pPr>
            <w:r>
              <w:rPr>
                <w:rFonts w:ascii="Times New Roman;serif" w:hAnsi="Times New Roman;serif"/>
                <w:b w:val="false"/>
                <w:sz w:val="16"/>
              </w:rPr>
              <w:t>Accelerated filer</w:t>
            </w:r>
          </w:p>
        </w:tc>
        <w:tc>
          <w:tcPr>
            <w:tcW w:w="361" w:type="dxa"/>
            <w:tcBorders/>
            <w:tcMar>
              <w:top w:w="0" w:type="dxa"/>
              <w:left w:w="0" w:type="dxa"/>
              <w:bottom w:w="0" w:type="dxa"/>
              <w:right w:w="0" w:type="dxa"/>
            </w:tcMar>
            <w:vAlign w:val="center"/>
          </w:tcPr>
          <w:p>
            <w:pPr>
              <w:pStyle w:val="TableContents"/>
              <w:bidi w:val="0"/>
              <w:spacing w:before="53" w:after="30"/>
              <w:ind w:left="0" w:right="0" w:hanging="0"/>
              <w:jc w:val="left"/>
              <w:rPr/>
            </w:pPr>
            <w:r>
              <w:rPr/>
              <w:t>☐</w:t>
            </w:r>
          </w:p>
        </w:tc>
      </w:tr>
      <w:tr>
        <w:trPr/>
        <w:tc>
          <w:tcPr>
            <w:tcW w:w="2041" w:type="dxa"/>
            <w:tcBorders/>
            <w:tcMar>
              <w:top w:w="0" w:type="dxa"/>
              <w:left w:w="0" w:type="dxa"/>
              <w:bottom w:w="0" w:type="dxa"/>
              <w:right w:w="0" w:type="dxa"/>
            </w:tcMar>
            <w:vAlign w:val="center"/>
          </w:tcPr>
          <w:p>
            <w:pPr>
              <w:pStyle w:val="TableContents"/>
              <w:bidi w:val="0"/>
              <w:spacing w:before="53" w:after="30"/>
              <w:ind w:left="0" w:right="0" w:hanging="0"/>
              <w:jc w:val="left"/>
              <w:rPr>
                <w:rFonts w:ascii="Times New Roman;serif" w:hAnsi="Times New Roman;serif"/>
                <w:b w:val="false"/>
                <w:sz w:val="16"/>
              </w:rPr>
            </w:pPr>
            <w:r>
              <w:rPr>
                <w:rFonts w:ascii="Times New Roman;serif" w:hAnsi="Times New Roman;serif"/>
                <w:b w:val="false"/>
                <w:sz w:val="16"/>
              </w:rPr>
              <w:t>Non-accelerated filer</w:t>
            </w:r>
          </w:p>
        </w:tc>
        <w:tc>
          <w:tcPr>
            <w:tcW w:w="316" w:type="dxa"/>
            <w:tcBorders/>
            <w:tcMar>
              <w:top w:w="0" w:type="dxa"/>
              <w:left w:w="0" w:type="dxa"/>
              <w:bottom w:w="0" w:type="dxa"/>
              <w:right w:w="0" w:type="dxa"/>
            </w:tcMar>
            <w:vAlign w:val="center"/>
          </w:tcPr>
          <w:p>
            <w:pPr>
              <w:pStyle w:val="TableContents"/>
              <w:bidi w:val="0"/>
              <w:spacing w:before="53" w:after="30"/>
              <w:ind w:left="0" w:right="0" w:hanging="0"/>
              <w:jc w:val="left"/>
              <w:rPr/>
            </w:pPr>
            <w:r>
              <w:rPr/>
              <w:t>☒</w:t>
            </w:r>
          </w:p>
        </w:tc>
        <w:tc>
          <w:tcPr>
            <w:tcW w:w="2011" w:type="dxa"/>
            <w:tcBorders/>
            <w:tcMar>
              <w:top w:w="0" w:type="dxa"/>
              <w:left w:w="0" w:type="dxa"/>
              <w:bottom w:w="0" w:type="dxa"/>
              <w:right w:w="0" w:type="dxa"/>
            </w:tcMar>
            <w:vAlign w:val="center"/>
          </w:tcPr>
          <w:p>
            <w:pPr>
              <w:pStyle w:val="TableContents"/>
              <w:bidi w:val="0"/>
              <w:spacing w:before="53" w:after="30"/>
              <w:ind w:left="0" w:right="0" w:hanging="0"/>
              <w:jc w:val="left"/>
              <w:rPr>
                <w:rFonts w:ascii="Times New Roman;serif" w:hAnsi="Times New Roman;serif"/>
                <w:b w:val="false"/>
                <w:sz w:val="16"/>
              </w:rPr>
            </w:pPr>
            <w:r>
              <w:rPr>
                <w:rFonts w:ascii="Times New Roman;serif" w:hAnsi="Times New Roman;serif"/>
                <w:b w:val="false"/>
                <w:sz w:val="16"/>
              </w:rPr>
              <w:t>Smaller reporting company</w:t>
            </w:r>
          </w:p>
        </w:tc>
        <w:tc>
          <w:tcPr>
            <w:tcW w:w="361" w:type="dxa"/>
            <w:tcBorders/>
            <w:tcMar>
              <w:top w:w="0" w:type="dxa"/>
              <w:left w:w="0" w:type="dxa"/>
              <w:bottom w:w="0" w:type="dxa"/>
              <w:right w:w="0" w:type="dxa"/>
            </w:tcMar>
            <w:vAlign w:val="center"/>
          </w:tcPr>
          <w:p>
            <w:pPr>
              <w:pStyle w:val="TableContents"/>
              <w:bidi w:val="0"/>
              <w:spacing w:before="53" w:after="30"/>
              <w:ind w:left="0" w:right="0" w:hanging="0"/>
              <w:jc w:val="left"/>
              <w:rPr/>
            </w:pPr>
            <w:r>
              <w:rPr/>
              <w:t>☒</w:t>
            </w:r>
          </w:p>
        </w:tc>
      </w:tr>
      <w:tr>
        <w:trPr/>
        <w:tc>
          <w:tcPr>
            <w:tcW w:w="2041" w:type="dxa"/>
            <w:tcBorders/>
            <w:tcMar>
              <w:top w:w="0" w:type="dxa"/>
              <w:left w:w="0" w:type="dxa"/>
              <w:bottom w:w="0" w:type="dxa"/>
              <w:right w:w="0" w:type="dxa"/>
            </w:tcMar>
            <w:vAlign w:val="center"/>
          </w:tcPr>
          <w:p>
            <w:pPr>
              <w:pStyle w:val="TableContents"/>
              <w:bidi w:val="0"/>
              <w:spacing w:before="53" w:after="30"/>
              <w:ind w:left="0" w:right="0" w:hanging="0"/>
              <w:jc w:val="left"/>
              <w:rPr>
                <w:rFonts w:ascii="Times New Roman;serif" w:hAnsi="Times New Roman;serif"/>
                <w:b w:val="false"/>
                <w:sz w:val="16"/>
              </w:rPr>
            </w:pPr>
            <w:r>
              <w:rPr>
                <w:rFonts w:ascii="Times New Roman;serif" w:hAnsi="Times New Roman;serif"/>
                <w:b w:val="false"/>
                <w:sz w:val="16"/>
              </w:rPr>
              <w:t>Emerging growth company</w:t>
            </w:r>
          </w:p>
        </w:tc>
        <w:tc>
          <w:tcPr>
            <w:tcW w:w="316" w:type="dxa"/>
            <w:tcBorders/>
            <w:tcMar>
              <w:top w:w="0" w:type="dxa"/>
              <w:left w:w="0" w:type="dxa"/>
              <w:bottom w:w="0" w:type="dxa"/>
              <w:right w:w="0" w:type="dxa"/>
            </w:tcMar>
            <w:vAlign w:val="center"/>
          </w:tcPr>
          <w:p>
            <w:pPr>
              <w:pStyle w:val="TableContents"/>
              <w:bidi w:val="0"/>
              <w:spacing w:before="53" w:after="3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Act). Yes ☐ No </w:t>
      </w:r>
      <w:r>
        <w:rPr>
          <w:rFonts w:ascii="Times New Roman" w:hAnsi="Times New Roman"/>
          <w:sz w:val="20"/>
        </w:rPr>
        <w:t>☒</w:t>
      </w:r>
    </w:p>
    <w:p>
      <w:pPr>
        <w:pStyle w:val="TextBody"/>
        <w:pBdr>
          <w:bottom w:val="double" w:sz="6" w:space="1" w:color="000000"/>
        </w:pBdr>
        <w:bidi w:val="0"/>
        <w:spacing w:before="0" w:after="0"/>
        <w:jc w:val="left"/>
        <w:rPr>
          <w:rFonts w:ascii="Times New Roman;serif" w:hAnsi="Times New Roman;serif"/>
          <w:b w:val="false"/>
          <w:sz w:val="16"/>
        </w:rPr>
      </w:pPr>
      <w:r>
        <w:rPr>
          <w:rFonts w:ascii="Times New Roman;serif" w:hAnsi="Times New Roman;serif"/>
          <w:b w:val="false"/>
          <w:sz w:val="16"/>
        </w:rPr>
        <w:t>The number of shares of Registrant’s Common Stock, $0.001 par value per share, outstanding as of May 4, 2023 was 11,586,406.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3" w:name="index_to_form_10q"/>
      <w:bookmarkEnd w:id="3"/>
      <w:r>
        <w:rPr>
          <w:rFonts w:ascii="Times New Roman;serif" w:hAnsi="Times New Roman;serif"/>
          <w:b/>
          <w:sz w:val="18"/>
        </w:rPr>
        <w:t>INDEX T</w:t>
      </w:r>
      <w:bookmarkStart w:id="4" w:name="toc_page"/>
      <w:bookmarkEnd w:id="4"/>
      <w:r>
        <w:rPr>
          <w:rFonts w:ascii="Times New Roman;serif" w:hAnsi="Times New Roman;serif"/>
          <w:b/>
          <w:sz w:val="18"/>
        </w:rPr>
        <w:t>O FORM 10-Q</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976"/>
        <w:gridCol w:w="8718"/>
        <w:gridCol w:w="511"/>
      </w:tblGrid>
      <w:tr>
        <w:trPr/>
        <w:tc>
          <w:tcPr>
            <w:tcW w:w="976" w:type="dxa"/>
            <w:tcBorders/>
            <w:vAlign w:val="center"/>
          </w:tcPr>
          <w:p>
            <w:pPr>
              <w:pStyle w:val="TableContents"/>
              <w:bidi w:val="0"/>
              <w:spacing w:before="0" w:after="283"/>
              <w:jc w:val="left"/>
              <w:rPr>
                <w:sz w:val="4"/>
                <w:szCs w:val="4"/>
              </w:rPr>
            </w:pPr>
            <w:r>
              <w:rPr>
                <w:sz w:val="4"/>
                <w:szCs w:val="4"/>
              </w:rPr>
            </w:r>
          </w:p>
        </w:tc>
        <w:tc>
          <w:tcPr>
            <w:tcW w:w="871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511"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sz w:val="18"/>
                <w:u w:val="single"/>
              </w:rPr>
            </w:pPr>
            <w:r>
              <w:rPr>
                <w:rFonts w:ascii="Times New Roman;serif" w:hAnsi="Times New Roman;serif"/>
                <w:b/>
                <w:sz w:val="18"/>
                <w:u w:val="single"/>
              </w:rPr>
              <w:t>Page</w:t>
            </w:r>
          </w:p>
        </w:tc>
      </w:tr>
      <w:tr>
        <w:trPr/>
        <w:tc>
          <w:tcPr>
            <w:tcW w:w="9694" w:type="dxa"/>
            <w:gridSpan w:val="2"/>
            <w:tcBorders/>
            <w:tcMar>
              <w:top w:w="0" w:type="dxa"/>
              <w:left w:w="0" w:type="dxa"/>
              <w:bottom w:w="0" w:type="dxa"/>
              <w:right w:w="0" w:type="dxa"/>
            </w:tcMar>
            <w:vAlign w:val="center"/>
          </w:tcPr>
          <w:p>
            <w:pPr>
              <w:pStyle w:val="TableContents"/>
              <w:bidi w:val="0"/>
              <w:spacing w:before="30" w:after="30"/>
              <w:ind w:left="0" w:right="0" w:hanging="0"/>
              <w:jc w:val="left"/>
              <w:rPr/>
            </w:pPr>
            <w:hyperlink w:anchor="special_note_regarding_forward_looking">
              <w:r>
                <w:rPr>
                  <w:rStyle w:val="InternetLink"/>
                  <w:rFonts w:ascii="Times New Roman;serif" w:hAnsi="Times New Roman;serif"/>
                  <w:b w:val="false"/>
                  <w:sz w:val="20"/>
                  <w:u w:val="single"/>
                </w:rPr>
                <w:t>Special Note Regarding Forward-Looking Statements</w:t>
              </w:r>
            </w:hyperlink>
          </w:p>
        </w:tc>
        <w:tc>
          <w:tcPr>
            <w:tcW w:w="511"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3</w:t>
            </w:r>
          </w:p>
        </w:tc>
      </w:tr>
      <w:tr>
        <w:trPr/>
        <w:tc>
          <w:tcPr>
            <w:tcW w:w="97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ind w:left="0" w:right="0" w:hanging="0"/>
              <w:jc w:val="center"/>
              <w:rPr/>
            </w:pPr>
            <w:hyperlink w:anchor="part_i_financial_information">
              <w:r>
                <w:rPr>
                  <w:rStyle w:val="InternetLink"/>
                  <w:rFonts w:ascii="Times New Roman;serif" w:hAnsi="Times New Roman;serif"/>
                  <w:b w:val="false"/>
                  <w:sz w:val="20"/>
                  <w:u w:val="single"/>
                </w:rPr>
                <w:t>PART I — FINANCIAL INFORMATION</w:t>
              </w:r>
            </w:hyperlink>
          </w:p>
        </w:tc>
        <w:tc>
          <w:tcPr>
            <w:tcW w:w="511"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5</w:t>
            </w:r>
          </w:p>
        </w:tc>
      </w:tr>
      <w:tr>
        <w:trPr/>
        <w:tc>
          <w:tcPr>
            <w:tcW w:w="976" w:type="dxa"/>
            <w:tcBorders/>
            <w:tcMar>
              <w:top w:w="0" w:type="dxa"/>
              <w:left w:w="0" w:type="dxa"/>
              <w:bottom w:w="0" w:type="dxa"/>
              <w:right w:w="0" w:type="dxa"/>
            </w:tcMar>
            <w:vAlign w:val="center"/>
          </w:tcPr>
          <w:p>
            <w:pPr>
              <w:pStyle w:val="TableContents"/>
              <w:bidi w:val="0"/>
              <w:spacing w:before="30" w:after="3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718" w:type="dxa"/>
            <w:tcBorders/>
            <w:tcMar>
              <w:top w:w="0" w:type="dxa"/>
              <w:left w:w="0" w:type="dxa"/>
              <w:bottom w:w="0" w:type="dxa"/>
              <w:right w:w="0" w:type="dxa"/>
            </w:tcMar>
            <w:vAlign w:val="center"/>
          </w:tcPr>
          <w:p>
            <w:pPr>
              <w:pStyle w:val="TableContents"/>
              <w:bidi w:val="0"/>
              <w:spacing w:before="30" w:after="3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5</w:t>
            </w:r>
          </w:p>
        </w:tc>
      </w:tr>
      <w:tr>
        <w:trPr/>
        <w:tc>
          <w:tcPr>
            <w:tcW w:w="97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 as of March 31, 2023 and December 31, 2022</w:t>
              </w:r>
            </w:hyperlink>
          </w:p>
        </w:tc>
        <w:tc>
          <w:tcPr>
            <w:tcW w:w="511"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5</w:t>
            </w:r>
          </w:p>
        </w:tc>
      </w:tr>
      <w:tr>
        <w:trPr/>
        <w:tc>
          <w:tcPr>
            <w:tcW w:w="97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ind w:left="0" w:right="0" w:hanging="0"/>
              <w:jc w:val="left"/>
              <w:rPr/>
            </w:pPr>
            <w:hyperlink w:anchor="statements_operations_and_comp_loss">
              <w:r>
                <w:rPr>
                  <w:rStyle w:val="InternetLink"/>
                  <w:rFonts w:ascii="Times New Roman;serif" w:hAnsi="Times New Roman;serif"/>
                  <w:b w:val="false"/>
                  <w:sz w:val="20"/>
                  <w:u w:val="single"/>
                </w:rPr>
                <w:t>Condensed Consolidated Statements of Operations for the Three Months Ended March 31, 2023 and 2022</w:t>
              </w:r>
            </w:hyperlink>
          </w:p>
        </w:tc>
        <w:tc>
          <w:tcPr>
            <w:tcW w:w="511"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6</w:t>
            </w:r>
          </w:p>
        </w:tc>
      </w:tr>
      <w:tr>
        <w:trPr/>
        <w:tc>
          <w:tcPr>
            <w:tcW w:w="97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ind w:left="0" w:right="0" w:hanging="0"/>
              <w:jc w:val="left"/>
              <w:rPr/>
            </w:pPr>
            <w:hyperlink w:anchor="statements_stockholders_equity">
              <w:r>
                <w:rPr>
                  <w:rStyle w:val="InternetLink"/>
                  <w:rFonts w:ascii="Times New Roman;serif" w:hAnsi="Times New Roman;serif"/>
                  <w:b w:val="false"/>
                  <w:sz w:val="20"/>
                  <w:u w:val="single"/>
                </w:rPr>
                <w:t>Condensed Consolidated Statements of Stockholders’ Equity for the Three Months Ended March 31, 2023 and 2022</w:t>
              </w:r>
            </w:hyperlink>
          </w:p>
        </w:tc>
        <w:tc>
          <w:tcPr>
            <w:tcW w:w="511"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7</w:t>
            </w:r>
          </w:p>
        </w:tc>
      </w:tr>
      <w:tr>
        <w:trPr/>
        <w:tc>
          <w:tcPr>
            <w:tcW w:w="97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ind w:left="0" w:right="0" w:hanging="0"/>
              <w:jc w:val="left"/>
              <w:rPr/>
            </w:pPr>
            <w:hyperlink w:anchor="statements_cash_flows">
              <w:r>
                <w:rPr>
                  <w:rStyle w:val="InternetLink"/>
                  <w:rFonts w:ascii="Times New Roman;serif" w:hAnsi="Times New Roman;serif"/>
                  <w:b w:val="false"/>
                  <w:sz w:val="20"/>
                  <w:u w:val="single"/>
                </w:rPr>
                <w:t>Condensed Consolidated Statements of Cash Flows for the Three Months Ended March 31, 2023 and 2022</w:t>
              </w:r>
            </w:hyperlink>
          </w:p>
        </w:tc>
        <w:tc>
          <w:tcPr>
            <w:tcW w:w="511"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8</w:t>
            </w:r>
          </w:p>
        </w:tc>
      </w:tr>
      <w:tr>
        <w:trPr/>
        <w:tc>
          <w:tcPr>
            <w:tcW w:w="97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ind w:left="0" w:right="0" w:hanging="0"/>
              <w:jc w:val="left"/>
              <w:rPr/>
            </w:pPr>
            <w:hyperlink w:anchor="notes_to_financial_statements">
              <w:r>
                <w:rPr>
                  <w:rStyle w:val="InternetLink"/>
                  <w:rFonts w:ascii="Times New Roman;serif" w:hAnsi="Times New Roman;serif"/>
                  <w:b w:val="false"/>
                  <w:sz w:val="20"/>
                  <w:u w:val="single"/>
                </w:rPr>
                <w:t>Notes to Condensed Consolidated Financial Statements</w:t>
              </w:r>
            </w:hyperlink>
          </w:p>
        </w:tc>
        <w:tc>
          <w:tcPr>
            <w:tcW w:w="511"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9</w:t>
            </w:r>
          </w:p>
        </w:tc>
      </w:tr>
      <w:tr>
        <w:trPr/>
        <w:tc>
          <w:tcPr>
            <w:tcW w:w="976" w:type="dxa"/>
            <w:tcBorders/>
            <w:tcMar>
              <w:top w:w="0" w:type="dxa"/>
              <w:left w:w="0" w:type="dxa"/>
              <w:bottom w:w="0" w:type="dxa"/>
              <w:right w:w="0" w:type="dxa"/>
            </w:tcMar>
            <w:vAlign w:val="center"/>
          </w:tcPr>
          <w:p>
            <w:pPr>
              <w:pStyle w:val="TableContents"/>
              <w:bidi w:val="0"/>
              <w:spacing w:before="30" w:after="3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718" w:type="dxa"/>
            <w:tcBorders/>
            <w:tcMar>
              <w:top w:w="0" w:type="dxa"/>
              <w:left w:w="0" w:type="dxa"/>
              <w:bottom w:w="0" w:type="dxa"/>
              <w:right w:w="0" w:type="dxa"/>
            </w:tcMar>
            <w:vAlign w:val="center"/>
          </w:tcPr>
          <w:p>
            <w:pPr>
              <w:pStyle w:val="TableContents"/>
              <w:bidi w:val="0"/>
              <w:spacing w:before="30" w:after="30"/>
              <w:ind w:left="0" w:right="0" w:hanging="0"/>
              <w:jc w:val="left"/>
              <w:rPr/>
            </w:pPr>
            <w:hyperlink w:anchor="item_2_managements_discussion_analysis">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18</w:t>
            </w:r>
          </w:p>
        </w:tc>
      </w:tr>
      <w:tr>
        <w:trPr/>
        <w:tc>
          <w:tcPr>
            <w:tcW w:w="976" w:type="dxa"/>
            <w:tcBorders/>
            <w:tcMar>
              <w:top w:w="0" w:type="dxa"/>
              <w:left w:w="0" w:type="dxa"/>
              <w:bottom w:w="0" w:type="dxa"/>
              <w:right w:w="0" w:type="dxa"/>
            </w:tcMar>
            <w:vAlign w:val="center"/>
          </w:tcPr>
          <w:p>
            <w:pPr>
              <w:pStyle w:val="TableContents"/>
              <w:bidi w:val="0"/>
              <w:spacing w:before="30" w:after="3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718" w:type="dxa"/>
            <w:tcBorders/>
            <w:tcMar>
              <w:top w:w="0" w:type="dxa"/>
              <w:left w:w="0" w:type="dxa"/>
              <w:bottom w:w="0" w:type="dxa"/>
              <w:right w:w="0" w:type="dxa"/>
            </w:tcMar>
            <w:vAlign w:val="center"/>
          </w:tcPr>
          <w:p>
            <w:pPr>
              <w:pStyle w:val="TableContents"/>
              <w:bidi w:val="0"/>
              <w:spacing w:before="30" w:after="3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24</w:t>
            </w:r>
          </w:p>
        </w:tc>
      </w:tr>
      <w:tr>
        <w:trPr/>
        <w:tc>
          <w:tcPr>
            <w:tcW w:w="976" w:type="dxa"/>
            <w:tcBorders/>
            <w:tcMar>
              <w:top w:w="0" w:type="dxa"/>
              <w:left w:w="0" w:type="dxa"/>
              <w:bottom w:w="0" w:type="dxa"/>
              <w:right w:w="0" w:type="dxa"/>
            </w:tcMar>
            <w:vAlign w:val="center"/>
          </w:tcPr>
          <w:p>
            <w:pPr>
              <w:pStyle w:val="TableContents"/>
              <w:bidi w:val="0"/>
              <w:spacing w:before="30" w:after="3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718" w:type="dxa"/>
            <w:tcBorders/>
            <w:tcMar>
              <w:top w:w="0" w:type="dxa"/>
              <w:left w:w="0" w:type="dxa"/>
              <w:bottom w:w="0" w:type="dxa"/>
              <w:right w:w="0" w:type="dxa"/>
            </w:tcMar>
            <w:vAlign w:val="center"/>
          </w:tcPr>
          <w:p>
            <w:pPr>
              <w:pStyle w:val="TableContents"/>
              <w:bidi w:val="0"/>
              <w:spacing w:before="30" w:after="3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24</w:t>
            </w:r>
          </w:p>
        </w:tc>
      </w:tr>
      <w:tr>
        <w:trPr/>
        <w:tc>
          <w:tcPr>
            <w:tcW w:w="97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511"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r>
      <w:tr>
        <w:trPr/>
        <w:tc>
          <w:tcPr>
            <w:tcW w:w="97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ind w:left="0" w:right="0" w:hanging="0"/>
              <w:jc w:val="center"/>
              <w:rPr/>
            </w:pPr>
            <w:hyperlink w:anchor="part_ii_other_information">
              <w:r>
                <w:rPr>
                  <w:rStyle w:val="InternetLink"/>
                  <w:rFonts w:ascii="Times New Roman;serif" w:hAnsi="Times New Roman;serif"/>
                  <w:b w:val="false"/>
                  <w:sz w:val="20"/>
                  <w:u w:val="single"/>
                </w:rPr>
                <w:t>PART II — OTHER INFORMATION</w:t>
              </w:r>
            </w:hyperlink>
          </w:p>
        </w:tc>
        <w:tc>
          <w:tcPr>
            <w:tcW w:w="511"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26</w:t>
            </w:r>
          </w:p>
        </w:tc>
      </w:tr>
      <w:tr>
        <w:trPr/>
        <w:tc>
          <w:tcPr>
            <w:tcW w:w="976" w:type="dxa"/>
            <w:tcBorders/>
            <w:tcMar>
              <w:top w:w="0" w:type="dxa"/>
              <w:left w:w="0" w:type="dxa"/>
              <w:bottom w:w="0" w:type="dxa"/>
              <w:right w:w="0" w:type="dxa"/>
            </w:tcMar>
            <w:vAlign w:val="center"/>
          </w:tcPr>
          <w:p>
            <w:pPr>
              <w:pStyle w:val="TableContents"/>
              <w:bidi w:val="0"/>
              <w:spacing w:before="30" w:after="3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718" w:type="dxa"/>
            <w:tcBorders/>
            <w:tcMar>
              <w:top w:w="0" w:type="dxa"/>
              <w:left w:w="0" w:type="dxa"/>
              <w:bottom w:w="0" w:type="dxa"/>
              <w:right w:w="0" w:type="dxa"/>
            </w:tcMar>
            <w:vAlign w:val="center"/>
          </w:tcPr>
          <w:p>
            <w:pPr>
              <w:pStyle w:val="TableContents"/>
              <w:bidi w:val="0"/>
              <w:spacing w:before="30" w:after="3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26</w:t>
            </w:r>
          </w:p>
        </w:tc>
      </w:tr>
      <w:tr>
        <w:trPr/>
        <w:tc>
          <w:tcPr>
            <w:tcW w:w="976" w:type="dxa"/>
            <w:tcBorders/>
            <w:tcMar>
              <w:top w:w="0" w:type="dxa"/>
              <w:left w:w="0" w:type="dxa"/>
              <w:bottom w:w="0" w:type="dxa"/>
              <w:right w:w="0" w:type="dxa"/>
            </w:tcMar>
            <w:vAlign w:val="center"/>
          </w:tcPr>
          <w:p>
            <w:pPr>
              <w:pStyle w:val="TableContents"/>
              <w:bidi w:val="0"/>
              <w:spacing w:before="30" w:after="3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8718" w:type="dxa"/>
            <w:tcBorders/>
            <w:tcMar>
              <w:top w:w="0" w:type="dxa"/>
              <w:left w:w="0" w:type="dxa"/>
              <w:bottom w:w="0" w:type="dxa"/>
              <w:right w:w="0" w:type="dxa"/>
            </w:tcMar>
            <w:vAlign w:val="center"/>
          </w:tcPr>
          <w:p>
            <w:pPr>
              <w:pStyle w:val="TableContents"/>
              <w:bidi w:val="0"/>
              <w:spacing w:before="30" w:after="3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26</w:t>
            </w:r>
          </w:p>
        </w:tc>
      </w:tr>
      <w:tr>
        <w:trPr/>
        <w:tc>
          <w:tcPr>
            <w:tcW w:w="976" w:type="dxa"/>
            <w:tcBorders/>
            <w:tcMar>
              <w:top w:w="0" w:type="dxa"/>
              <w:left w:w="0" w:type="dxa"/>
              <w:bottom w:w="0" w:type="dxa"/>
              <w:right w:w="0" w:type="dxa"/>
            </w:tcMar>
            <w:vAlign w:val="center"/>
          </w:tcPr>
          <w:p>
            <w:pPr>
              <w:pStyle w:val="TableContents"/>
              <w:bidi w:val="0"/>
              <w:spacing w:before="30" w:after="3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718" w:type="dxa"/>
            <w:tcBorders/>
            <w:tcMar>
              <w:top w:w="0" w:type="dxa"/>
              <w:left w:w="0" w:type="dxa"/>
              <w:bottom w:w="0" w:type="dxa"/>
              <w:right w:w="0" w:type="dxa"/>
            </w:tcMar>
            <w:vAlign w:val="center"/>
          </w:tcPr>
          <w:p>
            <w:pPr>
              <w:pStyle w:val="TableContents"/>
              <w:bidi w:val="0"/>
              <w:spacing w:before="30" w:after="3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75</w:t>
            </w:r>
          </w:p>
        </w:tc>
      </w:tr>
      <w:tr>
        <w:trPr/>
        <w:tc>
          <w:tcPr>
            <w:tcW w:w="976" w:type="dxa"/>
            <w:tcBorders/>
            <w:tcMar>
              <w:top w:w="0" w:type="dxa"/>
              <w:left w:w="0" w:type="dxa"/>
              <w:bottom w:w="0" w:type="dxa"/>
              <w:right w:w="0" w:type="dxa"/>
            </w:tcMar>
            <w:vAlign w:val="center"/>
          </w:tcPr>
          <w:p>
            <w:pPr>
              <w:pStyle w:val="TableContents"/>
              <w:bidi w:val="0"/>
              <w:spacing w:before="30" w:after="3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718" w:type="dxa"/>
            <w:tcBorders/>
            <w:tcMar>
              <w:top w:w="0" w:type="dxa"/>
              <w:left w:w="0" w:type="dxa"/>
              <w:bottom w:w="0" w:type="dxa"/>
              <w:right w:w="0" w:type="dxa"/>
            </w:tcMar>
            <w:vAlign w:val="center"/>
          </w:tcPr>
          <w:p>
            <w:pPr>
              <w:pStyle w:val="TableContents"/>
              <w:bidi w:val="0"/>
              <w:spacing w:before="30" w:after="3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11"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75</w:t>
            </w:r>
          </w:p>
        </w:tc>
      </w:tr>
      <w:tr>
        <w:trPr/>
        <w:tc>
          <w:tcPr>
            <w:tcW w:w="976" w:type="dxa"/>
            <w:tcBorders/>
            <w:tcMar>
              <w:top w:w="0" w:type="dxa"/>
              <w:left w:w="0" w:type="dxa"/>
              <w:bottom w:w="0" w:type="dxa"/>
              <w:right w:w="0" w:type="dxa"/>
            </w:tcMar>
            <w:vAlign w:val="center"/>
          </w:tcPr>
          <w:p>
            <w:pPr>
              <w:pStyle w:val="TableContents"/>
              <w:bidi w:val="0"/>
              <w:spacing w:before="30" w:after="3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718" w:type="dxa"/>
            <w:tcBorders/>
            <w:tcMar>
              <w:top w:w="0" w:type="dxa"/>
              <w:left w:w="0" w:type="dxa"/>
              <w:bottom w:w="0" w:type="dxa"/>
              <w:right w:w="0" w:type="dxa"/>
            </w:tcMar>
            <w:vAlign w:val="center"/>
          </w:tcPr>
          <w:p>
            <w:pPr>
              <w:pStyle w:val="TableContents"/>
              <w:bidi w:val="0"/>
              <w:spacing w:before="30" w:after="3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75</w:t>
            </w:r>
          </w:p>
        </w:tc>
      </w:tr>
      <w:tr>
        <w:trPr/>
        <w:tc>
          <w:tcPr>
            <w:tcW w:w="976" w:type="dxa"/>
            <w:tcBorders/>
            <w:tcMar>
              <w:top w:w="0" w:type="dxa"/>
              <w:left w:w="0" w:type="dxa"/>
              <w:bottom w:w="0" w:type="dxa"/>
              <w:right w:w="0" w:type="dxa"/>
            </w:tcMar>
            <w:vAlign w:val="center"/>
          </w:tcPr>
          <w:p>
            <w:pPr>
              <w:pStyle w:val="TableContents"/>
              <w:bidi w:val="0"/>
              <w:spacing w:before="30" w:after="3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8718" w:type="dxa"/>
            <w:tcBorders/>
            <w:tcMar>
              <w:top w:w="0" w:type="dxa"/>
              <w:left w:w="0" w:type="dxa"/>
              <w:bottom w:w="0" w:type="dxa"/>
              <w:right w:w="0" w:type="dxa"/>
            </w:tcMar>
            <w:vAlign w:val="center"/>
          </w:tcPr>
          <w:p>
            <w:pPr>
              <w:pStyle w:val="TableContents"/>
              <w:bidi w:val="0"/>
              <w:spacing w:before="30" w:after="30"/>
              <w:ind w:left="0" w:right="0" w:hanging="0"/>
              <w:jc w:val="left"/>
              <w:rPr/>
            </w:pPr>
            <w:hyperlink w:anchor="item_5_other_information">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75</w:t>
            </w:r>
          </w:p>
        </w:tc>
      </w:tr>
      <w:tr>
        <w:trPr/>
        <w:tc>
          <w:tcPr>
            <w:tcW w:w="976" w:type="dxa"/>
            <w:tcBorders/>
            <w:tcMar>
              <w:top w:w="0" w:type="dxa"/>
              <w:left w:w="0" w:type="dxa"/>
              <w:bottom w:w="0" w:type="dxa"/>
              <w:right w:w="0" w:type="dxa"/>
            </w:tcMar>
            <w:vAlign w:val="center"/>
          </w:tcPr>
          <w:p>
            <w:pPr>
              <w:pStyle w:val="TableContents"/>
              <w:bidi w:val="0"/>
              <w:spacing w:before="30" w:after="3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8718" w:type="dxa"/>
            <w:tcBorders/>
            <w:tcMar>
              <w:top w:w="0" w:type="dxa"/>
              <w:left w:w="0" w:type="dxa"/>
              <w:bottom w:w="0" w:type="dxa"/>
              <w:right w:w="0" w:type="dxa"/>
            </w:tcMar>
            <w:vAlign w:val="center"/>
          </w:tcPr>
          <w:p>
            <w:pPr>
              <w:pStyle w:val="TableContents"/>
              <w:bidi w:val="0"/>
              <w:spacing w:before="30" w:after="3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76</w:t>
            </w:r>
          </w:p>
        </w:tc>
      </w:tr>
      <w:tr>
        <w:trPr/>
        <w:tc>
          <w:tcPr>
            <w:tcW w:w="976" w:type="dxa"/>
            <w:tcBorders/>
            <w:tcMar>
              <w:top w:w="0" w:type="dxa"/>
              <w:left w:w="0" w:type="dxa"/>
              <w:bottom w:w="0" w:type="dxa"/>
              <w:right w:w="0" w:type="dxa"/>
            </w:tcMar>
            <w:vAlign w:val="center"/>
          </w:tcPr>
          <w:p>
            <w:pPr>
              <w:pStyle w:val="TableContents"/>
              <w:bidi w:val="0"/>
              <w:spacing w:before="30" w:after="30"/>
              <w:ind w:left="0" w:right="0" w:hanging="0"/>
              <w:jc w:val="left"/>
              <w:rPr/>
            </w:pPr>
            <w:hyperlink w:anchor="signatures">
              <w:r>
                <w:rPr>
                  <w:rStyle w:val="InternetLink"/>
                  <w:rFonts w:ascii="Times New Roman;serif" w:hAnsi="Times New Roman;serif"/>
                  <w:b w:val="false"/>
                  <w:sz w:val="20"/>
                  <w:u w:val="single"/>
                </w:rPr>
                <w:t>Signatures</w:t>
              </w:r>
            </w:hyperlink>
          </w:p>
        </w:tc>
        <w:tc>
          <w:tcPr>
            <w:tcW w:w="8718"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511" w:type="dxa"/>
            <w:tcBorders/>
            <w:tcMar>
              <w:top w:w="0" w:type="dxa"/>
              <w:left w:w="0" w:type="dxa"/>
              <w:bottom w:w="0" w:type="dxa"/>
              <w:right w:w="0" w:type="dxa"/>
            </w:tcMar>
            <w:vAlign w:val="center"/>
          </w:tcPr>
          <w:p>
            <w:pPr>
              <w:pStyle w:val="TableContents"/>
              <w:bidi w:val="0"/>
              <w:spacing w:before="30" w:after="30"/>
              <w:ind w:left="0" w:right="0" w:hanging="0"/>
              <w:jc w:val="center"/>
              <w:rPr/>
            </w:pPr>
            <w:r>
              <w:rPr/>
              <w:t> </w:t>
            </w:r>
          </w:p>
        </w:tc>
      </w:tr>
    </w:tbl>
    <w:p>
      <w:pPr>
        <w:pStyle w:val="TextBody"/>
        <w:bidi w:val="0"/>
        <w:spacing w:before="0" w:after="0"/>
        <w:jc w:val="left"/>
        <w:rPr/>
      </w:pPr>
      <w:r>
        <w:rPr/>
        <w:t>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5" w:name="special_note_regarding_forward_looking"/>
      <w:bookmarkEnd w:id="5"/>
      <w:r>
        <w:rPr>
          <w:rFonts w:ascii="Times New Roman;serif" w:hAnsi="Times New Roman;serif"/>
          <w:b/>
          <w:sz w:val="20"/>
        </w:rPr>
        <w:t>SPECIAL NOTE REGARDING FORWARD-LOOKING STATEMENTS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This Quarterly Report on Form 10-Q contains forward-looking statements (including within the meaning of Section 21E of the Securities Exchange Act of 1934, as amended, and Section 27A of the Securities Act of 1933, as amended (the “Securities Act”)) about us and our industry that involve substantial risks and uncertainties. These statements may discuss goals, intentions and expectations as to future plans, trends, events, results of operations or financial condition, or otherwise, based on current beliefs of our management, as well as assumptions made by, and information currently available to, our management. Forward-looking statements generally include statements that are predictive in nature and depend upon or refer to future events or conditions, and include words such as “may,” “will,” “should,” “would,” “could”, “expect,” “anticipate,” “plan,” “likely,” “believe,” “estimate,” “intend,” and other similar expressions.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our strategies, prospects, plans, expectations or objectives for future operations; the progress, scope or timing of the development of our product candidates; the benefits that may be derived from any future products or the commercial or market opportunity with respect to any of our future products; our ability to protect our intellectual property rights; our anticipated operations, financial position, ability to raise capital to fund operations, revenues, costs or expenses; statements regarding future economic conditions or performance; statements of belief and any statement of assumptions underlying any of the foregoing. These risks and uncertainties include, but are not limited to, the risks included in this Quarterly Report on Form 10-Q under Part II, Item 1A, “Risk Factors.” Other sections of this Quarterly Report on Form 10-Q, as well as our other disclosures and filings,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update or revise any forward-looking statements contained in this report, whether as a result of new information, future events or otherwise.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Forward-looking statements contained in this Quarterly Report on Form 10-Q include, but are not limited to, statements about:</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expected future growth and our ability to manage such growth;</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ability to develop, obtain regulatory approval for and commercialize TPST-1495 and TPST-1120 and our future product candidates;</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estimates regarding expenses, future revenue, capital requirements and needs for additional financing;</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size and growth potential of the markets for our product candidates, and our ability to serve those markets;</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development, regulatory approval, efficacy and commercialization of competing products;</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ability to establish sales and marketing capabilities or enter into agreements with third parties to market and sell our product candidates;</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ability to retain regulatory approval for our product candidates or future product candidates in the United States and in any foreign countries in which we make seek to do business;</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ability to retain and hire our board of directors, senior management, or operational personnel;</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expectation regarding the period during which we will qualify as a smaller reporting company under the federal securities laws;</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ability to develop and maintain our corporate infrastructure, including our ability to design and maintain an effective system of internal controls;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our ability to remain in compliance with our obligations under our term loan with Oxford Finance LLC, or to obtain a waiver from Oxford for any failure to comply with the covenants contained in such term loan agreement;</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general economic, political, and market conditions and overall fluctuations in the financial markets in the United States and abroad, including as a result of bank failures, public health crises or geopolitical tensions; and</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You should read this Quarterly Report on Form 10-Q as well as the documents that we reference in,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Unless the context suggests otherwise, references in this Quarterly Report on Form 10-Q to “Tempest,” “the Company,” “we,” “us,” and “our” refer to Tempest Therapeutics, Inc. and, where appropriate, its subsidiaries.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6" w:name="part_i_financial_information"/>
      <w:bookmarkEnd w:id="6"/>
      <w:r>
        <w:rPr>
          <w:rFonts w:ascii="Times New Roman;serif" w:hAnsi="Times New Roman;serif"/>
          <w:b/>
          <w:sz w:val="20"/>
        </w:rPr>
        <w:t>PART I – FINANCIAL INFORMATION</w:t>
      </w:r>
    </w:p>
    <w:p>
      <w:pPr>
        <w:pStyle w:val="TextBody"/>
        <w:bidi w:val="0"/>
        <w:spacing w:before="0" w:after="0"/>
        <w:jc w:val="center"/>
        <w:rPr>
          <w:rFonts w:ascii="Times New Roman;serif" w:hAnsi="Times New Roman;serif"/>
          <w:b/>
          <w:sz w:val="20"/>
        </w:rPr>
      </w:pPr>
      <w:bookmarkStart w:id="7" w:name="item_1_financial_statements"/>
      <w:bookmarkEnd w:id="7"/>
      <w:r>
        <w:rPr>
          <w:rFonts w:ascii="Times New Roman;serif" w:hAnsi="Times New Roman;serif"/>
          <w:b/>
          <w:sz w:val="20"/>
        </w:rPr>
        <w:t>Item 1 – Financial Statements</w:t>
      </w:r>
    </w:p>
    <w:p>
      <w:pPr>
        <w:pStyle w:val="TextBody"/>
        <w:bidi w:val="0"/>
        <w:spacing w:before="0" w:after="0"/>
        <w:jc w:val="center"/>
        <w:rPr>
          <w:rFonts w:ascii="Times New Roman;serif" w:hAnsi="Times New Roman;serif"/>
          <w:b/>
          <w:sz w:val="18"/>
        </w:rPr>
      </w:pPr>
      <w:bookmarkStart w:id="8" w:name="condensed_consolidated_balance_sheets"/>
      <w:bookmarkEnd w:id="8"/>
      <w:r>
        <w:rPr>
          <w:rFonts w:ascii="Times New Roman;serif" w:hAnsi="Times New Roman;serif"/>
          <w:b/>
          <w:sz w:val="18"/>
        </w:rPr>
        <w:t>TEMPEST THERAPEUTICS, INC.</w:t>
      </w:r>
    </w:p>
    <w:p>
      <w:pPr>
        <w:pStyle w:val="TextBody"/>
        <w:bidi w:val="0"/>
        <w:spacing w:before="0" w:after="0"/>
        <w:jc w:val="center"/>
        <w:rPr>
          <w:rFonts w:ascii="Times New Roman" w:hAnsi="Times New Roman"/>
          <w:sz w:val="20"/>
        </w:rPr>
      </w:pPr>
      <w:r>
        <w:rPr>
          <w:rFonts w:ascii="Times New Roman;serif" w:hAnsi="Times New Roman;serif"/>
          <w:b/>
          <w:sz w:val="18"/>
        </w:rPr>
        <w:t>Condensed Consolidated Balance Sheets</w:t>
      </w:r>
      <w:r>
        <w:rPr>
          <w:rFonts w:ascii="Times New Roman" w:hAnsi="Times New Roman"/>
          <w:sz w:val="20"/>
        </w:rPr>
        <w:t xml:space="preserve"> </w:t>
      </w:r>
    </w:p>
    <w:p>
      <w:pPr>
        <w:pStyle w:val="TextBody"/>
        <w:bidi w:val="0"/>
        <w:spacing w:before="0" w:after="0"/>
        <w:jc w:val="center"/>
        <w:rPr>
          <w:rFonts w:ascii="Times New Roman;serif" w:hAnsi="Times New Roman;serif"/>
          <w:b/>
          <w:sz w:val="18"/>
        </w:rPr>
      </w:pPr>
      <w:r>
        <w:rPr>
          <w:rFonts w:ascii="Times New Roman;serif" w:hAnsi="Times New Roman;serif"/>
          <w:b/>
          <w:sz w:val="18"/>
        </w:rPr>
        <w:t>(in thousands, except share and per share amounts)</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6772"/>
        <w:gridCol w:w="146"/>
        <w:gridCol w:w="228"/>
        <w:gridCol w:w="913"/>
        <w:gridCol w:w="166"/>
        <w:gridCol w:w="146"/>
        <w:gridCol w:w="248"/>
        <w:gridCol w:w="991"/>
        <w:gridCol w:w="595"/>
      </w:tblGrid>
      <w:tr>
        <w:trPr/>
        <w:tc>
          <w:tcPr>
            <w:tcW w:w="6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677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9" w:type="dxa"/>
            <w:gridSpan w:val="2"/>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left"/>
              <w:rPr/>
            </w:pPr>
            <w:r>
              <w:rPr/>
              <w:t> </w:t>
            </w:r>
          </w:p>
        </w:tc>
      </w:tr>
      <w:tr>
        <w:trPr/>
        <w:tc>
          <w:tcPr>
            <w:tcW w:w="677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9" w:type="dxa"/>
            <w:gridSpan w:val="2"/>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left"/>
              <w:rPr/>
            </w:pPr>
            <w:r>
              <w:rPr/>
              <w:t> </w:t>
            </w:r>
          </w:p>
        </w:tc>
      </w:tr>
      <w:tr>
        <w:trPr/>
        <w:tc>
          <w:tcPr>
            <w:tcW w:w="677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March 31, 2023</w:t>
              <w:br/>
              <w:t>(Unaudited)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5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77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14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9" w:type="dxa"/>
            <w:gridSpan w:val="2"/>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left"/>
              <w:rPr/>
            </w:pPr>
            <w:r>
              <w:rPr/>
              <w:t> </w:t>
            </w:r>
          </w:p>
        </w:tc>
      </w:tr>
      <w:tr>
        <w:trPr/>
        <w:tc>
          <w:tcPr>
            <w:tcW w:w="67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14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9" w:type="dxa"/>
            <w:gridSpan w:val="2"/>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firstLine="200"/>
              <w:jc w:val="left"/>
              <w:rPr/>
            </w:pPr>
            <w:r>
              <w:rPr/>
              <w:t> </w:t>
            </w:r>
          </w:p>
        </w:tc>
      </w:tr>
      <w:tr>
        <w:trPr/>
        <w:tc>
          <w:tcPr>
            <w:tcW w:w="677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10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31,230</w:t>
            </w:r>
          </w:p>
        </w:tc>
        <w:tc>
          <w:tcPr>
            <w:tcW w:w="595" w:type="dxa"/>
            <w:tcBorders/>
            <w:vAlign w:val="center"/>
          </w:tcPr>
          <w:p>
            <w:pPr>
              <w:pStyle w:val="TableContents"/>
              <w:bidi w:val="0"/>
              <w:spacing w:before="0" w:after="0"/>
              <w:ind w:left="0" w:right="0" w:firstLine="200"/>
              <w:jc w:val="left"/>
              <w:rPr/>
            </w:pPr>
            <w:r>
              <w:rPr/>
              <w:t> </w:t>
            </w:r>
          </w:p>
        </w:tc>
      </w:tr>
      <w:tr>
        <w:trPr/>
        <w:tc>
          <w:tcPr>
            <w:tcW w:w="677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Insurance recovery of legal settlement</w:t>
            </w:r>
          </w:p>
        </w:tc>
        <w:tc>
          <w:tcPr>
            <w:tcW w:w="146" w:type="dxa"/>
            <w:tcBorders/>
            <w:vAlign w:val="center"/>
          </w:tcPr>
          <w:p>
            <w:pPr>
              <w:pStyle w:val="TableContents"/>
              <w:bidi w:val="0"/>
              <w:spacing w:before="0" w:after="0"/>
              <w:ind w:left="10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w:t>
            </w:r>
          </w:p>
        </w:tc>
        <w:tc>
          <w:tcPr>
            <w:tcW w:w="595" w:type="dxa"/>
            <w:tcBorders/>
            <w:vAlign w:val="center"/>
          </w:tcPr>
          <w:p>
            <w:pPr>
              <w:pStyle w:val="TableContents"/>
              <w:bidi w:val="0"/>
              <w:spacing w:before="0" w:after="0"/>
              <w:ind w:left="0" w:right="0" w:firstLine="200"/>
              <w:jc w:val="left"/>
              <w:rPr/>
            </w:pPr>
            <w:r>
              <w:rPr/>
              <w:t> </w:t>
            </w:r>
          </w:p>
        </w:tc>
      </w:tr>
      <w:tr>
        <w:trPr/>
        <w:tc>
          <w:tcPr>
            <w:tcW w:w="677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10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1,270</w:t>
            </w:r>
          </w:p>
        </w:tc>
        <w:tc>
          <w:tcPr>
            <w:tcW w:w="595"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772"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30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32,950</w:t>
            </w:r>
          </w:p>
        </w:tc>
        <w:tc>
          <w:tcPr>
            <w:tcW w:w="595" w:type="dxa"/>
            <w:tcBorders/>
            <w:vAlign w:val="center"/>
          </w:tcPr>
          <w:p>
            <w:pPr>
              <w:pStyle w:val="TableContents"/>
              <w:bidi w:val="0"/>
              <w:spacing w:before="0" w:after="0"/>
              <w:ind w:left="0" w:right="0" w:hanging="0"/>
              <w:jc w:val="left"/>
              <w:rPr/>
            </w:pPr>
            <w:r>
              <w:rPr/>
              <w:t> </w:t>
            </w:r>
          </w:p>
        </w:tc>
      </w:tr>
      <w:tr>
        <w:trPr/>
        <w:tc>
          <w:tcPr>
            <w:tcW w:w="67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 net</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w:t>
            </w:r>
          </w:p>
        </w:tc>
        <w:tc>
          <w:tcPr>
            <w:tcW w:w="595" w:type="dxa"/>
            <w:tcBorders/>
            <w:vAlign w:val="center"/>
          </w:tcPr>
          <w:p>
            <w:pPr>
              <w:pStyle w:val="TableContents"/>
              <w:bidi w:val="0"/>
              <w:spacing w:before="0" w:after="0"/>
              <w:ind w:left="0" w:right="0" w:hanging="0"/>
              <w:jc w:val="left"/>
              <w:rPr/>
            </w:pPr>
            <w:r>
              <w:rPr/>
              <w:t> </w:t>
            </w:r>
          </w:p>
        </w:tc>
      </w:tr>
      <w:tr>
        <w:trPr/>
        <w:tc>
          <w:tcPr>
            <w:tcW w:w="67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11,650</w:t>
            </w:r>
          </w:p>
        </w:tc>
        <w:tc>
          <w:tcPr>
            <w:tcW w:w="595" w:type="dxa"/>
            <w:tcBorders/>
            <w:vAlign w:val="center"/>
          </w:tcPr>
          <w:p>
            <w:pPr>
              <w:pStyle w:val="TableContents"/>
              <w:bidi w:val="0"/>
              <w:spacing w:before="0" w:after="0"/>
              <w:ind w:left="0" w:right="0" w:hanging="0"/>
              <w:jc w:val="left"/>
              <w:rPr/>
            </w:pPr>
            <w:r>
              <w:rPr/>
              <w:t> </w:t>
            </w:r>
          </w:p>
        </w:tc>
      </w:tr>
      <w:tr>
        <w:trPr/>
        <w:tc>
          <w:tcPr>
            <w:tcW w:w="67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w:t>
            </w:r>
          </w:p>
        </w:tc>
        <w:tc>
          <w:tcPr>
            <w:tcW w:w="595"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77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46,089</w:t>
            </w:r>
          </w:p>
        </w:tc>
        <w:tc>
          <w:tcPr>
            <w:tcW w:w="5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7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14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9" w:type="dxa"/>
            <w:gridSpan w:val="2"/>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left"/>
              <w:rPr/>
            </w:pPr>
            <w:r>
              <w:rPr/>
              <w:t> </w:t>
            </w:r>
          </w:p>
        </w:tc>
      </w:tr>
      <w:tr>
        <w:trPr/>
        <w:tc>
          <w:tcPr>
            <w:tcW w:w="67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14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9" w:type="dxa"/>
            <w:gridSpan w:val="2"/>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firstLine="200"/>
              <w:jc w:val="left"/>
              <w:rPr/>
            </w:pPr>
            <w:r>
              <w:rPr/>
              <w:t> </w:t>
            </w:r>
          </w:p>
        </w:tc>
      </w:tr>
      <w:tr>
        <w:trPr/>
        <w:tc>
          <w:tcPr>
            <w:tcW w:w="677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10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1,108</w:t>
            </w:r>
          </w:p>
        </w:tc>
        <w:tc>
          <w:tcPr>
            <w:tcW w:w="595" w:type="dxa"/>
            <w:tcBorders/>
            <w:vAlign w:val="center"/>
          </w:tcPr>
          <w:p>
            <w:pPr>
              <w:pStyle w:val="TableContents"/>
              <w:bidi w:val="0"/>
              <w:spacing w:before="0" w:after="0"/>
              <w:ind w:left="0" w:right="0" w:firstLine="200"/>
              <w:jc w:val="left"/>
              <w:rPr/>
            </w:pPr>
            <w:r>
              <w:rPr/>
              <w:t> </w:t>
            </w:r>
          </w:p>
        </w:tc>
      </w:tr>
      <w:tr>
        <w:trPr/>
        <w:tc>
          <w:tcPr>
            <w:tcW w:w="677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Accrued legal settlement</w:t>
            </w:r>
          </w:p>
        </w:tc>
        <w:tc>
          <w:tcPr>
            <w:tcW w:w="146" w:type="dxa"/>
            <w:tcBorders/>
            <w:vAlign w:val="center"/>
          </w:tcPr>
          <w:p>
            <w:pPr>
              <w:pStyle w:val="TableContents"/>
              <w:bidi w:val="0"/>
              <w:spacing w:before="0" w:after="0"/>
              <w:ind w:left="10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w:t>
            </w:r>
          </w:p>
        </w:tc>
        <w:tc>
          <w:tcPr>
            <w:tcW w:w="595" w:type="dxa"/>
            <w:tcBorders/>
            <w:vAlign w:val="center"/>
          </w:tcPr>
          <w:p>
            <w:pPr>
              <w:pStyle w:val="TableContents"/>
              <w:bidi w:val="0"/>
              <w:spacing w:before="0" w:after="0"/>
              <w:ind w:left="0" w:right="0" w:firstLine="200"/>
              <w:jc w:val="left"/>
              <w:rPr/>
            </w:pPr>
            <w:r>
              <w:rPr/>
              <w:t> </w:t>
            </w:r>
          </w:p>
        </w:tc>
      </w:tr>
      <w:tr>
        <w:trPr/>
        <w:tc>
          <w:tcPr>
            <w:tcW w:w="677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vAlign w:val="center"/>
          </w:tcPr>
          <w:p>
            <w:pPr>
              <w:pStyle w:val="TableContents"/>
              <w:bidi w:val="0"/>
              <w:spacing w:before="0" w:after="0"/>
              <w:ind w:left="10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2,961</w:t>
            </w:r>
          </w:p>
        </w:tc>
        <w:tc>
          <w:tcPr>
            <w:tcW w:w="595" w:type="dxa"/>
            <w:tcBorders/>
            <w:vAlign w:val="center"/>
          </w:tcPr>
          <w:p>
            <w:pPr>
              <w:pStyle w:val="TableContents"/>
              <w:bidi w:val="0"/>
              <w:spacing w:before="0" w:after="0"/>
              <w:ind w:left="0" w:right="0" w:firstLine="200"/>
              <w:jc w:val="left"/>
              <w:rPr/>
            </w:pPr>
            <w:r>
              <w:rPr/>
              <w:t> </w:t>
            </w:r>
          </w:p>
        </w:tc>
      </w:tr>
      <w:tr>
        <w:trPr/>
        <w:tc>
          <w:tcPr>
            <w:tcW w:w="6772" w:type="dxa"/>
            <w:tcBorders/>
            <w:vAlign w:val="center"/>
          </w:tcPr>
          <w:p>
            <w:pPr>
              <w:pStyle w:val="TableContents"/>
              <w:bidi w:val="0"/>
              <w:spacing w:before="0" w:after="0"/>
              <w:ind w:left="0" w:right="0" w:firstLine="100"/>
              <w:jc w:val="left"/>
              <w:rPr>
                <w:rFonts w:ascii="Times New Roman" w:hAnsi="Times New Roman"/>
                <w:sz w:val="20"/>
              </w:rPr>
            </w:pPr>
            <w:r>
              <w:rPr>
                <w:rFonts w:ascii="Times New Roman;serif" w:hAnsi="Times New Roman;serif"/>
                <w:b w:val="false"/>
                <w:sz w:val="20"/>
              </w:rPr>
              <w:t>Current loan payable (net of discount and issuance costs of $58</w:t>
            </w:r>
            <w:r>
              <w:rPr>
                <w:rFonts w:ascii="Times New Roman" w:hAnsi="Times New Roman"/>
                <w:sz w:val="20"/>
              </w:rPr>
              <w:t> </w:t>
            </w:r>
            <w:r>
              <w:rPr>
                <w:rFonts w:ascii="Times New Roman;serif" w:hAnsi="Times New Roman;serif"/>
                <w:b w:val="false"/>
                <w:sz w:val="20"/>
              </w:rPr>
              <w:t>and nil, respectively)</w:t>
            </w:r>
          </w:p>
        </w:tc>
        <w:tc>
          <w:tcPr>
            <w:tcW w:w="146" w:type="dxa"/>
            <w:tcBorders/>
            <w:vAlign w:val="center"/>
          </w:tcPr>
          <w:p>
            <w:pPr>
              <w:pStyle w:val="TableContents"/>
              <w:bidi w:val="0"/>
              <w:spacing w:before="0" w:after="0"/>
              <w:ind w:left="10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595" w:type="dxa"/>
            <w:tcBorders/>
            <w:vAlign w:val="center"/>
          </w:tcPr>
          <w:p>
            <w:pPr>
              <w:pStyle w:val="TableContents"/>
              <w:bidi w:val="0"/>
              <w:spacing w:before="0" w:after="0"/>
              <w:ind w:left="0" w:right="0" w:firstLine="200"/>
              <w:jc w:val="left"/>
              <w:rPr/>
            </w:pPr>
            <w:r>
              <w:rPr/>
              <w:t> </w:t>
            </w:r>
          </w:p>
        </w:tc>
      </w:tr>
      <w:tr>
        <w:trPr/>
        <w:tc>
          <w:tcPr>
            <w:tcW w:w="677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Current operating lease liabilities</w:t>
            </w:r>
          </w:p>
        </w:tc>
        <w:tc>
          <w:tcPr>
            <w:tcW w:w="146" w:type="dxa"/>
            <w:tcBorders/>
            <w:vAlign w:val="center"/>
          </w:tcPr>
          <w:p>
            <w:pPr>
              <w:pStyle w:val="TableContents"/>
              <w:bidi w:val="0"/>
              <w:spacing w:before="0" w:after="0"/>
              <w:ind w:left="10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1,413</w:t>
            </w:r>
          </w:p>
        </w:tc>
        <w:tc>
          <w:tcPr>
            <w:tcW w:w="595" w:type="dxa"/>
            <w:tcBorders/>
            <w:vAlign w:val="center"/>
          </w:tcPr>
          <w:p>
            <w:pPr>
              <w:pStyle w:val="TableContents"/>
              <w:bidi w:val="0"/>
              <w:spacing w:before="0" w:after="0"/>
              <w:ind w:left="0" w:right="0" w:firstLine="200"/>
              <w:jc w:val="left"/>
              <w:rPr/>
            </w:pPr>
            <w:r>
              <w:rPr/>
              <w:t> </w:t>
            </w:r>
          </w:p>
        </w:tc>
      </w:tr>
      <w:tr>
        <w:trPr/>
        <w:tc>
          <w:tcPr>
            <w:tcW w:w="677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vAlign w:val="center"/>
          </w:tcPr>
          <w:p>
            <w:pPr>
              <w:pStyle w:val="TableContents"/>
              <w:bidi w:val="0"/>
              <w:spacing w:before="0" w:after="0"/>
              <w:ind w:left="10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1,248</w:t>
            </w:r>
          </w:p>
        </w:tc>
        <w:tc>
          <w:tcPr>
            <w:tcW w:w="595" w:type="dxa"/>
            <w:tcBorders/>
            <w:vAlign w:val="center"/>
          </w:tcPr>
          <w:p>
            <w:pPr>
              <w:pStyle w:val="TableContents"/>
              <w:bidi w:val="0"/>
              <w:spacing w:before="0" w:after="0"/>
              <w:ind w:left="0" w:right="0" w:firstLine="200"/>
              <w:jc w:val="left"/>
              <w:rPr/>
            </w:pPr>
            <w:r>
              <w:rPr/>
              <w:t> </w:t>
            </w:r>
          </w:p>
        </w:tc>
      </w:tr>
      <w:tr>
        <w:trPr/>
        <w:tc>
          <w:tcPr>
            <w:tcW w:w="677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payable</w:t>
            </w:r>
          </w:p>
        </w:tc>
        <w:tc>
          <w:tcPr>
            <w:tcW w:w="146" w:type="dxa"/>
            <w:tcBorders/>
            <w:vAlign w:val="center"/>
          </w:tcPr>
          <w:p>
            <w:pPr>
              <w:pStyle w:val="TableContents"/>
              <w:bidi w:val="0"/>
              <w:spacing w:before="0" w:after="0"/>
              <w:ind w:left="10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595"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772"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30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7,277</w:t>
            </w:r>
          </w:p>
        </w:tc>
        <w:tc>
          <w:tcPr>
            <w:tcW w:w="595" w:type="dxa"/>
            <w:tcBorders/>
            <w:vAlign w:val="center"/>
          </w:tcPr>
          <w:p>
            <w:pPr>
              <w:pStyle w:val="TableContents"/>
              <w:bidi w:val="0"/>
              <w:spacing w:before="0" w:after="0"/>
              <w:ind w:left="0" w:right="0" w:hanging="0"/>
              <w:jc w:val="left"/>
              <w:rPr/>
            </w:pPr>
            <w:r>
              <w:rPr/>
              <w:t> </w:t>
            </w:r>
          </w:p>
        </w:tc>
      </w:tr>
      <w:tr>
        <w:trPr/>
        <w:tc>
          <w:tcPr>
            <w:tcW w:w="677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Loan payable (net of discount and issuance costs of $351</w:t>
            </w:r>
            <w:r>
              <w:rPr>
                <w:rFonts w:ascii="Times New Roman" w:hAnsi="Times New Roman"/>
                <w:sz w:val="20"/>
              </w:rPr>
              <w:t> </w:t>
            </w:r>
            <w:r>
              <w:rPr>
                <w:rFonts w:ascii="Times New Roman;serif" w:hAnsi="Times New Roman;serif"/>
                <w:b w:val="false"/>
                <w:sz w:val="20"/>
              </w:rPr>
              <w:t>and $454, respectively)</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10,371</w:t>
            </w:r>
          </w:p>
        </w:tc>
        <w:tc>
          <w:tcPr>
            <w:tcW w:w="595" w:type="dxa"/>
            <w:tcBorders/>
            <w:vAlign w:val="center"/>
          </w:tcPr>
          <w:p>
            <w:pPr>
              <w:pStyle w:val="TableContents"/>
              <w:bidi w:val="0"/>
              <w:spacing w:before="0" w:after="0"/>
              <w:ind w:left="0" w:right="0" w:hanging="0"/>
              <w:jc w:val="left"/>
              <w:rPr/>
            </w:pPr>
            <w:r>
              <w:rPr/>
              <w:t> </w:t>
            </w:r>
          </w:p>
        </w:tc>
      </w:tr>
      <w:tr>
        <w:trPr/>
        <w:tc>
          <w:tcPr>
            <w:tcW w:w="67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less current portion</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10,330</w:t>
            </w:r>
          </w:p>
        </w:tc>
        <w:tc>
          <w:tcPr>
            <w:tcW w:w="595"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77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10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27,978</w:t>
            </w:r>
          </w:p>
        </w:tc>
        <w:tc>
          <w:tcPr>
            <w:tcW w:w="5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7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Commitments and contingencies</w:t>
            </w:r>
            <w:r>
              <w:rPr>
                <w:rFonts w:ascii="Times New Roman" w:hAnsi="Times New Roman"/>
                <w:sz w:val="20"/>
              </w:rPr>
              <w:t> </w:t>
            </w:r>
            <w:r>
              <w:rPr>
                <w:rFonts w:ascii="Times New Roman;serif" w:hAnsi="Times New Roman;serif"/>
                <w:b w:val="false"/>
                <w:sz w:val="20"/>
              </w:rPr>
              <w:t>(Note 5)</w:t>
            </w:r>
          </w:p>
        </w:tc>
        <w:tc>
          <w:tcPr>
            <w:tcW w:w="146" w:type="dxa"/>
            <w:tcBorders/>
            <w:vAlign w:val="center"/>
          </w:tcPr>
          <w:p>
            <w:pPr>
              <w:pStyle w:val="TableContents"/>
              <w:bidi w:val="0"/>
              <w:spacing w:before="0" w:after="0"/>
              <w:ind w:left="0" w:right="0" w:hanging="0"/>
              <w:jc w:val="left"/>
              <w:rPr/>
            </w:pPr>
            <w:r>
              <w:rPr/>
              <w:t> </w:t>
            </w:r>
          </w:p>
        </w:tc>
        <w:tc>
          <w:tcPr>
            <w:tcW w:w="114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9" w:type="dxa"/>
            <w:gridSpan w:val="2"/>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left"/>
              <w:rPr/>
            </w:pPr>
            <w:r>
              <w:rPr/>
              <w:t> </w:t>
            </w:r>
          </w:p>
        </w:tc>
      </w:tr>
      <w:tr>
        <w:trPr/>
        <w:tc>
          <w:tcPr>
            <w:tcW w:w="67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14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9" w:type="dxa"/>
            <w:gridSpan w:val="2"/>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firstLine="200"/>
              <w:jc w:val="left"/>
              <w:rPr/>
            </w:pPr>
            <w:r>
              <w:rPr/>
              <w:t> </w:t>
            </w:r>
          </w:p>
        </w:tc>
      </w:tr>
      <w:tr>
        <w:trPr/>
        <w:tc>
          <w:tcPr>
            <w:tcW w:w="6772" w:type="dxa"/>
            <w:tcBorders/>
            <w:vAlign w:val="center"/>
          </w:tcPr>
          <w:p>
            <w:pPr>
              <w:pStyle w:val="TableContents"/>
              <w:bidi w:val="0"/>
              <w:spacing w:before="0" w:after="0"/>
              <w:ind w:left="0" w:right="0" w:firstLine="100"/>
              <w:jc w:val="left"/>
              <w:rPr>
                <w:rFonts w:ascii="Times New Roman" w:hAnsi="Times New Roman"/>
                <w:sz w:val="20"/>
              </w:rPr>
            </w:pPr>
            <w:r>
              <w:rPr>
                <w:rFonts w:ascii="Times New Roman;serif" w:hAnsi="Times New Roman;serif"/>
                <w:b w:val="false"/>
                <w:sz w:val="20"/>
              </w:rPr>
              <w:t>Common stock, $0.001</w:t>
            </w:r>
            <w:r>
              <w:rPr>
                <w:rFonts w:ascii="Times New Roman" w:hAnsi="Times New Roman"/>
                <w:sz w:val="20"/>
              </w:rPr>
              <w:t> </w:t>
            </w:r>
            <w:r>
              <w:rPr>
                <w:rFonts w:ascii="Times New Roman;serif" w:hAnsi="Times New Roman;serif"/>
                <w:b w:val="false"/>
                <w:sz w:val="20"/>
              </w:rPr>
              <w:t>par value; 100,000,000</w:t>
            </w:r>
            <w:r>
              <w:rPr>
                <w:rFonts w:ascii="Times New Roman" w:hAnsi="Times New Roman"/>
                <w:sz w:val="20"/>
              </w:rPr>
              <w:t> </w:t>
            </w:r>
            <w:r>
              <w:rPr>
                <w:rFonts w:ascii="Times New Roman;serif" w:hAnsi="Times New Roman;serif"/>
                <w:b w:val="false"/>
                <w:sz w:val="20"/>
              </w:rPr>
              <w:t>shares authorized; 10,561,700</w:t>
            </w:r>
            <w:r>
              <w:rPr>
                <w:rFonts w:ascii="Times New Roman" w:hAnsi="Times New Roman"/>
                <w:sz w:val="20"/>
              </w:rPr>
              <w:t> </w:t>
            </w:r>
            <w:r>
              <w:rPr>
                <w:rFonts w:ascii="Times New Roman;serif" w:hAnsi="Times New Roman;serif"/>
                <w:b w:val="false"/>
                <w:sz w:val="20"/>
              </w:rPr>
              <w:t>and 10,518,539</w:t>
            </w:r>
            <w:r>
              <w:rPr>
                <w:rFonts w:ascii="Times New Roman" w:hAnsi="Times New Roman"/>
                <w:sz w:val="20"/>
              </w:rPr>
              <w:t> </w:t>
            </w:r>
            <w:r>
              <w:rPr>
                <w:rFonts w:ascii="Times New Roman;serif" w:hAnsi="Times New Roman;serif"/>
                <w:b w:val="false"/>
                <w:sz w:val="20"/>
              </w:rPr>
              <w:t>shares issued and outstanding at March 31, 2023 and December 31, 2022, respectively</w:t>
            </w:r>
          </w:p>
        </w:tc>
        <w:tc>
          <w:tcPr>
            <w:tcW w:w="146" w:type="dxa"/>
            <w:tcBorders/>
            <w:vAlign w:val="center"/>
          </w:tcPr>
          <w:p>
            <w:pPr>
              <w:pStyle w:val="TableContents"/>
              <w:bidi w:val="0"/>
              <w:spacing w:before="0" w:after="0"/>
              <w:ind w:left="10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595" w:type="dxa"/>
            <w:tcBorders/>
            <w:vAlign w:val="center"/>
          </w:tcPr>
          <w:p>
            <w:pPr>
              <w:pStyle w:val="TableContents"/>
              <w:bidi w:val="0"/>
              <w:spacing w:before="0" w:after="0"/>
              <w:ind w:left="0" w:right="0" w:firstLine="200"/>
              <w:jc w:val="left"/>
              <w:rPr/>
            </w:pPr>
            <w:r>
              <w:rPr/>
              <w:t> </w:t>
            </w:r>
          </w:p>
        </w:tc>
      </w:tr>
      <w:tr>
        <w:trPr/>
        <w:tc>
          <w:tcPr>
            <w:tcW w:w="677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10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154,362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153,872</w:t>
            </w:r>
          </w:p>
        </w:tc>
        <w:tc>
          <w:tcPr>
            <w:tcW w:w="595" w:type="dxa"/>
            <w:tcBorders/>
            <w:vAlign w:val="center"/>
          </w:tcPr>
          <w:p>
            <w:pPr>
              <w:pStyle w:val="TableContents"/>
              <w:bidi w:val="0"/>
              <w:spacing w:before="0" w:after="0"/>
              <w:ind w:left="0" w:right="0" w:firstLine="200"/>
              <w:jc w:val="left"/>
              <w:rPr/>
            </w:pPr>
            <w:r>
              <w:rPr/>
              <w:t> </w:t>
            </w:r>
          </w:p>
        </w:tc>
      </w:tr>
      <w:tr>
        <w:trPr/>
        <w:tc>
          <w:tcPr>
            <w:tcW w:w="677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10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(143,408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(135,772</w:t>
            </w:r>
          </w:p>
        </w:tc>
        <w:tc>
          <w:tcPr>
            <w:tcW w:w="595"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7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10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18,111</w:t>
            </w:r>
          </w:p>
        </w:tc>
        <w:tc>
          <w:tcPr>
            <w:tcW w:w="5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46,089</w:t>
            </w:r>
          </w:p>
        </w:tc>
        <w:tc>
          <w:tcPr>
            <w:tcW w:w="5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the Condensed Consolidated Financial Statements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18"/>
        </w:rPr>
      </w:pPr>
      <w:bookmarkStart w:id="9" w:name="statements_operations_and_comp_loss"/>
      <w:bookmarkEnd w:id="9"/>
      <w:r>
        <w:rPr>
          <w:rFonts w:ascii="Times New Roman;serif" w:hAnsi="Times New Roman;serif"/>
          <w:b/>
          <w:sz w:val="18"/>
        </w:rPr>
        <w:t>TEMPEST THERAPEUTICS, INC.</w:t>
      </w:r>
    </w:p>
    <w:p>
      <w:pPr>
        <w:pStyle w:val="TextBody"/>
        <w:bidi w:val="0"/>
        <w:spacing w:before="0" w:after="0"/>
        <w:jc w:val="center"/>
        <w:rPr>
          <w:rFonts w:ascii="Times New Roman;serif" w:hAnsi="Times New Roman;serif"/>
          <w:b/>
          <w:sz w:val="18"/>
        </w:rPr>
      </w:pPr>
      <w:r>
        <w:rPr>
          <w:rFonts w:ascii="Times New Roman;serif" w:hAnsi="Times New Roman;serif"/>
          <w:b/>
          <w:sz w:val="18"/>
        </w:rPr>
        <w:t>Condensed Consolidated Statements of Operations</w:t>
      </w:r>
    </w:p>
    <w:p>
      <w:pPr>
        <w:pStyle w:val="TextBody"/>
        <w:bidi w:val="0"/>
        <w:spacing w:before="0" w:after="0"/>
        <w:jc w:val="center"/>
        <w:rPr>
          <w:rFonts w:ascii="Times New Roman;serif" w:hAnsi="Times New Roman;serif"/>
          <w:b/>
          <w:sz w:val="18"/>
        </w:rPr>
      </w:pPr>
      <w:r>
        <w:rPr>
          <w:rFonts w:ascii="Times New Roman;serif" w:hAnsi="Times New Roman;serif"/>
          <w:b/>
          <w:sz w:val="18"/>
        </w:rPr>
        <w:t>(Unaudited)</w:t>
      </w:r>
    </w:p>
    <w:p>
      <w:pPr>
        <w:pStyle w:val="TextBody"/>
        <w:bidi w:val="0"/>
        <w:spacing w:before="0" w:after="0"/>
        <w:jc w:val="center"/>
        <w:rPr>
          <w:rFonts w:ascii="Times New Roman;serif" w:hAnsi="Times New Roman;serif"/>
          <w:b/>
          <w:sz w:val="18"/>
        </w:rPr>
      </w:pPr>
      <w:r>
        <w:rPr>
          <w:rFonts w:ascii="Times New Roman;serif" w:hAnsi="Times New Roman;serif"/>
          <w:b/>
          <w:sz w:val="18"/>
        </w:rPr>
        <w:t>(in thousands, except share and per share amounts)</w:t>
      </w:r>
    </w:p>
    <w:p>
      <w:pPr>
        <w:pStyle w:val="TextBody"/>
        <w:bidi w:val="0"/>
        <w:spacing w:before="0" w:after="0"/>
        <w:jc w:val="center"/>
        <w:rPr/>
      </w:pPr>
      <w:r>
        <w:rPr/>
        <w:t> </w:t>
      </w:r>
    </w:p>
    <w:tbl>
      <w:tblPr>
        <w:tblW w:w="9984" w:type="dxa"/>
        <w:jc w:val="left"/>
        <w:tblInd w:w="0" w:type="dxa"/>
        <w:tblLayout w:type="fixed"/>
        <w:tblCellMar>
          <w:top w:w="28" w:type="dxa"/>
          <w:left w:w="28" w:type="dxa"/>
          <w:bottom w:w="28" w:type="dxa"/>
          <w:right w:w="28" w:type="dxa"/>
        </w:tblCellMar>
      </w:tblPr>
      <w:tblGrid>
        <w:gridCol w:w="6646"/>
        <w:gridCol w:w="146"/>
        <w:gridCol w:w="211"/>
        <w:gridCol w:w="1036"/>
        <w:gridCol w:w="166"/>
        <w:gridCol w:w="146"/>
        <w:gridCol w:w="211"/>
        <w:gridCol w:w="931"/>
        <w:gridCol w:w="491"/>
      </w:tblGrid>
      <w:tr>
        <w:trPr/>
        <w:tc>
          <w:tcPr>
            <w:tcW w:w="6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7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6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firstLine="100"/>
              <w:jc w:val="left"/>
              <w:rPr/>
            </w:pPr>
            <w:r>
              <w:rPr/>
              <w:t> </w:t>
            </w:r>
          </w:p>
        </w:tc>
      </w:tr>
      <w:tr>
        <w:trPr/>
        <w:tc>
          <w:tcPr>
            <w:tcW w:w="66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5,109</w:t>
            </w:r>
          </w:p>
        </w:tc>
        <w:tc>
          <w:tcPr>
            <w:tcW w:w="491" w:type="dxa"/>
            <w:tcBorders/>
            <w:vAlign w:val="center"/>
          </w:tcPr>
          <w:p>
            <w:pPr>
              <w:pStyle w:val="TableContents"/>
              <w:bidi w:val="0"/>
              <w:spacing w:before="0" w:after="0"/>
              <w:ind w:left="0" w:right="0" w:firstLine="100"/>
              <w:jc w:val="left"/>
              <w:rPr/>
            </w:pPr>
            <w:r>
              <w:rPr/>
              <w:t> </w:t>
            </w:r>
          </w:p>
        </w:tc>
      </w:tr>
      <w:tr>
        <w:trPr/>
        <w:tc>
          <w:tcPr>
            <w:tcW w:w="66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664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(8,161</w:t>
            </w:r>
          </w:p>
        </w:tc>
        <w:tc>
          <w:tcPr>
            <w:tcW w:w="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firstLine="100"/>
              <w:jc w:val="left"/>
              <w:rPr/>
            </w:pPr>
            <w:r>
              <w:rPr/>
              <w:t> </w:t>
            </w:r>
          </w:p>
        </w:tc>
      </w:tr>
      <w:tr>
        <w:trPr/>
        <w:tc>
          <w:tcPr>
            <w:tcW w:w="66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w:t>
            </w:r>
          </w:p>
        </w:tc>
        <w:tc>
          <w:tcPr>
            <w:tcW w:w="49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66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income and 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664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(8,491</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of common stock and pre-funded warrants,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of common stock and pre-funded warrants outstanding,</w:t>
              <w:br/>
              <w:t>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13,763,173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7,167,255</w:t>
            </w:r>
          </w:p>
        </w:tc>
        <w:tc>
          <w:tcPr>
            <w:tcW w:w="4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the Condensed Consolidated Financial Statements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18"/>
        </w:rPr>
      </w:pPr>
      <w:bookmarkStart w:id="10" w:name="statements_stockholders_equity"/>
      <w:bookmarkEnd w:id="10"/>
      <w:r>
        <w:rPr>
          <w:rFonts w:ascii="Times New Roman;serif" w:hAnsi="Times New Roman;serif"/>
          <w:b/>
          <w:sz w:val="18"/>
        </w:rPr>
        <w:t>TEMPEST THERAPEUTICS, INC.</w:t>
      </w:r>
    </w:p>
    <w:p>
      <w:pPr>
        <w:pStyle w:val="TextBody"/>
        <w:bidi w:val="0"/>
        <w:spacing w:before="0" w:after="0"/>
        <w:jc w:val="center"/>
        <w:rPr>
          <w:rFonts w:ascii="Times New Roman;serif" w:hAnsi="Times New Roman;serif"/>
          <w:b/>
          <w:sz w:val="18"/>
        </w:rPr>
      </w:pPr>
      <w:r>
        <w:rPr>
          <w:rFonts w:ascii="Times New Roman;serif" w:hAnsi="Times New Roman;serif"/>
          <w:b/>
          <w:sz w:val="18"/>
        </w:rPr>
        <w:t>Condensed Consolidated Statements of Stockholders’ Equity</w:t>
      </w:r>
    </w:p>
    <w:p>
      <w:pPr>
        <w:pStyle w:val="TextBody"/>
        <w:bidi w:val="0"/>
        <w:spacing w:before="0" w:after="0"/>
        <w:jc w:val="center"/>
        <w:rPr>
          <w:rFonts w:ascii="Times New Roman;serif" w:hAnsi="Times New Roman;serif"/>
          <w:b/>
          <w:sz w:val="18"/>
        </w:rPr>
      </w:pPr>
      <w:r>
        <w:rPr>
          <w:rFonts w:ascii="Times New Roman;serif" w:hAnsi="Times New Roman;serif"/>
          <w:b/>
          <w:sz w:val="18"/>
        </w:rPr>
        <w:t>(Unaudited)</w:t>
      </w:r>
    </w:p>
    <w:p>
      <w:pPr>
        <w:pStyle w:val="TextBody"/>
        <w:bidi w:val="0"/>
        <w:spacing w:before="0" w:after="0"/>
        <w:jc w:val="center"/>
        <w:rPr>
          <w:rFonts w:ascii="Times New Roman;serif" w:hAnsi="Times New Roman;serif"/>
          <w:b/>
          <w:sz w:val="18"/>
        </w:rPr>
      </w:pPr>
      <w:r>
        <w:rPr>
          <w:rFonts w:ascii="Times New Roman;serif" w:hAnsi="Times New Roman;serif"/>
          <w:b/>
          <w:sz w:val="18"/>
        </w:rPr>
        <w:t>(in thousands, except share amounts)</w:t>
      </w:r>
    </w:p>
    <w:p>
      <w:pPr>
        <w:pStyle w:val="TextBody"/>
        <w:bidi w:val="0"/>
        <w:spacing w:before="0" w:after="0"/>
        <w:jc w:val="center"/>
        <w:rPr/>
      </w:pPr>
      <w:r>
        <w:rPr/>
        <w:t> </w:t>
      </w:r>
    </w:p>
    <w:p>
      <w:pPr>
        <w:pStyle w:val="TextBody"/>
        <w:bidi w:val="0"/>
        <w:spacing w:before="0" w:after="0"/>
        <w:jc w:val="left"/>
        <w:rPr>
          <w:rFonts w:ascii="Times New Roman;serif" w:hAnsi="Times New Roman;serif"/>
          <w:b/>
          <w:sz w:val="18"/>
        </w:rPr>
      </w:pPr>
      <w:r>
        <w:rPr>
          <w:rFonts w:ascii="Times New Roman;serif" w:hAnsi="Times New Roman;serif"/>
          <w:b/>
          <w:sz w:val="18"/>
        </w:rPr>
        <w:t>Three Months Ended March 31, 2023</w:t>
      </w:r>
    </w:p>
    <w:p>
      <w:pPr>
        <w:pStyle w:val="TextBody"/>
        <w:bidi w:val="0"/>
        <w:spacing w:before="0" w:after="0"/>
        <w:jc w:val="left"/>
        <w:rPr/>
      </w:pPr>
      <w:r>
        <w:rPr/>
        <w:t> </w:t>
      </w:r>
    </w:p>
    <w:tbl>
      <w:tblPr>
        <w:tblW w:w="9315" w:type="dxa"/>
        <w:jc w:val="left"/>
        <w:tblInd w:w="0" w:type="dxa"/>
        <w:tblLayout w:type="fixed"/>
        <w:tblCellMar>
          <w:top w:w="28" w:type="dxa"/>
          <w:left w:w="28" w:type="dxa"/>
          <w:bottom w:w="28" w:type="dxa"/>
          <w:right w:w="28" w:type="dxa"/>
        </w:tblCellMar>
      </w:tblPr>
      <w:tblGrid>
        <w:gridCol w:w="2566"/>
        <w:gridCol w:w="146"/>
        <w:gridCol w:w="146"/>
        <w:gridCol w:w="916"/>
        <w:gridCol w:w="146"/>
        <w:gridCol w:w="146"/>
        <w:gridCol w:w="271"/>
        <w:gridCol w:w="480"/>
        <w:gridCol w:w="146"/>
        <w:gridCol w:w="146"/>
        <w:gridCol w:w="214"/>
        <w:gridCol w:w="761"/>
        <w:gridCol w:w="146"/>
        <w:gridCol w:w="146"/>
        <w:gridCol w:w="233"/>
        <w:gridCol w:w="893"/>
        <w:gridCol w:w="166"/>
        <w:gridCol w:w="146"/>
        <w:gridCol w:w="317"/>
        <w:gridCol w:w="973"/>
        <w:gridCol w:w="21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0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5"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 xml:space="preserve">Additional </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Deficit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90"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br/>
              <w:t>Stockholders'</w:t>
            </w:r>
          </w:p>
        </w:tc>
        <w:tc>
          <w:tcPr>
            <w:tcW w:w="211" w:type="dxa"/>
            <w:tcBorders/>
            <w:vAlign w:val="center"/>
          </w:tcPr>
          <w:p>
            <w:pPr>
              <w:pStyle w:val="TableContents"/>
              <w:bidi w:val="0"/>
              <w:spacing w:before="0" w:after="0"/>
              <w:ind w:left="0" w:right="0" w:hanging="0"/>
              <w:jc w:val="center"/>
              <w:rPr/>
            </w:pPr>
            <w:r>
              <w:rPr/>
              <w:t> </w:t>
            </w:r>
          </w:p>
        </w:tc>
      </w:tr>
      <w:tr>
        <w:trPr/>
        <w:tc>
          <w:tcPr>
            <w:tcW w:w="25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Equity (Deficit)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10,518,539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153,872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(135,772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18,111</w:t>
            </w:r>
          </w:p>
        </w:tc>
        <w:tc>
          <w:tcPr>
            <w:tcW w:w="211" w:type="dxa"/>
            <w:tcBorders/>
            <w:vAlign w:val="center"/>
          </w:tcPr>
          <w:p>
            <w:pPr>
              <w:pStyle w:val="TableContents"/>
              <w:bidi w:val="0"/>
              <w:spacing w:before="0" w:after="0"/>
              <w:ind w:left="0" w:right="0" w:hanging="0"/>
              <w:jc w:val="left"/>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common stock for cash</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43,161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7"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w:t>
            </w:r>
          </w:p>
        </w:tc>
        <w:tc>
          <w:tcPr>
            <w:tcW w:w="211" w:type="dxa"/>
            <w:tcBorders/>
            <w:vAlign w:val="center"/>
          </w:tcPr>
          <w:p>
            <w:pPr>
              <w:pStyle w:val="TableContents"/>
              <w:bidi w:val="0"/>
              <w:spacing w:before="0" w:after="0"/>
              <w:ind w:left="0" w:right="0" w:hanging="0"/>
              <w:jc w:val="left"/>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Share-based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7"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446</w:t>
            </w:r>
          </w:p>
        </w:tc>
        <w:tc>
          <w:tcPr>
            <w:tcW w:w="211" w:type="dxa"/>
            <w:tcBorders/>
            <w:vAlign w:val="center"/>
          </w:tcPr>
          <w:p>
            <w:pPr>
              <w:pStyle w:val="TableContents"/>
              <w:bidi w:val="0"/>
              <w:spacing w:before="0" w:after="0"/>
              <w:ind w:left="0" w:right="0" w:hanging="0"/>
              <w:jc w:val="left"/>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3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(7,636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10,561,700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154,362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(143,408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3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10,965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both"/>
        <w:rPr>
          <w:rFonts w:ascii="Times New Roman;serif" w:hAnsi="Times New Roman;serif"/>
          <w:b/>
          <w:sz w:val="18"/>
        </w:rPr>
      </w:pPr>
      <w:r>
        <w:rPr>
          <w:rFonts w:ascii="Times New Roman;serif" w:hAnsi="Times New Roman;serif"/>
          <w:b/>
          <w:sz w:val="18"/>
        </w:rPr>
        <w:t>Three Months Ended March 31, 2022</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3556"/>
        <w:gridCol w:w="146"/>
        <w:gridCol w:w="146"/>
        <w:gridCol w:w="826"/>
        <w:gridCol w:w="146"/>
        <w:gridCol w:w="146"/>
        <w:gridCol w:w="271"/>
        <w:gridCol w:w="480"/>
        <w:gridCol w:w="146"/>
        <w:gridCol w:w="146"/>
        <w:gridCol w:w="213"/>
        <w:gridCol w:w="759"/>
        <w:gridCol w:w="146"/>
        <w:gridCol w:w="146"/>
        <w:gridCol w:w="233"/>
        <w:gridCol w:w="893"/>
        <w:gridCol w:w="166"/>
        <w:gridCol w:w="146"/>
        <w:gridCol w:w="314"/>
        <w:gridCol w:w="966"/>
        <w:gridCol w:w="214"/>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5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1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2"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 xml:space="preserve">Additional </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Deficit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80"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br/>
              <w:t>Stockholders'</w:t>
            </w:r>
          </w:p>
        </w:tc>
        <w:tc>
          <w:tcPr>
            <w:tcW w:w="214" w:type="dxa"/>
            <w:tcBorders/>
            <w:vAlign w:val="center"/>
          </w:tcPr>
          <w:p>
            <w:pPr>
              <w:pStyle w:val="TableContents"/>
              <w:bidi w:val="0"/>
              <w:spacing w:before="0" w:after="0"/>
              <w:ind w:left="0" w:right="0" w:hanging="0"/>
              <w:jc w:val="center"/>
              <w:rPr/>
            </w:pPr>
            <w:r>
              <w:rPr/>
              <w:t> </w:t>
            </w:r>
          </w:p>
        </w:tc>
      </w:tr>
      <w:tr>
        <w:trPr/>
        <w:tc>
          <w:tcPr>
            <w:tcW w:w="35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Equity (Deficit)</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6,910,324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136,173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31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6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36,117</w:t>
            </w:r>
          </w:p>
        </w:tc>
        <w:tc>
          <w:tcPr>
            <w:tcW w:w="214"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common stock for cash, net of issuance</w:t>
              <w:br/>
              <w:t>   cost of $44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262,770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1,403</w:t>
            </w:r>
          </w:p>
        </w:tc>
        <w:tc>
          <w:tcPr>
            <w:tcW w:w="214"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Share-based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328</w:t>
            </w:r>
          </w:p>
        </w:tc>
        <w:tc>
          <w:tcPr>
            <w:tcW w:w="214"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(8,491</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7,173,094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137,904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(108,554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29,357</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the Condensed Consolidated Financial Statements.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18"/>
        </w:rPr>
      </w:pPr>
      <w:bookmarkStart w:id="11" w:name="statements_cash_flows"/>
      <w:bookmarkEnd w:id="11"/>
      <w:r>
        <w:rPr>
          <w:rFonts w:ascii="Times New Roman;serif" w:hAnsi="Times New Roman;serif"/>
          <w:b/>
          <w:sz w:val="18"/>
        </w:rPr>
        <w:t>TEMPEST THERAPEUTICS, INC.</w:t>
      </w:r>
    </w:p>
    <w:p>
      <w:pPr>
        <w:pStyle w:val="TextBody"/>
        <w:bidi w:val="0"/>
        <w:spacing w:before="0" w:after="0"/>
        <w:jc w:val="center"/>
        <w:rPr>
          <w:rFonts w:ascii="Times New Roman;serif" w:hAnsi="Times New Roman;serif"/>
          <w:b/>
          <w:sz w:val="18"/>
        </w:rPr>
      </w:pPr>
      <w:r>
        <w:rPr>
          <w:rFonts w:ascii="Times New Roman;serif" w:hAnsi="Times New Roman;serif"/>
          <w:b/>
          <w:sz w:val="18"/>
        </w:rPr>
        <w:t>Condensed Consolidated Statements of Cash Flows</w:t>
      </w:r>
    </w:p>
    <w:p>
      <w:pPr>
        <w:pStyle w:val="TextBody"/>
        <w:bidi w:val="0"/>
        <w:spacing w:before="0" w:after="0"/>
        <w:jc w:val="center"/>
        <w:rPr>
          <w:rFonts w:ascii="Times New Roman" w:hAnsi="Times New Roman"/>
          <w:sz w:val="20"/>
        </w:rPr>
      </w:pPr>
      <w:r>
        <w:rPr>
          <w:rFonts w:ascii="Times New Roman;serif" w:hAnsi="Times New Roman;serif"/>
          <w:b/>
          <w:sz w:val="18"/>
        </w:rPr>
        <w:t>(Unaudited)</w:t>
      </w:r>
      <w:r>
        <w:rPr>
          <w:rFonts w:ascii="Times New Roman" w:hAnsi="Times New Roman"/>
          <w:sz w:val="20"/>
        </w:rPr>
        <w:t xml:space="preserve"> </w:t>
      </w:r>
    </w:p>
    <w:p>
      <w:pPr>
        <w:pStyle w:val="TextBody"/>
        <w:bidi w:val="0"/>
        <w:spacing w:before="0" w:after="0"/>
        <w:jc w:val="center"/>
        <w:rPr>
          <w:rFonts w:ascii="Times New Roman;serif" w:hAnsi="Times New Roman;serif"/>
          <w:b/>
          <w:sz w:val="18"/>
        </w:rPr>
      </w:pPr>
      <w:r>
        <w:rPr>
          <w:rFonts w:ascii="Times New Roman;serif" w:hAnsi="Times New Roman;serif"/>
          <w:b/>
          <w:sz w:val="18"/>
        </w:rPr>
        <w:t>(in thousands)</w:t>
      </w:r>
    </w:p>
    <w:p>
      <w:pPr>
        <w:pStyle w:val="TextBody"/>
        <w:bidi w:val="0"/>
        <w:spacing w:before="0" w:after="0"/>
        <w:jc w:val="center"/>
        <w:rPr/>
      </w:pPr>
      <w:r>
        <w:rPr/>
        <w:t> </w:t>
      </w:r>
    </w:p>
    <w:tbl>
      <w:tblPr>
        <w:tblW w:w="9284" w:type="dxa"/>
        <w:jc w:val="left"/>
        <w:tblInd w:w="0" w:type="dxa"/>
        <w:tblLayout w:type="fixed"/>
        <w:tblCellMar>
          <w:top w:w="28" w:type="dxa"/>
          <w:left w:w="28" w:type="dxa"/>
          <w:bottom w:w="28" w:type="dxa"/>
          <w:right w:w="28" w:type="dxa"/>
        </w:tblCellMar>
      </w:tblPr>
      <w:tblGrid>
        <w:gridCol w:w="6241"/>
        <w:gridCol w:w="146"/>
        <w:gridCol w:w="211"/>
        <w:gridCol w:w="676"/>
        <w:gridCol w:w="166"/>
        <w:gridCol w:w="146"/>
        <w:gridCol w:w="211"/>
        <w:gridCol w:w="676"/>
        <w:gridCol w:w="811"/>
      </w:tblGrid>
      <w:tr>
        <w:trPr/>
        <w:tc>
          <w:tcPr>
            <w:tcW w:w="6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For the Three Months</w:t>
              <w:br/>
              <w:t>Ended March 31,</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24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r>
      <w:tr>
        <w:trPr/>
        <w:tc>
          <w:tcPr>
            <w:tcW w:w="6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(8,491</w:t>
            </w:r>
          </w:p>
        </w:tc>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200"/>
              <w:jc w:val="right"/>
              <w:rPr/>
            </w:pPr>
            <w:r>
              <w:rPr/>
              <w:t> </w:t>
            </w:r>
          </w:p>
        </w:tc>
      </w:tr>
      <w:tr>
        <w:trPr/>
        <w:tc>
          <w:tcPr>
            <w:tcW w:w="62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811" w:type="dxa"/>
            <w:tcBorders/>
            <w:vAlign w:val="center"/>
          </w:tcPr>
          <w:p>
            <w:pPr>
              <w:pStyle w:val="TableContents"/>
              <w:bidi w:val="0"/>
              <w:spacing w:before="0" w:after="0"/>
              <w:ind w:left="0" w:right="0" w:firstLine="200"/>
              <w:jc w:val="left"/>
              <w:rPr/>
            </w:pPr>
            <w:r>
              <w:rPr/>
              <w:t> </w:t>
            </w:r>
          </w:p>
        </w:tc>
      </w:tr>
      <w:tr>
        <w:trPr/>
        <w:tc>
          <w:tcPr>
            <w:tcW w:w="62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w:t>
            </w:r>
          </w:p>
        </w:tc>
        <w:tc>
          <w:tcPr>
            <w:tcW w:w="811" w:type="dxa"/>
            <w:tcBorders/>
            <w:vAlign w:val="center"/>
          </w:tcPr>
          <w:p>
            <w:pPr>
              <w:pStyle w:val="TableContents"/>
              <w:bidi w:val="0"/>
              <w:spacing w:before="0" w:after="0"/>
              <w:ind w:left="0" w:right="0" w:firstLine="200"/>
              <w:jc w:val="left"/>
              <w:rPr/>
            </w:pPr>
            <w:r>
              <w:rPr/>
              <w:t> </w:t>
            </w:r>
          </w:p>
        </w:tc>
      </w:tr>
      <w:tr>
        <w:trPr/>
        <w:tc>
          <w:tcPr>
            <w:tcW w:w="62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lease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w:t>
            </w:r>
          </w:p>
        </w:tc>
        <w:tc>
          <w:tcPr>
            <w:tcW w:w="811" w:type="dxa"/>
            <w:tcBorders/>
            <w:vAlign w:val="center"/>
          </w:tcPr>
          <w:p>
            <w:pPr>
              <w:pStyle w:val="TableContents"/>
              <w:bidi w:val="0"/>
              <w:spacing w:before="0" w:after="0"/>
              <w:ind w:left="0" w:right="0" w:firstLine="200"/>
              <w:jc w:val="left"/>
              <w:rPr/>
            </w:pPr>
            <w:r>
              <w:rPr/>
              <w:t> </w:t>
            </w:r>
          </w:p>
        </w:tc>
      </w:tr>
      <w:tr>
        <w:trPr/>
        <w:tc>
          <w:tcPr>
            <w:tcW w:w="62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interest and other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811" w:type="dxa"/>
            <w:tcBorders/>
            <w:vAlign w:val="center"/>
          </w:tcPr>
          <w:p>
            <w:pPr>
              <w:pStyle w:val="TableContents"/>
              <w:bidi w:val="0"/>
              <w:spacing w:before="0" w:after="0"/>
              <w:ind w:left="0" w:right="0" w:firstLine="200"/>
              <w:jc w:val="left"/>
              <w:rPr/>
            </w:pPr>
            <w:r>
              <w:rPr/>
              <w:t> </w:t>
            </w:r>
          </w:p>
        </w:tc>
      </w:tr>
      <w:tr>
        <w:trPr/>
        <w:tc>
          <w:tcPr>
            <w:tcW w:w="62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firstLine="400"/>
              <w:jc w:val="left"/>
              <w:rPr/>
            </w:pPr>
            <w:r>
              <w:rPr/>
              <w:t> </w:t>
            </w:r>
          </w:p>
        </w:tc>
      </w:tr>
      <w:tr>
        <w:trPr/>
        <w:tc>
          <w:tcPr>
            <w:tcW w:w="624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w:t>
            </w:r>
          </w:p>
        </w:tc>
        <w:tc>
          <w:tcPr>
            <w:tcW w:w="811" w:type="dxa"/>
            <w:tcBorders/>
            <w:vAlign w:val="center"/>
          </w:tcPr>
          <w:p>
            <w:pPr>
              <w:pStyle w:val="TableContents"/>
              <w:bidi w:val="0"/>
              <w:spacing w:before="0" w:after="0"/>
              <w:ind w:left="0" w:right="0" w:firstLine="400"/>
              <w:jc w:val="left"/>
              <w:rPr/>
            </w:pPr>
            <w:r>
              <w:rPr/>
              <w:t> </w:t>
            </w:r>
          </w:p>
        </w:tc>
      </w:tr>
      <w:tr>
        <w:trPr/>
        <w:tc>
          <w:tcPr>
            <w:tcW w:w="624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w:t>
            </w:r>
          </w:p>
        </w:tc>
        <w:tc>
          <w:tcPr>
            <w:tcW w:w="8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24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expenses and 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1,063</w:t>
            </w:r>
          </w:p>
        </w:tc>
        <w:tc>
          <w:tcPr>
            <w:tcW w:w="811" w:type="dxa"/>
            <w:tcBorders/>
            <w:vAlign w:val="center"/>
          </w:tcPr>
          <w:p>
            <w:pPr>
              <w:pStyle w:val="TableContents"/>
              <w:bidi w:val="0"/>
              <w:spacing w:before="0" w:after="0"/>
              <w:ind w:left="0" w:right="0" w:firstLine="400"/>
              <w:jc w:val="left"/>
              <w:rPr/>
            </w:pPr>
            <w:r>
              <w:rPr/>
              <w:t> </w:t>
            </w:r>
          </w:p>
        </w:tc>
      </w:tr>
      <w:tr>
        <w:trPr/>
        <w:tc>
          <w:tcPr>
            <w:tcW w:w="624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Interest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811" w:type="dxa"/>
            <w:tcBorders/>
            <w:vAlign w:val="center"/>
          </w:tcPr>
          <w:p>
            <w:pPr>
              <w:pStyle w:val="TableContents"/>
              <w:bidi w:val="0"/>
              <w:spacing w:before="0" w:after="0"/>
              <w:ind w:left="0" w:right="0" w:firstLine="400"/>
              <w:jc w:val="left"/>
              <w:rPr/>
            </w:pPr>
            <w:r>
              <w:rPr/>
              <w:t> </w:t>
            </w:r>
          </w:p>
        </w:tc>
      </w:tr>
      <w:tr>
        <w:trPr/>
        <w:tc>
          <w:tcPr>
            <w:tcW w:w="624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24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(7,107</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4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6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24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4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r>
      <w:tr>
        <w:trPr/>
        <w:tc>
          <w:tcPr>
            <w:tcW w:w="6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the issuance of common stock, net of issuance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1,403</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24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1,403</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(5,707</w:t>
            </w:r>
          </w:p>
        </w:tc>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51,829</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46,122</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4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disclosure of cash flow information:</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2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paid for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2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paid for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4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 xml:space="preserve">Non-cash investing activities: </w:t>
            </w:r>
            <w:r>
              <w:rPr>
                <w:rFonts w:ascii="Times New Roman;serif" w:hAnsi="Times New Roman;serif"/>
                <w:b w:val="false"/>
                <w:sz w:val="20"/>
              </w:rPr>
              <w:t>Property and equipment in 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the Condensed Consolidated Financial Statements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12" w:name="notes_to_financial_statements"/>
      <w:bookmarkEnd w:id="12"/>
      <w:r>
        <w:rPr>
          <w:rFonts w:ascii="Times New Roman;serif" w:hAnsi="Times New Roman;serif"/>
          <w:b/>
          <w:sz w:val="20"/>
        </w:rPr>
        <w:t>TEMPEST THERAPEUTICS, INC.</w:t>
      </w:r>
    </w:p>
    <w:p>
      <w:pPr>
        <w:pStyle w:val="TextBody"/>
        <w:bidi w:val="0"/>
        <w:spacing w:before="200" w:after="0"/>
        <w:jc w:val="center"/>
        <w:rPr>
          <w:rFonts w:ascii="Times New Roman;serif" w:hAnsi="Times New Roman;serif"/>
          <w:b/>
          <w:sz w:val="20"/>
        </w:rPr>
      </w:pPr>
      <w:r>
        <w:rPr>
          <w:rFonts w:ascii="Times New Roman;serif" w:hAnsi="Times New Roman;serif"/>
          <w:b/>
          <w:sz w:val="20"/>
        </w:rPr>
        <w:t>Notes to the Condensed Consolidated Financial Statements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(Amounts are in thousands, except share and per share data)</w:t>
      </w:r>
    </w:p>
    <w:p>
      <w:pPr>
        <w:pStyle w:val="TextBody"/>
        <w:bidi w:val="0"/>
        <w:spacing w:before="200" w:after="0"/>
        <w:jc w:val="both"/>
        <w:rPr>
          <w:rFonts w:ascii="Times New Roman;serif" w:hAnsi="Times New Roman;serif"/>
          <w:b/>
          <w:sz w:val="20"/>
        </w:rPr>
      </w:pPr>
      <w:r>
        <w:rPr>
          <w:rFonts w:ascii="Times New Roman;serif" w:hAnsi="Times New Roman;serif"/>
          <w:b/>
          <w:sz w:val="20"/>
        </w:rPr>
        <w:t>1. ORGANIZATION AND DESCRIPTION OF THE BUSINESS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Description of Business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Tempest Therapeutics, Inc. (“Tempest” or the “Company”) is a clinical-stage oncology company advancing small molecules that combine both tumor-targeted and immune-mediated mechanisms with the potential to treat a wide range of tumors. The Company’s two novel clinical programs are TPST-1120 and TPST-1495, antagonists of PPARα and EP2/EP4, respectively. Both programs are advancing through clinical trials designed to study the agents as monotherapies and in combination with other approved agents. Tempest is also developing an orally available inhibitor of TREX-1, a target that controls activation of the cGAS/STING pathway. Tempest is headquartered in Brisbane, California.</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Liquidity and Management Plans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accompanying financial statements have been prepared assuming the Company will continue as a going concern. The Company has incurred operating losses since inception. As of March 31, 2023, we had cash and cash equivalents of $22.9</w:t>
      </w:r>
      <w:r>
        <w:rPr>
          <w:rFonts w:ascii="Times New Roman" w:hAnsi="Times New Roman"/>
          <w:sz w:val="20"/>
        </w:rPr>
        <w:t xml:space="preserve"> </w:t>
      </w:r>
      <w:r>
        <w:rPr>
          <w:rFonts w:ascii="Times New Roman;serif" w:hAnsi="Times New Roman;serif"/>
          <w:b w:val="false"/>
          <w:sz w:val="20"/>
        </w:rPr>
        <w:t>million. The Company has not yet generated product sales and as a result has experienced operating losses since inception. The Company expects to incur additional losses in the future to conduct research and development and will need to raise additional capital to continue operations. We intend to raise the needed capital through the issuance of additional debt or equity, including in connection with potential merger opportunities, or through business development activities. Our ability to continue as a going concern is dependent upon our ability to successfully accomplish these plans and secure sources of financing and ultimately attain profitable operations. If we are unable to obtain adequate capital, we could be forced to cease operations. Management believes that its existing cash and cash equivalents will be sufficient to fund the Company’s cash requirements for at least 12 months following the issuance of these financial statements.</w:t>
      </w:r>
    </w:p>
    <w:p>
      <w:pPr>
        <w:pStyle w:val="TextBody"/>
        <w:bidi w:val="0"/>
        <w:spacing w:before="240" w:after="0"/>
        <w:jc w:val="both"/>
        <w:rPr>
          <w:rFonts w:ascii="Times New Roman" w:hAnsi="Times New Roman"/>
          <w:sz w:val="20"/>
        </w:rPr>
      </w:pPr>
      <w:r>
        <w:rPr>
          <w:rFonts w:ascii="Times New Roman;serif" w:hAnsi="Times New Roman;serif"/>
          <w:b w:val="false"/>
          <w:sz w:val="20"/>
        </w:rPr>
        <w:t>On April 29, 2022, the Company completed a private investment in public equity (“PIPE”) financing from the sale of 3,149,912</w:t>
      </w:r>
      <w:r>
        <w:rPr>
          <w:rFonts w:ascii="Times New Roman" w:hAnsi="Times New Roman"/>
          <w:sz w:val="20"/>
        </w:rPr>
        <w:t xml:space="preserve"> </w:t>
      </w:r>
      <w:r>
        <w:rPr>
          <w:rFonts w:ascii="Times New Roman;serif" w:hAnsi="Times New Roman;serif"/>
          <w:b w:val="false"/>
          <w:sz w:val="20"/>
        </w:rPr>
        <w:t>shares of its common stock at a price per share of $2.36</w:t>
      </w:r>
      <w:r>
        <w:rPr>
          <w:rFonts w:ascii="Times New Roman" w:hAnsi="Times New Roman"/>
          <w:sz w:val="20"/>
        </w:rPr>
        <w:t xml:space="preserve"> </w:t>
      </w:r>
      <w:r>
        <w:rPr>
          <w:rFonts w:ascii="Times New Roman;serif" w:hAnsi="Times New Roman;serif"/>
          <w:b w:val="false"/>
          <w:sz w:val="20"/>
        </w:rPr>
        <w:t>and, and in lieu of shares of common stock, pre-funded warrants to purchase up to 3,206,020</w:t>
      </w:r>
      <w:r>
        <w:rPr>
          <w:rFonts w:ascii="Times New Roman" w:hAnsi="Times New Roman"/>
          <w:sz w:val="20"/>
        </w:rPr>
        <w:t xml:space="preserve"> </w:t>
      </w:r>
      <w:r>
        <w:rPr>
          <w:rFonts w:ascii="Times New Roman;serif" w:hAnsi="Times New Roman;serif"/>
          <w:b w:val="false"/>
          <w:sz w:val="20"/>
        </w:rPr>
        <w:t>shares of its common stock at a price per pre-funded warrant of $2.359</w:t>
      </w:r>
      <w:r>
        <w:rPr>
          <w:rFonts w:ascii="Times New Roman" w:hAnsi="Times New Roman"/>
          <w:sz w:val="20"/>
        </w:rPr>
        <w:t xml:space="preserve"> </w:t>
      </w:r>
      <w:r>
        <w:rPr>
          <w:rFonts w:ascii="Times New Roman;serif" w:hAnsi="Times New Roman;serif"/>
          <w:b w:val="false"/>
          <w:sz w:val="20"/>
        </w:rPr>
        <w:t>to EcoR1 Capital, LLC and Versant Venture Capital (the “PIPE Investors”). Net proceeds from the PIPE financings totaled approximately $14.5</w:t>
      </w:r>
      <w:r>
        <w:rPr>
          <w:rFonts w:ascii="Times New Roman" w:hAnsi="Times New Roman"/>
          <w:sz w:val="20"/>
        </w:rPr>
        <w:t xml:space="preserve"> </w:t>
      </w:r>
      <w:r>
        <w:rPr>
          <w:rFonts w:ascii="Times New Roman;serif" w:hAnsi="Times New Roman;serif"/>
          <w:b w:val="false"/>
          <w:sz w:val="20"/>
        </w:rPr>
        <w:t>million, after deducting offering expenses. The Company entered into a registration rights agreement (the “Registration Rights Agreement”) with the PIPE Investors pursuant to which the Company filed a registration statement with the SEC registering the resale of the 3,149,912</w:t>
      </w:r>
      <w:r>
        <w:rPr>
          <w:rFonts w:ascii="Times New Roman" w:hAnsi="Times New Roman"/>
          <w:sz w:val="20"/>
        </w:rPr>
        <w:t xml:space="preserve"> </w:t>
      </w:r>
      <w:r>
        <w:rPr>
          <w:rFonts w:ascii="Times New Roman;serif" w:hAnsi="Times New Roman;serif"/>
          <w:b w:val="false"/>
          <w:sz w:val="20"/>
        </w:rPr>
        <w:t>shares common stock and the 3,206,020</w:t>
      </w:r>
      <w:r>
        <w:rPr>
          <w:rFonts w:ascii="Times New Roman" w:hAnsi="Times New Roman"/>
          <w:sz w:val="20"/>
        </w:rPr>
        <w:t xml:space="preserve"> </w:t>
      </w:r>
      <w:r>
        <w:rPr>
          <w:rFonts w:ascii="Times New Roman;serif" w:hAnsi="Times New Roman;serif"/>
          <w:b w:val="false"/>
          <w:sz w:val="20"/>
        </w:rPr>
        <w:t>shares of common stock underlying the pre-funded warrants issued in the PIPE financing.</w:t>
      </w:r>
    </w:p>
    <w:p>
      <w:pPr>
        <w:pStyle w:val="TextBody"/>
        <w:bidi w:val="0"/>
        <w:spacing w:before="200" w:after="0"/>
        <w:jc w:val="both"/>
        <w:rPr>
          <w:rFonts w:ascii="Times New Roman;serif" w:hAnsi="Times New Roman;serif"/>
          <w:b/>
          <w:sz w:val="20"/>
        </w:rPr>
      </w:pPr>
      <w:r>
        <w:rPr>
          <w:rFonts w:ascii="Times New Roman;serif" w:hAnsi="Times New Roman;serif"/>
          <w:b/>
          <w:sz w:val="20"/>
        </w:rPr>
        <w:t>2. SUMMARY OF SIGNIFICANT ACCOUNTING POLICIES</w:t>
      </w:r>
    </w:p>
    <w:p>
      <w:pPr>
        <w:pStyle w:val="TextBody"/>
        <w:bidi w:val="0"/>
        <w:spacing w:before="200" w:after="0"/>
        <w:jc w:val="both"/>
        <w:rPr>
          <w:rFonts w:ascii="Times New Roman" w:hAnsi="Times New Roman"/>
          <w:sz w:val="20"/>
        </w:rPr>
      </w:pPr>
      <w:r>
        <w:rPr>
          <w:rFonts w:ascii="Times New Roman;serif" w:hAnsi="Times New Roman;serif"/>
          <w:b/>
          <w:sz w:val="20"/>
        </w:rPr>
        <w:t xml:space="preserve">Significant Accounting Policies -- </w:t>
      </w:r>
      <w:r>
        <w:rPr>
          <w:rFonts w:ascii="Times New Roman;serif" w:hAnsi="Times New Roman;serif"/>
          <w:b w:val="false"/>
          <w:sz w:val="20"/>
        </w:rPr>
        <w:t>The Company’s significant accounting policies are described in Note 2, “Summary of Significant Accounting Policies,” in the Company’s Annual Report on Form 10-K filed with the U.S. Securities and Exchange Commission (“SEC”) on March 22, 2023. There have been no material changes to the significant accounting policies during the period ended March 31, 2023.</w:t>
      </w:r>
    </w:p>
    <w:p>
      <w:pPr>
        <w:pStyle w:val="TextBody"/>
        <w:bidi w:val="0"/>
        <w:spacing w:before="200" w:after="0"/>
        <w:jc w:val="both"/>
        <w:rPr>
          <w:rFonts w:ascii="Times New Roman" w:hAnsi="Times New Roman"/>
          <w:sz w:val="20"/>
        </w:rPr>
      </w:pPr>
      <w:r>
        <w:rPr>
          <w:rFonts w:ascii="Times New Roman;serif" w:hAnsi="Times New Roman;serif"/>
          <w:b/>
          <w:sz w:val="20"/>
        </w:rPr>
        <w:t>Basis of Presentation</w:t>
      </w:r>
      <w:r>
        <w:rPr>
          <w:rFonts w:ascii="Times New Roman" w:hAnsi="Times New Roman"/>
          <w:sz w:val="20"/>
        </w:rPr>
        <w:t>—</w:t>
      </w:r>
      <w:r>
        <w:rPr>
          <w:rFonts w:ascii="Times New Roman;serif" w:hAnsi="Times New Roman;serif"/>
          <w:b w:val="false"/>
          <w:sz w:val="20"/>
        </w:rPr>
        <w:t>The unaudited interim Condensed Consolidated Financial Statements have been prepared pursuant to the rules and regulations of the U.S. Securities and Exchange Commission. Accordingly, certain information and footnote disclosures normally included in annual financial statements prepared in accordance with GAAP have been omitted. These unaudited interim Condensed Consolidated Financial Statements should be read in conjunction with the Company’s audited consolidated financial statements and notes included in the company’s Annual Report on Form 10-K for the year ended December 31, 2022.</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has prepared the accompanying Condensed Consolidated Financial Statements on the same basis as the audited financial statements, and the unaudited interim financial statements include, in the Company’s opinion, all adjustments, consisting only of normal recurring adjustments that the Company considers necessary for a fair presentation of its financial position and results of operations for these periods.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sz w:val="20"/>
        </w:rPr>
        <w:t>Use of Estimates</w:t>
      </w:r>
      <w:r>
        <w:rPr>
          <w:rFonts w:ascii="Times New Roman" w:hAnsi="Times New Roman"/>
          <w:sz w:val="20"/>
        </w:rPr>
        <w:t>—</w:t>
      </w:r>
      <w:r>
        <w:rPr>
          <w:rFonts w:ascii="Times New Roman;serif" w:hAnsi="Times New Roman;serif"/>
          <w:b w:val="false"/>
          <w:sz w:val="20"/>
        </w:rPr>
        <w:t>The preparation of financial statements in conformity with GAAP requires management to make estimates and assumptions that affect 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pStyle w:val="TextBody"/>
        <w:bidi w:val="0"/>
        <w:spacing w:before="200" w:after="0"/>
        <w:jc w:val="both"/>
        <w:rPr>
          <w:rFonts w:ascii="Times New Roman;serif" w:hAnsi="Times New Roman;serif"/>
          <w:b/>
          <w:sz w:val="20"/>
        </w:rPr>
      </w:pPr>
      <w:bookmarkStart w:id="13" w:name="section14"/>
      <w:bookmarkEnd w:id="13"/>
      <w:r>
        <w:rPr>
          <w:rFonts w:ascii="Times New Roman;serif" w:hAnsi="Times New Roman;serif"/>
          <w:b/>
          <w:sz w:val="20"/>
        </w:rPr>
        <w:t>3. FAIR VALUE MEASUREMENTS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tables present the Company’s fair value hierarchy for assets measured at fair value on a recurring basis:</w:t>
      </w:r>
    </w:p>
    <w:p>
      <w:pPr>
        <w:pStyle w:val="TextBody"/>
        <w:bidi w:val="0"/>
        <w:spacing w:before="0" w:after="0"/>
        <w:jc w:val="both"/>
        <w:rPr/>
      </w:pPr>
      <w:r>
        <w:rPr/>
        <w:t> </w:t>
      </w:r>
    </w:p>
    <w:tbl>
      <w:tblPr>
        <w:tblW w:w="6543" w:type="dxa"/>
        <w:jc w:val="left"/>
        <w:tblInd w:w="0" w:type="dxa"/>
        <w:tblLayout w:type="fixed"/>
        <w:tblCellMar>
          <w:top w:w="28" w:type="dxa"/>
          <w:left w:w="28" w:type="dxa"/>
          <w:bottom w:w="28" w:type="dxa"/>
          <w:right w:w="28" w:type="dxa"/>
        </w:tblCellMar>
      </w:tblPr>
      <w:tblGrid>
        <w:gridCol w:w="2266"/>
        <w:gridCol w:w="146"/>
        <w:gridCol w:w="211"/>
        <w:gridCol w:w="676"/>
        <w:gridCol w:w="146"/>
        <w:gridCol w:w="146"/>
        <w:gridCol w:w="244"/>
        <w:gridCol w:w="401"/>
        <w:gridCol w:w="146"/>
        <w:gridCol w:w="146"/>
        <w:gridCol w:w="244"/>
        <w:gridCol w:w="401"/>
        <w:gridCol w:w="146"/>
        <w:gridCol w:w="146"/>
        <w:gridCol w:w="211"/>
        <w:gridCol w:w="676"/>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94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As of March 31,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45"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2</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45"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3</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191" w:type="dxa"/>
            <w:tcBorders/>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22,925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22,925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94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As of 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45"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2</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45"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3</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191" w:type="dxa"/>
            <w:tcBorders/>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31,230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31,230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4. BALANCE SHEET COMPONENTS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Prepaid expenses and other current assets consist of the following:</w:t>
      </w:r>
    </w:p>
    <w:p>
      <w:pPr>
        <w:pStyle w:val="TextBody"/>
        <w:bidi w:val="0"/>
        <w:spacing w:before="0" w:after="0"/>
        <w:jc w:val="both"/>
        <w:rPr/>
      </w:pPr>
      <w:r>
        <w:rPr/>
        <w:t> </w:t>
      </w:r>
    </w:p>
    <w:tbl>
      <w:tblPr>
        <w:tblW w:w="6300" w:type="dxa"/>
        <w:jc w:val="left"/>
        <w:tblInd w:w="0" w:type="dxa"/>
        <w:tblLayout w:type="fixed"/>
        <w:tblCellMar>
          <w:top w:w="28" w:type="dxa"/>
          <w:left w:w="28" w:type="dxa"/>
          <w:bottom w:w="28" w:type="dxa"/>
          <w:right w:w="28" w:type="dxa"/>
        </w:tblCellMar>
      </w:tblPr>
      <w:tblGrid>
        <w:gridCol w:w="3346"/>
        <w:gridCol w:w="146"/>
        <w:gridCol w:w="239"/>
        <w:gridCol w:w="646"/>
        <w:gridCol w:w="446"/>
        <w:gridCol w:w="146"/>
        <w:gridCol w:w="307"/>
        <w:gridCol w:w="833"/>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March 31,</w:t>
              <w:br/>
              <w:t>2023</w:t>
            </w:r>
          </w:p>
        </w:tc>
        <w:tc>
          <w:tcPr>
            <w:tcW w:w="4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594</w:t>
            </w:r>
          </w:p>
        </w:tc>
        <w:tc>
          <w:tcPr>
            <w:tcW w:w="446" w:type="dxa"/>
            <w:tcBorders/>
            <w:vAlign w:val="center"/>
          </w:tcPr>
          <w:p>
            <w:pPr>
              <w:pStyle w:val="TableContents"/>
              <w:bidi w:val="0"/>
              <w:spacing w:before="0" w:after="0"/>
              <w:ind w:left="0" w:right="0" w:firstLine="300"/>
              <w:jc w:val="left"/>
              <w:rPr/>
            </w:pPr>
            <w:r>
              <w:rPr/>
              <w:t> </w:t>
            </w:r>
          </w:p>
        </w:tc>
        <w:tc>
          <w:tcPr>
            <w:tcW w:w="146" w:type="dxa"/>
            <w:tcBorders/>
            <w:vAlign w:val="center"/>
          </w:tcPr>
          <w:p>
            <w:pPr>
              <w:pStyle w:val="TableContents"/>
              <w:bidi w:val="0"/>
              <w:spacing w:before="0" w:after="0"/>
              <w:ind w:left="300" w:right="0" w:hanging="0"/>
              <w:jc w:val="left"/>
              <w:rPr/>
            </w:pPr>
            <w:r>
              <w:rPr/>
              <w:t> </w:t>
            </w:r>
          </w:p>
        </w:tc>
        <w:tc>
          <w:tcPr>
            <w:tcW w:w="3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703</w:t>
            </w:r>
          </w:p>
        </w:tc>
        <w:tc>
          <w:tcPr>
            <w:tcW w:w="19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research and development costs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446" w:type="dxa"/>
            <w:tcBorders/>
            <w:vAlign w:val="center"/>
          </w:tcPr>
          <w:p>
            <w:pPr>
              <w:pStyle w:val="TableContents"/>
              <w:bidi w:val="0"/>
              <w:spacing w:before="0" w:after="0"/>
              <w:ind w:left="0" w:right="0" w:firstLine="300"/>
              <w:jc w:val="left"/>
              <w:rPr/>
            </w:pPr>
            <w:r>
              <w:rPr/>
              <w:t> </w:t>
            </w:r>
          </w:p>
        </w:tc>
        <w:tc>
          <w:tcPr>
            <w:tcW w:w="146" w:type="dxa"/>
            <w:tcBorders/>
            <w:vAlign w:val="center"/>
          </w:tcPr>
          <w:p>
            <w:pPr>
              <w:pStyle w:val="TableContents"/>
              <w:bidi w:val="0"/>
              <w:spacing w:before="0" w:after="0"/>
              <w:ind w:left="30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w:t>
            </w:r>
          </w:p>
        </w:tc>
        <w:tc>
          <w:tcPr>
            <w:tcW w:w="19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w:t>
            </w:r>
          </w:p>
        </w:tc>
        <w:tc>
          <w:tcPr>
            <w:tcW w:w="446"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c>
          <w:tcPr>
            <w:tcW w:w="146" w:type="dxa"/>
            <w:tcBorders/>
            <w:vAlign w:val="center"/>
          </w:tcPr>
          <w:p>
            <w:pPr>
              <w:pStyle w:val="TableContents"/>
              <w:bidi w:val="0"/>
              <w:spacing w:before="0" w:after="0"/>
              <w:ind w:left="300" w:right="0" w:hanging="0"/>
              <w:jc w:val="left"/>
              <w:rPr/>
            </w:pPr>
            <w:r>
              <w:rPr/>
              <w:t> </w:t>
            </w:r>
          </w:p>
        </w:tc>
        <w:tc>
          <w:tcPr>
            <w:tcW w:w="3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1,298</w:t>
            </w:r>
          </w:p>
        </w:tc>
        <w:tc>
          <w:tcPr>
            <w:tcW w:w="4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Property and equipment, net, consists of the following:</w:t>
      </w:r>
    </w:p>
    <w:p>
      <w:pPr>
        <w:pStyle w:val="TextBody"/>
        <w:bidi w:val="0"/>
        <w:spacing w:before="0" w:after="0"/>
        <w:jc w:val="both"/>
        <w:rPr/>
      </w:pPr>
      <w:r>
        <w:rPr/>
        <w:t> </w:t>
      </w:r>
    </w:p>
    <w:tbl>
      <w:tblPr>
        <w:tblW w:w="5785" w:type="dxa"/>
        <w:jc w:val="left"/>
        <w:tblInd w:w="0" w:type="dxa"/>
        <w:tblLayout w:type="fixed"/>
        <w:tblCellMar>
          <w:top w:w="28" w:type="dxa"/>
          <w:left w:w="28" w:type="dxa"/>
          <w:bottom w:w="28" w:type="dxa"/>
          <w:right w:w="28" w:type="dxa"/>
        </w:tblCellMar>
      </w:tblPr>
      <w:tblGrid>
        <w:gridCol w:w="2911"/>
        <w:gridCol w:w="146"/>
        <w:gridCol w:w="222"/>
        <w:gridCol w:w="663"/>
        <w:gridCol w:w="166"/>
        <w:gridCol w:w="146"/>
        <w:gridCol w:w="285"/>
        <w:gridCol w:w="855"/>
        <w:gridCol w:w="3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March 31,</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w:t>
              <w:b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 and software</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39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5"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w:t>
            </w:r>
          </w:p>
        </w:tc>
        <w:tc>
          <w:tcPr>
            <w:tcW w:w="39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Lab equipment</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5"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1,061</w:t>
            </w:r>
          </w:p>
        </w:tc>
        <w:tc>
          <w:tcPr>
            <w:tcW w:w="39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911"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Property and equipment</w:t>
            </w:r>
          </w:p>
        </w:tc>
        <w:tc>
          <w:tcPr>
            <w:tcW w:w="146" w:type="dxa"/>
            <w:tcBorders/>
            <w:vAlign w:val="center"/>
          </w:tcPr>
          <w:p>
            <w:pPr>
              <w:pStyle w:val="TableContents"/>
              <w:bidi w:val="0"/>
              <w:spacing w:before="0" w:after="0"/>
              <w:ind w:left="30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5"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2,421</w:t>
            </w:r>
          </w:p>
        </w:tc>
        <w:tc>
          <w:tcPr>
            <w:tcW w:w="39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equipment—net</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Depreciation expense for the three months ended March 31, 2023 and 2022</w:t>
      </w:r>
      <w:r>
        <w:rPr>
          <w:rFonts w:ascii="Times New Roman" w:hAnsi="Times New Roman"/>
          <w:sz w:val="20"/>
        </w:rPr>
        <w:t xml:space="preserve"> </w:t>
      </w:r>
      <w:r>
        <w:rPr>
          <w:rFonts w:ascii="Times New Roman;serif" w:hAnsi="Times New Roman;serif"/>
          <w:b w:val="false"/>
          <w:sz w:val="20"/>
        </w:rPr>
        <w:t>were $125</w:t>
      </w:r>
      <w:r>
        <w:rPr>
          <w:rFonts w:ascii="Times New Roman" w:hAnsi="Times New Roman"/>
          <w:sz w:val="20"/>
        </w:rPr>
        <w:t xml:space="preserve"> </w:t>
      </w:r>
      <w:r>
        <w:rPr>
          <w:rFonts w:ascii="Times New Roman;serif" w:hAnsi="Times New Roman;serif"/>
          <w:b w:val="false"/>
          <w:sz w:val="20"/>
        </w:rPr>
        <w:t>and $108, respectively.</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Accrued liabilities consist of the following:</w:t>
      </w:r>
    </w:p>
    <w:p>
      <w:pPr>
        <w:pStyle w:val="TextBody"/>
        <w:bidi w:val="0"/>
        <w:spacing w:before="0" w:after="0"/>
        <w:jc w:val="both"/>
        <w:rPr/>
      </w:pPr>
      <w:r>
        <w:rPr/>
        <w:t> </w:t>
      </w:r>
    </w:p>
    <w:tbl>
      <w:tblPr>
        <w:tblW w:w="5190" w:type="dxa"/>
        <w:jc w:val="left"/>
        <w:tblInd w:w="0" w:type="dxa"/>
        <w:tblLayout w:type="fixed"/>
        <w:tblCellMar>
          <w:top w:w="28" w:type="dxa"/>
          <w:left w:w="28" w:type="dxa"/>
          <w:bottom w:w="28" w:type="dxa"/>
          <w:right w:w="28" w:type="dxa"/>
        </w:tblCellMar>
      </w:tblPr>
      <w:tblGrid>
        <w:gridCol w:w="2536"/>
        <w:gridCol w:w="146"/>
        <w:gridCol w:w="239"/>
        <w:gridCol w:w="646"/>
        <w:gridCol w:w="146"/>
        <w:gridCol w:w="146"/>
        <w:gridCol w:w="307"/>
        <w:gridCol w:w="833"/>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March 31,</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other liabilities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756</w:t>
            </w:r>
          </w:p>
        </w:tc>
        <w:tc>
          <w:tcPr>
            <w:tcW w:w="1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clinical trial liability</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bookmarkStart w:id="14" w:name="section16"/>
      <w:bookmarkEnd w:id="14"/>
      <w:r>
        <w:rPr>
          <w:rFonts w:ascii="Times New Roman;serif" w:hAnsi="Times New Roman;serif"/>
          <w:b/>
          <w:sz w:val="20"/>
        </w:rPr>
        <w:t>5. COMMITMENTS AND CONTINGENCIES</w:t>
      </w:r>
    </w:p>
    <w:p>
      <w:pPr>
        <w:pStyle w:val="TextBody"/>
        <w:bidi w:val="0"/>
        <w:spacing w:before="200" w:after="0"/>
        <w:jc w:val="both"/>
        <w:rPr>
          <w:rFonts w:ascii="Times New Roman" w:hAnsi="Times New Roman"/>
          <w:sz w:val="20"/>
        </w:rPr>
      </w:pPr>
      <w:r>
        <w:rPr>
          <w:rFonts w:ascii="Times New Roman;serif" w:hAnsi="Times New Roman;serif"/>
          <w:b/>
          <w:sz w:val="20"/>
        </w:rPr>
        <w:t>Facilities Lease Agreements</w:t>
      </w:r>
      <w:r>
        <w:rPr>
          <w:rFonts w:ascii="Times New Roman" w:hAnsi="Times New Roman"/>
          <w:sz w:val="20"/>
        </w:rPr>
        <w:t>—</w:t>
      </w:r>
      <w:r>
        <w:rPr>
          <w:rFonts w:ascii="Times New Roman;serif" w:hAnsi="Times New Roman;serif"/>
          <w:b w:val="false"/>
          <w:sz w:val="20"/>
        </w:rPr>
        <w:t>In February 2019, the Company entered into a 5-year</w:t>
      </w:r>
      <w:r>
        <w:rPr>
          <w:rFonts w:ascii="Times New Roman" w:hAnsi="Times New Roman"/>
          <w:sz w:val="20"/>
        </w:rPr>
        <w:t xml:space="preserve"> </w:t>
      </w:r>
      <w:r>
        <w:rPr>
          <w:rFonts w:ascii="Times New Roman;serif" w:hAnsi="Times New Roman;serif"/>
          <w:b w:val="false"/>
          <w:sz w:val="20"/>
        </w:rPr>
        <w:t>office lease agreement for a 9,780</w:t>
      </w:r>
      <w:r>
        <w:rPr>
          <w:rFonts w:ascii="Times New Roman" w:hAnsi="Times New Roman"/>
          <w:sz w:val="20"/>
        </w:rPr>
        <w:t xml:space="preserve"> </w:t>
      </w:r>
      <w:r>
        <w:rPr>
          <w:rFonts w:ascii="Times New Roman;serif" w:hAnsi="Times New Roman;serif"/>
          <w:b w:val="false"/>
          <w:sz w:val="20"/>
        </w:rPr>
        <w:t>square feet facility in South San Francisco, California. The original lease term expires on February 29, 2024. In June 2022, the lease was amended to terminate early on January 31, 2023. The amendment was not accounted for as a separate contract and the lease liability and the right-of-use asset were remeasured on the lease modification date.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On March 29, 2021, TempestTx, Inc. (“Private Tempest”) entered into an Agreement and Plan of Merger (the “Merger Agreement”) with Millendo Therapeutics, Inc. (“Millendo”). On June 25, 2021, Private Tempest completed the merger with Millendo and as a result of the merger, the Company assumed Millendo’s noncancelable operating leases for office space which have remaining lease terms of approximately 1.1 years. In February 2019 and October 2018, Millendo entered into two</w:t>
      </w:r>
      <w:r>
        <w:rPr>
          <w:rFonts w:ascii="Times New Roman" w:hAnsi="Times New Roman"/>
          <w:sz w:val="20"/>
        </w:rPr>
        <w:t xml:space="preserve"> </w:t>
      </w:r>
      <w:r>
        <w:rPr>
          <w:rFonts w:ascii="Times New Roman;serif" w:hAnsi="Times New Roman;serif"/>
          <w:b w:val="false"/>
          <w:sz w:val="20"/>
        </w:rPr>
        <w:t>noncancellable operating leases for office space in Ann Arbor, Michigan (“Ann Arbor Leases”), one that Millendo took possession of in April 2019 and the other that Millendo took possession of in July 2019, respectively. The Ann Arbor Leases expire in June 2024 and March 2024.</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In January 2022, the Company entered into a new 8-year</w:t>
      </w:r>
      <w:r>
        <w:rPr>
          <w:rFonts w:ascii="Times New Roman" w:hAnsi="Times New Roman"/>
          <w:sz w:val="20"/>
        </w:rPr>
        <w:t xml:space="preserve"> </w:t>
      </w:r>
      <w:r>
        <w:rPr>
          <w:rFonts w:ascii="Times New Roman;serif" w:hAnsi="Times New Roman;serif"/>
          <w:b w:val="false"/>
          <w:sz w:val="20"/>
        </w:rPr>
        <w:t>office lease agreement for a 20,116</w:t>
      </w:r>
      <w:r>
        <w:rPr>
          <w:rFonts w:ascii="Times New Roman" w:hAnsi="Times New Roman"/>
          <w:sz w:val="20"/>
        </w:rPr>
        <w:t xml:space="preserve"> </w:t>
      </w:r>
      <w:r>
        <w:rPr>
          <w:rFonts w:ascii="Times New Roman;serif" w:hAnsi="Times New Roman;serif"/>
          <w:b w:val="false"/>
          <w:sz w:val="20"/>
        </w:rPr>
        <w:t>square feet facility in Brisbane, California ("Brisbane Lease"). The lease commenced in December 2022.</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As of March 31, 2023 and December 31, 2022, the balance of the operating lease right of use assets were $11,219</w:t>
      </w:r>
      <w:r>
        <w:rPr>
          <w:rFonts w:ascii="Times New Roman" w:hAnsi="Times New Roman"/>
          <w:sz w:val="20"/>
        </w:rPr>
        <w:t xml:space="preserve"> </w:t>
      </w:r>
      <w:r>
        <w:rPr>
          <w:rFonts w:ascii="Times New Roman;serif" w:hAnsi="Times New Roman;serif"/>
          <w:b w:val="false"/>
          <w:sz w:val="20"/>
        </w:rPr>
        <w:t>and $11,650, respectively, and the related operating lease liability were $11,243</w:t>
      </w:r>
      <w:r>
        <w:rPr>
          <w:rFonts w:ascii="Times New Roman" w:hAnsi="Times New Roman"/>
          <w:sz w:val="20"/>
        </w:rPr>
        <w:t xml:space="preserve"> </w:t>
      </w:r>
      <w:r>
        <w:rPr>
          <w:rFonts w:ascii="Times New Roman;serif" w:hAnsi="Times New Roman;serif"/>
          <w:b w:val="false"/>
          <w:sz w:val="20"/>
        </w:rPr>
        <w:t>and $11,744, respectively, as shown in the accompanying consolidated balance sheets.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Rent expense was $710</w:t>
      </w:r>
      <w:r>
        <w:rPr>
          <w:rFonts w:ascii="Times New Roman" w:hAnsi="Times New Roman"/>
          <w:sz w:val="20"/>
        </w:rPr>
        <w:t xml:space="preserve"> </w:t>
      </w:r>
      <w:r>
        <w:rPr>
          <w:rFonts w:ascii="Times New Roman;serif" w:hAnsi="Times New Roman;serif"/>
          <w:b w:val="false"/>
          <w:sz w:val="20"/>
        </w:rPr>
        <w:t>and $359</w:t>
      </w:r>
      <w:r>
        <w:rPr>
          <w:rFonts w:ascii="Times New Roman" w:hAnsi="Times New Roman"/>
          <w:sz w:val="20"/>
        </w:rPr>
        <w:t xml:space="preserve"> </w:t>
      </w:r>
      <w:r>
        <w:rPr>
          <w:rFonts w:ascii="Times New Roman;serif" w:hAnsi="Times New Roman;serif"/>
          <w:b w:val="false"/>
          <w:sz w:val="20"/>
        </w:rPr>
        <w:t>for the three months ended March 31, 2023 and 2022, respectively.</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As of March 31, 2023, future minimum lease payments under the Brisbane Lease and Ann Arbor Leases were as follows:</w:t>
      </w:r>
    </w:p>
    <w:p>
      <w:pPr>
        <w:pStyle w:val="TextBody"/>
        <w:bidi w:val="0"/>
        <w:spacing w:before="0" w:after="0"/>
        <w:jc w:val="both"/>
        <w:rPr/>
      </w:pPr>
      <w:r>
        <w:rPr/>
        <w:t> </w:t>
      </w:r>
    </w:p>
    <w:tbl>
      <w:tblPr>
        <w:tblW w:w="6633" w:type="dxa"/>
        <w:jc w:val="left"/>
        <w:tblInd w:w="0" w:type="dxa"/>
        <w:tblLayout w:type="fixed"/>
        <w:tblCellMar>
          <w:top w:w="28" w:type="dxa"/>
          <w:left w:w="28" w:type="dxa"/>
          <w:bottom w:w="28" w:type="dxa"/>
          <w:right w:w="28" w:type="dxa"/>
        </w:tblCellMar>
      </w:tblPr>
      <w:tblGrid>
        <w:gridCol w:w="4501"/>
        <w:gridCol w:w="146"/>
        <w:gridCol w:w="373"/>
        <w:gridCol w:w="1202"/>
        <w:gridCol w:w="41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75"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450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Year Ending</w:t>
            </w:r>
          </w:p>
        </w:tc>
        <w:tc>
          <w:tcPr>
            <w:tcW w:w="146" w:type="dxa"/>
            <w:tcBorders/>
            <w:vAlign w:val="center"/>
          </w:tcPr>
          <w:p>
            <w:pPr>
              <w:pStyle w:val="TableContents"/>
              <w:bidi w:val="0"/>
              <w:spacing w:before="0" w:after="0"/>
              <w:ind w:left="0" w:right="0" w:hanging="0"/>
              <w:jc w:val="center"/>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 Commitment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(excluding three months ended March 31, 2023)</w:t>
            </w:r>
          </w:p>
        </w:tc>
        <w:tc>
          <w:tcPr>
            <w:tcW w:w="14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1,912</w:t>
            </w:r>
          </w:p>
        </w:tc>
        <w:tc>
          <w:tcPr>
            <w:tcW w:w="411" w:type="dxa"/>
            <w:tcBorders/>
            <w:vAlign w:val="center"/>
          </w:tcPr>
          <w:p>
            <w:pPr>
              <w:pStyle w:val="TableContents"/>
              <w:bidi w:val="0"/>
              <w:spacing w:before="0" w:after="0"/>
              <w:ind w:left="0" w:right="0" w:hanging="0"/>
              <w:jc w:val="left"/>
              <w:rPr/>
            </w:pPr>
            <w:r>
              <w:rPr/>
              <w:t> </w:t>
            </w:r>
          </w:p>
        </w:tc>
      </w:tr>
      <w:tr>
        <w:trPr/>
        <w:tc>
          <w:tcPr>
            <w:tcW w:w="4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2,100</w:t>
            </w:r>
          </w:p>
        </w:tc>
        <w:tc>
          <w:tcPr>
            <w:tcW w:w="411" w:type="dxa"/>
            <w:tcBorders/>
            <w:vAlign w:val="center"/>
          </w:tcPr>
          <w:p>
            <w:pPr>
              <w:pStyle w:val="TableContents"/>
              <w:bidi w:val="0"/>
              <w:spacing w:before="0" w:after="0"/>
              <w:ind w:left="0" w:right="0" w:hanging="0"/>
              <w:jc w:val="left"/>
              <w:rPr/>
            </w:pPr>
            <w:r>
              <w:rPr/>
              <w:t> </w:t>
            </w:r>
          </w:p>
        </w:tc>
      </w:tr>
      <w:tr>
        <w:trPr/>
        <w:tc>
          <w:tcPr>
            <w:tcW w:w="4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1,861</w:t>
            </w:r>
          </w:p>
        </w:tc>
        <w:tc>
          <w:tcPr>
            <w:tcW w:w="411" w:type="dxa"/>
            <w:tcBorders/>
            <w:vAlign w:val="center"/>
          </w:tcPr>
          <w:p>
            <w:pPr>
              <w:pStyle w:val="TableContents"/>
              <w:bidi w:val="0"/>
              <w:spacing w:before="0" w:after="0"/>
              <w:ind w:left="0" w:right="0" w:hanging="0"/>
              <w:jc w:val="left"/>
              <w:rPr/>
            </w:pPr>
            <w:r>
              <w:rPr/>
              <w:t> </w:t>
            </w:r>
          </w:p>
        </w:tc>
      </w:tr>
      <w:tr>
        <w:trPr/>
        <w:tc>
          <w:tcPr>
            <w:tcW w:w="4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1,926</w:t>
            </w:r>
          </w:p>
        </w:tc>
        <w:tc>
          <w:tcPr>
            <w:tcW w:w="411" w:type="dxa"/>
            <w:tcBorders/>
            <w:vAlign w:val="center"/>
          </w:tcPr>
          <w:p>
            <w:pPr>
              <w:pStyle w:val="TableContents"/>
              <w:bidi w:val="0"/>
              <w:spacing w:before="0" w:after="0"/>
              <w:ind w:left="0" w:right="0" w:hanging="0"/>
              <w:jc w:val="left"/>
              <w:rPr/>
            </w:pPr>
            <w:r>
              <w:rPr/>
              <w:t> </w:t>
            </w:r>
          </w:p>
        </w:tc>
      </w:tr>
      <w:tr>
        <w:trPr/>
        <w:tc>
          <w:tcPr>
            <w:tcW w:w="4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1,994</w:t>
            </w:r>
          </w:p>
        </w:tc>
        <w:tc>
          <w:tcPr>
            <w:tcW w:w="411" w:type="dxa"/>
            <w:tcBorders/>
            <w:vAlign w:val="center"/>
          </w:tcPr>
          <w:p>
            <w:pPr>
              <w:pStyle w:val="TableContents"/>
              <w:bidi w:val="0"/>
              <w:spacing w:before="0" w:after="0"/>
              <w:ind w:left="0" w:right="0" w:hanging="0"/>
              <w:jc w:val="left"/>
              <w:rPr/>
            </w:pPr>
            <w:r>
              <w:rPr/>
              <w:t> </w:t>
            </w:r>
          </w:p>
        </w:tc>
      </w:tr>
      <w:tr>
        <w:trPr/>
        <w:tc>
          <w:tcPr>
            <w:tcW w:w="4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2028 and beyond</w:t>
            </w:r>
          </w:p>
        </w:tc>
        <w:tc>
          <w:tcPr>
            <w:tcW w:w="146" w:type="dxa"/>
            <w:tcBorders/>
            <w:vAlign w:val="center"/>
          </w:tcPr>
          <w:p>
            <w:pPr>
              <w:pStyle w:val="TableContents"/>
              <w:bidi w:val="0"/>
              <w:spacing w:before="0" w:after="0"/>
              <w:ind w:left="0" w:right="0" w:hanging="0"/>
              <w:jc w:val="left"/>
              <w:rPr/>
            </w:pPr>
            <w:r>
              <w:rPr/>
              <w:t> </w:t>
            </w:r>
          </w:p>
        </w:tc>
        <w:tc>
          <w:tcPr>
            <w:tcW w:w="3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6,410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5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minimum lease payments</w:t>
            </w:r>
          </w:p>
        </w:tc>
        <w:tc>
          <w:tcPr>
            <w:tcW w:w="14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16,203</w:t>
            </w:r>
          </w:p>
        </w:tc>
        <w:tc>
          <w:tcPr>
            <w:tcW w:w="411" w:type="dxa"/>
            <w:tcBorders/>
            <w:vAlign w:val="center"/>
          </w:tcPr>
          <w:p>
            <w:pPr>
              <w:pStyle w:val="TableContents"/>
              <w:bidi w:val="0"/>
              <w:spacing w:before="0" w:after="0"/>
              <w:ind w:left="0" w:right="0" w:hanging="0"/>
              <w:jc w:val="left"/>
              <w:rPr/>
            </w:pPr>
            <w:r>
              <w:rPr/>
              <w:t> </w:t>
            </w:r>
          </w:p>
        </w:tc>
      </w:tr>
      <w:tr>
        <w:trPr/>
        <w:tc>
          <w:tcPr>
            <w:tcW w:w="4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vAlign w:val="center"/>
          </w:tcPr>
          <w:p>
            <w:pPr>
              <w:pStyle w:val="TableContents"/>
              <w:bidi w:val="0"/>
              <w:spacing w:before="0" w:after="0"/>
              <w:ind w:left="0" w:right="0" w:hanging="0"/>
              <w:jc w:val="left"/>
              <w:rPr/>
            </w:pPr>
            <w:r>
              <w:rPr/>
              <w:t> </w:t>
            </w:r>
          </w:p>
        </w:tc>
        <w:tc>
          <w:tcPr>
            <w:tcW w:w="3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5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Present value of operating lease obligations</w:t>
            </w:r>
          </w:p>
        </w:tc>
        <w:tc>
          <w:tcPr>
            <w:tcW w:w="14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11,243</w:t>
            </w:r>
          </w:p>
        </w:tc>
        <w:tc>
          <w:tcPr>
            <w:tcW w:w="411" w:type="dxa"/>
            <w:tcBorders/>
            <w:vAlign w:val="center"/>
          </w:tcPr>
          <w:p>
            <w:pPr>
              <w:pStyle w:val="TableContents"/>
              <w:bidi w:val="0"/>
              <w:spacing w:before="0" w:after="0"/>
              <w:ind w:left="0" w:right="0" w:hanging="0"/>
              <w:jc w:val="left"/>
              <w:rPr/>
            </w:pPr>
            <w:r>
              <w:rPr/>
              <w:t> </w:t>
            </w:r>
          </w:p>
        </w:tc>
      </w:tr>
      <w:tr>
        <w:trPr/>
        <w:tc>
          <w:tcPr>
            <w:tcW w:w="4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portion</w:t>
            </w:r>
          </w:p>
        </w:tc>
        <w:tc>
          <w:tcPr>
            <w:tcW w:w="146" w:type="dxa"/>
            <w:tcBorders/>
            <w:vAlign w:val="center"/>
          </w:tcPr>
          <w:p>
            <w:pPr>
              <w:pStyle w:val="TableContents"/>
              <w:bidi w:val="0"/>
              <w:spacing w:before="0" w:after="0"/>
              <w:ind w:left="0" w:right="0" w:hanging="0"/>
              <w:jc w:val="left"/>
              <w:rPr/>
            </w:pPr>
            <w:r>
              <w:rPr/>
              <w:t> </w:t>
            </w:r>
          </w:p>
        </w:tc>
        <w:tc>
          <w:tcPr>
            <w:tcW w:w="3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operating lease obligations</w:t>
            </w:r>
          </w:p>
        </w:tc>
        <w:tc>
          <w:tcPr>
            <w:tcW w:w="146" w:type="dxa"/>
            <w:tcBorders/>
            <w:vAlign w:val="center"/>
          </w:tcPr>
          <w:p>
            <w:pPr>
              <w:pStyle w:val="TableContents"/>
              <w:bidi w:val="0"/>
              <w:spacing w:before="0" w:after="0"/>
              <w:ind w:left="0" w:right="0" w:hanging="0"/>
              <w:jc w:val="left"/>
              <w:rPr/>
            </w:pPr>
            <w:r>
              <w:rPr/>
              <w:t> </w:t>
            </w:r>
          </w:p>
        </w:tc>
        <w:tc>
          <w:tcPr>
            <w:tcW w:w="3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9,918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Related to this Brisbane Lease agreement, the Company entered into a letter of credit with a bank to deposit $368</w:t>
      </w:r>
      <w:r>
        <w:rPr>
          <w:rFonts w:ascii="Times New Roman" w:hAnsi="Times New Roman"/>
          <w:sz w:val="20"/>
        </w:rPr>
        <w:t xml:space="preserve"> </w:t>
      </w:r>
      <w:r>
        <w:rPr>
          <w:rFonts w:ascii="Times New Roman;serif" w:hAnsi="Times New Roman;serif"/>
          <w:b w:val="false"/>
          <w:sz w:val="20"/>
        </w:rPr>
        <w:t>in a separate account that is classified as restricted cash to serve as security rent deposit. This amount is included in other noncurrent assets in the accompanying Consolidated Balance Sheets as of March 31, 2023.</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Times New Roman;serif" w:hAnsi="Times New Roman;serif"/>
          <w:b/>
          <w:sz w:val="20"/>
        </w:rPr>
        <w:t>Guarantees and Indemnifications</w:t>
      </w:r>
      <w:r>
        <w:rPr>
          <w:rFonts w:ascii="Times New Roman" w:hAnsi="Times New Roman"/>
          <w:sz w:val="20"/>
        </w:rPr>
        <w:t>—</w:t>
      </w:r>
      <w:r>
        <w:rPr>
          <w:rFonts w:ascii="Times New Roman;serif" w:hAnsi="Times New Roman;serif"/>
          <w:b w:val="false"/>
          <w:sz w:val="20"/>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March 31, 2023 and 2022, the Company does not have any material indemnification claims that were probable or reasonably possible and consequently has not recorded related liabilities.</w:t>
      </w:r>
    </w:p>
    <w:p>
      <w:pPr>
        <w:pStyle w:val="TextBody"/>
        <w:bidi w:val="0"/>
        <w:spacing w:before="200" w:after="0"/>
        <w:jc w:val="both"/>
        <w:rPr>
          <w:rFonts w:ascii="Times New Roman" w:hAnsi="Times New Roman"/>
          <w:sz w:val="20"/>
        </w:rPr>
      </w:pPr>
      <w:r>
        <w:rPr>
          <w:rFonts w:ascii="Times New Roman;serif" w:hAnsi="Times New Roman;serif"/>
          <w:b/>
          <w:sz w:val="20"/>
        </w:rPr>
        <w:t>Legal Proceedings—</w:t>
      </w:r>
      <w:r>
        <w:rPr>
          <w:rFonts w:ascii="Times New Roman;serif" w:hAnsi="Times New Roman;serif"/>
          <w:b w:val="false"/>
          <w:sz w:val="20"/>
        </w:rPr>
        <w:t>Liabilities for loss contingencies arising from claims, assessments, litigation, fines, penalties, and other sources are recorded when it is probable that a liability has been incurred and the amount can be reasonably estimated. As a result of the merger with Millendo, the Company is party to various litigation matters given Millendo’s role as successor to OvaScience, Inc. (“OvaScience”). OvaScience merged with Millendo in 2018. Prior to the merger with Millendo, OvaScience was sued in three matters that are disclosed below.</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On November 9, 2016, a purported shareholder derivative action was filed in Massachusetts State court (Cima v. Dipp) against OvaScience and certain former officers and directors of OvaScience and OvaScience alleging breach of fiduciary duties, unjust enrichment, abuse of control, gross mismanagement and waste of corporate assets for purported actions related to OvaScience’s January 2015 follow-on public offering. As of September 12, 2022, the parties have reached an agreement in principle and have executed a term sheet in connection with a settlement. On September 13, 2022, the parties filed a joint motion to stay the case pending settlement. On September 15, 2022, the court issued a 90-day nisi order. On December 14, 2022, the court extended that order for 60 days to February 20, 2023. On February 17, 2023, the court extended the order until March 22, 2023 and set a court appearance for March 23, 2023. On March 23, 2023, the court granted preliminary approval of the settlement and set a final fairness hearing for June 12, 2023. Any final settlement is subject to Court approval.</w:t>
      </w:r>
    </w:p>
    <w:p>
      <w:pPr>
        <w:pStyle w:val="TextBody"/>
        <w:bidi w:val="0"/>
        <w:spacing w:before="240" w:after="0"/>
        <w:jc w:val="both"/>
        <w:rPr>
          <w:rFonts w:ascii="Times New Roman" w:hAnsi="Times New Roman"/>
          <w:sz w:val="20"/>
        </w:rPr>
      </w:pPr>
      <w:r>
        <w:rPr>
          <w:rFonts w:ascii="Times New Roman;serif" w:hAnsi="Times New Roman;serif"/>
          <w:b w:val="false"/>
          <w:sz w:val="20"/>
        </w:rPr>
        <w:t>On March 24, 2017, a purported shareholder class action lawsuit was filed in Massachusetts Federal court (Dahhan v. OvaScience, Inc.) against OvaScience and certain former officers of OvaScience alleging violations of Sections 10(b) and 20(a) of the Exchange Act (the “Dahhan Action”). On March 4, 2022, the parties filed a motion to preliminarily approve a settlement of the action. The settlement amount of $15</w:t>
      </w:r>
      <w:r>
        <w:rPr>
          <w:rFonts w:ascii="Times New Roman" w:hAnsi="Times New Roman"/>
          <w:sz w:val="20"/>
        </w:rPr>
        <w:t xml:space="preserve"> </w:t>
      </w:r>
      <w:r>
        <w:rPr>
          <w:rFonts w:ascii="Times New Roman;serif" w:hAnsi="Times New Roman;serif"/>
          <w:b w:val="false"/>
          <w:sz w:val="20"/>
        </w:rPr>
        <w:t>million was funded entirely by insurance. All defendants expressly deny liability. On April 1, 2022, the Court preliminarily approved the settlement. On December 20, 2022, the Court entered final approval of the settlement and dismissed the Dahhan Action with prejudice. The settlement included a release of all claims against the defendants thus no liability related to this matter was recorded in our Condensed Consolidated Balance Sheets as of March 31, 2023 and December 31, 2022, respectively.</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 xml:space="preserve">On July 27, 2017, a purported shareholder derivative complaint was filed in Massachusetts Federal court (Chiu v. Dipp) against OvaScience and certain former officers and directors of OvaScience alleging breach of fiduciary duties, unjust enrichment and violations of Section 14(a) of the Exchange Act. related to OvaScience’s January 2015 follow-on public offering and other public statements concerning OvaScience’s AUGMENT treatment. Following the Court’s dismissal of an amended complaint, the parties agreed that plaintiffs could file a second amended complaint and that the case would be stayed pending the resolution of the Dahhan Action. In May 2018, the court entered an order staying this case pending the resolution of the Dahhan Action. As of September 12, 2022, the parties have reached an agreement in principle and have executed a term sheet in connection with the settlement. On February 14, 2023, the parties informed the court that, subject to court approval, they had reached an agreement to settle Chiu v. Dipp as well as Cima v. Dipp. The parties requested a 90-day stay in order to present the settlement to the state court in Cima v. Dipp first. On February 16, 2023, the Court granted the 90-day stay. On May 2, 2023 the Court extended the stay through July 12, 2023. Upon final approval of the </w:t>
      </w:r>
      <w:r>
        <w:rPr>
          <w:rFonts w:ascii="Times New Roman;serif" w:hAnsi="Times New Roman;serif"/>
          <w:b w:val="false"/>
          <w:i/>
          <w:sz w:val="20"/>
        </w:rPr>
        <w:t>Cima</w:t>
      </w:r>
      <w:r>
        <w:rPr>
          <w:rFonts w:ascii="Times New Roman" w:hAnsi="Times New Roman"/>
          <w:sz w:val="20"/>
        </w:rPr>
        <w:t xml:space="preserve"> </w:t>
      </w:r>
      <w:r>
        <w:rPr>
          <w:rFonts w:ascii="Times New Roman;serif" w:hAnsi="Times New Roman;serif"/>
          <w:b w:val="false"/>
          <w:sz w:val="20"/>
        </w:rPr>
        <w:t>settlement, the Company expects that a motion to dismiss Chiu v. Dipp will also be filed.</w:t>
      </w:r>
    </w:p>
    <w:p>
      <w:pPr>
        <w:pStyle w:val="TextBody"/>
        <w:bidi w:val="0"/>
        <w:spacing w:before="200" w:after="0"/>
        <w:jc w:val="both"/>
        <w:rPr>
          <w:rFonts w:ascii="Times New Roman;serif" w:hAnsi="Times New Roman;serif"/>
          <w:b/>
          <w:sz w:val="20"/>
        </w:rPr>
      </w:pPr>
      <w:bookmarkStart w:id="15" w:name="section17"/>
      <w:bookmarkEnd w:id="15"/>
      <w:r>
        <w:rPr>
          <w:rFonts w:ascii="Times New Roman;serif" w:hAnsi="Times New Roman;serif"/>
          <w:b/>
          <w:sz w:val="20"/>
        </w:rPr>
        <w:t>6. LOAN PAYABLE</w:t>
      </w:r>
    </w:p>
    <w:p>
      <w:pPr>
        <w:pStyle w:val="TextBody"/>
        <w:bidi w:val="0"/>
        <w:spacing w:before="240" w:after="0"/>
        <w:jc w:val="both"/>
        <w:rPr>
          <w:rFonts w:ascii="Times New Roman" w:hAnsi="Times New Roman"/>
          <w:sz w:val="20"/>
        </w:rPr>
      </w:pPr>
      <w:r>
        <w:rPr>
          <w:rFonts w:ascii="Times New Roman;serif" w:hAnsi="Times New Roman;serif"/>
          <w:b w:val="false"/>
          <w:sz w:val="20"/>
        </w:rPr>
        <w:t>On January 15, 2021, the Company entered into a loan agreement with Oxford Finance LLC (the "Lender") to borrow a term loan amount of $35,000</w:t>
      </w:r>
      <w:r>
        <w:rPr>
          <w:rFonts w:ascii="Times New Roman" w:hAnsi="Times New Roman"/>
          <w:sz w:val="20"/>
        </w:rPr>
        <w:t xml:space="preserve"> </w:t>
      </w:r>
      <w:r>
        <w:rPr>
          <w:rFonts w:ascii="Times New Roman;serif" w:hAnsi="Times New Roman;serif"/>
          <w:b w:val="false"/>
          <w:sz w:val="20"/>
        </w:rPr>
        <w:t>to be funded in three</w:t>
      </w:r>
      <w:r>
        <w:rPr>
          <w:rFonts w:ascii="Times New Roman" w:hAnsi="Times New Roman"/>
          <w:sz w:val="20"/>
        </w:rPr>
        <w:t xml:space="preserve"> </w:t>
      </w:r>
      <w:r>
        <w:rPr>
          <w:rFonts w:ascii="Times New Roman;serif" w:hAnsi="Times New Roman;serif"/>
          <w:b w:val="false"/>
          <w:sz w:val="20"/>
        </w:rPr>
        <w:t>tranches. Tranche A of $15,000</w:t>
      </w:r>
      <w:r>
        <w:rPr>
          <w:rFonts w:ascii="Times New Roman" w:hAnsi="Times New Roman"/>
          <w:sz w:val="20"/>
        </w:rPr>
        <w:t xml:space="preserve"> </w:t>
      </w:r>
      <w:r>
        <w:rPr>
          <w:rFonts w:ascii="Times New Roman;serif" w:hAnsi="Times New Roman;serif"/>
          <w:b w:val="false"/>
          <w:sz w:val="20"/>
        </w:rPr>
        <w:t>was wired to the Company on January 15, 2021. Tranche B of $10,000</w:t>
      </w:r>
      <w:r>
        <w:rPr>
          <w:rFonts w:ascii="Times New Roman" w:hAnsi="Times New Roman"/>
          <w:sz w:val="20"/>
        </w:rPr>
        <w:t xml:space="preserve"> </w:t>
      </w:r>
      <w:r>
        <w:rPr>
          <w:rFonts w:ascii="Times New Roman;serif" w:hAnsi="Times New Roman;serif"/>
          <w:b w:val="false"/>
          <w:sz w:val="20"/>
        </w:rPr>
        <w:t>expired on March 31, 2022. Tranche C of $10,000</w:t>
      </w:r>
      <w:r>
        <w:rPr>
          <w:rFonts w:ascii="Times New Roman" w:hAnsi="Times New Roman"/>
          <w:sz w:val="20"/>
        </w:rPr>
        <w:t xml:space="preserve"> </w:t>
      </w:r>
      <w:r>
        <w:rPr>
          <w:rFonts w:ascii="Times New Roman;serif" w:hAnsi="Times New Roman;serif"/>
          <w:b w:val="false"/>
          <w:sz w:val="20"/>
        </w:rPr>
        <w:t>is available at the Lender’s option.</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On December 23, 2022, the Company entered into a First Amendment to the loan agreement. The amendment modified the agreement as follows: (i) each of the Company and Millendo Therapeutics US, Inc., a Delaware corporation and wholly owned subsidiary of the Company (“Millendo”), were joined as co-borrowers under the Loan Agreement; (ii) the interest-only repayment period was extended through December 31, 2023 (which interest-only period may be further extended through June 30, 2024 under certain circumstances); and (iii) a security interest in all of the assets of the Company, TempestTx and Millendo, including any intellectual property, was granted to the Lender. In addition, the Lender permitted a one-time prepayment in the amount of $5.0</w:t>
      </w:r>
      <w:r>
        <w:rPr>
          <w:rFonts w:ascii="Times New Roman" w:hAnsi="Times New Roman"/>
          <w:sz w:val="20"/>
        </w:rPr>
        <w:t xml:space="preserve"> </w:t>
      </w:r>
      <w:r>
        <w:rPr>
          <w:rFonts w:ascii="Times New Roman;serif" w:hAnsi="Times New Roman;serif"/>
          <w:b w:val="false"/>
          <w:sz w:val="20"/>
        </w:rPr>
        <w:t>million, which the Company paid on December 23, 2022.</w:t>
      </w:r>
    </w:p>
    <w:p>
      <w:pPr>
        <w:pStyle w:val="TextBody"/>
        <w:bidi w:val="0"/>
        <w:spacing w:before="240" w:after="0"/>
        <w:jc w:val="both"/>
        <w:rPr>
          <w:rFonts w:ascii="Times New Roman" w:hAnsi="Times New Roman"/>
          <w:sz w:val="20"/>
        </w:rPr>
      </w:pPr>
      <w:r>
        <w:rPr>
          <w:rFonts w:ascii="Times New Roman;serif" w:hAnsi="Times New Roman;serif"/>
          <w:b w:val="false"/>
          <w:sz w:val="20"/>
        </w:rPr>
        <w:t>Following the amendment to the loan agreement, the term loan matures on August 1, 2025</w:t>
      </w:r>
      <w:r>
        <w:rPr>
          <w:rFonts w:ascii="Times New Roman" w:hAnsi="Times New Roman"/>
          <w:sz w:val="20"/>
        </w:rPr>
        <w:t xml:space="preserve"> </w:t>
      </w:r>
      <w:r>
        <w:rPr>
          <w:rFonts w:ascii="Times New Roman;serif" w:hAnsi="Times New Roman;serif"/>
          <w:b w:val="false"/>
          <w:sz w:val="20"/>
        </w:rPr>
        <w:t>and has an annual floating interest rate of 7.15% which is an Index Rate plus 7.10%. Index Rate is the greater of (i) 1-Month CME Term SOFR or (ii) 0.05%. Monthly principal payments of $513</w:t>
      </w:r>
      <w:r>
        <w:rPr>
          <w:rFonts w:ascii="Times New Roman" w:hAnsi="Times New Roman"/>
          <w:sz w:val="20"/>
        </w:rPr>
        <w:t xml:space="preserve"> </w:t>
      </w:r>
      <w:r>
        <w:rPr>
          <w:rFonts w:ascii="Times New Roman;serif" w:hAnsi="Times New Roman;serif"/>
          <w:b w:val="false"/>
          <w:sz w:val="20"/>
        </w:rPr>
        <w:t>will begin on January 1, 2024. Related to this borrowing, the Company recorded loan discounts totaling $898</w:t>
      </w:r>
      <w:r>
        <w:rPr>
          <w:rFonts w:ascii="Times New Roman" w:hAnsi="Times New Roman"/>
          <w:sz w:val="20"/>
        </w:rPr>
        <w:t xml:space="preserve"> </w:t>
      </w:r>
      <w:r>
        <w:rPr>
          <w:rFonts w:ascii="Times New Roman;serif" w:hAnsi="Times New Roman;serif"/>
          <w:b w:val="false"/>
          <w:sz w:val="20"/>
        </w:rPr>
        <w:t>and paid $95</w:t>
      </w:r>
      <w:r>
        <w:rPr>
          <w:rFonts w:ascii="Times New Roman" w:hAnsi="Times New Roman"/>
          <w:sz w:val="20"/>
        </w:rPr>
        <w:t xml:space="preserve"> </w:t>
      </w:r>
      <w:r>
        <w:rPr>
          <w:rFonts w:ascii="Times New Roman;serif" w:hAnsi="Times New Roman;serif"/>
          <w:b w:val="false"/>
          <w:sz w:val="20"/>
        </w:rPr>
        <w:t>of debt issuance costs. These amounts would be amortized as additional interest expense over the life of the loan. As of March 31, 2023, the balance of the loan payable (net of debt issuance costs) was $10.4</w:t>
      </w:r>
      <w:r>
        <w:rPr>
          <w:rFonts w:ascii="Times New Roman" w:hAnsi="Times New Roman"/>
          <w:sz w:val="20"/>
        </w:rPr>
        <w:t xml:space="preserve"> </w:t>
      </w:r>
      <w:r>
        <w:rPr>
          <w:rFonts w:ascii="Times New Roman;serif" w:hAnsi="Times New Roman;serif"/>
          <w:b w:val="false"/>
          <w:sz w:val="20"/>
        </w:rPr>
        <w:t>million. The carrying value of the loan approximates fair value (Level 2).</w:t>
      </w:r>
    </w:p>
    <w:p>
      <w:pPr>
        <w:pStyle w:val="TextBody"/>
        <w:bidi w:val="0"/>
        <w:spacing w:before="240" w:after="0"/>
        <w:jc w:val="both"/>
        <w:rPr>
          <w:rFonts w:ascii="Times New Roman" w:hAnsi="Times New Roman"/>
          <w:sz w:val="20"/>
        </w:rPr>
      </w:pPr>
      <w:r>
        <w:rPr>
          <w:rFonts w:ascii="Times New Roman;serif" w:hAnsi="Times New Roman;serif"/>
          <w:b w:val="false"/>
          <w:sz w:val="20"/>
        </w:rPr>
        <w:t>For the three months ended March 31, 2023 and 2022, total interest expense was $344</w:t>
      </w:r>
      <w:r>
        <w:rPr>
          <w:rFonts w:ascii="Times New Roman" w:hAnsi="Times New Roman"/>
          <w:sz w:val="20"/>
        </w:rPr>
        <w:t xml:space="preserve"> </w:t>
      </w:r>
      <w:r>
        <w:rPr>
          <w:rFonts w:ascii="Times New Roman;serif" w:hAnsi="Times New Roman;serif"/>
          <w:b w:val="false"/>
          <w:sz w:val="20"/>
        </w:rPr>
        <w:t>and $333, respectively.</w:t>
      </w:r>
    </w:p>
    <w:p>
      <w:pPr>
        <w:pStyle w:val="TextBody"/>
        <w:bidi w:val="0"/>
        <w:spacing w:before="200" w:after="0"/>
        <w:jc w:val="both"/>
        <w:rPr>
          <w:rFonts w:ascii="Times New Roman;serif" w:hAnsi="Times New Roman;serif"/>
          <w:b/>
          <w:sz w:val="20"/>
        </w:rPr>
      </w:pPr>
      <w:bookmarkStart w:id="16" w:name="section18"/>
      <w:bookmarkEnd w:id="16"/>
      <w:r>
        <w:rPr>
          <w:rFonts w:ascii="Times New Roman;serif" w:hAnsi="Times New Roman;serif"/>
          <w:b/>
          <w:sz w:val="20"/>
        </w:rPr>
        <w:t>7. STOCKHOLDERS' EQUITY</w:t>
      </w:r>
    </w:p>
    <w:p>
      <w:pPr>
        <w:pStyle w:val="TextBody"/>
        <w:bidi w:val="0"/>
        <w:spacing w:before="200" w:after="0"/>
        <w:jc w:val="both"/>
        <w:rPr>
          <w:rFonts w:ascii="Times New Roman;serif" w:hAnsi="Times New Roman;serif"/>
          <w:b/>
          <w:sz w:val="20"/>
        </w:rPr>
      </w:pPr>
      <w:r>
        <w:rPr>
          <w:rFonts w:ascii="Times New Roman;serif" w:hAnsi="Times New Roman;serif"/>
          <w:b/>
          <w:sz w:val="20"/>
        </w:rPr>
        <w:t>Common Stock</w:t>
      </w:r>
    </w:p>
    <w:p>
      <w:pPr>
        <w:pStyle w:val="TextBody"/>
        <w:bidi w:val="0"/>
        <w:spacing w:before="240" w:after="0"/>
        <w:jc w:val="both"/>
        <w:rPr>
          <w:rFonts w:ascii="Times New Roman" w:hAnsi="Times New Roman"/>
          <w:sz w:val="20"/>
        </w:rPr>
      </w:pPr>
      <w:r>
        <w:rPr>
          <w:rFonts w:ascii="Times New Roman;serif" w:hAnsi="Times New Roman;serif"/>
          <w:b w:val="false"/>
          <w:sz w:val="20"/>
        </w:rPr>
        <w:t>As of March 31, 2023 and December 31, 2022, the Company was authorized to issue 100,000,000</w:t>
      </w:r>
      <w:r>
        <w:rPr>
          <w:rFonts w:ascii="Times New Roman" w:hAnsi="Times New Roman"/>
          <w:sz w:val="20"/>
        </w:rPr>
        <w:t xml:space="preserve"> </w:t>
      </w:r>
      <w:r>
        <w:rPr>
          <w:rFonts w:ascii="Times New Roman;serif" w:hAnsi="Times New Roman;serif"/>
          <w:b w:val="false"/>
          <w:sz w:val="20"/>
        </w:rPr>
        <w:t>shares of common stock and 5,000,000</w:t>
      </w:r>
      <w:r>
        <w:rPr>
          <w:rFonts w:ascii="Times New Roman" w:hAnsi="Times New Roman"/>
          <w:sz w:val="20"/>
        </w:rPr>
        <w:t xml:space="preserve"> </w:t>
      </w:r>
      <w:r>
        <w:rPr>
          <w:rFonts w:ascii="Times New Roman;serif" w:hAnsi="Times New Roman;serif"/>
          <w:b w:val="false"/>
          <w:sz w:val="20"/>
        </w:rPr>
        <w:t>shares of preferred stock, each with a par value of $0.001</w:t>
      </w:r>
      <w:r>
        <w:rPr>
          <w:rFonts w:ascii="Times New Roman" w:hAnsi="Times New Roman"/>
          <w:sz w:val="20"/>
        </w:rPr>
        <w:t xml:space="preserve"> </w:t>
      </w:r>
      <w:r>
        <w:rPr>
          <w:rFonts w:ascii="Times New Roman;serif" w:hAnsi="Times New Roman;serif"/>
          <w:b w:val="false"/>
          <w:sz w:val="20"/>
        </w:rPr>
        <w:t>per share. Of the common stock shares authorized, 10,561,700</w:t>
      </w:r>
      <w:r>
        <w:rPr>
          <w:rFonts w:ascii="Times New Roman" w:hAnsi="Times New Roman"/>
          <w:sz w:val="20"/>
        </w:rPr>
        <w:t xml:space="preserve"> </w:t>
      </w:r>
      <w:r>
        <w:rPr>
          <w:rFonts w:ascii="Times New Roman;serif" w:hAnsi="Times New Roman;serif"/>
          <w:b w:val="false"/>
          <w:sz w:val="20"/>
        </w:rPr>
        <w:t>and 10,518,539</w:t>
      </w:r>
      <w:r>
        <w:rPr>
          <w:rFonts w:ascii="Times New Roman" w:hAnsi="Times New Roman"/>
          <w:sz w:val="20"/>
        </w:rPr>
        <w:t xml:space="preserve"> </w:t>
      </w:r>
      <w:r>
        <w:rPr>
          <w:rFonts w:ascii="Times New Roman;serif" w:hAnsi="Times New Roman;serif"/>
          <w:b w:val="false"/>
          <w:sz w:val="20"/>
        </w:rPr>
        <w:t>were issued and outstanding at March 31, 2023 and December 31, 2022, respectively. There were no shares subject to repurchase due to remaining vesting requirements. Common stockholders are entitled to dividends as declared by the Board of Directors, subject to rights of holders of all classes of stock outstanding having priority rights as to dividends. There was no</w:t>
      </w:r>
      <w:r>
        <w:rPr>
          <w:rFonts w:ascii="Times New Roman" w:hAnsi="Times New Roman"/>
          <w:sz w:val="20"/>
        </w:rPr>
        <w:t xml:space="preserve"> </w:t>
      </w:r>
      <w:r>
        <w:rPr>
          <w:rFonts w:ascii="Times New Roman;serif" w:hAnsi="Times New Roman;serif"/>
          <w:b w:val="false"/>
          <w:sz w:val="20"/>
        </w:rPr>
        <w:t>preferred stock issued nor outstanding as of March 31, 2023 and December 31, 2022.</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Common stockholders are entitled to dividends as declared by the Board of Directors, subject to rights of holders of all classes of stock outstanding having priority rights as to dividends. There have been no dividends declared to date. The holders of each share of common stock are entitled to one vote. Except for effecting or validating certain specific actions intended to protect the preferred stockholders, the holders of common stock vote together with preferred stockholders and have the right to elect one member of the Company’s Board of Directors.</w:t>
      </w:r>
    </w:p>
    <w:p>
      <w:pPr>
        <w:pStyle w:val="TextBody"/>
        <w:bidi w:val="0"/>
        <w:spacing w:before="200" w:after="0"/>
        <w:jc w:val="both"/>
        <w:rPr>
          <w:rFonts w:ascii="Times New Roman;serif" w:hAnsi="Times New Roman;serif"/>
          <w:b/>
          <w:sz w:val="20"/>
        </w:rPr>
      </w:pPr>
      <w:r>
        <w:rPr>
          <w:rFonts w:ascii="Times New Roman;serif" w:hAnsi="Times New Roman;serif"/>
          <w:b/>
          <w:sz w:val="20"/>
        </w:rPr>
        <w:t>ATM Program</w:t>
      </w:r>
    </w:p>
    <w:p>
      <w:pPr>
        <w:pStyle w:val="TextBody"/>
        <w:bidi w:val="0"/>
        <w:spacing w:before="240" w:after="0"/>
        <w:jc w:val="both"/>
        <w:rPr>
          <w:rFonts w:ascii="Times New Roman" w:hAnsi="Times New Roman"/>
          <w:sz w:val="20"/>
        </w:rPr>
      </w:pPr>
      <w:r>
        <w:rPr>
          <w:rFonts w:ascii="Times New Roman;serif" w:hAnsi="Times New Roman;serif"/>
          <w:b w:val="false"/>
          <w:sz w:val="20"/>
        </w:rPr>
        <w:t>On July 23, 2021, the Company entered into a sales agreement with Jefferies LLC, pursuant to which the Company may sell, from time to time, up to an aggregate sales price of $100,000,000</w:t>
      </w:r>
      <w:r>
        <w:rPr>
          <w:rFonts w:ascii="Times New Roman" w:hAnsi="Times New Roman"/>
          <w:sz w:val="20"/>
        </w:rPr>
        <w:t xml:space="preserve"> </w:t>
      </w:r>
      <w:r>
        <w:rPr>
          <w:rFonts w:ascii="Times New Roman;serif" w:hAnsi="Times New Roman;serif"/>
          <w:b w:val="false"/>
          <w:sz w:val="20"/>
        </w:rPr>
        <w:t>of its common stock through Jefferies LLC (the "ATM Program"). Our ability to sell securities under the ATM program will be limited until we are no longer subject to the SEC’s “baby shelf” limitations.</w:t>
      </w:r>
    </w:p>
    <w:p>
      <w:pPr>
        <w:pStyle w:val="TextBody"/>
        <w:bidi w:val="0"/>
        <w:spacing w:before="200" w:after="0"/>
        <w:jc w:val="both"/>
        <w:rPr>
          <w:rFonts w:ascii="Times New Roman;serif" w:hAnsi="Times New Roman;serif"/>
          <w:b/>
          <w:sz w:val="20"/>
        </w:rPr>
      </w:pPr>
      <w:r>
        <w:rPr>
          <w:rFonts w:ascii="Times New Roman;serif" w:hAnsi="Times New Roman;serif"/>
          <w:b/>
          <w:sz w:val="20"/>
        </w:rPr>
        <w:t>Pre-Funded Warrants</w:t>
      </w:r>
    </w:p>
    <w:p>
      <w:pPr>
        <w:pStyle w:val="TextBody"/>
        <w:bidi w:val="0"/>
        <w:spacing w:before="240" w:after="0"/>
        <w:jc w:val="both"/>
        <w:rPr>
          <w:rFonts w:ascii="Times New Roman" w:hAnsi="Times New Roman"/>
          <w:sz w:val="20"/>
        </w:rPr>
      </w:pPr>
      <w:r>
        <w:rPr>
          <w:rFonts w:ascii="Times New Roman;serif" w:hAnsi="Times New Roman;serif"/>
          <w:b w:val="false"/>
          <w:sz w:val="20"/>
        </w:rPr>
        <w:t>In April 2022, the Company completed a PIPE financing, which included the issuance of pre-funded warrants to purchase up to 3,206,020</w:t>
      </w:r>
      <w:r>
        <w:rPr>
          <w:rFonts w:ascii="Times New Roman" w:hAnsi="Times New Roman"/>
          <w:sz w:val="20"/>
        </w:rPr>
        <w:t xml:space="preserve"> </w:t>
      </w:r>
      <w:r>
        <w:rPr>
          <w:rFonts w:ascii="Times New Roman;serif" w:hAnsi="Times New Roman;serif"/>
          <w:b w:val="false"/>
          <w:sz w:val="20"/>
        </w:rPr>
        <w:t>shares of its common stock at a price per pre-funded warrant of $2.359</w:t>
      </w:r>
      <w:r>
        <w:rPr>
          <w:rFonts w:ascii="Times New Roman" w:hAnsi="Times New Roman"/>
          <w:sz w:val="20"/>
        </w:rPr>
        <w:t xml:space="preserve"> </w:t>
      </w:r>
      <w:r>
        <w:rPr>
          <w:rFonts w:ascii="Times New Roman;serif" w:hAnsi="Times New Roman;serif"/>
          <w:b w:val="false"/>
          <w:sz w:val="20"/>
        </w:rPr>
        <w:t>to the PIPE Investors. The pre-funded warrants provide that the holder will not have the right to exercise any portion of its warrants if such holder, together with its affiliates, would beneficially own in excess of 9.99% of the number of shares of the Company’s common stock outstanding immediately after giving effect to such exercise (the “Beneficial Ownership Limitation”); provided, however, that the holder may increase or decrease the Beneficial Ownership Limitation by giving 61</w:t>
      </w:r>
      <w:r>
        <w:rPr>
          <w:rFonts w:ascii="Times New Roman" w:hAnsi="Times New Roman"/>
          <w:sz w:val="20"/>
        </w:rPr>
        <w:t xml:space="preserve"> </w:t>
      </w:r>
      <w:r>
        <w:rPr>
          <w:rFonts w:ascii="Times New Roman;serif" w:hAnsi="Times New Roman;serif"/>
          <w:b w:val="false"/>
          <w:sz w:val="20"/>
        </w:rPr>
        <w:t>days’ notice to the Company, but not to any percentage in excess of 19.99%.</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00" w:after="0"/>
        <w:jc w:val="both"/>
        <w:rPr>
          <w:rFonts w:ascii="Times New Roman;serif" w:hAnsi="Times New Roman;serif"/>
          <w:b/>
          <w:sz w:val="20"/>
        </w:rPr>
      </w:pPr>
      <w:bookmarkStart w:id="17" w:name="section20"/>
      <w:bookmarkEnd w:id="17"/>
      <w:r>
        <w:rPr>
          <w:rFonts w:ascii="Times New Roman;serif" w:hAnsi="Times New Roman;serif"/>
          <w:b/>
          <w:sz w:val="20"/>
        </w:rPr>
        <w:t>8. STOCK-BASED COMPENSATION</w:t>
      </w:r>
    </w:p>
    <w:p>
      <w:pPr>
        <w:pStyle w:val="TextBody"/>
        <w:bidi w:val="0"/>
        <w:spacing w:before="200" w:after="0"/>
        <w:jc w:val="both"/>
        <w:rPr>
          <w:rFonts w:ascii="Times New Roman;serif" w:hAnsi="Times New Roman;serif"/>
          <w:b/>
          <w:sz w:val="20"/>
        </w:rPr>
      </w:pPr>
      <w:r>
        <w:rPr>
          <w:rFonts w:ascii="Times New Roman;serif" w:hAnsi="Times New Roman;serif"/>
          <w:b/>
          <w:sz w:val="20"/>
        </w:rPr>
        <w:t>Equity Plans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2011, Private Tempest adopted the 2011 Equity Incentive Plan (the “2011 Plan), and in 2017, Private Tempest adopted the 2017 Equity Incentive Plan (the “2017 Plan”), and together with the 2011 Plan, the “Tempest Prior Plans.” The Tempest Prior Plans have been terminated and no additional grants may be made under either plan. All stock awards granted under the Tempest Prior Plans will remain subject to the terms of the applicable prior plan. As a result of the merger with Millendo, the Tempest Prior Plans were assumed by the Company.</w:t>
      </w:r>
    </w:p>
    <w:p>
      <w:pPr>
        <w:pStyle w:val="TextBody"/>
        <w:bidi w:val="0"/>
        <w:spacing w:before="240" w:after="0"/>
        <w:jc w:val="both"/>
        <w:rPr>
          <w:rFonts w:ascii="Times New Roman" w:hAnsi="Times New Roman"/>
          <w:sz w:val="20"/>
        </w:rPr>
      </w:pPr>
      <w:r>
        <w:rPr>
          <w:rFonts w:ascii="Times New Roman;serif" w:hAnsi="Times New Roman;serif"/>
          <w:b w:val="false"/>
          <w:sz w:val="20"/>
        </w:rPr>
        <w:t>The Board of Millendo adopted the 2019 Equity Incentive Plan (the “2019 Plan”) on April 29, 2019, subject to approval by the Company’s stockholders, and became effective with such stockholder approval on June 11, 2019. On June 17, 2022, the Company’s stockholders approved the Amended and Restated 2019 Equity Incentive Plan (the “A&amp;R 2019 Plan”), which amended and restated the 2019 Plan and will be a successor to, and replacement of, the 2019 Plan. The number of shares of the Company's common stock reserved for issuance under the A&amp;R 2019 Plan will automatically increase on January 1st of each year, for a period of 10 years, from January 1, 2020 continuing through January 1, 2029, by 4% of the total number of shares of the Company's common stock outstanding on December 31 of the preceding calendar year, or a lesser number of shares as may be determined by the Board of Directors. On January 1, 2023, the common stock reserved for issuance was increased by 420,742</w:t>
      </w:r>
      <w:r>
        <w:rPr>
          <w:rFonts w:ascii="Times New Roman" w:hAnsi="Times New Roman"/>
          <w:sz w:val="20"/>
        </w:rPr>
        <w:t xml:space="preserve"> </w:t>
      </w:r>
      <w:r>
        <w:rPr>
          <w:rFonts w:ascii="Times New Roman;serif" w:hAnsi="Times New Roman;serif"/>
          <w:b w:val="false"/>
          <w:sz w:val="20"/>
        </w:rPr>
        <w:t>shares. As of March 31, 2023, a total of 629,388</w:t>
      </w:r>
      <w:r>
        <w:rPr>
          <w:rFonts w:ascii="Times New Roman" w:hAnsi="Times New Roman"/>
          <w:sz w:val="20"/>
        </w:rPr>
        <w:t xml:space="preserve"> </w:t>
      </w:r>
      <w:r>
        <w:rPr>
          <w:rFonts w:ascii="Times New Roman;serif" w:hAnsi="Times New Roman;serif"/>
          <w:b w:val="false"/>
          <w:sz w:val="20"/>
        </w:rPr>
        <w:t>shares are available for future grant under the A&amp;R 2019 Plan.</w:t>
      </w:r>
    </w:p>
    <w:p>
      <w:pPr>
        <w:pStyle w:val="TextBody"/>
        <w:bidi w:val="0"/>
        <w:spacing w:before="200" w:after="0"/>
        <w:jc w:val="both"/>
        <w:rPr>
          <w:rFonts w:ascii="Times New Roman" w:hAnsi="Times New Roman"/>
          <w:sz w:val="20"/>
        </w:rPr>
      </w:pPr>
      <w:r>
        <w:rPr>
          <w:rFonts w:ascii="Times New Roman;serif" w:hAnsi="Times New Roman;serif"/>
          <w:b w:val="false"/>
          <w:sz w:val="20"/>
        </w:rPr>
        <w:t>The A&amp;R 2019 Plan allows the Company to grant stock awards to employees, directors and consultants of the Company, including incentive stock options (“ISOs”), nonqualified stock options (“NSOs”), stock appreciation rights, restricted stock awards, restricted stock unit awards and other stock awards.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The Company measures employee and non-employee stock-based awards at grant date fair value and records compensation expense on a straight-line basis over the vesting period of the award.</w:t>
      </w:r>
      <w:r>
        <w:rPr>
          <w:rFonts w:ascii="Times New Roman" w:hAnsi="Times New Roman"/>
          <w:sz w:val="20"/>
        </w:rPr>
        <w:t xml:space="preserve"> </w:t>
      </w:r>
    </w:p>
    <w:p>
      <w:pPr>
        <w:pStyle w:val="TextBody"/>
        <w:bidi w:val="0"/>
        <w:spacing w:before="200" w:after="0"/>
        <w:jc w:val="both"/>
        <w:rPr>
          <w:rFonts w:ascii="Times New Roman;serif" w:hAnsi="Times New Roman;serif"/>
          <w:b/>
          <w:sz w:val="20"/>
        </w:rPr>
      </w:pPr>
      <w:r>
        <w:rPr>
          <w:rFonts w:ascii="Times New Roman;serif" w:hAnsi="Times New Roman;serif"/>
          <w:b/>
          <w:sz w:val="20"/>
        </w:rPr>
        <w:t>Employee Stock Ownership Plan</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Board of Millendo adopted the 2019 Employee Stock Purchase Plan on April 29, 2019, which became effective upon stockholder approval on June 11, 2019. On June 17, 2022, the Company’s stockholders approved the Amended and Restated 2019 Employee Stock Purchase Plan (the “2019 ESPP”). The 2019 ESPP enables employees to purchase shares of the Company's common stock through offerings of rights to purchase the Company's common stock to all eligible employees.</w:t>
      </w:r>
    </w:p>
    <w:p>
      <w:pPr>
        <w:pStyle w:val="TextBody"/>
        <w:bidi w:val="0"/>
        <w:spacing w:before="240" w:after="0"/>
        <w:jc w:val="both"/>
        <w:rPr>
          <w:rFonts w:ascii="Times New Roman" w:hAnsi="Times New Roman"/>
          <w:sz w:val="20"/>
        </w:rPr>
      </w:pPr>
      <w:r>
        <w:rPr>
          <w:rFonts w:ascii="Times New Roman;serif" w:hAnsi="Times New Roman;serif"/>
          <w:b w:val="false"/>
          <w:sz w:val="20"/>
        </w:rPr>
        <w:t>The 2019 ESPP provides that the number of shares of common stock reserved for issuance under the 2019 ESPP will automatically increase on January 1, 2023 and continuing through (and including) January 1, 2029, by the lesser of 1.5% of the total number of shares of Common Stock outstanding on December 31st of the preceding calendar year, (ii) 500,000</w:t>
      </w:r>
      <w:r>
        <w:rPr>
          <w:rFonts w:ascii="Times New Roman" w:hAnsi="Times New Roman"/>
          <w:sz w:val="20"/>
        </w:rPr>
        <w:t xml:space="preserve"> </w:t>
      </w:r>
      <w:r>
        <w:rPr>
          <w:rFonts w:ascii="Times New Roman;serif" w:hAnsi="Times New Roman;serif"/>
          <w:b w:val="false"/>
          <w:sz w:val="20"/>
        </w:rPr>
        <w:t>shares of Common Stock, or (iii) such lesser number of shares of Common Stock as determined by the Board of Directors (which may be zero). On January 1, 2023, the common stock reserved for issuance was increased by 157,778</w:t>
      </w:r>
      <w:r>
        <w:rPr>
          <w:rFonts w:ascii="Times New Roman" w:hAnsi="Times New Roman"/>
          <w:sz w:val="20"/>
        </w:rPr>
        <w:t xml:space="preserve"> </w:t>
      </w:r>
      <w:r>
        <w:rPr>
          <w:rFonts w:ascii="Times New Roman;serif" w:hAnsi="Times New Roman;serif"/>
          <w:b w:val="false"/>
          <w:sz w:val="20"/>
        </w:rPr>
        <w:t>shares.</w:t>
      </w:r>
    </w:p>
    <w:p>
      <w:pPr>
        <w:pStyle w:val="TextBody"/>
        <w:bidi w:val="0"/>
        <w:spacing w:before="240" w:after="0"/>
        <w:jc w:val="both"/>
        <w:rPr>
          <w:rFonts w:ascii="Times New Roman" w:hAnsi="Times New Roman"/>
          <w:sz w:val="20"/>
        </w:rPr>
      </w:pPr>
      <w:r>
        <w:rPr>
          <w:rFonts w:ascii="Times New Roman;serif" w:hAnsi="Times New Roman;serif"/>
          <w:b w:val="false"/>
          <w:sz w:val="20"/>
        </w:rPr>
        <w:t>As of March 31, 2023, 253,097</w:t>
      </w:r>
      <w:r>
        <w:rPr>
          <w:rFonts w:ascii="Times New Roman" w:hAnsi="Times New Roman"/>
          <w:sz w:val="20"/>
        </w:rPr>
        <w:t xml:space="preserve"> </w:t>
      </w:r>
      <w:r>
        <w:rPr>
          <w:rFonts w:ascii="Times New Roman;serif" w:hAnsi="Times New Roman;serif"/>
          <w:b w:val="false"/>
          <w:sz w:val="20"/>
        </w:rPr>
        <w:t>shares of common stock remained available for future issuance under the 2019 ESPP. During the three months ended March 31, 2023, 41,778</w:t>
      </w:r>
      <w:r>
        <w:rPr>
          <w:rFonts w:ascii="Times New Roman" w:hAnsi="Times New Roman"/>
          <w:sz w:val="20"/>
        </w:rPr>
        <w:t xml:space="preserve"> </w:t>
      </w:r>
      <w:r>
        <w:rPr>
          <w:rFonts w:ascii="Times New Roman;serif" w:hAnsi="Times New Roman;serif"/>
          <w:b w:val="false"/>
          <w:sz w:val="20"/>
        </w:rPr>
        <w:t>shares of common stock had been issued under the 2019 ESPP.</w:t>
      </w:r>
    </w:p>
    <w:p>
      <w:pPr>
        <w:pStyle w:val="TextBody"/>
        <w:bidi w:val="0"/>
        <w:spacing w:before="200" w:after="0"/>
        <w:jc w:val="both"/>
        <w:rPr>
          <w:rFonts w:ascii="Times New Roman;serif" w:hAnsi="Times New Roman;serif"/>
          <w:b/>
          <w:sz w:val="20"/>
        </w:rPr>
      </w:pPr>
      <w:r>
        <w:rPr>
          <w:rFonts w:ascii="Times New Roman;serif" w:hAnsi="Times New Roman;serif"/>
          <w:b/>
          <w:sz w:val="20"/>
        </w:rPr>
        <w:t>Stock Options</w:t>
      </w:r>
    </w:p>
    <w:p>
      <w:pPr>
        <w:pStyle w:val="TextBody"/>
        <w:bidi w:val="0"/>
        <w:spacing w:before="240" w:after="0"/>
        <w:jc w:val="both"/>
        <w:rPr>
          <w:rFonts w:ascii="Times New Roman" w:hAnsi="Times New Roman"/>
          <w:sz w:val="20"/>
        </w:rPr>
      </w:pPr>
      <w:r>
        <w:rPr>
          <w:rFonts w:ascii="Times New Roman;serif" w:hAnsi="Times New Roman;serif"/>
          <w:b w:val="false"/>
          <w:sz w:val="20"/>
        </w:rPr>
        <w:t>Options to purchase the Company’s common stock may be granted at a price not less than the fair market value in the case of both NSOs and ISOs, except for an options holder who owns more than 10% of the voting power of all classes of stock of the Company, in which case the exercise price shall be no less than 110% of the fair market value per share on the grant date. Stock options granted under the Plans generally vest over</w:t>
      </w:r>
      <w:r>
        <w:rPr>
          <w:rFonts w:ascii="Times New Roman" w:hAnsi="Times New Roman"/>
          <w:sz w:val="20"/>
        </w:rPr>
        <w:t xml:space="preserve"> </w:t>
      </w:r>
      <w:r>
        <w:rPr>
          <w:rFonts w:ascii="Times New Roman;serif" w:hAnsi="Times New Roman;serif"/>
          <w:b w:val="false"/>
          <w:sz w:val="20"/>
        </w:rPr>
        <w:t>four years</w:t>
      </w:r>
      <w:r>
        <w:rPr>
          <w:rFonts w:ascii="Times New Roman" w:hAnsi="Times New Roman"/>
          <w:sz w:val="20"/>
        </w:rPr>
        <w:t xml:space="preserve"> </w:t>
      </w:r>
      <w:r>
        <w:rPr>
          <w:rFonts w:ascii="Times New Roman;serif" w:hAnsi="Times New Roman;serif"/>
          <w:b w:val="false"/>
          <w:sz w:val="20"/>
        </w:rPr>
        <w:t>and expire no later than ten (10) years from the date of grant. Vested options can be exercised at any time.</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Prior to the merger with Millendo, the grant date fair market value of the shares of common stock underlying stock options has historically been determined by the Company’s Board of Directors. Up until the merger, there had been no public market for the Company’s common stock, and therefore the Board of Directors exercised reasonable judgment and considered a number of objective and subjective factors to determine the best estimate of the fair market value, which included valuations performed by an independent third-party, important developments in the Company’s operations, sales of convertible preferred stock, actual operating results, financial performance, the conditions in the life sciences industry, the economy in general, the stock price performance and volatility of comparable public companies, and the lack of liquidity of the Company’s common stock.</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following shows the stock option activities for the three months ended March 31, 2023 and 2022:</w:t>
      </w:r>
    </w:p>
    <w:p>
      <w:pPr>
        <w:pStyle w:val="TextBody"/>
        <w:bidi w:val="0"/>
        <w:spacing w:before="0" w:after="0"/>
        <w:jc w:val="left"/>
        <w:rPr/>
      </w:pPr>
      <w:r>
        <w:rPr/>
        <w:t> </w:t>
      </w:r>
    </w:p>
    <w:tbl>
      <w:tblPr>
        <w:tblW w:w="6012" w:type="dxa"/>
        <w:jc w:val="left"/>
        <w:tblInd w:w="0" w:type="dxa"/>
        <w:tblLayout w:type="fixed"/>
        <w:tblCellMar>
          <w:top w:w="28" w:type="dxa"/>
          <w:left w:w="28" w:type="dxa"/>
          <w:bottom w:w="28" w:type="dxa"/>
          <w:right w:w="28" w:type="dxa"/>
        </w:tblCellMar>
      </w:tblPr>
      <w:tblGrid>
        <w:gridCol w:w="2551"/>
        <w:gridCol w:w="146"/>
        <w:gridCol w:w="146"/>
        <w:gridCol w:w="935"/>
        <w:gridCol w:w="166"/>
        <w:gridCol w:w="146"/>
        <w:gridCol w:w="413"/>
        <w:gridCol w:w="1118"/>
        <w:gridCol w:w="3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br/>
              <w:t>Options</w:t>
              <w:br/>
              <w:t>Outstanding</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Weighted-Average</w:t>
              <w:br/>
              <w:t>Exercise</w:t>
              <w:br/>
              <w:t>Price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1,553,041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w:t>
            </w:r>
          </w:p>
        </w:tc>
        <w:tc>
          <w:tcPr>
            <w:tcW w:w="39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623,550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pPr>
            <w:r>
              <w:rPr/>
              <w:t> </w:t>
            </w:r>
          </w:p>
        </w:tc>
        <w:tc>
          <w:tcPr>
            <w:tcW w:w="11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39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pPr>
            <w:r>
              <w:rPr/>
              <w:t> </w:t>
            </w:r>
          </w:p>
        </w:tc>
        <w:tc>
          <w:tcPr>
            <w:tcW w:w="1118"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Cancelled and 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pPr>
            <w:r>
              <w:rPr/>
              <w:t> </w:t>
            </w:r>
          </w:p>
        </w:tc>
        <w:tc>
          <w:tcPr>
            <w:tcW w:w="11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w:t>
            </w:r>
          </w:p>
        </w:tc>
        <w:tc>
          <w:tcPr>
            <w:tcW w:w="391" w:type="dxa"/>
            <w:tcBorders/>
            <w:vAlign w:val="center"/>
          </w:tcPr>
          <w:p>
            <w:pPr>
              <w:pStyle w:val="TableContents"/>
              <w:bidi w:val="0"/>
              <w:spacing w:before="0" w:after="0"/>
              <w:ind w:left="0" w:right="0" w:hanging="0"/>
              <w:jc w:val="left"/>
              <w:rPr/>
            </w:pPr>
            <w:r>
              <w:rPr/>
              <w:t> </w:t>
            </w:r>
          </w:p>
        </w:tc>
      </w:tr>
      <w:tr>
        <w:trPr/>
        <w:tc>
          <w:tcPr>
            <w:tcW w:w="2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2,147,411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5.13</w:t>
            </w:r>
          </w:p>
        </w:tc>
        <w:tc>
          <w:tcPr>
            <w:tcW w:w="391" w:type="dxa"/>
            <w:tcBorders/>
            <w:vAlign w:val="center"/>
          </w:tcPr>
          <w:p>
            <w:pPr>
              <w:pStyle w:val="TableContents"/>
              <w:bidi w:val="0"/>
              <w:spacing w:before="0" w:after="0"/>
              <w:ind w:left="0" w:right="0" w:hanging="0"/>
              <w:jc w:val="left"/>
              <w:rPr/>
            </w:pPr>
            <w:r>
              <w:rPr/>
              <w:t> </w:t>
            </w:r>
          </w:p>
        </w:tc>
      </w:tr>
      <w:tr>
        <w:trPr/>
        <w:tc>
          <w:tcPr>
            <w:tcW w:w="25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31"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790,637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32.82</w:t>
            </w:r>
          </w:p>
        </w:tc>
        <w:tc>
          <w:tcPr>
            <w:tcW w:w="39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303,125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pPr>
            <w:r>
              <w:rPr/>
              <w:t> </w:t>
            </w:r>
          </w:p>
        </w:tc>
        <w:tc>
          <w:tcPr>
            <w:tcW w:w="11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w:t>
            </w:r>
          </w:p>
        </w:tc>
        <w:tc>
          <w:tcPr>
            <w:tcW w:w="39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pPr>
            <w:r>
              <w:rPr/>
              <w:t> </w:t>
            </w:r>
          </w:p>
        </w:tc>
        <w:tc>
          <w:tcPr>
            <w:tcW w:w="1118"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25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Cancelled and 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pPr>
            <w:r>
              <w:rPr/>
              <w:t> </w:t>
            </w:r>
          </w:p>
        </w:tc>
        <w:tc>
          <w:tcPr>
            <w:tcW w:w="11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w:t>
            </w:r>
          </w:p>
        </w:tc>
        <w:tc>
          <w:tcPr>
            <w:tcW w:w="391" w:type="dxa"/>
            <w:tcBorders/>
            <w:vAlign w:val="center"/>
          </w:tcPr>
          <w:p>
            <w:pPr>
              <w:pStyle w:val="TableContents"/>
              <w:bidi w:val="0"/>
              <w:spacing w:before="0" w:after="0"/>
              <w:ind w:left="0" w:right="0" w:hanging="0"/>
              <w:jc w:val="left"/>
              <w:rPr/>
            </w:pPr>
            <w:r>
              <w:rPr/>
              <w:t> </w:t>
            </w:r>
          </w:p>
        </w:tc>
      </w:tr>
      <w:tr>
        <w:trPr/>
        <w:tc>
          <w:tcPr>
            <w:tcW w:w="2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1,076,560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pPr>
            <w:r>
              <w:rPr/>
              <w:t> </w:t>
            </w:r>
          </w:p>
        </w:tc>
        <w:tc>
          <w:tcPr>
            <w:tcW w:w="11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25.75</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table summarizes information about stock options outstanding at March 31, 2023:</w:t>
      </w:r>
    </w:p>
    <w:p>
      <w:pPr>
        <w:pStyle w:val="TextBody"/>
        <w:bidi w:val="0"/>
        <w:spacing w:before="0" w:after="0"/>
        <w:jc w:val="both"/>
        <w:rPr/>
      </w:pPr>
      <w:r>
        <w:rPr/>
        <w:t> </w:t>
      </w:r>
    </w:p>
    <w:tbl>
      <w:tblPr>
        <w:tblW w:w="8336" w:type="dxa"/>
        <w:jc w:val="left"/>
        <w:tblInd w:w="0" w:type="dxa"/>
        <w:tblLayout w:type="fixed"/>
        <w:tblCellMar>
          <w:top w:w="28" w:type="dxa"/>
          <w:left w:w="28" w:type="dxa"/>
          <w:bottom w:w="28" w:type="dxa"/>
          <w:right w:w="28" w:type="dxa"/>
        </w:tblCellMar>
      </w:tblPr>
      <w:tblGrid>
        <w:gridCol w:w="2386"/>
        <w:gridCol w:w="146"/>
        <w:gridCol w:w="146"/>
        <w:gridCol w:w="931"/>
        <w:gridCol w:w="146"/>
        <w:gridCol w:w="146"/>
        <w:gridCol w:w="297"/>
        <w:gridCol w:w="948"/>
        <w:gridCol w:w="146"/>
        <w:gridCol w:w="146"/>
        <w:gridCol w:w="360"/>
        <w:gridCol w:w="795"/>
        <w:gridCol w:w="146"/>
        <w:gridCol w:w="146"/>
        <w:gridCol w:w="419"/>
        <w:gridCol w:w="841"/>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Weighted</w:t>
              <w:br/>
              <w:t>Average</w:t>
              <w:br/>
              <w:t>Remaining</w:t>
              <w:br/>
              <w:t>Contractual</w:t>
              <w:br/>
              <w:t>Life (In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Weighted</w:t>
              <w:br/>
              <w:t>Average</w:t>
              <w:br/>
              <w:t>Exercise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Aggregate</w:t>
              <w:br/>
              <w:t>Intrinsic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outstanding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2,147,411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676</w:t>
            </w:r>
          </w:p>
        </w:tc>
        <w:tc>
          <w:tcPr>
            <w:tcW w:w="191" w:type="dxa"/>
            <w:tcBorders/>
            <w:vAlign w:val="center"/>
          </w:tcPr>
          <w:p>
            <w:pPr>
              <w:pStyle w:val="TableContents"/>
              <w:bidi w:val="0"/>
              <w:spacing w:before="0" w:after="0"/>
              <w:ind w:left="0" w:right="0" w:hanging="0"/>
              <w:jc w:val="left"/>
              <w:rPr/>
            </w:pPr>
            <w:r>
              <w:rPr/>
              <w:t> </w:t>
            </w:r>
          </w:p>
        </w:tc>
      </w:tr>
      <w:tr>
        <w:trPr/>
        <w:tc>
          <w:tcPr>
            <w:tcW w:w="2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 and expected to vest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2,147,411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676</w:t>
            </w:r>
          </w:p>
        </w:tc>
        <w:tc>
          <w:tcPr>
            <w:tcW w:w="191" w:type="dxa"/>
            <w:tcBorders/>
            <w:vAlign w:val="center"/>
          </w:tcPr>
          <w:p>
            <w:pPr>
              <w:pStyle w:val="TableContents"/>
              <w:bidi w:val="0"/>
              <w:spacing w:before="0" w:after="0"/>
              <w:ind w:left="0" w:right="0" w:hanging="0"/>
              <w:jc w:val="left"/>
              <w:rPr/>
            </w:pPr>
            <w:r>
              <w:rPr/>
              <w:t> </w:t>
            </w:r>
          </w:p>
        </w:tc>
      </w:tr>
      <w:tr>
        <w:trPr/>
        <w:tc>
          <w:tcPr>
            <w:tcW w:w="2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558,724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Times New Roman;serif" w:hAnsi="Times New Roman;serif"/>
          <w:b w:val="false"/>
          <w:sz w:val="20"/>
        </w:rPr>
        <w:t>During the three months ended March 31, 2023 and 2022, the Company granted employees and non-employees stock options to purchase 623,550</w:t>
      </w:r>
      <w:r>
        <w:rPr>
          <w:rFonts w:ascii="Times New Roman" w:hAnsi="Times New Roman"/>
          <w:sz w:val="20"/>
        </w:rPr>
        <w:t xml:space="preserve"> </w:t>
      </w:r>
      <w:r>
        <w:rPr>
          <w:rFonts w:ascii="Times New Roman;serif" w:hAnsi="Times New Roman;serif"/>
          <w:b w:val="false"/>
          <w:sz w:val="20"/>
        </w:rPr>
        <w:t>and 303,125</w:t>
      </w:r>
      <w:r>
        <w:rPr>
          <w:rFonts w:ascii="Times New Roman" w:hAnsi="Times New Roman"/>
          <w:sz w:val="20"/>
        </w:rPr>
        <w:t xml:space="preserve"> </w:t>
      </w:r>
      <w:r>
        <w:rPr>
          <w:rFonts w:ascii="Times New Roman;serif" w:hAnsi="Times New Roman;serif"/>
          <w:b w:val="false"/>
          <w:sz w:val="20"/>
        </w:rPr>
        <w:t>shares of common stock with a weighted-average grant date fair value of $1.03</w:t>
      </w:r>
      <w:r>
        <w:rPr>
          <w:rFonts w:ascii="Times New Roman" w:hAnsi="Times New Roman"/>
          <w:sz w:val="20"/>
        </w:rPr>
        <w:t xml:space="preserve"> </w:t>
      </w:r>
      <w:r>
        <w:rPr>
          <w:rFonts w:ascii="Times New Roman;serif" w:hAnsi="Times New Roman;serif"/>
          <w:b w:val="false"/>
          <w:sz w:val="20"/>
        </w:rPr>
        <w:t>and $4.37</w:t>
      </w:r>
      <w:r>
        <w:rPr>
          <w:rFonts w:ascii="Times New Roman" w:hAnsi="Times New Roman"/>
          <w:sz w:val="20"/>
        </w:rPr>
        <w:t xml:space="preserve"> </w:t>
      </w:r>
      <w:r>
        <w:rPr>
          <w:rFonts w:ascii="Times New Roman;serif" w:hAnsi="Times New Roman;serif"/>
          <w:b w:val="false"/>
          <w:sz w:val="20"/>
        </w:rPr>
        <w:t>per share, respectively. As of March 31, 2023 and 2022, total unrecognized compensation costs related to unvested employee stock options were $4,140</w:t>
      </w:r>
      <w:r>
        <w:rPr>
          <w:rFonts w:ascii="Times New Roman" w:hAnsi="Times New Roman"/>
          <w:sz w:val="20"/>
        </w:rPr>
        <w:t xml:space="preserve"> </w:t>
      </w:r>
      <w:r>
        <w:rPr>
          <w:rFonts w:ascii="Times New Roman;serif" w:hAnsi="Times New Roman;serif"/>
          <w:b w:val="false"/>
          <w:sz w:val="20"/>
        </w:rPr>
        <w:t>and $3,992, respectively. These costs are expected to be recognized over a weighted-average period of approximately 2.5 years</w:t>
      </w:r>
      <w:r>
        <w:rPr>
          <w:rFonts w:ascii="Times New Roman" w:hAnsi="Times New Roman"/>
          <w:sz w:val="20"/>
        </w:rPr>
        <w:t xml:space="preserve"> </w:t>
      </w:r>
      <w:r>
        <w:rPr>
          <w:rFonts w:ascii="Times New Roman;serif" w:hAnsi="Times New Roman;serif"/>
          <w:b w:val="false"/>
          <w:sz w:val="20"/>
        </w:rPr>
        <w:t>and 3.2</w:t>
      </w:r>
      <w:r>
        <w:rPr>
          <w:rFonts w:ascii="Times New Roman" w:hAnsi="Times New Roman"/>
          <w:sz w:val="20"/>
        </w:rPr>
        <w:t xml:space="preserve"> </w:t>
      </w:r>
      <w:r>
        <w:rPr>
          <w:rFonts w:ascii="Times New Roman;serif" w:hAnsi="Times New Roman;serif"/>
          <w:b w:val="false"/>
          <w:sz w:val="20"/>
        </w:rPr>
        <w:t>years, respectively.</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Company estimated the fair value of stock options using the Black-Scholes option pricing valuation model. The fair value of employee stock options is being amortized on the straight-line basis over the requisite service period of the awards. The fair value of employee stock options was estimated using the following assumptions for the three months ended March 31, 2023 and 2022:</w:t>
      </w:r>
    </w:p>
    <w:p>
      <w:pPr>
        <w:pStyle w:val="TextBody"/>
        <w:bidi w:val="0"/>
        <w:spacing w:before="0" w:after="0"/>
        <w:jc w:val="both"/>
        <w:rPr/>
      </w:pPr>
      <w:r>
        <w:rPr/>
        <w:t> </w:t>
      </w:r>
    </w:p>
    <w:tbl>
      <w:tblPr>
        <w:tblW w:w="4627" w:type="dxa"/>
        <w:jc w:val="left"/>
        <w:tblInd w:w="0" w:type="dxa"/>
        <w:tblLayout w:type="fixed"/>
        <w:tblCellMar>
          <w:top w:w="28" w:type="dxa"/>
          <w:left w:w="28" w:type="dxa"/>
          <w:bottom w:w="28" w:type="dxa"/>
          <w:right w:w="28" w:type="dxa"/>
        </w:tblCellMar>
      </w:tblPr>
      <w:tblGrid>
        <w:gridCol w:w="2086"/>
        <w:gridCol w:w="146"/>
        <w:gridCol w:w="146"/>
        <w:gridCol w:w="421"/>
        <w:gridCol w:w="271"/>
        <w:gridCol w:w="146"/>
        <w:gridCol w:w="325"/>
        <w:gridCol w:w="770"/>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16" w:type="dxa"/>
            <w:tcBorders/>
            <w:vAlign w:val="center"/>
          </w:tcPr>
          <w:p>
            <w:pPr>
              <w:pStyle w:val="TableContents"/>
              <w:bidi w:val="0"/>
              <w:spacing w:before="0" w:after="0"/>
              <w:ind w:left="0" w:right="0" w:hanging="0"/>
              <w:jc w:val="righ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5"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 - 1.7%</w:t>
            </w:r>
          </w:p>
        </w:tc>
        <w:tc>
          <w:tcPr>
            <w:tcW w:w="316" w:type="dxa"/>
            <w:tcBorders/>
            <w:vAlign w:val="center"/>
          </w:tcPr>
          <w:p>
            <w:pPr>
              <w:pStyle w:val="TableContents"/>
              <w:bidi w:val="0"/>
              <w:spacing w:before="0" w:after="0"/>
              <w:ind w:left="0" w:right="0" w:hanging="0"/>
              <w:jc w:val="righ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5"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i/>
          <w:sz w:val="20"/>
        </w:rPr>
        <w:t>Expected Term</w:t>
      </w:r>
      <w:r>
        <w:rPr>
          <w:rFonts w:ascii="Times New Roman" w:hAnsi="Times New Roman"/>
          <w:sz w:val="20"/>
        </w:rPr>
        <w:t>—</w:t>
      </w:r>
      <w:r>
        <w:rPr>
          <w:rFonts w:ascii="Times New Roman;serif" w:hAnsi="Times New Roman;serif"/>
          <w:b w:val="false"/>
          <w:sz w:val="20"/>
        </w:rPr>
        <w:t>The expected term of options granted represents the period of time that the options are expected to be outstanding. Due to the</w:t>
      </w:r>
      <w:r>
        <w:rPr>
          <w:rFonts w:ascii="Times New Roman" w:hAnsi="Times New Roman"/>
          <w:sz w:val="20"/>
        </w:rPr>
        <w:t xml:space="preserve"> </w:t>
      </w:r>
      <w:r>
        <w:rPr>
          <w:rFonts w:ascii="Times New Roman;serif" w:hAnsi="Times New Roman;serif"/>
          <w:b w:val="false"/>
          <w:sz w:val="20"/>
        </w:rPr>
        <w:t>lack of historical exercise history, the expected term of the Company’s employee stock options has been determined utilizing the simplified method for awards that qualify as plain-vanilla options.</w:t>
      </w:r>
    </w:p>
    <w:p>
      <w:pPr>
        <w:pStyle w:val="TextBody"/>
        <w:bidi w:val="0"/>
        <w:spacing w:before="200" w:after="0"/>
        <w:jc w:val="both"/>
        <w:rPr>
          <w:rFonts w:ascii="Times New Roman" w:hAnsi="Times New Roman"/>
          <w:sz w:val="20"/>
        </w:rPr>
      </w:pPr>
      <w:r>
        <w:rPr>
          <w:rFonts w:ascii="Times New Roman;serif" w:hAnsi="Times New Roman;serif"/>
          <w:b/>
          <w:i/>
          <w:sz w:val="20"/>
        </w:rPr>
        <w:t>Expected Volatility</w:t>
      </w:r>
      <w:r>
        <w:rPr>
          <w:rFonts w:ascii="Times New Roman" w:hAnsi="Times New Roman"/>
          <w:sz w:val="20"/>
        </w:rPr>
        <w:t>—</w:t>
      </w:r>
      <w:r>
        <w:rPr>
          <w:rFonts w:ascii="Times New Roman;serif" w:hAnsi="Times New Roman;serif"/>
          <w:b w:val="false"/>
          <w:sz w:val="20"/>
        </w:rPr>
        <w:t>The expected stock price volatility assumption was determined by examining the historical volatilities for industry peers, as</w:t>
      </w:r>
      <w:r>
        <w:rPr>
          <w:rFonts w:ascii="Times New Roman" w:hAnsi="Times New Roman"/>
          <w:sz w:val="20"/>
        </w:rPr>
        <w:t xml:space="preserve"> </w:t>
      </w:r>
      <w:r>
        <w:rPr>
          <w:rFonts w:ascii="Times New Roman;serif" w:hAnsi="Times New Roman;serif"/>
          <w:b w:val="false"/>
          <w:sz w:val="20"/>
        </w:rPr>
        <w:t>the Company did not have any trading history for the Company’s common stock. The Company will continue to analyze the historical stock price volatility and expected term assumption as more historical data for the Company’s common stock becomes available.</w:t>
      </w:r>
    </w:p>
    <w:p>
      <w:pPr>
        <w:pStyle w:val="TextBody"/>
        <w:bidi w:val="0"/>
        <w:spacing w:before="200" w:after="0"/>
        <w:jc w:val="both"/>
        <w:rPr>
          <w:rFonts w:ascii="Times New Roman" w:hAnsi="Times New Roman"/>
          <w:sz w:val="20"/>
        </w:rPr>
      </w:pPr>
      <w:r>
        <w:rPr>
          <w:rFonts w:ascii="Times New Roman;serif" w:hAnsi="Times New Roman;serif"/>
          <w:b/>
          <w:i/>
          <w:sz w:val="20"/>
        </w:rPr>
        <w:t>Risk-Free Interest Rate</w:t>
      </w:r>
      <w:r>
        <w:rPr>
          <w:rFonts w:ascii="Times New Roman" w:hAnsi="Times New Roman"/>
          <w:sz w:val="20"/>
        </w:rPr>
        <w:t>—</w:t>
      </w:r>
      <w:r>
        <w:rPr>
          <w:rFonts w:ascii="Times New Roman;serif" w:hAnsi="Times New Roman;serif"/>
          <w:b w:val="false"/>
          <w:sz w:val="20"/>
        </w:rPr>
        <w:t>The risk-free interest rate assumption is based on the U.S. Treasury instruments whose term was consistent with the expected term of the Company’s stock options.</w:t>
      </w:r>
    </w:p>
    <w:p>
      <w:pPr>
        <w:pStyle w:val="TextBody"/>
        <w:bidi w:val="0"/>
        <w:spacing w:before="200" w:after="0"/>
        <w:jc w:val="both"/>
        <w:rPr>
          <w:rFonts w:ascii="Times New Roman" w:hAnsi="Times New Roman"/>
          <w:sz w:val="20"/>
        </w:rPr>
      </w:pPr>
      <w:r>
        <w:rPr>
          <w:rFonts w:ascii="Times New Roman;serif" w:hAnsi="Times New Roman;serif"/>
          <w:b/>
          <w:i/>
          <w:sz w:val="20"/>
        </w:rPr>
        <w:t>Dividends</w:t>
      </w:r>
      <w:r>
        <w:rPr>
          <w:rFonts w:ascii="Times New Roman" w:hAnsi="Times New Roman"/>
          <w:sz w:val="20"/>
        </w:rPr>
        <w:t>—</w:t>
      </w:r>
      <w:r>
        <w:rPr>
          <w:rFonts w:ascii="Times New Roman;serif" w:hAnsi="Times New Roman;serif"/>
          <w:b w:val="false"/>
          <w:sz w:val="20"/>
        </w:rPr>
        <w:t>The Company has not paid any cash dividends on common stock since inception and does not anticipate paying any dividends in the</w:t>
      </w:r>
      <w:r>
        <w:rPr>
          <w:rFonts w:ascii="Times New Roman" w:hAnsi="Times New Roman"/>
          <w:sz w:val="20"/>
        </w:rPr>
        <w:t xml:space="preserve"> </w:t>
      </w:r>
      <w:r>
        <w:rPr>
          <w:rFonts w:ascii="Times New Roman;serif" w:hAnsi="Times New Roman;serif"/>
          <w:b w:val="false"/>
          <w:sz w:val="20"/>
        </w:rPr>
        <w:t>foreseeable future. Consequently, an expected dividend yield of zero was used.</w:t>
      </w:r>
    </w:p>
    <w:p>
      <w:pPr>
        <w:pStyle w:val="TextBody"/>
        <w:bidi w:val="0"/>
        <w:spacing w:before="200" w:after="0"/>
        <w:jc w:val="both"/>
        <w:rPr>
          <w:rFonts w:ascii="Times New Roman;serif" w:hAnsi="Times New Roman;serif"/>
          <w:b/>
          <w:sz w:val="20"/>
        </w:rPr>
      </w:pPr>
      <w:r>
        <w:rPr>
          <w:rFonts w:ascii="Times New Roman;serif" w:hAnsi="Times New Roman;serif"/>
          <w:b/>
          <w:sz w:val="20"/>
        </w:rPr>
        <w:t>Stock-Based Compensation Expense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 summarizes the components of stock-based compensation expense recognized in the Company’s Condensed Consolidated Statement of Operations for the three months ended March 31, 2023:</w:t>
      </w:r>
    </w:p>
    <w:p>
      <w:pPr>
        <w:pStyle w:val="TextBody"/>
        <w:bidi w:val="0"/>
        <w:spacing w:before="0" w:after="0"/>
        <w:jc w:val="both"/>
        <w:rPr/>
      </w:pPr>
      <w:r>
        <w:rPr/>
        <w:t> </w:t>
      </w:r>
    </w:p>
    <w:tbl>
      <w:tblPr>
        <w:tblW w:w="5436" w:type="dxa"/>
        <w:jc w:val="left"/>
        <w:tblInd w:w="0" w:type="dxa"/>
        <w:tblLayout w:type="fixed"/>
        <w:tblCellMar>
          <w:top w:w="28" w:type="dxa"/>
          <w:left w:w="28" w:type="dxa"/>
          <w:bottom w:w="28" w:type="dxa"/>
          <w:right w:w="28" w:type="dxa"/>
        </w:tblCellMar>
      </w:tblPr>
      <w:tblGrid>
        <w:gridCol w:w="2311"/>
        <w:gridCol w:w="146"/>
        <w:gridCol w:w="378"/>
        <w:gridCol w:w="755"/>
        <w:gridCol w:w="261"/>
        <w:gridCol w:w="261"/>
        <w:gridCol w:w="378"/>
        <w:gridCol w:w="755"/>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61" w:type="dxa"/>
            <w:tcBorders/>
            <w:vAlign w:val="center"/>
          </w:tcPr>
          <w:p>
            <w:pPr>
              <w:pStyle w:val="TableContents"/>
              <w:bidi w:val="0"/>
              <w:spacing w:before="0" w:after="0"/>
              <w:ind w:left="0" w:right="0" w:hanging="0"/>
              <w:jc w:val="center"/>
              <w:rPr/>
            </w:pPr>
            <w:r>
              <w:rPr/>
              <w:t> </w:t>
            </w:r>
          </w:p>
        </w:tc>
        <w:tc>
          <w:tcPr>
            <w:tcW w:w="11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261"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3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3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3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3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bookmarkStart w:id="18" w:name="section21"/>
      <w:bookmarkEnd w:id="18"/>
      <w:r>
        <w:rPr>
          <w:rFonts w:ascii="Times New Roman;serif" w:hAnsi="Times New Roman;serif"/>
          <w:b/>
          <w:sz w:val="20"/>
        </w:rPr>
        <w:t>9. RETIREMENT PLAN</w:t>
      </w:r>
    </w:p>
    <w:p>
      <w:pPr>
        <w:pStyle w:val="TextBody"/>
        <w:bidi w:val="0"/>
        <w:spacing w:before="240" w:after="0"/>
        <w:jc w:val="both"/>
        <w:rPr>
          <w:rFonts w:ascii="Times New Roman" w:hAnsi="Times New Roman"/>
          <w:sz w:val="20"/>
        </w:rPr>
      </w:pPr>
      <w:r>
        <w:rPr>
          <w:rFonts w:ascii="Times New Roman;serif" w:hAnsi="Times New Roman;serif"/>
          <w:b w:val="false"/>
          <w:sz w:val="20"/>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During the three months ended March 31, 2023 and 2022, the Company contributed $57</w:t>
      </w:r>
      <w:r>
        <w:rPr>
          <w:rFonts w:ascii="Times New Roman" w:hAnsi="Times New Roman"/>
          <w:sz w:val="20"/>
        </w:rPr>
        <w:t xml:space="preserve"> </w:t>
      </w:r>
      <w:r>
        <w:rPr>
          <w:rFonts w:ascii="Times New Roman;serif" w:hAnsi="Times New Roman;serif"/>
          <w:b w:val="false"/>
          <w:sz w:val="20"/>
        </w:rPr>
        <w:t>and $24</w:t>
      </w:r>
      <w:r>
        <w:rPr>
          <w:rFonts w:ascii="Times New Roman" w:hAnsi="Times New Roman"/>
          <w:sz w:val="20"/>
        </w:rPr>
        <w:t xml:space="preserve"> </w:t>
      </w:r>
      <w:r>
        <w:rPr>
          <w:rFonts w:ascii="Times New Roman;serif" w:hAnsi="Times New Roman;serif"/>
          <w:b w:val="false"/>
          <w:sz w:val="20"/>
        </w:rPr>
        <w:t>to the 401(k) Plan, respectively.</w:t>
      </w:r>
    </w:p>
    <w:p>
      <w:pPr>
        <w:pStyle w:val="TextBody"/>
        <w:bidi w:val="0"/>
        <w:spacing w:before="200" w:after="0"/>
        <w:jc w:val="both"/>
        <w:rPr>
          <w:rFonts w:ascii="Times New Roman;serif" w:hAnsi="Times New Roman;serif"/>
          <w:b/>
          <w:sz w:val="20"/>
        </w:rPr>
      </w:pPr>
      <w:bookmarkStart w:id="19" w:name="section22"/>
      <w:bookmarkEnd w:id="19"/>
      <w:r>
        <w:rPr>
          <w:rFonts w:ascii="Times New Roman;serif" w:hAnsi="Times New Roman;serif"/>
          <w:b/>
          <w:sz w:val="20"/>
        </w:rPr>
        <w:t>10. NET LOSS PER SHARE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 sets forth the computation of the Company’s basis in diluted net loss per share for the three months ended March 31, 2023 and 2022 (in thousands, except share and per share amounts):</w:t>
      </w:r>
    </w:p>
    <w:p>
      <w:pPr>
        <w:pStyle w:val="TextBody"/>
        <w:bidi w:val="0"/>
        <w:spacing w:before="0" w:after="0"/>
        <w:jc w:val="both"/>
        <w:rPr/>
      </w:pPr>
      <w:r>
        <w:rPr/>
        <w:t> </w:t>
      </w:r>
    </w:p>
    <w:tbl>
      <w:tblPr>
        <w:tblW w:w="9629" w:type="dxa"/>
        <w:jc w:val="left"/>
        <w:tblInd w:w="0" w:type="dxa"/>
        <w:tblLayout w:type="fixed"/>
        <w:tblCellMar>
          <w:top w:w="28" w:type="dxa"/>
          <w:left w:w="28" w:type="dxa"/>
          <w:bottom w:w="28" w:type="dxa"/>
          <w:right w:w="28" w:type="dxa"/>
        </w:tblCellMar>
      </w:tblPr>
      <w:tblGrid>
        <w:gridCol w:w="6571"/>
        <w:gridCol w:w="146"/>
        <w:gridCol w:w="211"/>
        <w:gridCol w:w="1036"/>
        <w:gridCol w:w="166"/>
        <w:gridCol w:w="146"/>
        <w:gridCol w:w="211"/>
        <w:gridCol w:w="931"/>
        <w:gridCol w:w="211"/>
      </w:tblGrid>
      <w:tr>
        <w:trPr/>
        <w:tc>
          <w:tcPr>
            <w:tcW w:w="6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5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Numerator:</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vAlign w:val="center"/>
          </w:tcPr>
          <w:p>
            <w:pPr>
              <w:pStyle w:val="TableContents"/>
              <w:bidi w:val="0"/>
              <w:spacing w:before="0" w:after="0"/>
              <w:ind w:left="0" w:right="0" w:hanging="0"/>
              <w:jc w:val="center"/>
              <w:rPr/>
            </w:pPr>
            <w:r>
              <w:rPr/>
              <w:t> </w:t>
            </w:r>
          </w:p>
        </w:tc>
      </w:tr>
      <w:tr>
        <w:trPr/>
        <w:tc>
          <w:tcPr>
            <w:tcW w:w="6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5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Denominator:</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6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outstanding</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13,763,173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7,167,255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used in computing basic and diluted net loss per share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13,763,173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7,167,255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loss per share attributable to common stockholders—basic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(0.55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(1.18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As of March 31, 2023 and 2022, the Company’s potentially dilutive securities included unvested stock warrants and stock options, which have been excluded from the computation of diluted net loss per share attributable to common stockholders as the effect would be anti-dilutive. The issuance of pre-funded warrants have been included in the computation of basic and diluted net loss per share attributable to common stockholders. Based on the amounts outstanding as of March 31, 2023 and</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2022, the Company excluded the following potential common shares from the computation of diluted net loss per share attributable to common stockholders because including them would have had an anti-dilutive effect:</w:t>
      </w:r>
    </w:p>
    <w:p>
      <w:pPr>
        <w:pStyle w:val="TextBody"/>
        <w:bidi w:val="0"/>
        <w:spacing w:before="0" w:after="0"/>
        <w:jc w:val="both"/>
        <w:rPr/>
      </w:pPr>
      <w:r>
        <w:rPr/>
        <w:t> </w:t>
      </w:r>
    </w:p>
    <w:tbl>
      <w:tblPr>
        <w:tblW w:w="5754" w:type="dxa"/>
        <w:jc w:val="left"/>
        <w:tblInd w:w="0" w:type="dxa"/>
        <w:tblLayout w:type="fixed"/>
        <w:tblCellMar>
          <w:top w:w="28" w:type="dxa"/>
          <w:left w:w="28" w:type="dxa"/>
          <w:bottom w:w="28" w:type="dxa"/>
          <w:right w:w="28" w:type="dxa"/>
        </w:tblCellMar>
      </w:tblPr>
      <w:tblGrid>
        <w:gridCol w:w="2971"/>
        <w:gridCol w:w="146"/>
        <w:gridCol w:w="146"/>
        <w:gridCol w:w="931"/>
        <w:gridCol w:w="146"/>
        <w:gridCol w:w="146"/>
        <w:gridCol w:w="146"/>
        <w:gridCol w:w="93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March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to purchase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2,147,411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1,076,560</w:t>
            </w:r>
          </w:p>
        </w:tc>
        <w:tc>
          <w:tcPr>
            <w:tcW w:w="1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warrants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2,153,447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1,082,596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both"/>
        <w:rPr>
          <w:rFonts w:ascii="Times New Roman" w:hAnsi="Times New Roman"/>
          <w:sz w:val="20"/>
        </w:rPr>
      </w:pPr>
      <w:bookmarkStart w:id="20" w:name="item_2_managements_discussion_analysis"/>
      <w:bookmarkEnd w:id="20"/>
      <w:r>
        <w:rPr>
          <w:rFonts w:ascii="Times New Roman;serif" w:hAnsi="Times New Roman;serif"/>
          <w:b/>
          <w:sz w:val="20"/>
        </w:rPr>
        <w:t xml:space="preserve">Item 2. </w:t>
      </w:r>
      <w:r>
        <w:rPr>
          <w:rFonts w:ascii="Times New Roman;serif" w:hAnsi="Times New Roman;serif"/>
          <w:b/>
          <w:i/>
          <w:sz w:val="20"/>
        </w:rPr>
        <w:t>Management’s Discussion and Analysis of Financial Condition and Results of Operations</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You should read the following discussion of our financial condition and results of operations in conjunction with our unaudited condensed financial statements and the notes thereto included elsewhere in this Quarterly Report on Form 10-Q, and our audited consolidated financial statements and related notes for the year ended December 31, 2022, filed with the U.S. Securities and Exchange Commission ("SEC") on March 22, 2023. This discussion and other parts of this report contains forward-looking statements that involve risks and uncertainties, such as our plans, objectives, expectations, intentions, and beliefs, as well as assumptions made by, and information currently available to, our management. Our actual results could differ materially from those discussed in these forward-looking statements. Factors that could cause or contribute to such differences include, but are not limited to, those discussed in the section of this report entitled “Risk Factors,” under Part II, Item 1A of this report and those discussed in our other disclosures and filings with the SEC.</w:t>
      </w:r>
    </w:p>
    <w:p>
      <w:pPr>
        <w:pStyle w:val="TextBody"/>
        <w:bidi w:val="0"/>
        <w:spacing w:before="200" w:after="0"/>
        <w:jc w:val="both"/>
        <w:rPr>
          <w:rFonts w:ascii="Times New Roman;serif" w:hAnsi="Times New Roman;serif"/>
          <w:b/>
          <w:sz w:val="20"/>
        </w:rPr>
      </w:pPr>
      <w:bookmarkStart w:id="21" w:name="section24"/>
      <w:bookmarkEnd w:id="21"/>
      <w:r>
        <w:rPr>
          <w:rFonts w:ascii="Times New Roman;serif" w:hAnsi="Times New Roman;serif"/>
          <w:b/>
          <w:sz w:val="20"/>
        </w:rPr>
        <w:t>Overview</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are a clinical-stage oncology company focused on leveraging our deep scientific understanding of cancer biology and medicinal chemistry to develop and advance novel, orally available therapies for the treatment of solid tumors. Our philosophy is to build a company based upon not only good ideas and creative science, but also upon the efficient translation of those ideas into therapies that will improve patients’ lives. To this end, we are advancing TPST-1120 and TPST-1495, two product candidates in clinical trials that we believe are the first clinical-stage molecules designed to inhibit their respective targets; as well as two preclinical programs, including one that could be the first to target TREX-1, a key cellular enzyme that regulates the innate immune response in tumors.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TPST-1120 is a selective antagonist of peroxisome proliferator-activated receptor alpha, or PPARα. Clinical data from initial Phase 1 trials, both as a monotherapy and in combination with an anti-PD1 therapy, nivolumab, were reported at a podium presentation at the American Society of Clinical Oncology (ASCO) annual meeting in June 2022. RECIST responses were observed at the two highest TPST-1120 doses in combination with standard dose nivolumab for an objective response rate ("ORR") of those cohorts of 30% (3 of 10 patients), including in patients who previously progressed on anti-PD-1 (-L1) therapy. TPST-1120 is also being studied in an ongoing global randomized Phase 1b/2 trial in combination with the standard-of-care first-line regimen of atezolizumab and bevacizumab in patients with advanced or metastatic hepatocellular carcinoma, or HCC. The study has fully enrolled (targeting 40 patients in each arm), and early results from a February 2023 data cutoff were reported in April 2023 and demonstrated clinically meaningful improvement in multiple categories in the combination TPST-1120 arm when compared to the standard-of-care arm alone. Data from 40 patients in the TPST-1120 arm randomized per protocol against 29 evaluable (30 total) patients in the control arm showed a 74.4% and a 69.9% relative improvement in ORR in unconfirmed (30% vs. 17.2%) and confirmed (17.5% vs. 10.3%) responses, respectively. Additionally, 47.5% of the TPST-1120 arm patients remained on treatment vs. 23.3% in the control arm, while 80% of the TPST-1120 arm patients remained on study vs. 50% in the control arm. We expect more mature ORR data and potentially progression-free-survival (PFS) and overall survival (OS) data to be available in the 2nd half of 2023 or 1st half of 2024. Our second clinical program, TPST-1495, a dual antagonist of the EP2 and EP4 receptors of prostaglandin E2, is in an ongoing Phase 1 monotherapy and combination trial in solid tumors. Data from the TPST-1495 Phase 1 trial will be presented at the ASCO annual meeting in June 2023. Additionally, we have what we believe to be exciting third and fourth preclinical programs targeting the three prime repair exonuclease (“TREX-1”) and a novel oncology drug target in a newly defined pathway, respectfully. Beyond these four ongoing programs, we plan to continue to leverage our drug development and company-building experience along with academic relationships to identify promising new targets that may feed new programs into our pipeline.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We have no products approved for commercial sale and have not generated any revenue from product sales. From inception to March 31, 2023, we have raised $164.4 million, through sales of our capital securities.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We have never been profitable and have incurred operating losses in each period since inception. Our net losses were $7.6 million and $8.5 million for the three months ended March 31, 2023 and 2022, respectively. As of March 31, 2023, we had an accumulated deficit of $143.4 million. Substantially all of the operating losses resulted from expenses incurred in connection with our research and development programs and from general and administrative costs associated with our operations.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expect to incur significant expenses and increasing operating losses for at least the next several years as we initiate and continue the clinical development of, and seek regulatory approval for, our product candidates and add personnel necessary to advance our pipeline of clinical-stage product candidates. In addition, operating as a publicly traded company will involve the hiring of additional financial and other personnel, upgrading our financial information and other systems, and incurring substantial costs associated with operating as a public company. We expect our operating losses will fluctuate significantly from quarter to quarter and year to year due to timing of clinical development programs and efforts to achieve regulatory approval.</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As of March 31, 2023, we had cash and cash equivalents of $22.9 million. Our ability to fund continued development will require additional capital, and we intend to raise such capital through the issuance of additional debt or equity including in connection with potential merger opportunities, or through business development activities. Our ability to continue as a going concern is dependent upon our ability to successfully accomplish these plans and secure sources of financing and ultimately attain profitable operations. If we are unable to obtain adequate capital, we could be forced to cease operations.</w:t>
      </w:r>
    </w:p>
    <w:p>
      <w:pPr>
        <w:pStyle w:val="TextBody"/>
        <w:bidi w:val="0"/>
        <w:spacing w:before="200" w:after="0"/>
        <w:jc w:val="both"/>
        <w:rPr>
          <w:rFonts w:ascii="Times New Roman;serif" w:hAnsi="Times New Roman;serif"/>
          <w:b/>
          <w:sz w:val="20"/>
        </w:rPr>
      </w:pPr>
      <w:bookmarkStart w:id="22" w:name="section25"/>
      <w:bookmarkEnd w:id="22"/>
      <w:r>
        <w:rPr>
          <w:rFonts w:ascii="Times New Roman;serif" w:hAnsi="Times New Roman;serif"/>
          <w:b/>
          <w:sz w:val="20"/>
        </w:rPr>
        <w:t>Components of Results of Operations</w:t>
      </w:r>
    </w:p>
    <w:p>
      <w:pPr>
        <w:pStyle w:val="TextBody"/>
        <w:bidi w:val="0"/>
        <w:spacing w:before="200" w:after="0"/>
        <w:jc w:val="both"/>
        <w:rPr>
          <w:rFonts w:ascii="Times New Roman;serif" w:hAnsi="Times New Roman;serif"/>
          <w:b/>
          <w:i/>
          <w:sz w:val="20"/>
        </w:rPr>
      </w:pPr>
      <w:r>
        <w:rPr>
          <w:rFonts w:ascii="Times New Roman;serif" w:hAnsi="Times New Roman;serif"/>
          <w:b/>
          <w:i/>
          <w:sz w:val="20"/>
        </w:rPr>
        <w:t>Research and Development Expense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Research and development expenses represent costs incurred to conduct research and development, such as the development of our product candidates.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recognize all research and development costs as they are incurred. Research and development expenses consist primarily of the following:</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Salaries, benefits and stock-based compensation;</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licensing costs;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allocated occupancy;</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materials and supplies;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contracted research and manufacturing;</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consulting arrangements; and</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other expenses incurred to advance our research and development activities.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largest component of our operating expenses has historically been the investment in research and development activities. We expect research and development expenses will increase in the future as we advance our product candidates into and through clinical trials and pursues regulatory approvals, which will require a significant investment in costs of clinical trials, regulatory support and contract manufacturing and inventory build-up. In addition, we continue to evaluate opportunities to acquire or in-license other product candidates and technologies, which may result in higher research and development expenses due to license fee and/or milestone payments, as well as added clinical development costs.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process of conducting clinical trials necessary to obtain regulatory approval is costly and time consuming. We may never succeed in timely developing and achieving regulatory approval for our product candidates. The probability of success of our product candidates may be affected by numerous factors, including clinical data, competition, manufacturing capability and commercial viability. As a result, we are unable to determine the duration and completion costs of our development projects or when and to what extent we will generate revenue from the commercialization and sale of any of our product candidates.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00" w:after="0"/>
        <w:jc w:val="both"/>
        <w:rPr>
          <w:rFonts w:ascii="Times New Roman;serif" w:hAnsi="Times New Roman;serif"/>
          <w:b/>
          <w:i/>
          <w:sz w:val="20"/>
        </w:rPr>
      </w:pPr>
      <w:r>
        <w:rPr>
          <w:rFonts w:ascii="Times New Roman;serif" w:hAnsi="Times New Roman;serif"/>
          <w:b/>
          <w:i/>
          <w:sz w:val="20"/>
        </w:rPr>
        <w:t>General and Administrative Expenses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General and administrative expenses consist of employee-related expenses, including salaries, benefits, travel and non-cash stock-based compensation, for our personnel in executive, finance and accounting, and other administrative functions, as well as fees paid for legal, accounting and tax services, consulting fees and facilities costs not otherwise included in research and development expenses. Legal costs include general corporate legal fees and patent costs. We expect to incur additional expenses as a result of becoming a public company following completion of the merger with Millendo, including expenses related to compliance with the rules and regulations of the SEC and Nasdaq, additional insurance, investor relations and other administrative expenses and professional services.</w:t>
      </w:r>
    </w:p>
    <w:p>
      <w:pPr>
        <w:pStyle w:val="TextBody"/>
        <w:bidi w:val="0"/>
        <w:spacing w:before="200" w:after="0"/>
        <w:jc w:val="both"/>
        <w:rPr>
          <w:rFonts w:ascii="Times New Roman;serif" w:hAnsi="Times New Roman;serif"/>
          <w:b/>
          <w:i/>
          <w:sz w:val="20"/>
        </w:rPr>
      </w:pPr>
      <w:r>
        <w:rPr>
          <w:rFonts w:ascii="Times New Roman;serif" w:hAnsi="Times New Roman;serif"/>
          <w:b/>
          <w:i/>
          <w:sz w:val="20"/>
        </w:rPr>
        <w:t>Other Income (Expense), Net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Other income (expense), net consists primarily of interest expense, interest income, and various income or expense items of a non-recurring nature.</w:t>
      </w:r>
    </w:p>
    <w:p>
      <w:pPr>
        <w:pStyle w:val="TextBody"/>
        <w:bidi w:val="0"/>
        <w:spacing w:before="200" w:after="0"/>
        <w:jc w:val="both"/>
        <w:rPr>
          <w:rFonts w:ascii="Times New Roman;serif" w:hAnsi="Times New Roman;serif"/>
          <w:b/>
          <w:sz w:val="20"/>
        </w:rPr>
      </w:pPr>
      <w:r>
        <w:rPr>
          <w:rFonts w:ascii="Times New Roman;serif" w:hAnsi="Times New Roman;serif"/>
          <w:b/>
          <w:sz w:val="20"/>
        </w:rPr>
        <w:t>Results of Operations</w:t>
      </w:r>
    </w:p>
    <w:p>
      <w:pPr>
        <w:pStyle w:val="TextBody"/>
        <w:bidi w:val="0"/>
        <w:spacing w:before="200" w:after="0"/>
        <w:jc w:val="both"/>
        <w:rPr>
          <w:rFonts w:ascii="Times New Roman;serif" w:hAnsi="Times New Roman;serif"/>
          <w:b/>
          <w:i/>
          <w:sz w:val="20"/>
        </w:rPr>
      </w:pPr>
      <w:r>
        <w:rPr>
          <w:rFonts w:ascii="Times New Roman;serif" w:hAnsi="Times New Roman;serif"/>
          <w:b/>
          <w:i/>
          <w:sz w:val="20"/>
        </w:rPr>
        <w:t>Comparison of the three months ended March 31, 2023 and 2022</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 summarizes our operating results for the three months ended March 31, 2023 and 2022:</w:t>
      </w:r>
    </w:p>
    <w:p>
      <w:pPr>
        <w:pStyle w:val="TextBody"/>
        <w:bidi w:val="0"/>
        <w:spacing w:before="0" w:after="0"/>
        <w:jc w:val="both"/>
        <w:rPr/>
      </w:pPr>
      <w:r>
        <w:rPr/>
        <w:t> </w:t>
      </w:r>
    </w:p>
    <w:tbl>
      <w:tblPr>
        <w:tblW w:w="6724" w:type="dxa"/>
        <w:jc w:val="left"/>
        <w:tblInd w:w="0" w:type="dxa"/>
        <w:tblLayout w:type="fixed"/>
        <w:tblCellMar>
          <w:top w:w="28" w:type="dxa"/>
          <w:left w:w="28" w:type="dxa"/>
          <w:bottom w:w="28" w:type="dxa"/>
          <w:right w:w="28" w:type="dxa"/>
        </w:tblCellMar>
      </w:tblPr>
      <w:tblGrid>
        <w:gridCol w:w="3991"/>
        <w:gridCol w:w="146"/>
        <w:gridCol w:w="211"/>
        <w:gridCol w:w="631"/>
        <w:gridCol w:w="166"/>
        <w:gridCol w:w="146"/>
        <w:gridCol w:w="211"/>
        <w:gridCol w:w="631"/>
        <w:gridCol w:w="5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591" w:type="dxa"/>
            <w:tcBorders/>
            <w:vAlign w:val="center"/>
          </w:tcPr>
          <w:p>
            <w:pPr>
              <w:pStyle w:val="TableContents"/>
              <w:bidi w:val="0"/>
              <w:spacing w:before="0" w:after="0"/>
              <w:ind w:left="0" w:right="0" w:hanging="0"/>
              <w:jc w:val="center"/>
              <w:rPr/>
            </w:pPr>
            <w:r>
              <w:rPr/>
              <w:t> </w:t>
            </w:r>
          </w:p>
        </w:tc>
      </w:tr>
      <w:tr>
        <w:trPr/>
        <w:tc>
          <w:tcPr>
            <w:tcW w:w="39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96" w:type="dxa"/>
            <w:gridSpan w:val="6"/>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c>
          <w:tcPr>
            <w:tcW w:w="591" w:type="dxa"/>
            <w:tcBorders/>
            <w:vAlign w:val="center"/>
          </w:tcPr>
          <w:p>
            <w:pPr>
              <w:pStyle w:val="TableContents"/>
              <w:bidi w:val="0"/>
              <w:spacing w:before="0" w:after="0"/>
              <w:ind w:left="0" w:right="0" w:hanging="0"/>
              <w:jc w:val="center"/>
              <w:rPr/>
            </w:pPr>
            <w:r>
              <w:rPr/>
              <w:t> </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Expenses:</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39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5,109</w:t>
            </w:r>
          </w:p>
        </w:tc>
        <w:tc>
          <w:tcPr>
            <w:tcW w:w="591" w:type="dxa"/>
            <w:tcBorders/>
            <w:vAlign w:val="center"/>
          </w:tcPr>
          <w:p>
            <w:pPr>
              <w:pStyle w:val="TableContents"/>
              <w:bidi w:val="0"/>
              <w:spacing w:before="0" w:after="0"/>
              <w:ind w:left="0" w:right="0" w:firstLine="200"/>
              <w:jc w:val="left"/>
              <w:rPr/>
            </w:pPr>
            <w:r>
              <w:rPr/>
              <w:t> </w:t>
            </w:r>
          </w:p>
        </w:tc>
      </w:tr>
      <w:tr>
        <w:trPr/>
        <w:tc>
          <w:tcPr>
            <w:tcW w:w="39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99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8,161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(8,161</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 and 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591" w:type="dxa"/>
            <w:tcBorders/>
            <w:vAlign w:val="center"/>
          </w:tcPr>
          <w:p>
            <w:pPr>
              <w:pStyle w:val="TableContents"/>
              <w:bidi w:val="0"/>
              <w:spacing w:before="0" w:after="0"/>
              <w:ind w:left="0" w:right="0" w:hanging="0"/>
              <w:jc w:val="left"/>
              <w:rPr/>
            </w:pPr>
            <w:r>
              <w:rPr/>
              <w:t> </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(8,491</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Research and development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research and development expenses for the three months ended March 31, 2023 and 2022 were primarily incurred in connection with our most advanced product candidates, TPST-1120 and TPST-1495. We typically have various early-stage research and drug discovery projects, as well as various potential product candidates undergoing clinical trials. Our internal resources, employees and infrastructure are not directly tied to any one research and drug discovery project and our resources are typically deployed across multiple projects.</w:t>
      </w:r>
    </w:p>
    <w:p>
      <w:pPr>
        <w:pStyle w:val="TextBody"/>
        <w:bidi w:val="0"/>
        <w:spacing w:before="0" w:after="0"/>
        <w:jc w:val="both"/>
        <w:rPr/>
      </w:pPr>
      <w:r>
        <w:rPr/>
        <w:t> </w:t>
      </w:r>
    </w:p>
    <w:tbl>
      <w:tblPr>
        <w:tblW w:w="5899" w:type="dxa"/>
        <w:jc w:val="left"/>
        <w:tblInd w:w="0" w:type="dxa"/>
        <w:tblLayout w:type="fixed"/>
        <w:tblCellMar>
          <w:top w:w="28" w:type="dxa"/>
          <w:left w:w="28" w:type="dxa"/>
          <w:bottom w:w="28" w:type="dxa"/>
          <w:right w:w="28" w:type="dxa"/>
        </w:tblCellMar>
      </w:tblPr>
      <w:tblGrid>
        <w:gridCol w:w="3706"/>
        <w:gridCol w:w="146"/>
        <w:gridCol w:w="211"/>
        <w:gridCol w:w="571"/>
        <w:gridCol w:w="146"/>
        <w:gridCol w:w="146"/>
        <w:gridCol w:w="211"/>
        <w:gridCol w:w="571"/>
        <w:gridCol w:w="1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w:t>
            </w:r>
          </w:p>
        </w:tc>
        <w:tc>
          <w:tcPr>
            <w:tcW w:w="191" w:type="dxa"/>
            <w:tcBorders/>
            <w:vAlign w:val="center"/>
          </w:tcPr>
          <w:p>
            <w:pPr>
              <w:pStyle w:val="TableContents"/>
              <w:bidi w:val="0"/>
              <w:spacing w:before="0" w:after="0"/>
              <w:ind w:left="0" w:right="0" w:hanging="0"/>
              <w:jc w:val="center"/>
              <w:rPr/>
            </w:pPr>
            <w:r>
              <w:rPr/>
              <w:t> </w:t>
            </w:r>
          </w:p>
        </w:tc>
      </w:tr>
      <w:tr>
        <w:trPr/>
        <w:tc>
          <w:tcPr>
            <w:tcW w:w="37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March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TPST-1120</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1,211</w:t>
            </w:r>
          </w:p>
        </w:tc>
        <w:tc>
          <w:tcPr>
            <w:tcW w:w="191" w:type="dxa"/>
            <w:tcBorders/>
            <w:vAlign w:val="center"/>
          </w:tcPr>
          <w:p>
            <w:pPr>
              <w:pStyle w:val="TableContents"/>
              <w:bidi w:val="0"/>
              <w:spacing w:before="0" w:after="0"/>
              <w:ind w:left="0" w:right="0" w:hanging="0"/>
              <w:jc w:val="left"/>
              <w:rPr/>
            </w:pPr>
            <w:r>
              <w:rPr/>
              <w:t> </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TPST-1495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1,078</w:t>
            </w:r>
          </w:p>
        </w:tc>
        <w:tc>
          <w:tcPr>
            <w:tcW w:w="191" w:type="dxa"/>
            <w:tcBorders/>
            <w:vAlign w:val="center"/>
          </w:tcPr>
          <w:p>
            <w:pPr>
              <w:pStyle w:val="TableContents"/>
              <w:bidi w:val="0"/>
              <w:spacing w:before="0" w:after="0"/>
              <w:ind w:left="0" w:right="0" w:hanging="0"/>
              <w:jc w:val="left"/>
              <w:rPr/>
            </w:pPr>
            <w:r>
              <w:rPr/>
              <w:t> </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Preclinical and 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candidate specific research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3,517</w:t>
            </w:r>
          </w:p>
        </w:tc>
        <w:tc>
          <w:tcPr>
            <w:tcW w:w="191" w:type="dxa"/>
            <w:tcBorders/>
            <w:vAlign w:val="center"/>
          </w:tcPr>
          <w:p>
            <w:pPr>
              <w:pStyle w:val="TableContents"/>
              <w:bidi w:val="0"/>
              <w:spacing w:before="0" w:after="0"/>
              <w:ind w:left="0" w:right="0" w:hanging="0"/>
              <w:jc w:val="left"/>
              <w:rPr/>
            </w:pPr>
            <w:r>
              <w:rPr/>
              <w:t> </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 and other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1,413</w:t>
            </w:r>
          </w:p>
        </w:tc>
        <w:tc>
          <w:tcPr>
            <w:tcW w:w="191" w:type="dxa"/>
            <w:tcBorders/>
            <w:vAlign w:val="center"/>
          </w:tcPr>
          <w:p>
            <w:pPr>
              <w:pStyle w:val="TableContents"/>
              <w:bidi w:val="0"/>
              <w:spacing w:before="0" w:after="0"/>
              <w:ind w:left="0" w:right="0" w:hanging="0"/>
              <w:jc w:val="left"/>
              <w:rPr/>
            </w:pPr>
            <w:r>
              <w:rPr/>
              <w:t> </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and depreciation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Research and development expense decreased by $0.4 million to $4.7 million for the three months ended March 31, 2023, compared to the prior year period, which was primarily attributable to a decrease in research and development costs incurred from contract research organizations and third-party vendors, offset by an increase in personnel costs, as well as facilities expenses. The following table summarizes our research and development expenses for the three months ended March 31, 2023 and 2022:</w:t>
      </w:r>
    </w:p>
    <w:p>
      <w:pPr>
        <w:pStyle w:val="TextBody"/>
        <w:bidi w:val="0"/>
        <w:spacing w:before="0" w:after="0"/>
        <w:jc w:val="both"/>
        <w:rPr/>
      </w:pPr>
      <w:r>
        <w:rPr/>
        <w:t> </w:t>
      </w:r>
    </w:p>
    <w:tbl>
      <w:tblPr>
        <w:tblW w:w="5839" w:type="dxa"/>
        <w:jc w:val="left"/>
        <w:tblInd w:w="0" w:type="dxa"/>
        <w:tblLayout w:type="fixed"/>
        <w:tblCellMar>
          <w:top w:w="28" w:type="dxa"/>
          <w:left w:w="28" w:type="dxa"/>
          <w:bottom w:w="28" w:type="dxa"/>
          <w:right w:w="28" w:type="dxa"/>
        </w:tblCellMar>
      </w:tblPr>
      <w:tblGrid>
        <w:gridCol w:w="3646"/>
        <w:gridCol w:w="146"/>
        <w:gridCol w:w="211"/>
        <w:gridCol w:w="571"/>
        <w:gridCol w:w="146"/>
        <w:gridCol w:w="146"/>
        <w:gridCol w:w="211"/>
        <w:gridCol w:w="571"/>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w:t>
            </w:r>
          </w:p>
        </w:tc>
        <w:tc>
          <w:tcPr>
            <w:tcW w:w="191" w:type="dxa"/>
            <w:tcBorders/>
            <w:vAlign w:val="center"/>
          </w:tcPr>
          <w:p>
            <w:pPr>
              <w:pStyle w:val="TableContents"/>
              <w:bidi w:val="0"/>
              <w:spacing w:before="0" w:after="0"/>
              <w:ind w:left="0" w:right="0" w:hanging="0"/>
              <w:jc w:val="center"/>
              <w:rPr/>
            </w:pPr>
            <w:r>
              <w:rPr/>
              <w:t> </w:t>
            </w:r>
          </w:p>
        </w:tc>
      </w:tr>
      <w:tr>
        <w:trPr/>
        <w:tc>
          <w:tcPr>
            <w:tcW w:w="36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March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outside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3,214</w:t>
            </w:r>
          </w:p>
        </w:tc>
        <w:tc>
          <w:tcPr>
            <w:tcW w:w="191" w:type="dxa"/>
            <w:tcBorders/>
            <w:vAlign w:val="center"/>
          </w:tcPr>
          <w:p>
            <w:pPr>
              <w:pStyle w:val="TableContents"/>
              <w:bidi w:val="0"/>
              <w:spacing w:before="0" w:after="0"/>
              <w:ind w:left="0" w:right="0" w:hanging="0"/>
              <w:jc w:val="left"/>
              <w:rPr/>
            </w:pPr>
            <w:r>
              <w:rPr/>
              <w:t> </w:t>
            </w:r>
          </w:p>
        </w:tc>
      </w:tr>
      <w:tr>
        <w:trPr/>
        <w:tc>
          <w:tcPr>
            <w:tcW w:w="3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1,013</w:t>
            </w:r>
          </w:p>
        </w:tc>
        <w:tc>
          <w:tcPr>
            <w:tcW w:w="191" w:type="dxa"/>
            <w:tcBorders/>
            <w:vAlign w:val="center"/>
          </w:tcPr>
          <w:p>
            <w:pPr>
              <w:pStyle w:val="TableContents"/>
              <w:bidi w:val="0"/>
              <w:spacing w:before="0" w:after="0"/>
              <w:ind w:left="0" w:right="0" w:hanging="0"/>
              <w:jc w:val="left"/>
              <w:rPr/>
            </w:pPr>
            <w:r>
              <w:rPr/>
              <w:t> </w:t>
            </w:r>
          </w:p>
        </w:tc>
      </w:tr>
      <w:tr>
        <w:trPr/>
        <w:tc>
          <w:tcPr>
            <w:tcW w:w="3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91" w:type="dxa"/>
            <w:tcBorders/>
            <w:vAlign w:val="center"/>
          </w:tcPr>
          <w:p>
            <w:pPr>
              <w:pStyle w:val="TableContents"/>
              <w:bidi w:val="0"/>
              <w:spacing w:before="0" w:after="0"/>
              <w:ind w:left="0" w:right="0" w:hanging="0"/>
              <w:jc w:val="left"/>
              <w:rPr/>
            </w:pPr>
            <w:r>
              <w:rPr/>
              <w:t> </w:t>
            </w:r>
          </w:p>
        </w:tc>
      </w:tr>
      <w:tr>
        <w:trPr/>
        <w:tc>
          <w:tcPr>
            <w:tcW w:w="3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Consulting and professional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w:t>
            </w:r>
          </w:p>
        </w:tc>
        <w:tc>
          <w:tcPr>
            <w:tcW w:w="191" w:type="dxa"/>
            <w:tcBorders/>
            <w:vAlign w:val="center"/>
          </w:tcPr>
          <w:p>
            <w:pPr>
              <w:pStyle w:val="TableContents"/>
              <w:bidi w:val="0"/>
              <w:spacing w:before="0" w:after="0"/>
              <w:ind w:left="0" w:right="0" w:hanging="0"/>
              <w:jc w:val="left"/>
              <w:rPr/>
            </w:pPr>
            <w:r>
              <w:rPr/>
              <w:t> </w:t>
            </w:r>
          </w:p>
        </w:tc>
      </w:tr>
      <w:tr>
        <w:trPr/>
        <w:tc>
          <w:tcPr>
            <w:tcW w:w="3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General and administrative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General and administrative expenses decreased by $0.1 million to $2.9 million for the three months ended March 31, 2023, compared to the prior year period. The decrease was primarily due to a decrease in consulting and professional services.</w:t>
      </w:r>
    </w:p>
    <w:p>
      <w:pPr>
        <w:pStyle w:val="TextBody"/>
        <w:bidi w:val="0"/>
        <w:spacing w:before="200" w:after="0"/>
        <w:jc w:val="left"/>
        <w:rPr>
          <w:rFonts w:ascii="Times New Roman;serif" w:hAnsi="Times New Roman;serif"/>
          <w:b w:val="false"/>
          <w:i/>
          <w:sz w:val="20"/>
        </w:rPr>
      </w:pPr>
      <w:r>
        <w:rPr>
          <w:rFonts w:ascii="Times New Roman;serif" w:hAnsi="Times New Roman;serif"/>
          <w:b w:val="false"/>
          <w:i/>
          <w:sz w:val="20"/>
        </w:rPr>
        <w:t>Other income (expense), net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For the three months ended March 31, 2023 and 2022, other income (expense), net consisted of total interest expense of $344 thousand and $333 thousand, respectively, related to the Oxford Loan, and interest income of $289 thousand and $3 thousand, respectively.</w:t>
      </w:r>
    </w:p>
    <w:p>
      <w:pPr>
        <w:pStyle w:val="TextBody"/>
        <w:bidi w:val="0"/>
        <w:spacing w:before="200" w:after="0"/>
        <w:jc w:val="both"/>
        <w:rPr>
          <w:rFonts w:ascii="Times New Roman;serif" w:hAnsi="Times New Roman;serif"/>
          <w:b/>
          <w:sz w:val="20"/>
        </w:rPr>
      </w:pPr>
      <w:bookmarkStart w:id="23" w:name="section26"/>
      <w:bookmarkEnd w:id="23"/>
      <w:r>
        <w:rPr>
          <w:rFonts w:ascii="Times New Roman;serif" w:hAnsi="Times New Roman;serif"/>
          <w:b/>
          <w:sz w:val="20"/>
        </w:rPr>
        <w:t>Liquidity and Capital Resources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Overview</w:t>
      </w:r>
    </w:p>
    <w:p>
      <w:pPr>
        <w:pStyle w:val="TextBody"/>
        <w:bidi w:val="0"/>
        <w:spacing w:before="240" w:after="0"/>
        <w:jc w:val="both"/>
        <w:rPr>
          <w:rFonts w:ascii="Times New Roman" w:hAnsi="Times New Roman"/>
          <w:sz w:val="20"/>
        </w:rPr>
      </w:pPr>
      <w:r>
        <w:rPr>
          <w:rFonts w:ascii="Times New Roman;serif" w:hAnsi="Times New Roman;serif"/>
          <w:b w:val="false"/>
          <w:sz w:val="20"/>
        </w:rPr>
        <w:t>Since inception through March 31, 2023, our operations have been financed primarily by net cash proceeds from the sale of our common stock, convertible preferred stock and issuance of debt. As of March 31, 2023, we had $22.9 million in cash and cash equivalents and an accumulated deficit of $143.4 million. We expect that our research and development and general and administrative expenses will increase, and, as a result, we anticipate that we will continue to incur increasing losses in the foreseeable future.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believe our cash and cash equivalents as of March 31, 2023 will fund our ongoing working capital, investing, and financing requirements for at least the next 12 months.</w:t>
      </w:r>
    </w:p>
    <w:p>
      <w:pPr>
        <w:pStyle w:val="TextBody"/>
        <w:bidi w:val="0"/>
        <w:spacing w:before="0" w:after="0"/>
        <w:jc w:val="both"/>
        <w:rPr/>
      </w:pPr>
      <w:r>
        <w:rPr/>
        <w:t> </w:t>
      </w:r>
    </w:p>
    <w:p>
      <w:pPr>
        <w:pStyle w:val="TextBody"/>
        <w:bidi w:val="0"/>
        <w:spacing w:before="40" w:after="0"/>
        <w:jc w:val="both"/>
        <w:rPr>
          <w:rFonts w:ascii="Times New Roman;serif" w:hAnsi="Times New Roman;serif"/>
          <w:b/>
          <w:i/>
          <w:sz w:val="20"/>
        </w:rPr>
      </w:pPr>
      <w:r>
        <w:rPr>
          <w:rFonts w:ascii="Times New Roman;serif" w:hAnsi="Times New Roman;serif"/>
          <w:b/>
          <w:i/>
          <w:sz w:val="20"/>
        </w:rPr>
        <w:t>Loan Agreement with Oxford Finance</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On January 15, 2021, we entered into a loan and security agreement with Oxford to borrow a term loan amount of $35.0 million to be funded in three tranches (the "Loan Agreement"). Tranche A of $15.0 million was funded on January 15, 2021. Tranche B of $10.0 million expired on March 31, 2022. Tranche C of $10.0 million is available at Oxford’s option.</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On December 23, 2022, the Company entered into a First Amendment to the Loan Agreement. The amendment modified the agreement as follows: (i) each of the Company and Millendo Therapeutics US, Inc., a Delaware corporation and wholly owned subsidiary of the Company (“Millendo”), were joined as co-borrowers under the Loan Agreement, (ii) the interest-only repayment period was extended through December 31, 2023 (which interest-only period may be further extended through June 30, 2024 under certain circumstances), and (iii) a security interest in the property of the Company, TempestTx and Millendo,</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including any intellectual property, was granted to the Lender. In addition, the Lender permitted a one-time prepayment in the amount of $5.0 million which the Company paid on December 23, 2022.</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term loan matures on August 1, 2025 and has an annual floating interest rate of 7.15% which is an Index Rate plus 7.10%. Index Rate is the greater of (i) 1-Month CME Term SOFR or (ii) 0.05%.</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At-the-Market Offering</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On July 23, 2021, we entered into a sales agreement (the “Sales Agreement”) with Jefferies LLC (the “Agent”), pursuant to which we may sell, from time to time, up to an aggregate sales price of $100.0 million of our common stock through the Agent in a series of one or more ATM equity offerings. As of December 31, 2022, our calculated public float was less than $75.0 million. Under current SEC regulations, if at any time our public float is less than $75.0 million, and for so long as our public float remains less than $75.0 million, the amount we can raise through primary public offerings of securities in any twelve-month period using shelf registration statements is limited to an aggregate of one-third of our public float, which is referred to as the “baby shelf” limitations.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PIPE Financing</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April 2022, we completed a private investment in public equity (“PIPE”) financing from the sale of 3,149,912 shares of our common stock at a price per share of $2.36 and, in lieu of shares of common stock, pre-funded warrants to purchase up to 3,206,020 shares of our common stock at a price per pre-funded warrant of $2.359 to EcoR1 Capital, LLC and Versant Venture Capital (the “PIPE Investors”). Net proceeds from the PIPE financings totaled approximately $14.5 million, after deducting offering expenses. The pre-funded warrants provide that the holder will not have the right to exercise any portion of its warrants if such holder, together with its affiliates, would beneficially own in excess of 9.99% of the number of shares of the Company’s common stock outstanding immediately after giving effect to such exercise (the “Beneficial Ownership Limitation”); provided, however, that the holder may increase or decrease the Beneficial Ownership Limitation by giving 61 days’ notice, but not to any percentage in excess of 19.99%. We entered into a registration rights agreement (the “Registration Rights Agreement”) with the PIPE Investors pursuant to which we filed a registration statement with the SEC registering the resale of the 3,149,912 shares common stock and the 3,206,020 shares of common stock underlying the pre-funded warrants issued in the PIPE financing.</w:t>
      </w:r>
    </w:p>
    <w:p>
      <w:pPr>
        <w:pStyle w:val="TextBody"/>
        <w:bidi w:val="0"/>
        <w:spacing w:before="200" w:after="0"/>
        <w:jc w:val="both"/>
        <w:rPr>
          <w:rFonts w:ascii="Times New Roman;serif" w:hAnsi="Times New Roman;serif"/>
          <w:b/>
          <w:i/>
          <w:sz w:val="20"/>
        </w:rPr>
      </w:pPr>
      <w:r>
        <w:rPr>
          <w:rFonts w:ascii="Times New Roman;serif" w:hAnsi="Times New Roman;serif"/>
          <w:b/>
          <w:i/>
          <w:sz w:val="20"/>
        </w:rPr>
        <w:t>Cash Flows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following table summarizes our cash flows for the three months ended March 31, 2023 and 2022:</w:t>
      </w:r>
    </w:p>
    <w:p>
      <w:pPr>
        <w:pStyle w:val="TextBody"/>
        <w:bidi w:val="0"/>
        <w:spacing w:before="0" w:after="0"/>
        <w:jc w:val="left"/>
        <w:rPr/>
      </w:pPr>
      <w:r>
        <w:rPr/>
        <w:t> </w:t>
      </w:r>
    </w:p>
    <w:tbl>
      <w:tblPr>
        <w:tblW w:w="5849" w:type="dxa"/>
        <w:jc w:val="left"/>
        <w:tblInd w:w="0" w:type="dxa"/>
        <w:tblLayout w:type="fixed"/>
        <w:tblCellMar>
          <w:top w:w="28" w:type="dxa"/>
          <w:left w:w="28" w:type="dxa"/>
          <w:bottom w:w="28" w:type="dxa"/>
          <w:right w:w="28" w:type="dxa"/>
        </w:tblCellMar>
      </w:tblPr>
      <w:tblGrid>
        <w:gridCol w:w="3496"/>
        <w:gridCol w:w="146"/>
        <w:gridCol w:w="211"/>
        <w:gridCol w:w="631"/>
        <w:gridCol w:w="166"/>
        <w:gridCol w:w="146"/>
        <w:gridCol w:w="211"/>
        <w:gridCol w:w="631"/>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6" w:type="dxa"/>
            <w:gridSpan w:val="6"/>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w:t>
            </w:r>
          </w:p>
        </w:tc>
        <w:tc>
          <w:tcPr>
            <w:tcW w:w="211" w:type="dxa"/>
            <w:tcBorders/>
            <w:vAlign w:val="center"/>
          </w:tcPr>
          <w:p>
            <w:pPr>
              <w:pStyle w:val="TableContents"/>
              <w:bidi w:val="0"/>
              <w:spacing w:before="0" w:after="0"/>
              <w:ind w:left="0" w:right="0" w:hanging="0"/>
              <w:jc w:val="center"/>
              <w:rPr/>
            </w:pPr>
            <w:r>
              <w:rPr/>
              <w:t> </w:t>
            </w:r>
          </w:p>
        </w:tc>
      </w:tr>
      <w:tr>
        <w:trPr/>
        <w:tc>
          <w:tcPr>
            <w:tcW w:w="34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March 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96" w:type="dxa"/>
            <w:gridSpan w:val="6"/>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used in operating activities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used in investing activities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provided by financing activities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Cash flows used in operating activities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Cash used in operating activities for the three months ended March 31, 2023 was $8.3 million, consisting of a net loss of $7.6 million, add back of non-cash adjustments for depreciation, stock-based compensation, non-cash operating lease expense and other non-cash items totaling $1.1 million, plus changes in operating assets and liabilities of $1.7 million.</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Cash used in operating activities for the three months ended March 31, 2022 was $7.1 million consisting of a net loss of $8.5 million, add back of non-cash adjustments for depreciation, stock-based compensation, non-cash operating lease expense and other non-cash items totaling $0.8 million, plus changes in operating assets and liabilities of $0.6 million.</w:t>
      </w:r>
    </w:p>
    <w:p>
      <w:pPr>
        <w:pStyle w:val="TextBody"/>
        <w:bidi w:val="0"/>
        <w:spacing w:before="200" w:after="0"/>
        <w:jc w:val="both"/>
        <w:rPr>
          <w:rFonts w:ascii="Times New Roman;serif" w:hAnsi="Times New Roman;serif"/>
          <w:b/>
          <w:i/>
          <w:sz w:val="20"/>
        </w:rPr>
      </w:pPr>
      <w:r>
        <w:rPr>
          <w:rFonts w:ascii="Times New Roman;serif" w:hAnsi="Times New Roman;serif"/>
          <w:b/>
          <w:i/>
          <w:sz w:val="20"/>
        </w:rPr>
        <w:t>Cash flows used in investing activities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Cash used in investing activities for the three months ended March 31, 2023 and 2022 was related to purchases of property and equipment, primarily related to office, laboratory and computer equipment.</w:t>
      </w:r>
    </w:p>
    <w:p>
      <w:pPr>
        <w:pStyle w:val="TextBody"/>
        <w:bidi w:val="0"/>
        <w:spacing w:before="200" w:after="0"/>
        <w:jc w:val="both"/>
        <w:rPr>
          <w:rFonts w:ascii="Times New Roman;serif" w:hAnsi="Times New Roman;serif"/>
          <w:b/>
          <w:i/>
          <w:sz w:val="20"/>
        </w:rPr>
      </w:pPr>
      <w:r>
        <w:rPr>
          <w:rFonts w:ascii="Times New Roman;serif" w:hAnsi="Times New Roman;serif"/>
          <w:b/>
          <w:i/>
          <w:sz w:val="20"/>
        </w:rPr>
        <w:t>Cash flows provided by financing activities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Cash provided by financing activities for the three months ended March 31, 2023 was related to proceeds from the issuance of common stock of $44 thousand.</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Cash provided by financing activities for the three months ended March 31, 2022 was $1.4 million, primarily related to proceeds from the issuance of common stock of $1.4 million (net of issuance costs).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Funding Requirements</w:t>
      </w:r>
    </w:p>
    <w:p>
      <w:pPr>
        <w:pStyle w:val="TextBody"/>
        <w:bidi w:val="0"/>
        <w:spacing w:before="240" w:after="0"/>
        <w:jc w:val="both"/>
        <w:rPr>
          <w:rFonts w:ascii="Times New Roman" w:hAnsi="Times New Roman"/>
          <w:sz w:val="20"/>
        </w:rPr>
      </w:pPr>
      <w:r>
        <w:rPr>
          <w:rFonts w:ascii="Times New Roman;serif" w:hAnsi="Times New Roman;serif"/>
          <w:b w:val="false"/>
          <w:sz w:val="20"/>
        </w:rPr>
        <w:t>We believe that our available cash and cash equivalents are sufficient to fund existing and planned cash requirements for the next 12 months. Our primary uses of capital are, and we expect will continue to be, compensation and related</w:t>
      </w:r>
      <w:r>
        <w:rPr>
          <w:rFonts w:ascii="Times New Roman" w:hAnsi="Times New Roman"/>
          <w:sz w:val="20"/>
        </w:rPr>
        <w:t xml:space="preserve"> </w:t>
      </w:r>
      <w:r>
        <w:rPr>
          <w:rFonts w:ascii="Times New Roman;serif" w:hAnsi="Times New Roman;serif"/>
          <w:b w:val="false"/>
          <w:sz w:val="20"/>
        </w:rPr>
        <w:t>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future funding requirements will depend on many factors, including the following:</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costs associated with the scope, progress and results of discovery, preclinical development, laboratory testing and clinical trials for our product candidates;</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costs associated with the manufacturing of our product candidates;</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costs related to the extent to which we enter into partnerships or other arrangements with third parties to further develop our product candidates;</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costs and fees associated with the discovery, acquisition or in-license of product candidates or technologies;</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ability to establish collaborations on favorable terms, if at all;</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costs of future commercialization activities, if any, including product sales, marketing, manufacturing and distribution, for any of our product candidates for which we receive marketing approval;</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revenue, if any, received from commercial sales of our product candidates, should any of our product candidates receive marketing approval; and</w:t>
      </w:r>
    </w:p>
    <w:p>
      <w:pPr>
        <w:pStyle w:val="TextBody"/>
        <w:bidi w:val="0"/>
        <w:spacing w:before="240" w:after="0"/>
        <w:jc w:val="left"/>
        <w:rPr/>
      </w:pPr>
      <w:r>
        <w:rPr/>
        <w:t>•</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costs of preparing, filing and prosecuting patent applications, maintaining and enforcing our intellectual property rights and defending intellectual property-related claims.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Further, our operating plan may change, and we may need additional funds to meet operational needs and capital requirements for clinical trials and other research and development expenditures.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pStyle w:val="TextBody"/>
        <w:bidi w:val="0"/>
        <w:spacing w:before="0" w:after="0"/>
        <w:jc w:val="left"/>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Material Cash Requirements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Our material cash requirements as of March 31, 2023 primarily relate to the maturities of the principal obligations under our long-term debt, operating leases for office space, trade payables, and accrued expenses.</w:t>
      </w:r>
      <w:r>
        <w:rPr>
          <w:rFonts w:ascii="Times New Roman" w:hAnsi="Times New Roman"/>
          <w:sz w:val="20"/>
        </w:rPr>
        <w:t xml:space="preserve"> </w:t>
      </w:r>
      <w:r>
        <w:rPr>
          <w:rFonts w:ascii="Times New Roman;serif" w:hAnsi="Times New Roman;serif"/>
          <w:b w:val="false"/>
          <w:sz w:val="20"/>
        </w:rPr>
        <w:t>As of March 31, 2023, we have $7.5 million payable within 12 months. Refer to Notes 5 and 6 to our consolidated financial statements for additional information. We expect our expenses to increase in connection with our ongoing development activities, particularly as we continue the research, development and clinical trials of, and seek regulatory approval for, our product candidates. In addition, subject to obtaining regulatory approval for our product candidates, we anticipate that we will need substantial additional funding in connection with our continuing operations.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Until we can generate a sufficient amount of product revenue to finance our cash requirements, we expect to finance our future cash needs primarily through the issuance of additional equity, borrowings and strategic alliances with partner companies.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commercialization efforts or grant rights to develop and market product candidates to third parties that we would otherwise prefer to develop and market ourself.</w:t>
      </w:r>
    </w:p>
    <w:p>
      <w:pPr>
        <w:pStyle w:val="TextBody"/>
        <w:bidi w:val="0"/>
        <w:spacing w:before="200" w:after="0"/>
        <w:jc w:val="both"/>
        <w:rPr>
          <w:rFonts w:ascii="Times New Roman;serif" w:hAnsi="Times New Roman;serif"/>
          <w:b/>
          <w:sz w:val="20"/>
        </w:rPr>
      </w:pPr>
      <w:r>
        <w:rPr>
          <w:rFonts w:ascii="Times New Roman;serif" w:hAnsi="Times New Roman;serif"/>
          <w:b/>
          <w:sz w:val="20"/>
        </w:rPr>
        <w:t>Critical Accounting Policies and Estimates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There have been no significant changes to our critical accounting policies since December 31, 2022. For a description of critical accounting policies that affect our significant judgments and estimates used in the preparation of our unaudited condensed consolidated financial statements, refer to Item 7 "Management's Discussion and Analysis of Financial Condition and Results of Operations" contained in our Annual Report on Form 10-K.</w:t>
      </w:r>
    </w:p>
    <w:p>
      <w:pPr>
        <w:pStyle w:val="TextBody"/>
        <w:bidi w:val="0"/>
        <w:spacing w:before="200" w:after="0"/>
        <w:jc w:val="both"/>
        <w:rPr>
          <w:rFonts w:ascii="Times New Roman;serif" w:hAnsi="Times New Roman;serif"/>
          <w:b/>
          <w:sz w:val="20"/>
        </w:rPr>
      </w:pPr>
      <w:r>
        <w:rPr>
          <w:rFonts w:ascii="Times New Roman;serif" w:hAnsi="Times New Roman;serif"/>
          <w:b/>
          <w:sz w:val="20"/>
        </w:rPr>
        <w:t>Recent Accounting Pronouncements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See Note 2 to our Condensed Consolidated Financial Statements for a description of recent accounting pronouncements applicable to our Condensed Consolidated Financial Statements.</w:t>
      </w:r>
    </w:p>
    <w:p>
      <w:pPr>
        <w:pStyle w:val="TextBody"/>
        <w:bidi w:val="0"/>
        <w:spacing w:before="200" w:after="0"/>
        <w:jc w:val="both"/>
        <w:rPr>
          <w:rFonts w:ascii="Times New Roman;serif" w:hAnsi="Times New Roman;serif"/>
          <w:b/>
          <w:sz w:val="20"/>
        </w:rPr>
      </w:pPr>
      <w:r>
        <w:rPr>
          <w:rFonts w:ascii="Times New Roman;serif" w:hAnsi="Times New Roman;serif"/>
          <w:b/>
          <w:sz w:val="20"/>
        </w:rPr>
        <w:t>Smaller Reporting Company Status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We are a smaller reporting company as defined in the Securities Exchange Act of 1934, as amended.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200" w:after="0"/>
        <w:jc w:val="left"/>
        <w:rPr>
          <w:rFonts w:ascii="Times New Roman" w:hAnsi="Times New Roman"/>
          <w:sz w:val="20"/>
        </w:rPr>
      </w:pPr>
      <w:bookmarkStart w:id="24" w:name="item_3_quantitative_qualitative_disclosu"/>
      <w:bookmarkEnd w:id="24"/>
      <w:r>
        <w:rPr>
          <w:rFonts w:ascii="Times New Roman;serif" w:hAnsi="Times New Roman;serif"/>
          <w:b/>
          <w:sz w:val="20"/>
        </w:rPr>
        <w:t xml:space="preserve">Item 3. </w:t>
      </w:r>
      <w:r>
        <w:rPr>
          <w:rFonts w:ascii="Times New Roman;serif" w:hAnsi="Times New Roman;serif"/>
          <w:b/>
          <w:i/>
          <w:sz w:val="20"/>
        </w:rPr>
        <w:t>Quantitative and Qualitative Disclosures about Market Risk</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Not required for smaller reporting companies.</w:t>
      </w:r>
    </w:p>
    <w:p>
      <w:pPr>
        <w:pStyle w:val="TextBody"/>
        <w:bidi w:val="0"/>
        <w:spacing w:before="200" w:after="0"/>
        <w:jc w:val="both"/>
        <w:rPr>
          <w:rFonts w:ascii="Times New Roman" w:hAnsi="Times New Roman"/>
          <w:sz w:val="20"/>
        </w:rPr>
      </w:pPr>
      <w:bookmarkStart w:id="25" w:name="item_4_controls_procedures"/>
      <w:bookmarkEnd w:id="25"/>
      <w:r>
        <w:rPr>
          <w:rFonts w:ascii="Times New Roman;serif" w:hAnsi="Times New Roman;serif"/>
          <w:b/>
          <w:sz w:val="20"/>
        </w:rPr>
        <w:t xml:space="preserve">Item 4. </w:t>
      </w:r>
      <w:r>
        <w:rPr>
          <w:rFonts w:ascii="Times New Roman;serif" w:hAnsi="Times New Roman;serif"/>
          <w:b/>
          <w:i/>
          <w:sz w:val="20"/>
        </w:rPr>
        <w:t>Controls and Procedures</w:t>
      </w:r>
    </w:p>
    <w:p>
      <w:pPr>
        <w:pStyle w:val="TextBody"/>
        <w:bidi w:val="0"/>
        <w:spacing w:before="200" w:after="0"/>
        <w:jc w:val="both"/>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200" w:after="0"/>
        <w:jc w:val="both"/>
        <w:rPr>
          <w:rFonts w:ascii="Times New Roman" w:hAnsi="Times New Roman"/>
          <w:sz w:val="20"/>
        </w:rPr>
      </w:pPr>
      <w:r>
        <w:rPr>
          <w:rFonts w:ascii="Times New Roman;serif" w:hAnsi="Times New Roman;serif"/>
          <w:b w:val="false"/>
          <w:sz w:val="20"/>
        </w:rPr>
        <w:t>We maintain “disclosure controls and procedures,” as defined in Rules 13a-15(e) and 15d-15(e) under the Securities Exchange Act of 1934, as amended, or the Exchange Act, that are designed to ensure that information required to be disclosed in the</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200" w:after="0"/>
        <w:jc w:val="both"/>
        <w:rPr>
          <w:rFonts w:ascii="Times New Roman" w:hAnsi="Times New Roman"/>
          <w:sz w:val="20"/>
        </w:rPr>
      </w:pPr>
      <w:r>
        <w:rPr>
          <w:rFonts w:ascii="Times New Roman;serif" w:hAnsi="Times New Roman;serif"/>
          <w:b w:val="false"/>
          <w:sz w:val="20"/>
        </w:rPr>
        <w:t>Our management, with the participation of our Chief Executive Officer (principal executive officer) and Vice-President, Strategy and Finance (principal financial officer), evaluated the effectiveness of our disclosure controls and procedures (as defined in Rules 13a-15(e) and 15d-15(e) under the Exchange Act), as of the end of the period covered by this Quarterly Report. Based on such evaluation, our Chief Executive Officer and Vice-President, Strategy and Finance have concluded that as of March 31, 2023, our disclosure controls and procedures were effective at the reasonable assurance level.</w:t>
        <w:br/>
      </w:r>
      <w:r>
        <w:rPr>
          <w:rFonts w:ascii="Times New Roman" w:hAnsi="Times New Roman"/>
          <w:sz w:val="20"/>
        </w:rPr>
        <w:t> </w:t>
      </w:r>
    </w:p>
    <w:p>
      <w:pPr>
        <w:pStyle w:val="TextBody"/>
        <w:bidi w:val="0"/>
        <w:spacing w:before="200" w:after="0"/>
        <w:jc w:val="both"/>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200" w:after="0"/>
        <w:jc w:val="both"/>
        <w:rPr>
          <w:rFonts w:ascii="Times New Roman" w:hAnsi="Times New Roman"/>
          <w:sz w:val="20"/>
        </w:rPr>
      </w:pPr>
      <w:r>
        <w:rPr>
          <w:rFonts w:ascii="Times New Roman;serif" w:hAnsi="Times New Roman;serif"/>
          <w:b w:val="false"/>
          <w:sz w:val="20"/>
        </w:rPr>
        <w:t>There were no changes in internal control over financial reporting during the quarter ended March 31, 2023 that have materially affected, or are reasonably likely to materially affect, our internal control over financial reporting.</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6" w:name="part_ii_other_information"/>
      <w:bookmarkEnd w:id="26"/>
      <w:r>
        <w:rPr>
          <w:rFonts w:ascii="Times New Roman;serif" w:hAnsi="Times New Roman;serif"/>
          <w:b/>
          <w:sz w:val="20"/>
        </w:rPr>
        <w:t>PART II - OTHER INFORMATION</w:t>
      </w:r>
    </w:p>
    <w:p>
      <w:pPr>
        <w:pStyle w:val="TextBody"/>
        <w:bidi w:val="0"/>
        <w:spacing w:before="200" w:after="0"/>
        <w:jc w:val="left"/>
        <w:rPr>
          <w:rFonts w:ascii="Times New Roman" w:hAnsi="Times New Roman"/>
          <w:sz w:val="20"/>
        </w:rPr>
      </w:pPr>
      <w:bookmarkStart w:id="27" w:name="item_1_legal_proceedings"/>
      <w:bookmarkEnd w:id="27"/>
      <w:r>
        <w:rPr>
          <w:rFonts w:ascii="Times New Roman;serif" w:hAnsi="Times New Roman;serif"/>
          <w:b/>
          <w:sz w:val="20"/>
        </w:rPr>
        <w:t xml:space="preserve">Item 1. </w:t>
      </w:r>
      <w:r>
        <w:rPr>
          <w:rFonts w:ascii="Times New Roman;serif" w:hAnsi="Times New Roman;serif"/>
          <w:b/>
          <w:i/>
          <w:sz w:val="20"/>
        </w:rPr>
        <w:t>Legal Proceedings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Information pertaining to legal proceedings is provided in Note 5 to the Condensed Consolidated Financial Statements contained in this report and is incorporated by reference herein.</w:t>
      </w:r>
    </w:p>
    <w:p>
      <w:pPr>
        <w:pStyle w:val="TextBody"/>
        <w:bidi w:val="0"/>
        <w:spacing w:before="200" w:after="0"/>
        <w:jc w:val="both"/>
        <w:rPr>
          <w:rFonts w:ascii="Times New Roman" w:hAnsi="Times New Roman"/>
          <w:sz w:val="20"/>
        </w:rPr>
      </w:pPr>
      <w:bookmarkStart w:id="28" w:name="item_1a_risk_factors"/>
      <w:bookmarkEnd w:id="28"/>
      <w:r>
        <w:rPr>
          <w:rFonts w:ascii="Times New Roman;serif" w:hAnsi="Times New Roman;serif"/>
          <w:b/>
          <w:sz w:val="20"/>
        </w:rPr>
        <w:t xml:space="preserve">Item 1A. </w:t>
      </w:r>
      <w:r>
        <w:rPr>
          <w:rFonts w:ascii="Times New Roman;serif" w:hAnsi="Times New Roman;serif"/>
          <w:b/>
          <w:i/>
          <w:sz w:val="20"/>
        </w:rPr>
        <w:t>Risk Factors</w:t>
      </w:r>
    </w:p>
    <w:p>
      <w:pPr>
        <w:pStyle w:val="TextBody"/>
        <w:bidi w:val="0"/>
        <w:spacing w:before="240" w:after="0"/>
        <w:jc w:val="both"/>
        <w:rPr>
          <w:rFonts w:ascii="Times New Roman;serif" w:hAnsi="Times New Roman;serif"/>
          <w:b w:val="false"/>
          <w:i/>
          <w:sz w:val="20"/>
        </w:rPr>
      </w:pPr>
      <w:r>
        <w:rPr>
          <w:rFonts w:ascii="Times New Roman;serif" w:hAnsi="Times New Roman;serif"/>
          <w:b w:val="false"/>
          <w:i/>
          <w:sz w:val="20"/>
        </w:rPr>
        <w:t>Our business involves significant risks, some of which are described below. You should carefully consider the risks described below, together with all of the other information contained in this Annual Report on Form 10-K, including the section entitled “Management’s Discussion and Analysis of Financial Condition and Results of Operations” and the financial statements and the related notes. Any of these events could cause the trading price of our common stock to decline, which would cause you to lose all or part of your investment.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or may make from time to time.</w:t>
      </w:r>
    </w:p>
    <w:p>
      <w:pPr>
        <w:pStyle w:val="TextBody"/>
        <w:bidi w:val="0"/>
        <w:spacing w:before="200" w:after="0"/>
        <w:jc w:val="both"/>
        <w:rPr>
          <w:rFonts w:ascii="Times New Roman;serif" w:hAnsi="Times New Roman;serif"/>
          <w:b/>
          <w:sz w:val="20"/>
          <w:u w:val="single"/>
        </w:rPr>
      </w:pPr>
      <w:r>
        <w:rPr>
          <w:rFonts w:ascii="Times New Roman;serif" w:hAnsi="Times New Roman;serif"/>
          <w:b/>
          <w:sz w:val="20"/>
          <w:u w:val="single"/>
        </w:rPr>
        <w:t>Summary of Selected Risks Associated with Our Business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business is subject to numerous risks and uncertainties, any one of which could materially adversely affect our business, financial condition, operating results, and prospects. You should read this summary together with the more detailed description of each risk factor contained below.</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expect that we will need to raise additional funding to finance our operations. This additional financing may not be available on acceptable terms or at all. Failure to obtain this necessary capital when needed may force us to delay, limit or terminate our product development efforts or other operations.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ability to raise capital may be limited by applicable laws and regulations.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Raising additional capital may cause dilution to our stockholders, restrict our operations or require us to relinquish proprietary rights.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terms of the Loan Agreement with Oxford Finance provide Oxford with a lien against all of our assets, including our intellectual property, and contains financial covenants and other restrictions on our actions that may limit our operational flexibility or otherwise adversely affect our results of operations.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expect to expand our development and regulatory capabilities, and as a result, we may encounter difficulties in managing our growth, which could disrupt our operations.</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If we are unable to develop, obtain regulatory approval for and commercialize TPST-1495 and TPST-1120 and its future product candidates, or if we experience significant delays in doing so, our business will be materially harmed.</w:t>
      </w:r>
    </w:p>
    <w:p>
      <w:pPr>
        <w:pStyle w:val="TextBody"/>
        <w:bidi w:val="0"/>
        <w:spacing w:before="240" w:after="0"/>
        <w:jc w:val="left"/>
        <w:rPr/>
      </w:pPr>
      <w:r>
        <w:rPr/>
        <w:t>•</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Success in preclinical studies and earlier clinical trials for our product candidates may not be indicative of the results that may be obtained in later clinical trials, which may delay or prevent obtaining regulatory approval.</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may not be successful in our efforts to expand our pipeline of product candidates and develop marketable products.</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commercial success of our product candidates, including TPST-1495 and TPST-1120, will depend upon their degree of market acceptance by providers, patients, patient advocacy groups, third-party payors and the general medical community.</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may rely on third parties to manufacture our clinical product supplies, and we may have to rely on third parties to produce and process our product candidates, if approved.</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ability to successfully market or commercialize TPST-1495, TPST-1120, and our other product candidates.</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If we are unable to establish sales and marketing capabilities or enter into agreements with third parties to market and sell our product candidates, we may be unable to generate any revenues.</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may not be successful in finding strategic collaborators for continuing development of certain of our future product candidates or successfully commercializing or competing in the market for certain indications.</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U.S. Food and Drug Administration (“FDA”) regulatory approval process is lengthy and time-consuming, and we may experience significant delays in the clinical development and regulatory approval of our product candidates.</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success depends in part on our ability to obtain, maintain and protect our intellectual property. It is difficult and costly to protect our proprietary rights and technology, and we may not be able to ensure their protection.</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owned and in-licensed patents and patent applications may not provide sufficient protection of our product candidates or result in any competitive advantage.</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trading price of the shares of our common stock has been and is likely to continue to be volatile, and purchasers of our common stock could incur substantial losses.</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Unstable market and economic conditions may have serious adverse consequences on our business, financial condition and share price.</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common stock is thinly traded and our stockholders may be unable to sell their shares quickly or at market price.</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executive officers, directors and principal stockholders have the ability to control or significantly influence all matters submitted to our stockholders for approval.</w:t>
      </w:r>
    </w:p>
    <w:p>
      <w:pPr>
        <w:pStyle w:val="TextBody"/>
        <w:bidi w:val="0"/>
        <w:spacing w:before="240" w:after="0"/>
        <w:jc w:val="left"/>
        <w:rPr/>
      </w:pPr>
      <w:r>
        <w:rPr/>
        <w:t>•</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If we fail to maintain proper and effective internal controls, our ability to produce accurate financial statements on a timely basis could be impaired.</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00" w:after="0"/>
        <w:jc w:val="both"/>
        <w:rPr>
          <w:rFonts w:ascii="Times New Roman;serif" w:hAnsi="Times New Roman;serif"/>
          <w:b/>
          <w:sz w:val="20"/>
        </w:rPr>
      </w:pPr>
      <w:r>
        <w:rPr>
          <w:rFonts w:ascii="Times New Roman;serif" w:hAnsi="Times New Roman;serif"/>
          <w:b/>
          <w:sz w:val="20"/>
        </w:rPr>
        <w:t>Risks Related to Our Financial Position and Capital Needs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are a clinical-stage biotechnology company with a limited operating history. Biotechnology product development is a highly speculative undertaking and involves a substantial degree of risk. Our operations to date have been limited primarily to organizing and staffing, business planning, raising capital, acquiring and developing product and technology rights, manufacturing, and conducting research and development activities for our product candidates. We have never generated any revenue from product sales and we have not obtained regulatory approvals for any of our product candidates. We incurred net losses of $7.6 million and $8.5 million for the three months ended March 31, 2023 and 2022, respectively. As of March 31, 2023, we had an accumulated deficit of $143.4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as we continue to conduct research and development, clinical testing, regulatory compliance activities, manufacturing activities, and, if any of our product candidates is approved, sales and marketing activities. Our prior losses, combined with our expected future losses, have had and will continue to have an adverse effect on our stockholders’ equity and working capital.</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expect that we will need to raise additional funding to finance our operations. This additional financing may not be available on acceptable terms or at all. Failure to obtain this necessary capital when needed may force us to delay, limit or terminate our product development efforts or other operations.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operations have consumed significant amounts of cash since inception. We expect our expenses to increase in connection with our ongoing and planned activities, particularly as we continue to develop and potentially commercialize our product candidates, in addition to costs associated with the acquisition or in-licensing of any additional product candidates we may pursue. Our expenses could increase beyond expectations if the FDA or comparable foreign regulatory authorities require us to perform clinical and other studies in addition to those that we currently anticipate. In addition, if we obtain marketing approval for our product candidates, we expect to incur significant expenses related to sales, marketing, manufacturing and distribution.</w:t>
      </w:r>
    </w:p>
    <w:p>
      <w:pPr>
        <w:pStyle w:val="TextBody"/>
        <w:bidi w:val="0"/>
        <w:spacing w:before="240" w:after="0"/>
        <w:jc w:val="both"/>
        <w:rPr>
          <w:rFonts w:ascii="Times New Roman" w:hAnsi="Times New Roman"/>
          <w:sz w:val="20"/>
        </w:rPr>
      </w:pPr>
      <w:r>
        <w:rPr>
          <w:rFonts w:ascii="Times New Roman;serif" w:hAnsi="Times New Roman;serif"/>
          <w:b w:val="false"/>
          <w:sz w:val="20"/>
        </w:rPr>
        <w:t>As of March 31, 2023, we had cash, cash equivalents and marketable securities of $22.9 million. We believe that our cash, cash equivalents and marketable securities as of March 31, 2023 will fund our current operating plans through at least the next 12 months from the date the financial statements were issued. We have based this assessment on assumptions that may prove to be wrong, and it is possible that we will not achieve the progress that we expect with these funds because the actual costs and timing of clinical development and regulatory and commercial activities are difficult to predict and are subject to substantial risks and delays, and that we will use our capital resources sooner than we currently expect. This estimate does not reflect any additional expenditures that may result from any further strategic transactions to expand and diversify our product pipeline, including acquisitions of assets, businesses, rights to products, product candidates or technologies or strategic alliances or collaborations that we may pursue. It also does not reflect the possibility that we may not be able to access a portion of our existing cash, cash equivalents and investments due to unforeseen market conditions. For example, on March 10, 2023, the Federal Deposit Insurance Corporation took control and was appointed receiver of Silicon Valley Bank. Similarly, on March 12, 2023, Signature Bank and Silvergate Capital Corp. were each swept into receivership.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any event, we will require substantial additional capital to develop our product candidates. Such additional capital might not be available when we need it and our actual cash requirements might be greater than anticipated. If we require additional capital at a time when investment in our industry or in the marketplace in general is limited, we might not be able to raise funding on favorable terms, if at all. If we are not able to obtain financing when needed or on terms favorable to us, we may need to delay, reduce or eliminate certain research and development programs or other operations, sell some or all of our assets or merge with another entity. Any additional capital raising efforts may divert our management from their day-to-day activities, which may adversely affect our ability to develop and commercialize our product candidates.</w:t>
      </w:r>
    </w:p>
    <w:p>
      <w:pPr>
        <w:pStyle w:val="TextBody"/>
        <w:bidi w:val="0"/>
        <w:spacing w:before="240" w:after="0"/>
        <w:jc w:val="left"/>
        <w:rPr>
          <w:rFonts w:ascii="Times New Roman" w:hAnsi="Times New Roman"/>
          <w:sz w:val="20"/>
        </w:rPr>
      </w:pPr>
      <w:r>
        <w:rPr>
          <w:rFonts w:ascii="Times New Roman;serif" w:hAnsi="Times New Roman;serif"/>
          <w:b/>
          <w:i/>
          <w:sz w:val="20"/>
        </w:rPr>
        <w:t>Our ability to raise capital may be limited by applicable laws and regulations.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Using a shelf registration statement on Form S-3 to raise additional capital generally takes less time and is less expensive than other means, such as conducting an offering under a Form S-1 registration statement. However, our ability to raise capital using a shelf registration statement may be limited by, among other things, SEC rules and regulations. Under SEC rules and regulations, if our public float (the market value of our common stock held by non-affiliates) is less than $75.0 million, then the aggregate market value of securities sold by us or on our behalf under our Form S-3 in any 12-month period is limited to an aggregate of one-third of our public float. As our public float is currently less than $75.0 million, we are currently subject to this limitation. If our ability to utilize a Form S-3 registration statement for a primary offering of our securities is limited to one-third of our public float, we may conduct such an offering pursuant to an exemption from registration under the Securities Act or under a Form S-1 registration statement, and we would expect either of those alternatives to increase the cost of raising additional capital relative to utilizing a Form S-3 registration statement.</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Raising additional capital may cause dilution to our stockholders, restrict our operations or require us to relinquish proprietary rights.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In July 2021, we entered into Sales Agreement, or the ATM Agreement, with Jefferies LLC, for an at-the-market offering program that allows us to sell up to an aggregate of $100 million of our common stock. To the extent that we raise additional capital through the sale of equity or convertible debt securities, your ownership interest may be diluted, and the terms of these securities may include liquidation or other preferences that adversely affect your rights as a stockholder. In addition, we may issue equity or debt securities as consideration for obtaining rights to additional compounds.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 and other operating restrictions that could negatively impact our ability to conduct our business. For example, our obligations under the loan and security agreement, or Loan Agreement, with Oxford Finance LLC, or Oxford Finance, are secured by a security interest in all of our assets, including our intellectual property. In addition, the Loan Agreement contains customary covenants that, subject to specific exceptions, restrict our ability to, among other things, declare dividends or redeem or repurchase equity interests, incur additional liens, make loans and investments, incur additional indebtedness, engage in mergers, acquisitions and asset sales, transact with affiliates, undergo a change in control, add or change business locations, or engage in businesses that are not related to its existing business.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if we raise additional capital through future collaborations, strategic alliances or third-party licensing arrangements, we may have to relinquish future revenue streams, research programs or product candidates, or grant licenses on terms that may not be favorable to us.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If we are unable to raise additional capital when needed, we may be required to delay, limit, reduce or terminate our drug development or future commercialization efforts, or grant rights to develop and market product candidates that we would otherwise develop and market ourselves.</w:t>
      </w:r>
    </w:p>
    <w:p>
      <w:pPr>
        <w:pStyle w:val="TextBody"/>
        <w:bidi w:val="0"/>
        <w:spacing w:before="240" w:after="0"/>
        <w:jc w:val="both"/>
        <w:rPr>
          <w:rFonts w:ascii="Times New Roman" w:hAnsi="Times New Roman"/>
          <w:sz w:val="20"/>
        </w:rPr>
      </w:pPr>
      <w:r>
        <w:rPr>
          <w:rFonts w:ascii="Times New Roman;serif" w:hAnsi="Times New Roman;serif"/>
          <w:b/>
          <w:i/>
          <w:sz w:val="20"/>
        </w:rPr>
        <w:t>Our ability to raise capital may be limited by applicable laws and regulations.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Using a shelf registration statement on Form S-3 to raise additional capital generally takes less time and is less expensive than other means, such as conducting an offering under a Form S-1 registration statement. However, our ability to raise capital using a shelf registration statement may be limited by, among other things, SEC rules and regulations. Under SEC rules and regulations, if our public float (the market value of our common stock held by non-affiliates) is less than $75.0 million, then the aggregate market value of securities sold by us or on our behalf under our Form S-3 in any 12-month period is limited to an aggregate of one-third of our public float. As our public float is currently less than $75.0 million, we are currently subject to this limitation. If our ability to utilize a Form S-3 registration statement for a primary offering of our securities is limited to one-third of our public float, we may conduct such an offering pursuant to an exemption from registration under the Securities Act or under a Form S-1 registration statement, and we would expect either of those alternatives to increase the cost of raising additional capital relative to utilizing a Form S-3 registration statement.</w:t>
      </w:r>
    </w:p>
    <w:p>
      <w:pPr>
        <w:pStyle w:val="TextBody"/>
        <w:bidi w:val="0"/>
        <w:spacing w:before="240" w:after="0"/>
        <w:jc w:val="left"/>
        <w:rPr>
          <w:rFonts w:ascii="Times New Roman;serif" w:hAnsi="Times New Roman;serif"/>
          <w:b/>
          <w:i/>
          <w:sz w:val="20"/>
        </w:rPr>
      </w:pPr>
      <w:r>
        <w:rPr>
          <w:rFonts w:ascii="Times New Roman;serif" w:hAnsi="Times New Roman;serif"/>
          <w:b/>
          <w:i/>
          <w:sz w:val="20"/>
        </w:rPr>
        <w:t>The terms of the Loan Agreement with Oxford Finance provide Oxford with a lien against all of our assets, including our intellectual property, and contains financial covenants and other restrictions on our actions that may limit our operational flexibility or otherwise adversely affect our results of operations.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January 2021, we entered into a Loan Agreement with Oxford Finance that provided us with up to $35.0 million of borrowing capacity across three potential tranches, which was subsequently amended in December 2022. The initial tranche of $15.0 million was funded at the closing of the Loan Agreement. As of March 31, 2023, a total of $10.0 million in borrowing capacity remained available at the option of Oxford Finance. Our overall leverage and certain obligations and affirmative and negative covenants contained in the related documentation could adversely affect our financial health and business and future operations by limiting our ability to, among other things, satisfy our obligations under the Loan Agreement, refinance our debt on terms acceptable to us or at all, plan for and adjust to changing business, industry and market conditions, use our available cash flow to fund future acquisitions and make dividend payments, and obtain additional financing for working capital, to fund growth or for general corporate purposes, even when necessary to maintain adequate liquidity.</w:t>
      </w:r>
    </w:p>
    <w:p>
      <w:pPr>
        <w:pStyle w:val="TextBody"/>
        <w:bidi w:val="0"/>
        <w:spacing w:before="240" w:after="0"/>
        <w:jc w:val="left"/>
        <w:rPr>
          <w:rFonts w:ascii="Times New Roman" w:hAnsi="Times New Roman"/>
          <w:sz w:val="20"/>
        </w:rPr>
      </w:pPr>
      <w:r>
        <w:rPr>
          <w:rFonts w:ascii="Times New Roman;serif" w:hAnsi="Times New Roman;serif"/>
          <w:b w:val="false"/>
          <w:sz w:val="20"/>
        </w:rPr>
        <w:t>If we default under the Loan Agreement, Oxford Finance may accelerate all of our repayment obligations and exercise all of their rights and remedies under the Loan Agreement and applicable law, potentially requiring us to renegotiate our agreement on terms less favorable to us. In addition, since the borrowings under the Loan Agreement are secured by a lien on our assets, including our intellectual property, Oxford Finance would be able to foreclose on our assets if we do not cure any default or pay any amounts due and payable under the Loan Agreement. Further, if we are liquidated, the lenders’ right to repayment would be senior to the rights of the holders of our common stock to receive any proceeds from the liquidation. Oxford Finance could declare a default upon the occurrence of an event of default, including events that they interpret as a material adverse change as defined in the Loan Agreement, payment defaults or breaches of certain affirmative and negative covenants, thereby requiring us to repay the loan immediately. Any declaration by Oxford Finance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limited operating history may make it difficult for you to evaluate the success of our business to date and to assess our future viability.</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Our operations to date have been limited to organizing and staffing, business planning, raising capital, acquiring our technology, identifying potential product candidates, undertaking research and preclinical studies of our product candidates, manufacturing,</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and establishing licensing arrangements. We have not yet demonstrated the ability to complete clinical trials of our product candidates, obtain marketing approvals, manufacture a commercial scale product or conduct sales and marketing activities necessary for successful commercialization. Consequently, any predictions you make about our future success or viability may not be as accurate as they could be if we had a longer operating history.</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Our ability to utilize our net operating loss carryforwards and tax credit carryforwards may be subject to limitations.</w:t>
      </w:r>
    </w:p>
    <w:p>
      <w:pPr>
        <w:pStyle w:val="TextBody"/>
        <w:bidi w:val="0"/>
        <w:spacing w:before="240" w:after="0"/>
        <w:jc w:val="both"/>
        <w:rPr>
          <w:rFonts w:ascii="Times New Roman" w:hAnsi="Times New Roman"/>
          <w:sz w:val="20"/>
        </w:rPr>
      </w:pPr>
      <w:r>
        <w:rPr>
          <w:rFonts w:ascii="Times New Roman;serif" w:hAnsi="Times New Roman;serif"/>
          <w:b w:val="false"/>
          <w:sz w:val="20"/>
        </w:rPr>
        <w:t>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our NOLs.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Under Section 382 and Section 383 of the Code and corresponding provisions of state law, if a corporation undergoes an “ownership change,” its ability to use its pre-change NOL carryforwards and other pre-change tax attributes (such as research tax credits) to offset its post-change income or taxes may be limited. A Section 382 “ownership change” is generally defined as a greater than 50 percentage point change (by value) in its equity ownership by certain stockholders over a three-year period. We may have experienced ownership changes in the past, including as a result of the merger with Millendo, and may experience ownership changes in the future due to subsequent shifts in our stock ownership (some of which are outside of our control). Furthermore, the merger constituted an ownership change (within the meaning of Section 382 of the Code) of Millendo which may have eliminated or otherwise substantially limited our ability to use Millendo’s federal and state NOLs to offset our future taxable income. Consequently, even if we achieve profitability, we may not be able to utilize a material portion of Private Tempest’s, Millendo’s or our combined NOL carryforwards and other tax attributes, which could have a material adverse effect on cash flow and results of operations. Similar provisions of state tax law may also apply to limit our ability to use of accumulated state tax attributes. There is also a risk that due to regulatory changes, such as suspensions on the use of NOLs, or other unforeseen reasons, our existing NOLs could expire or otherwise be unavailable to offset future income tax liabilities.</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Risks Related to Our Business and Strategy</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expect to expand our development and regulatory capabilities, and as a result, we may encounter difficulties in managing our growth, which could disrupt our operations.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expect to experience significant growth in the number of our employees and the scope of our operations, particularly in the areas of product candidate development, growing our capability to conduct clinical trials, and, if approved, through commercialization of our product candidates. To manage our anticipated future growth, we must continue to implement and improve our managerial, operational and financial systems, expand our facilities and continue to recruit and train additional qualified personnel, or contract with third parties to provide these capabilities.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must attract and retain highly skilled employees to succeed.</w:t>
      </w:r>
    </w:p>
    <w:p>
      <w:pPr>
        <w:pStyle w:val="TextBody"/>
        <w:bidi w:val="0"/>
        <w:spacing w:before="240" w:after="0"/>
        <w:jc w:val="both"/>
        <w:rPr>
          <w:rFonts w:ascii="Times New Roman" w:hAnsi="Times New Roman"/>
          <w:sz w:val="20"/>
        </w:rPr>
      </w:pPr>
      <w:r>
        <w:rPr>
          <w:rFonts w:ascii="Times New Roman;serif" w:hAnsi="Times New Roman;serif"/>
          <w:b w:val="false"/>
          <w:sz w:val="20"/>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results of operations and increase our capabilities to successfully commercialize our product candidates. In particular, we</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believe that our future success is highly dependent upon the contributions of our senior management, particularly our Chief Executive Officer, Stephen Brady, our President, Thomas Dubensky and our Chief Medical Officer, Sam Whiting. The loss of services of Messrs. Brady, Dubensky or Whiting, or any of our other senior management,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pStyle w:val="TextBody"/>
        <w:bidi w:val="0"/>
        <w:spacing w:before="240" w:after="0"/>
        <w:jc w:val="both"/>
        <w:rPr>
          <w:rFonts w:ascii="Times New Roman;serif" w:hAnsi="Times New Roman;serif"/>
          <w:b/>
          <w:i/>
          <w:sz w:val="20"/>
        </w:rPr>
      </w:pPr>
      <w:r>
        <w:rPr>
          <w:rFonts w:ascii="Times New Roman;serif" w:hAnsi="Times New Roman;serif"/>
          <w:b/>
          <w:i/>
          <w:sz w:val="20"/>
        </w:rPr>
        <w:t>Future acquisitions or strategic alliances could disrupt our business and harm our financial condition and results of operations.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diversion of management time and focus from operating our business to addressing acquisition integration challenges;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coordination of research and development efforts;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retention of key employees from the acquired company;</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changes in relationships with strategic partners as a result of product acquisitions or strategic positioning resulting from the acquisition;</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cultural challenges associated with integrating employees from the acquired company into our organization;</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need to implement or improve controls, procedures and policies at a business that prior to the acquisition may have lacked sufficiently effective controls, procedures and policies;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liability for activities of the acquired company before the acquisition, including intellectual property infringement claims, violation of laws, commercial disputes, tax liabilities and other known liabilities;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unanticipated write-offs or charges; and</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litigation or other claims in connection with the acquired company, including claims from terminated employees, customers, former stockholders or other third parties.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pStyle w:val="TextBody"/>
        <w:bidi w:val="0"/>
        <w:spacing w:before="240" w:after="0"/>
        <w:jc w:val="both"/>
        <w:rPr>
          <w:rFonts w:ascii="Times New Roman;serif" w:hAnsi="Times New Roman;serif"/>
          <w:b/>
          <w:sz w:val="20"/>
        </w:rPr>
      </w:pPr>
      <w:r>
        <w:rPr>
          <w:rFonts w:ascii="Times New Roman;serif" w:hAnsi="Times New Roman;serif"/>
          <w:b/>
          <w:sz w:val="20"/>
        </w:rPr>
        <w:t>Risks Related to Our Product Development and Regulatory Approval</w:t>
      </w:r>
    </w:p>
    <w:p>
      <w:pPr>
        <w:pStyle w:val="TextBody"/>
        <w:bidi w:val="0"/>
        <w:spacing w:before="240" w:after="0"/>
        <w:jc w:val="both"/>
        <w:rPr>
          <w:rFonts w:ascii="Times New Roman;serif" w:hAnsi="Times New Roman;serif"/>
          <w:b/>
          <w:i/>
          <w:sz w:val="20"/>
        </w:rPr>
      </w:pPr>
      <w:r>
        <w:rPr>
          <w:rFonts w:ascii="Times New Roman;serif" w:hAnsi="Times New Roman;serif"/>
          <w:b/>
          <w:i/>
          <w:sz w:val="20"/>
        </w:rPr>
        <w:t>If we are unable to develop, obtain regulatory approval for and commercialize TPST-1495 and TPST-1120 and our future product candidates, or if we experience significant delays in doing so, our business will be materially harmed.</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plan to invest a substantial amount of our efforts and financial resources in our current lead product candidates, TPST-1495, a dual EP2/EP4 prostaglandin (“PGE2”) receptor antagonist, and TPST-1120, a peroxisome proliferator-activated receptor alpha (“PPARα”) antagonist for the treatment of various cancers. We have initiated Phase 1 clinical trials of TPST-1495 and TPST-1120 for the treatment of advanced solid tumors. In addition, we plan to advance our program targeting the three prime repair exonuclease (“TREX-1”) and select a development candidate for this program during 2023. Our ability to generate product revenue will depend heavily on the successful development and eventual commercialization of TPST-1495 and TPST-1120 and our other product candidates, which may never occur. We currently generate no revenue from sales of any product and we may never be able to develop or commercialize a marketable product.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Each of our programs and product candidates will require further clinical and/or preclinical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 product sales. TPST-1495 and TPST-1120 and our other product candidates must be authorized for marketing by the FDA, the Health Products and Food Branch of Health Canada (“HPFB”), the European Medicines Agency (“EMA”), and certain other foreign regulatory agencies before we may commercialize any of our product candidates in the United States, Canada, European Union, or other jurisdictions.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success of TPST-1495 and TPST-1120 and our other product candidates depends on multiple factors, including:</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successful completion of preclinical studies, including those compliant with Good Laboratory Practice (“GLP”), or GLP toxicology studies, biodistribution studies and minimum effective dose studies in animals, and successful enrollment and completion of clinical trials compliant with current Good Clinical Practices (“GCPs”);</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effective Investigational New Drug applications or other regulatory applications, that allow commencement of our planned clinical trials or future clinical trials for our product candidates in relevant territories;</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establishing and maintaining relationships with contract research organizations (“CROs”) and clinical sites for the clinical development of our product candidates, both in the United States and internationally;</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maintenance of arrangements with third-party contract manufacturing organizations (“CMOs”) for key materials used in our manufacturing processes and to establish backup sources for clinical and large-scale commercial supply;</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positive results from our clinical programs that are supportive of safety and efficacy and provide an acceptable risk-benefit profile for our product candidates in the intended patient populations;</w:t>
      </w:r>
    </w:p>
    <w:p>
      <w:pPr>
        <w:pStyle w:val="TextBody"/>
        <w:bidi w:val="0"/>
        <w:spacing w:before="240" w:after="0"/>
        <w:jc w:val="left"/>
        <w:rPr/>
      </w:pPr>
      <w:r>
        <w:rPr/>
        <w:t>•</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receipt of regulatory approvals from applicable regulatory authorities, including those necessary for pricing and reimbursement of our product candidates;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establishment and maintenance of patent and trade secret protection and regulatory exclusivity for our product candidates;</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commercial launch of our product candidates, if and when approved, whether alone or in collaboration with others;</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acceptance of our product candidates, if and when approved, by patients, patient advocacy groups, third-party payors and the general medical community;</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ability to effectively compete with developers of other therapies available in the market;</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establishment and maintenance of adequate reimbursement from third-party payors for our product candidates;</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ability to acquire or in-license additional product candidates;</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prosecution, maintenance, enforcement and defense of intellectual property rights and claims;</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maintenance of a continued acceptable safety profile of our product candidates following approval, including meeting any post-marketing commitments or requirements imposed by or agreed to with applicable regulatory authorities;</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political factors surrounding the approval process, such as government shutdowns; or</w:t>
      </w:r>
    </w:p>
    <w:p>
      <w:pPr>
        <w:pStyle w:val="TextBody"/>
        <w:bidi w:val="0"/>
        <w:spacing w:before="240" w:after="0"/>
        <w:jc w:val="left"/>
        <w:rPr/>
      </w:pPr>
      <w:r>
        <w:rPr/>
        <w:t>•</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business interruptions resulting from geopolitical actions, including war and terrorism such as the Russia-Ukraine war, natural disasters including earthquakes, typhoons, floods and fires, and public health crises.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Success in preclinical studies and earlier clinical trials for our product candidates may not be indicative of the results that may be obtained in later clinical trials, which may delay or prevent obtaining regulatory approval.</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Clinical development is expensive and can take many years to complete, and our outcome is inherently uncertain. Failure can occur at any time during the clinical trial process. Success in preclinical studies and early clinical trials may not be predictive of results in later-stage clinical trials, and successful results from early or small clinical trials may not be replicated or show as favorable an outcome in later-stage or larger clinical trials, even if successful. We will be required to demonstrate through adequate and well-controlled clinical trials that our product candidates are safe and effective for their intended uses before we can seek regulatory approvals for their commercial sale. The conduct of Phase 3 trials and the submission of a New Drug Application (“NDA”) is a complicated process. We have not previously completed any clinical trials, have limited experience in preparing, submitting and supporting regulatory filings, and have not previously submitted an NDA. Consequently, we may be unable to successfully and efficiently execute and complete necessary clinical trials and other requirements in a way that leads to NDA submission and approval of any product candidate we are developing.</w:t>
      </w:r>
    </w:p>
    <w:p>
      <w:pPr>
        <w:pStyle w:val="TextBody"/>
        <w:bidi w:val="0"/>
        <w:spacing w:before="240" w:after="0"/>
        <w:jc w:val="both"/>
        <w:rPr>
          <w:rFonts w:ascii="Times New Roman" w:hAnsi="Times New Roman"/>
          <w:sz w:val="20"/>
        </w:rPr>
      </w:pPr>
      <w:r>
        <w:rPr>
          <w:rFonts w:ascii="Times New Roman;serif" w:hAnsi="Times New Roman;serif"/>
          <w:b w:val="false"/>
          <w:sz w:val="20"/>
        </w:rPr>
        <w:t>Although TPST-1495 and TPST-1120 are being evaluated in clinical trials, our other product candidates, such as TREX-1, have not been evaluated in human clinical trials, and we may experience unexpected or negative results in the future if and when TREX-1 or our other product candidates are evaluated in clinical trials. Any positive results we observe for TREX-1 in preclinical animal models may not be predictive of our future clinical trials in humans, as animal models carry inherent limitations relevant to all preclinical studies. Our product candidates, including TREX-1, may also fail to show the desired safety and efficacy in later stages of clinical development even if they successfully advance through initial clinical trials. Even if our clinical trials demonstrate acceptable safety and efficacy of TPST-1495, TPST-1120 or TREX-1 or any other product candidates and such product candidates receive regulatory approval, the labeling we obtain through negotiations with the FDA</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or foreign regulatory authorities may not include data on secondary endpoints and may not provide us with a competitive advantage over other products approved for the same or similar indications.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regulatory approval. If our study data does not consistently or sufficiently demonstrate the safety or efficacy of any of our product candidates, including TPST-1495 and TPST-1120, to the satisfaction of the FDA or foreign regulatory authorities, then the regulatory approvals for such product candidates could be significantly delayed as we work to meet approval requirements, or, if we are not able to meet these requirements, such approvals could be withheld or withdrawn.</w:t>
      </w:r>
    </w:p>
    <w:p>
      <w:pPr>
        <w:pStyle w:val="TextBody"/>
        <w:bidi w:val="0"/>
        <w:spacing w:before="240" w:after="0"/>
        <w:jc w:val="both"/>
        <w:rPr>
          <w:rFonts w:ascii="Times New Roman;serif" w:hAnsi="Times New Roman;serif"/>
          <w:b/>
          <w:i/>
          <w:sz w:val="20"/>
        </w:rPr>
      </w:pPr>
      <w:r>
        <w:rPr>
          <w:rFonts w:ascii="Times New Roman;serif" w:hAnsi="Times New Roman;serif"/>
          <w:b/>
          <w:i/>
          <w:sz w:val="20"/>
        </w:rPr>
        <w:t>If we encounter difficulties enrolling patients in our clinical trials, our clinical development activities could be delayed or otherwise adversely affected.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our conclusion. The enrollment of patients depends on many factors, including:</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patient eligibility criteria defined in the protocol;</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size of the patient population required for analysis of the trial’s primary endpoints;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proximity of patients to study sites;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design of the trial;</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ability to recruit clinical trial investigators with the appropriate competencies and experience;</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ability to obtain and maintain patient consents; and</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the risk that patients enrolled in our clinical trials will drop out of the trials before the infusion of our product candidates or trial completion.</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crises or geopolitical tensions, such as the Russia-Ukraine war, may delay or prevent patients from enrolling or from receiving treatment in accordance with the protocol and the required timelines, which could delay our clinical trials, or prevent us from completing our clinical trials at all.</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Moreover, because our product candidates represent unproven methods for cancer treatment, potential patients and their doctors may be inclined to use existing therapies rather than enroll patients in our clinical trials.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Interim and preliminary data from our clinical trials that we may announce or publish from time to time may change as more patient data becomes available and are subject to audit and verification procedures that could result in material changes in the final data.</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Preliminary or interim data also remain subject to audit and verification procedures that may result in the final data being materially different from the preliminary data we previously published. As a result, interim and preliminary data should be viewed with caution until the final data is available. Adverse differences between preliminary or interim data and final data could significantly harm our business prospects.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Even if we complete the necessary preclinical studies and clinical trials, we cannot predict when, or if, we will obtain regulatory approval to commercialize a product candidate and the approval may be for a narrower indication than we seek.</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Prior to commercialization, TPST-1495, TPST-1120 and our other product candidates must be approved by the FDA pursuant to an NDA in the United States and pursuant to similar marketing applications by the HPFB,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TPST-1495, TPST-1120 or any of our other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Approval of TPST-1495 and TPST-1120 and our other product candidates may be delayed or refused for many reasons, including:</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FDA or comparable foreign regulatory authorities may disagree with the design or implementation of our clinical trials;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may be unable to demonstrate, to the satisfaction of the FDA or comparable foreign regulatory authorities, that our product candidates are safe and effective for any of their proposed indications;</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the populations studied in clinical trials may not be sufficiently broad or representative to assure efficacy and safety in the populations for which we seek approval;</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results of clinical trials may not meet the level of statistical significance required by the FDA or comparable foreign regulatory authorities for approval;</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may be unable to demonstrate that our product candidates’ clinical and other benefits outweigh their safety risks;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data collected from clinical trials of our product candidates may not be sufficient to support the submission of an NDA or other comparable submission in foreign jurisdictions or to obtain regulatory approval in the United States or elsewhere;</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facilities of third-party manufacturers with which we contract or procure certain service or raw materials, may not be adequate to support approval of our product candidates; and</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the approval policies or regulations of the FDA or comparable foreign regulatory authorities may significantly change in a manner rendering our clinical data insufficient for approval.</w:t>
      </w:r>
    </w:p>
    <w:p>
      <w:pPr>
        <w:pStyle w:val="TextBody"/>
        <w:bidi w:val="0"/>
        <w:spacing w:before="240" w:after="0"/>
        <w:jc w:val="both"/>
        <w:rPr>
          <w:rFonts w:ascii="Times New Roman" w:hAnsi="Times New Roman"/>
          <w:sz w:val="20"/>
        </w:rPr>
      </w:pPr>
      <w:r>
        <w:rPr>
          <w:rFonts w:ascii="Times New Roman;serif" w:hAnsi="Times New Roman;serif"/>
          <w:b w:val="false"/>
          <w:sz w:val="20"/>
        </w:rPr>
        <w:t>Even if our product candidates meet their pre-specified safety and efficacy endpoints in clinical trials, the regulatory authorities may not complete their review processes in a timely manner and may not consider such clinical trial results sufficient to grant,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Regulatory authorities also may approve a product candidate for more limited indications than requested or they may impose significant limitations in the form of narrow indications, warnings, contraindications or Risk Evaluation and Mitigation Strategies ("REMS"). These regulatory authorities may also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TPST-1495, TPST-1120 and our other product candidates may cause undesirable and/or unforeseen side effects or be perceived by the public as unsafe, which could delay or prevent their advancement into clinical trials or regulatory approval, limit the commercial potential or result in significant negative consequences.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As we continue developing our product candidates and initiate clinical trials of our additional product candidates, serious adverse events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w:t>
      </w:r>
    </w:p>
    <w:p>
      <w:pPr>
        <w:pStyle w:val="TextBody"/>
        <w:bidi w:val="0"/>
        <w:spacing w:before="240" w:after="0"/>
        <w:jc w:val="both"/>
        <w:rPr>
          <w:rFonts w:ascii="Times New Roman" w:hAnsi="Times New Roman"/>
          <w:sz w:val="20"/>
        </w:rPr>
      </w:pPr>
      <w:r>
        <w:rPr>
          <w:rFonts w:ascii="Times New Roman;serif" w:hAnsi="Times New Roman;serif"/>
          <w:b w:val="false"/>
          <w:sz w:val="20"/>
        </w:rPr>
        <w:t>If any such adverse events occur, our clinical trials could be suspended or terminated and the FDA, the HPFB, the European Commission, the EMA or other regulatory authorities could order us to cease further development of, or deny approval of, our product candidates for any or all targeted indications. Even if we can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 business, financial condition, results of operations and prospects</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significantly, including our ability to successfully sign collaboration or license agreements with external partners. Other treatments for cancers that utilize prostaglandin E2 antagonist or a PPARα antagonist or similar mechanism of action could also generate data that could adversely affect the clinical, regulatory or commercial perception of TPST-1495 and TPST-1120 and our other product candidates.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Additionally, if any of our product candidates receives marketing approval, the FDA could require us to adopt a REMS to ensure that the benefits of the product outweigh our risks, which may include, for example, a Medication Guide outlining the risks of the product for distribution to patients and a communication plan to health care practitioners, or other elements to assure safe use of the product.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Furthermore, if we or others later identify undesirable side effects caused by our product candidates, several potentially significant negative consequences could result, including:</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regulatory authorities may suspend or withdraw approvals of such product candidate;</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regulatory authorities may require additional warnings in the product labeling;</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may be required to change the way a product candidate is administered or conduct additional clinical trials;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could be sued and held liable for harm caused to patients; and</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our reputation may suffer.</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Any of these occurrences may harm our business, financial condition, results of operations and prospects significantly.</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may not be successful in our efforts to expand our pipeline of product candidates and develop marketable products.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are researching or have in preclinical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develop further product candidates, we may not be able to obtain product revenue in future periods, which would adversely affect our business, prospects, financial condition and results of operations.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Although our pipeline includes multiple programs, we are primarily focused on our lead product candidates, TPST-1495 and TPST-1120, and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i/>
          <w:sz w:val="20"/>
        </w:rPr>
      </w:pPr>
      <w:r>
        <w:rPr>
          <w:rFonts w:ascii="Times New Roman;serif" w:hAnsi="Times New Roman;serif"/>
          <w:b/>
          <w:i/>
          <w:sz w:val="20"/>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current Good Manufacturing Practices (“cGMP”), quality control, quality assurance and corresponding maintenance of records and documents, including periodic inspections by the FDA and other regulatory authorities and requirements regarding the distribution of samples to providers and recordkeeping. In addition, manufacturers of drug products and their facilities are subject to continual review and periodic, unannounced inspections by the FDA and other regulatory authorities for compliance with cGMP.</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FDA may also impose requirements for costly post-marketing studies or clinical trials and surveillance to monitor the safety or efficacy of any approved product. The FDA closely regulates the post-approval marketing and promotion of drugs to ensure that they are marketed in a manner consistent with the provisions of the approved labeling. The FDA imposes stringent restrictions on manufacturers’ communications regarding use of their products. If we promote our product candidates in a manner inconsistent with FDA-approved labeling or otherwise not in compliance with FDA regulations, we may be subject to enforcement action. Violations of the Federal Food, Drug, and Cosmetic Act relating to the promotion of prescription drugs may lead to investigations alleging violations of federal and state healthcare fraud and abuse laws, as well as state consumer protection laws and similar laws in international jurisdictions.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addition, later discovery of previously unknown adverse events or other problems with our product candidates, manufacturers or manufacturing processes, or failure to comply with regulatory requirements, may yield various results, including:</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restrictions on such product candidates, manufacturers or manufacturing processes;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restrictions on the labeling or marketing of a product;</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restrictions on product distribution or use;</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requirements to conduct post-marketing studies or clinical trials;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warning or untitled letters;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withdrawal of any approved product from the market;</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refusal to approve pending applications or supplements to approved applications that we submit;</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recall of product candidates;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fines, restitution or disgorgement of profits or revenues;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suspension or withdrawal of marketing approvals;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refusal to permit the import or export of our product candidates;</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product seizure; or</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injunctions or the imposition of civil or criminal penalties.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occurrence of any event or penalty described above may inhibit our ability to commercialize our product candidates and generate revenue and could require us to expend significant time and resources in response and could generate negative publicity. 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it may lose any marketing approval that we have obtained, and we may not achieve or sustain profitability.</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Non-compliance with Canadian and European requirements regarding safety monitoring or pharmacovigilance, and with requirements related to the development of products for the pediatric population, can also result in significant financial penalties. Similarly, failure to comply with Canada’s or Europe’s requirements regarding the protection of personal information can also lead to significant penalties and sanctions.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Our failure to obtain regulatory approval in international jurisdictions would prevent us from marketing our product candidates outside the United States.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To market and sell TPST-1495, TPST-1120 and our other product candidates in other jurisdictions, we must obtain separate marketing approvals and comply with numerous and varying regulatory requirements. The approval procedure varies among countries and can involve additional testing. The time and data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pStyle w:val="TextBody"/>
        <w:bidi w:val="0"/>
        <w:spacing w:before="240" w:after="0"/>
        <w:jc w:val="both"/>
        <w:rPr>
          <w:rFonts w:ascii="Times New Roman;serif" w:hAnsi="Times New Roman;serif"/>
          <w:b/>
          <w:sz w:val="20"/>
        </w:rPr>
      </w:pPr>
      <w:r>
        <w:rPr>
          <w:rFonts w:ascii="Times New Roman;serif" w:hAnsi="Times New Roman;serif"/>
          <w:b/>
          <w:sz w:val="20"/>
        </w:rPr>
        <w:t>Risks Related to Commercialization and Manufacturing</w:t>
      </w:r>
    </w:p>
    <w:p>
      <w:pPr>
        <w:pStyle w:val="TextBody"/>
        <w:bidi w:val="0"/>
        <w:spacing w:before="240" w:after="0"/>
        <w:jc w:val="both"/>
        <w:rPr>
          <w:rFonts w:ascii="Times New Roman;serif" w:hAnsi="Times New Roman;serif"/>
          <w:b/>
          <w:i/>
          <w:sz w:val="20"/>
        </w:rPr>
      </w:pPr>
      <w:r>
        <w:rPr>
          <w:rFonts w:ascii="Times New Roman;serif" w:hAnsi="Times New Roman;serif"/>
          <w:b/>
          <w:i/>
          <w:sz w:val="20"/>
        </w:rPr>
        <w:t>The commercial success of our product candidates, including TPST-1495 and TPST-1120, will depend upon their degree of market acceptance by providers, patients, patient advocacy groups, third-party payors and the general medical community.</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Even if the requisite approvals from the FDA, the HPFB, the EMA and other regulatory authorities internationally are obtained, the commercial success of our product candidates will depend, in part, on the acceptance of providers, patients and third-party payors of drugs designed to act as a dual antagonist of EP2 and EP4 and PPARα antagonists in general, and our product candidates in particular, as medically necessary, cost-effective and safe. In addition, we may face challenges in seeking to establish and grow sales of TPST-1495 and TPST-1120 or our other product candidates. Any product that we commercialize may not gain acceptance by providers, patients, patient advocacy groups, third-party payors and the general medical community. If these products do not achieve an adequate level of acceptance, we may not generate significant product revenue and may not become profitable.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Even if a potential product displays a favorable efficacy and safety profile in preclinical studies and clinical trials, market acceptance of the product will not be fully known until after it is launched.</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i/>
          <w:sz w:val="20"/>
        </w:rPr>
      </w:pPr>
      <w:r>
        <w:rPr>
          <w:rFonts w:ascii="Times New Roman;serif" w:hAnsi="Times New Roman;serif"/>
          <w:b/>
          <w:i/>
          <w:sz w:val="20"/>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expect that coverage and reimbursement by third-party payors will be essential for most patients to be able to afford these treatments. Accordingly, sales of our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payors, private health coverage insurers and other third-party payors. Even if coverage is provided, the established reimbursement amount may not be high enough to allow us to establish or maintain pricing sufficient to realize a sufficient return on our investment.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will be covered and reimbursed. The Medicare program covers certain individuals aged 65 or older, disabled or suffering from end-stage renal disease. The Medicaid program, which varies from state-to-state, covers certain individuals and families who have limited financial means. The Medicare and Medicaid programs increasingly are used as models for how private payors and other government payors develop their coverage and reimbursement policies for drugs. One payor’s determination to provide coverage for a drug product, however, does not assure that other payors will also provide coverage for the drug product. Further, a payor’s decision to provide coverage for a drug product does not imply that an adequate reimbursement rate will be approved.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addition to government and private payors, professional organizations such as the American Medical Association, can influence decisions about coverage and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compared to existing alternatives. Such organizations may set guidelines that limit reimbursement or utilization of our product candidates, if approved. Even if favorable coverage and reimbursement status is attained for one or more product candidates for which our collaborators receive regulatory approval, less favorable coverage policies and reimbursement rates may be implemented in the future.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revenues and profits.</w:t>
      </w:r>
    </w:p>
    <w:p>
      <w:pPr>
        <w:pStyle w:val="TextBody"/>
        <w:bidi w:val="0"/>
        <w:spacing w:before="240" w:after="0"/>
        <w:jc w:val="both"/>
        <w:rPr>
          <w:rFonts w:ascii="Times New Roman" w:hAnsi="Times New Roman"/>
          <w:sz w:val="20"/>
        </w:rPr>
      </w:pPr>
      <w:r>
        <w:rPr>
          <w:rFonts w:ascii="Times New Roman;serif" w:hAnsi="Times New Roman;serif"/>
          <w:b w:val="false"/>
          <w:sz w:val="20"/>
        </w:rPr>
        <w:t>Moreover, increasing efforts by government and other third-party payors, in the United States and internationally, to cap or reduce healthcare costs may cause such payors to limit both coverage and the level of reimbursement for new products approved</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and, as a result, they may not cover or provide adequate payment for our product candidates. We expect to experience pricing pressures 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labeling. Even if we are successful in obtaining FDA approval to commercialize our product candidates, we cannot guarantee that we will be able to secure reimbursement for all patients for whom treatment with our product candidates is indicated.</w:t>
      </w:r>
    </w:p>
    <w:p>
      <w:pPr>
        <w:pStyle w:val="TextBody"/>
        <w:bidi w:val="0"/>
        <w:spacing w:before="240" w:after="0"/>
        <w:jc w:val="both"/>
        <w:rPr>
          <w:rFonts w:ascii="Times New Roman;serif" w:hAnsi="Times New Roman;serif"/>
          <w:b/>
          <w:i/>
          <w:sz w:val="20"/>
        </w:rPr>
      </w:pPr>
      <w:r>
        <w:rPr>
          <w:rFonts w:ascii="Times New Roman;serif" w:hAnsi="Times New Roman;serif"/>
          <w:b/>
          <w:i/>
          <w:sz w:val="20"/>
        </w:rPr>
        <w:t>If third parties on which we depend to conduct our planned preclinical studies or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rely on third party CROs, CMOs, consultants and others to design, conduct, supervise and monitor key activities relating to, testing, discovery, manufacturing, preclinical studies and clinical trials of our product candidates, and we intend to do the same for future activities relating to existing and future programs. Because we rely on third parties and does not have the ability 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as well as in accordance with GLP, GCP and other applicable laws, regulations and standards. Our reliance on third parties that we do not control does not relieve us of these responsibilities and requirements. The FDA and other regulatory authorities enforce GCP through periodic inspections of trial sponsors, principal investigators and trial sites. If we or any of these third parties fails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have complied with GCP. In addition, our clinical trials must be conducted with product produced in accordance with cGMP. Our failure to comply with these regulations may require us to repeat clinical trials, which could delay or prevent the receipt of regulatory approvals. Any such event could have an adverse effect on our business, financial condition, results of operations and prospects.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face significant competition in an environment of rapid technological change, and it is possible that our competitors may achieve regulatory approval before us or develop therapies that are more advanced or effective than our therapies, which may harm our business, financial condition and our ability to successfully market or commercialize TPST-1495, TPST-1120, and our other product candidates.</w:t>
      </w:r>
    </w:p>
    <w:p>
      <w:pPr>
        <w:pStyle w:val="TextBody"/>
        <w:bidi w:val="0"/>
        <w:spacing w:before="240" w:after="0"/>
        <w:jc w:val="both"/>
        <w:rPr>
          <w:rFonts w:ascii="Times New Roman" w:hAnsi="Times New Roman"/>
          <w:sz w:val="20"/>
        </w:rPr>
      </w:pPr>
      <w:r>
        <w:rPr>
          <w:rFonts w:ascii="Times New Roman;serif" w:hAnsi="Times New Roman;serif"/>
          <w:b w:val="false"/>
          <w:sz w:val="20"/>
        </w:rPr>
        <w:t>The biopharmaceutical industry, and the immuno-oncology industry specifically, is characterized by intense competition and rapid innovation. We are aware of other companies focused on developing cancer therapies in various indications. We may also face competition from large and specialty pharmaceutical and biotechnology companies, academic research institutions,</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government agencies and public and private research institutions that conduct research, seek patent protection, and establish collaborative arrangements for research, development, manufacturing and commercialization.</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Many of our potential competitors, alone or with their strategic partners, may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we may develop. Competitors also may obtain FDA or other regulatory approval for their products more rapidly than we may obtain approval for our products, which could result in our competitors establishing a strong market position before we are able to enter the market, if ever. Additionally, new or advanced technologies developed by our competitors may render our current or future product candidates uneconomical or obsolete, and we may not be successful in marketing our product candidates against competitors.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To become and remain profitable, we must develop and eventually commercialize product candidates with significant market potential, which will require us to be successful in a range of challenging activities. These activities include, among other things, completing preclinical studies and initiating and completing clinical trials of our product candidates, obtaining marketing approval for these product candidates, manufacturing, marketing and selling those products that are approved and satisfying any post 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common stock and could impair our ability to raise capital, maintain our research and development efforts, expand our business or continue operations. A decline in the value of our common stock also could cause you to lose all or part of your investment.</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may rely on third parties to manufacture our clinical product supplies, and we may have to rely on third parties to produce and process our product candidates, if approved.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must currently rely on outside vendors to manufacture supplies and process our product candidates. We have not yet manufactured or processed our product candidates on a commercial scale and may not be able to achieve manufacturing and processing and may be unable to create an inventory of mass-produced, off-the-shelf product to satisfy demands for any of our product candidates.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 In addition, we anticipate reliance on a limited number of third-party manufacturers exposes us to the following risks: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third-party manufacturers might be unable to timely formulate and manufacture our product or produce the quantity and quality required to meet our clinical and commercial needs, if any.</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Contract manufacturers may not be able to execute our manufacturing procedures appropriately.</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future contract manufacturers may not perform as agreed or may not remain in the contract manufacturing business for the time required to supply our clinical trials or to successfully produce, store and distribute our products.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not own, or may have to share, the intellectual property rights to any improvements made by our third-party manufacturers in the manufacturing process for our products.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third-party manufacturers could breach or terminate their agreement(s) with us.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contract manufacturers would also be subject to the same risks we face in developing our own manufacturing capabilities, as described above. Each of these risks could delay our clinical trials, the approval, if any, of our product candidates by the FDA or the commercialization of our product candidates or result in higher costs or deprive us of potential product revenue. In addition, we will rely on third parties to perform release tests on our product candidates prior to delivery to patients. If these tests are not appropriately done and test data are not reliable, patients could be put at risk of serious harm.</w:t>
      </w:r>
    </w:p>
    <w:p>
      <w:pPr>
        <w:pStyle w:val="TextBody"/>
        <w:bidi w:val="0"/>
        <w:spacing w:before="240" w:after="0"/>
        <w:jc w:val="both"/>
        <w:rPr>
          <w:rFonts w:ascii="Times New Roman;serif" w:hAnsi="Times New Roman;serif"/>
          <w:b/>
          <w:i/>
          <w:sz w:val="20"/>
        </w:rPr>
      </w:pPr>
      <w:r>
        <w:rPr>
          <w:rFonts w:ascii="Times New Roman;serif" w:hAnsi="Times New Roman;serif"/>
          <w:b/>
          <w:i/>
          <w:sz w:val="20"/>
        </w:rPr>
        <w:t>The manufacture of drugs is complex, and our third-party manufacturers may encounter difficulties in production. If any of our third-party manufacturers encounter such difficulties, our ability to provide adequate supply of our product candidates for clinical trials, our ability to obtain marketing approval, or our ability to provide supply of our product candidates for patients, if approved, could be delayed or stopped.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intend to establish manufacturing relationships with a limited number of suppliers to manufacture raw materials, the drug substance and finished product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regulatory approval.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process of manufacturing drugs is complex, highly 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CMOs are not in compliance with FDA laws and regulations, including those governing cGMP, the FDA may deny an NDA approval until the deficiencies are corrected or we replace the manufacturer in our NDA with a manufacturer that is in compliance.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 Furthermore, although we do not have day-to-day control over the operations of our CMOs, we are responsible for ensuring compliance with applicable laws and regulations, including cGMP.</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prospects.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believe that we will rely upon on a limited number of manufacturers for our product candidates, which may include single-source suppliers for the various steps of manufacture. This reliance on a limited number of manufacturers and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suppliers fail to deliver the required commercial quantities of materials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pStyle w:val="TextBody"/>
        <w:bidi w:val="0"/>
        <w:spacing w:before="240" w:after="0"/>
        <w:jc w:val="both"/>
        <w:rPr>
          <w:rFonts w:ascii="Times New Roman;serif" w:hAnsi="Times New Roman;serif"/>
          <w:b/>
          <w:i/>
          <w:sz w:val="20"/>
        </w:rPr>
      </w:pPr>
      <w:r>
        <w:rPr>
          <w:rFonts w:ascii="Times New Roman;serif" w:hAnsi="Times New Roman;serif"/>
          <w:b/>
          <w:i/>
          <w:sz w:val="20"/>
        </w:rPr>
        <w:t>If we are unable to establish sales and marketing capabilities or enter into agreements with third parties to market and sell our product candidates, we may be unable to generate any revenues.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currently do not have an organization for the sales, marketing and distribution of TPST-1495, TPST-1120, TREX-1 and our other product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TPST-1495, TPST-1120 and other product candidates, including in markets outside of the United States or for other large markets that are beyond our resources. This will reduce the revenue generated from the sales of these products.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marketing and sales force, or if our potential future strategic alliance partners do not successfully commercialize the product candidates, our ability to generate revenues from product sales will be adversely affected.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may not be successful in finding strategic collaborators for continuing development of certain of our future product candidates or successfully commercializing or competing in the market for certain indications.</w:t>
      </w:r>
    </w:p>
    <w:p>
      <w:pPr>
        <w:pStyle w:val="TextBody"/>
        <w:bidi w:val="0"/>
        <w:spacing w:before="240" w:after="0"/>
        <w:jc w:val="both"/>
        <w:rPr>
          <w:rFonts w:ascii="Times New Roman" w:hAnsi="Times New Roman"/>
          <w:sz w:val="20"/>
        </w:rPr>
      </w:pPr>
      <w:r>
        <w:rPr>
          <w:rFonts w:ascii="Times New Roman;serif" w:hAnsi="Times New Roman;serif"/>
          <w:b w:val="false"/>
          <w:sz w:val="20"/>
        </w:rPr>
        <w:t>In the future, we may decide to collaborate with non-profit organizations, universities and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expense. If we elect to increase our expenditures to fund development or commercialization activities on our product candidates,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or any failure by our partners to perform their obligations under collaboration agreements, would adversely affect us financially and could harm our business reputation or negatively impact our ability to successfully develop, obtain regulatory approvals for and commercialize our product candidates.</w:t>
      </w:r>
    </w:p>
    <w:p>
      <w:pPr>
        <w:pStyle w:val="TextBody"/>
        <w:bidi w:val="0"/>
        <w:spacing w:before="240" w:after="0"/>
        <w:jc w:val="both"/>
        <w:rPr>
          <w:rFonts w:ascii="Times New Roman;serif" w:hAnsi="Times New Roman;serif"/>
          <w:b/>
          <w:sz w:val="20"/>
        </w:rPr>
      </w:pPr>
      <w:r>
        <w:rPr>
          <w:rFonts w:ascii="Times New Roman;serif" w:hAnsi="Times New Roman;serif"/>
          <w:b/>
          <w:sz w:val="20"/>
        </w:rPr>
        <w:t>Risks Related to Government Regulation</w:t>
      </w:r>
    </w:p>
    <w:p>
      <w:pPr>
        <w:pStyle w:val="TextBody"/>
        <w:bidi w:val="0"/>
        <w:spacing w:before="240" w:after="0"/>
        <w:jc w:val="both"/>
        <w:rPr>
          <w:rFonts w:ascii="Times New Roman;serif" w:hAnsi="Times New Roman;serif"/>
          <w:b/>
          <w:i/>
          <w:sz w:val="20"/>
        </w:rPr>
      </w:pPr>
      <w:r>
        <w:rPr>
          <w:rFonts w:ascii="Times New Roman;serif" w:hAnsi="Times New Roman;serif"/>
          <w:b/>
          <w:i/>
          <w:sz w:val="20"/>
        </w:rPr>
        <w:t>The FDA regulatory approval process is lengthy and time consuming, and we may experience significant delays in the clinical development and regulatory approval of our product candidates.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Obtaining FDA approval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may approve our product candidates for a more limited indication or a narrower patient population than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may also experience delays in obtaining regulatory approvals, including but not limited to:</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obtaining regulatory authorization to begin a trial, if applicable;</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redesigning our study protocols and need to conduct additional studies as may be required by a regulator;</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governmental or regulatory delays and changes in regulation or policy relating to the development and commercialization of our product candidate by the FDA or other comparable foreign regulatory authorities;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outcome, timing and cost of meeting regulatory requirements established by the FDA, and other comparable foreign regulatory authorities;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availability of financial resources to commence and complete the planned trials;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negotiating the terms of any collaboration agreements we may choose to initiate or conclude;</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reaching agreement on acceptable terms with prospective CROs and clinical trial sites, the terms of which can be subject to extensive negotiation and may vary significantly among different CROs and trial sites;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failure of third-party contractors, such as CROs, or investigators to comply with regulatory requirements, including GCPs;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clinical sites deviating from trial protocol or dropping out of a trial;</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delay or failure in obtaining the necessary approvals from regulators or institutional review boards ("IRBs"), in order to commence a clinical trial at a prospective trial site, or their suspension or termination of a clinical trial once commenced;</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inability to recruit and enroll suitable patients to participate in a trial;</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having patients complete a trial, including having patients enrolled in clinical trials dropping out of the trial before the product candidate is manufactured and returned to the site, or return for post-treatment follow-up;</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difficulty in having patients complete a trial or return for post-treatment follow-up;</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clinical trial sites deviating from trial protocol or dropping out of a trial;</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addressing any patient safety concerns that arise during the course of a trial;</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inability to add new clinical trial sites; or</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varying interpretations of the data generated from our preclinical or clinical trials;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cost of defending intellectual property disputes, including patent infringement actions brought by third parties;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effect of competing technological and market developments;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cost and timing of establishing, expanding and scaling manufacturing capabilities;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inability to manufacture, or obtain from third parties, sufficient quantities of qualified materials under cGMP, for the completion in pre-clinical and clinical studies;</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problems with biopharmaceutical product candidate storage, stability and distribution resulting in global supply chain disruptions;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cost of establishing sales, marketing and distribution capabilities for any product candidate for which we may receive regulatory approval in regions where we choose to commercialize our products on our own; or</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potential unforeseen business disruptions or market fluctuations that delay our product development or clinical trials and increase our costs or expenses, such as business or operational disruptions, delays, or system failures due to malware, unauthorized access, terrorism, war, natural disasters, strikes, geopolitical conflicts (such as the Russia-Ukraine war), restrictions on trade, import or export restrictions, or public health crises.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Many of the factors that cause, or lead to, a delay in the commencement or completion of clinical trials may ultimately lead to the denial of regulatory approval of our product candidates.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may seek Breakthrough Therapy designation or Fast Track designation by the FDA for one or more of our product candidates but may not receive such designation. Even if we secure such designation, it may not lead to a faster development or regulatory review or approval process and it does not increase the likelihood that our product candidates will receive marketing approval.</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may seek Breakthrough Therapy or Fast Track designation for some of our product candidates. If a product candidate is intended for the treatment of a serious or life-threatening condition and clinical or preclinical data demonstrate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FDA about such things as the design of the proposed clinical trials and use of biomarkers, eligibility for Accelerated Approval and Priority Review, if relevant criteria are met, and rolling review, which means that a drug company can submit completed sections of our NDA for review by FDA, rather than waiting until every section of our NDA is completed before the entire application can be reviewed. NDA review usually does not begin until the entire application has been submitted to the FDA.</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by the FDA may be eligible for all features of Fast Track designation, intensive guidance on an efficient drug development program, beginning as early as Phase 1, and organizational commitment involving senior managers at FDA.</w:t>
      </w:r>
    </w:p>
    <w:p>
      <w:pPr>
        <w:pStyle w:val="TextBody"/>
        <w:bidi w:val="0"/>
        <w:spacing w:before="240" w:after="0"/>
        <w:jc w:val="both"/>
        <w:rPr>
          <w:rFonts w:ascii="Times New Roman" w:hAnsi="Times New Roman"/>
          <w:sz w:val="20"/>
        </w:rPr>
      </w:pPr>
      <w:r>
        <w:rPr>
          <w:rFonts w:ascii="Times New Roman;serif" w:hAnsi="Times New Roman;serif"/>
          <w:b w:val="false"/>
          <w:sz w:val="20"/>
        </w:rPr>
        <w:t>The FDA has broad discretion whether or not to grant these designations, so even if we believe a particular product candidate is eligible, we cannot assure that the FDA would decide to grant the designation. Even if we obtain Fast Track designation and/or Breakthrough Therapy designation for one or more of our product candidates, it may not experience a faster development process, review or approval compared to non-expedited FDA review procedures. In addition, the FDA may withdraw Fast</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Track designation or Breakthrough Therapy designation if it believes that the designation is no longer supported. These designations do not guarantee qualification for the FDA’s priority review procedures or a faster review or approval process.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may attempt to secure FDA approval of our product candidates through the accelerated approval pathway. If we are unable to obtain accelerated approval, we may be required to conduct additional preclinical studies or clinical trials beyond those that we currently contemplate, which could increase the expense of obtaining, and delay the receipt of, necessary marketing approvals.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are developing certain product candidates for the treatment of serious conditions, and therefore may decide to seek approval of such product candidates under the FDA’s accelerated approval pathway. A product may be eligible for accelerated approval if it is designed to treat a serious or life-threatening disease or condition and provides a meaningful therapeutic benefit over existing treatments based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of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anticipated effect on irreversible morbidity or mortality or other clinical benefit. In some cases, the FDA may require that the trial be designed, initiated, and/or fully enrolled prior to approval. If the sponsor fails to conduct such studies in a timely manner, or if such post-approval studies fail to verify the drug’s predicted clinical benefit, or if other evidence demonstrates that our product candidate is not shown to be safe and effective under the conditions of use, the FDA may withdraw its approval of the drug on an expedited basis.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If we decide to submit an NDA seeking accelerated approval or receive an expedited regulatory designation for any of our product candidates, there can be no assurance that such submission or application will be accepted or that any expedited development, review or approval will be granted on a timely basis, or at all.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Failure to obtain accelerated approval or any other form of expedited development, review or approval for our product candidates would result in a longer time period to commercialization of such product candidate, if any, and could increase the cost of development of such product candidate harm our competitive position in the marketplace.</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may be unsuccessful in obtaining Orphan Drug Designation for our product candidates or transfer of designations obtained by others for future product candidates, and, even if we obtain such designation, we may be unable to maintain the benefits associated with Orphan Drug Designation, including the potential for market exclusivity.</w:t>
      </w:r>
    </w:p>
    <w:p>
      <w:pPr>
        <w:pStyle w:val="TextBody"/>
        <w:bidi w:val="0"/>
        <w:spacing w:before="240" w:after="0"/>
        <w:jc w:val="both"/>
        <w:rPr>
          <w:rFonts w:ascii="Times New Roman" w:hAnsi="Times New Roman"/>
          <w:sz w:val="20"/>
        </w:rPr>
      </w:pPr>
      <w:r>
        <w:rPr>
          <w:rFonts w:ascii="Times New Roman;serif" w:hAnsi="Times New Roman;serif"/>
          <w:b w:val="false"/>
          <w:sz w:val="20"/>
        </w:rPr>
        <w:t>The FDA may designate drugs intended to treat relatively small patient populations as orphan drugs. Under the Orphan Drug Act, the FDA may designate a drug as an orphan drug if it is intended to treat a rare disease or condition, which is defined as a patient population of fewer than 200,000 individuals in the United States, or a patient population greater than 200,000 in the United States when there is no reasonable expectation that the cost of developing and making available the drug in the United States will be recovered from sales in the United States for that drug. Orphan drug designation must be requested before submitting an NDA. In the United States, Orphan Drug Designation entitles a party to financial incentives such as opportunities for tax credits for qualified clinical research costs and exemption from prescription drug user fees. Generally, if a drug with an Orphan Drug Designation subsequently receives the first marketing approval for the indication for which it has such</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designation, the drug is entitled to a period of marketing exclusivity, which precludes FDA from approving another marketing application for the same drug and indication for that time period, except in limited circumstances. If a competitor is able to obtain orphan drug exclusivity prior to us for a product that constitutes the same active moiety and treats the same indications as our product candidates, we may not be able to obtain approval of our drug by the applicable regulatory authority for a significant period of time unless we are able to show that our drug is clinically superior to the approved drug. The applicable period is seven years in the United States.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may seek Orphan Drug Designation for one or more of our product candidates in the United States as part of our business strategy. However, Orphan Drug Designation does not guarantee future orphan drug marketing exclusivity. 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Enacted and future legislation may increase the difficulty and cost for us to commercialize and obtain marketing approval of our product candidates and may affect the prices we may set.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March 2010, the Patient Protection and Affordable Care Act, as amended by the Health Care and Education Reconciliation Act of 2010, or collectively the Affordable Care Act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ACA contains provisions that may potentially affect the profitability of our product candidates, if approved,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and expansion of the entities eligible for discounts under the 340B Drug Pricing Program.</w:t>
      </w:r>
    </w:p>
    <w:p>
      <w:pPr>
        <w:pStyle w:val="TextBody"/>
        <w:bidi w:val="0"/>
        <w:spacing w:before="240" w:after="0"/>
        <w:jc w:val="both"/>
        <w:rPr>
          <w:rFonts w:ascii="Times New Roman" w:hAnsi="Times New Roman"/>
          <w:sz w:val="20"/>
        </w:rPr>
      </w:pPr>
      <w:r>
        <w:rPr>
          <w:rFonts w:ascii="Times New Roman;serif" w:hAnsi="Times New Roman;serif"/>
          <w:b w:val="false"/>
          <w:sz w:val="20"/>
        </w:rPr>
        <w:t>While Congress has not passed legislation to comprehensively repeal the ACA, legislation affecting the ACA has been signed into law, including the Tax Cuts and Jobs Act of 2017, which eliminated, effective January 1, 2019, the tax-based shared responsibility payment imposed by the ACA on certain individuals who fail to maintain qualifying health coverage for all or part of a year, which is commonly referred to as the “individual mandate.” On June 17, 2021, the U.S. Supreme Court dismissed the most recent judicial challenge to the ACA brought by several states without specifically ruling on the constitutionality of the law. In addition, on August 16, 2022, President Biden signed the Inflation Reduction Act of 2022 ("IRA") into law, which among other things, extends enhanced subsidies for individuals purchasing health insurance coverage in ACA through plan year 2025. The IRA also reduces the "donut hole" under the Medicare Part D program beginning in 2025 by significantly lowering the beneficiary maximum out-of-pocket cost and through a newly established manufacturer discount program. In the future, there may be other efforts to challenge, repeal or replace the ACA. It is unclear how many such challenges and the</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healthcare reform measures of the Biden administration will impact the ACA and our business. We are continuing to monitor any changes to the ACA that, in turn, may potentially impact our business in the future.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Recently, the cost of prescription pharmaceuticals has been the subject of considerable discussion in the United States at both the federal and state levels. While several proposed reform measures will require Congress to pass legislation to become effective, Congress and the Biden administration have each indicated that it will seek new legislative and/or administrative measures to address prescription drug costs. Since the Presidential inauguration, the Biden administration has taken several executive actions that signal changes in policy from the prior administration. For example, on July 9, 2021, President Biden signed an executive order to promote competition in the U.S. economy that included several initiatives aimed prescription drugs. Among other provisions, the executive order directed the Secretary of the U.S. Department of Health and Human Services ("HHS") to issue a report to the White House that includes a plan to, among other things, reduce prices for prescription drugs, including prices paid by the federal government for such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At the state level, legislatures and agencies are increasingly passing legislation and implementing regulations designed to control spending on and patient out-of-pocket costs for drug products. These measures include constraints on pricing, discounting and reimbursement; restrictions on certain product access and marketing; cost disclosure and transparency measures that require detailed reporting of drug pricing and marketing information both at product launch and in the event of a price increase; and, in some cases, measures designed to encourage importation from other countries and bulk purchasing.</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expect that the ACA and the IRA,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Legislative and regulatory proposals have also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The FDA’s ability to review and approve new products may be hindered by a variety of factors, including budget and funding levels, ability to hire and retain key personnel, statutory, regulatory and policy changes and global health concerns.</w:t>
      </w:r>
    </w:p>
    <w:p>
      <w:pPr>
        <w:pStyle w:val="TextBody"/>
        <w:bidi w:val="0"/>
        <w:spacing w:before="240" w:after="0"/>
        <w:jc w:val="both"/>
        <w:rPr>
          <w:rFonts w:ascii="Times New Roman" w:hAnsi="Times New Roman"/>
          <w:sz w:val="20"/>
        </w:rPr>
      </w:pPr>
      <w:r>
        <w:rPr>
          <w:rFonts w:ascii="Times New Roman;serif" w:hAnsi="Times New Roman;serif"/>
          <w:b w:val="false"/>
          <w:sz w:val="20"/>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business. For example, over the last several years the U.S. government has shut down several times and certain regulatory agencies, such as the FDA, have had to furlough critical employees and stop critical activities.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Our internal computer and information systems, or those used by our CROs, CMOs or other contractors or consultants, may fail or suffer security breaches, which could result in a material disruption of our development programs.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Despite the implementation of appropriate security measures, our internal computer and information systems and those of our current and any future CROs, CMOs and other contractors or consultants may become vulnerable to damage from computer viruses, unauthorized access, natural disasters, terrorism, war and telecommunication and electrical failures.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data from completed or future preclinical studies or clinical trials could result in significant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significantly delayed. Our internal information technology systems and infrastructure are also vulnerable to damage from natural disasters, terrorism, war, telecommunication and electrical failures. System failures or outages, including any potential disruptions due to significantly increased global demand on certain cloud-based systems, could compromise our ability to perform our day-to-day operations, which could harm our ability to conduct business or delay our financial reporting. Such failures could materially adversely affect our operating results and financial condition.</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are subject to a variety of privacy and data security laws, and our failure to comply with them could harm our business.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maintain a large quantity of sensitive information, including confidential business and patient health information in connection with our preclinical and clinical studies, and is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health information privacy laws, security breach notification laws, and consumer protection laws. Each of these laws is subject to varying interpretations and constantly evolving. In addition, we may obtain health information from third parties (including research institutions from which it obtains clinical trial data) that are subject to privacy and security requirements under the Health Insurance Portability and Accountability Act of 1996 (“HIPAA”). Depending on the facts and circumstances, we could be subject to criminal penalties if we knowingly obtain, use or disclose individually identifiable health information maintained by a HIPAA covered entity in a manner that is not authorized or permitted by HIPAA.</w:t>
      </w:r>
    </w:p>
    <w:p>
      <w:pPr>
        <w:pStyle w:val="TextBody"/>
        <w:bidi w:val="0"/>
        <w:spacing w:before="240" w:after="0"/>
        <w:jc w:val="both"/>
        <w:rPr>
          <w:rFonts w:ascii="Times New Roman" w:hAnsi="Times New Roman"/>
          <w:sz w:val="20"/>
        </w:rPr>
      </w:pPr>
      <w:r>
        <w:rPr>
          <w:rFonts w:ascii="Times New Roman;serif" w:hAnsi="Times New Roman;serif"/>
          <w:b w:val="false"/>
          <w:sz w:val="20"/>
        </w:rPr>
        <w:t>Certain states have also adopted comparable privacy and security laws and regulations, some of which may be more stringent than HIPAA. For example, California enacted the California Consumer Privacy Act (the “CCPA”), which took effect on January 1, 2020 and the California Privacy Rights Act (“CPRA”), which went into effect on January 1, 2023.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CPRA significantly expanded the CCPA. For example, the CPRA requires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Agency – whose sole responsibility is to enforce the CPRA, which will further increase compliance risk. The provisions in the CPRA may apply to some of our business activities. The CCPA and CPRA may increase our compliance costs and potential liability.</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Canada, the Personal Information Protection and Electronic Documents Act (“PIPEDA”) and similar provincial laws may impose obligations with respect to processing personal information, including health-related information. PIPEDA requires companies to obtain an individual’s consent when collecting, using or disclosing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 Failure to comply with PIPEDA could result in significant fines and penalties.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May 2018, the General Data Protection Regulation (the “GDPR”), took effect in the European Economic Area (the “EEA”). The GDPR governs the collection, use, disclosure, transfer or other processing of personal data of natural persons. Among other things, the GDPR imposes strict obligations on the ability to process health-related and other personal data of data subjects in the EEA, including in relation to use, collection, analysis and transfer (including cross-border transfer) of such personal data. The GDPR includes requirements relating to the consent of the individuals to whom the personal data relates, including detailed notices for clinical trial subjects and investigators. The GDPR also includes certain requirements regarding the security of personal data and notification of data processing obligations or security incidents to appropriate data protection authorities or data subjects as well as requirements for establishing a lawful basis on which personal data can be processed. In addition, the GDPR increases the scrutiny of transfers of personal data from clinical trial sites located in the EEA to the United States and other jurisdictions that the European Commission does not recognize as having “adequate” data protection laws, and imposes substantial fines for breaches and violations (up to the greater of €20 million or 4% of our annual worldwide gross revenue). Further, recent legal developments in Europe have created complexity and compliance uncertainty regarding certain transfers of information from the EEA to the United States. For example, on June 16, 2020, the Court of Justice of the European Union (the “CJEU”), declared the EU-U.S. Privacy Shield framework (the “Privacy Shield”), to be invalid. As a result, the Privacy Shield is no longer a valid mechanism for transferring personal data from the EEA to the United States. Moreover, it is uncertain whether the standard contractual clauses will also be invalidated by the European courts or legislature, which seems possible given the rationale behind the CJEU’s concerns about U.S. law and practice on government surveillance. The GDPR also confers a private right of action on data subjects and consumer associations to lodge complaints with supervisory authorities, seek judicial remedies and obtain compensation for damages resulting from violations of the GDPR.</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may be unable to adequately protect our information systems from cyberattacks, which could result in the disclosure of confidential information, damage our reputation, and subject us to significant financial and legal exposure.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As more companies and individuals work online and work remotely, the risk of a cybersecurity incident potentially occurring, and our investment in risk mitigations against such an incident, is increasing. For example, there has been an increase in phishing and spam emails as well as social engineering attempts from “hackers” hoping to use the recent COVID-19 pandemic to their advantage.</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addition, the computer systems of various third parties on which we rely, including our CROs, CMOs and other contractors, consultants and law and accounting firms, may sustain damage from computer viruses, unauthorized access, data breaches, phishing attacks, cybercriminals, natural disasters (including hurricanes and earthquakes), terrorism, war and telecommunication and electrical failures. We rely on our third-party providers to implement effective security measures and identify and correct for any such failures, deficiencies or breaches.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Our employees, principal investigators, CROs, CMOs and consultants may engage in misconduct or other improper activities, including non-compliance with regulatory standards and requirements and insider trading.</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are exposed to the risk of fraud or other misconduct by our employees, principal investigators, consultants and commercial partners. Misconduct by these parties could include intentional failures to comply with the regulations of FDA and non-U.S. regulators, to provide accurate information to the FDA and non-U.S. regulators, to comply with healthcare fraud and abuse laws and regulations in the United States and abroad,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could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or asserting our rights, those actions could have a significant impact on our business, including the imposition of significant fines or other sanctions.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Our operations and relationships with future customers, providers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Healthcare providers and third-party payors will play a primary role in the recommendation and prescription of any product candidates for which we obtain marketing approval. Our future arrangements with providers, third-party payors and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Restrictions under applicable U.S. federal and state healthcare laws and regulations include the following:</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federal Anti-Kickback Statute, a criminal law that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 Violations of the federal Anti-Kickback Statute can result in significant civil monetary penalties and criminal fines, as well as imprisonment and exclusion from participation in federal health care programs;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federal civil False Claims Act, imposes significant civil penalties and treble damages,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U.S. federal Anti-Kickback Statute constitutes a false or fraudulent claim for purposes of the civil False Claims Act;</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federal Criminal Statute on False Statements Relating to Health Care Matters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Federal Civil Monetary Penalties Law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HIPAA imposes criminal and civil liability for,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the federal Physician Payment Sunshine Act requires applicable manufacturers of covered drugs, devices, biologics, and medical supplies for which payment is available under Medicare, Medicaid, or the Children’s Health Insurance Program, among others, to track and report payments and other transfers of value provided during the previous year to U.S. licensed physicians (defined to include doctors, dentists, optometrists, podiatrists, and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chiropractors), other healthcare professionals (such as physician assistants and nurse practitioners), and, teaching hospitals, as well as certain ownership and investment interests held by physicians and their immediate family;</w:t>
      </w:r>
    </w:p>
    <w:p>
      <w:pPr>
        <w:pStyle w:val="TextBody"/>
        <w:bidi w:val="0"/>
        <w:spacing w:before="240" w:after="0"/>
        <w:jc w:val="left"/>
        <w:rPr/>
      </w:pPr>
      <w:r>
        <w:rPr/>
        <w: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analogous state and foreign laws and regulations, such as state anti-kickback and false claims laws, may apply to sales or marketing arrangements and claims involving healthcare items or services reimbursed by non-governmental third-party payors, including private insurers; and</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and the curtailment or restructuring of our operations. If any of the physicians or other healthcare providers or entities with whom we expect to do business is found to be not in compliance with applicable laws, it may be costly to us in terms of money, time and resources, and we may be subject to criminal, civil or administrative sanctions, including exclusion from government-funded healthcare programs.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If we fail to comply with environmental, health, and safety laws and regulations, we could become subject to fines or penalties or incur costs that could harm our business.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Although we maintain workers’ compensation insurance to cover for costs and expenses, we may incur due to injuries to our employees resulting from the use of hazardous materials, this insurance may not provide adequate coverage against potential liabilities.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Changes in tax laws or regulations could materially adversely affect us.</w:t>
      </w:r>
    </w:p>
    <w:p>
      <w:pPr>
        <w:pStyle w:val="TextBody"/>
        <w:bidi w:val="0"/>
        <w:spacing w:before="240" w:after="0"/>
        <w:jc w:val="both"/>
        <w:rPr>
          <w:rFonts w:ascii="Times New Roman" w:hAnsi="Times New Roman"/>
          <w:sz w:val="20"/>
        </w:rPr>
      </w:pPr>
      <w:r>
        <w:rPr>
          <w:rFonts w:ascii="Times New Roman;serif" w:hAnsi="Times New Roman;serif"/>
          <w:b w:val="false"/>
          <w:sz w:val="20"/>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Act, enacted many significant changes to the U.S. tax laws, including changes in corporate tax rates, the utilization of NOLs and other deferred tax assets, the deductibility of expenses, and the</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pStyle w:val="TextBody"/>
        <w:bidi w:val="0"/>
        <w:spacing w:before="240" w:after="0"/>
        <w:jc w:val="both"/>
        <w:rPr>
          <w:rFonts w:ascii="Times New Roman;serif" w:hAnsi="Times New Roman;serif"/>
          <w:b/>
          <w:sz w:val="20"/>
        </w:rPr>
      </w:pPr>
      <w:r>
        <w:rPr>
          <w:rFonts w:ascii="Times New Roman;serif" w:hAnsi="Times New Roman;serif"/>
          <w:b/>
          <w:sz w:val="20"/>
        </w:rPr>
        <w:t>Risks Related to Our Intellectual Property</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Our success depends in part on our ability to obtain, maintain and protect our intellectual property. It is difficult and costly to protect our proprietary rights and technology, and we may not be able to ensure their protection.</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commercial success will depend in large part on obtaining and maintaining patent, trademark, trade secret and other intellectual property protection of our proprietary technologies and product candidates, which include TPST-1495, TPST-1120 and the other product candidates we have in development,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extent to which we have rights under valid and enforceable patents or trade secrets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 and our ability to commercialize any product candidates we may develop may be adversely affected.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activities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may be reliant on our licensors or licensees to do so. Our pending and future patent applications may not result in issued patents.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in-licenses may be challenged, narrowed, circumvented or invalidated by third parties. Consequently, we do not know whether any of our platform advances and product candidates will be protectable or remain protected by valid and enforceable patents. In addition, our existing patents and any future patents we obtain may not be sufficiently broad to prevent others from using our technology or from developing competing products and technologies.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currently and may in the future depend on intellectual property licensed from third parties, and our current or future licensors may not always act in our best interest. If we fail to comply with our obligations under our intellectual property licenses, if the licenses are terminated, or if disputes regarding these licenses arise, we could lose significant rights that may be important to our business.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currently license intellectual property from the Regents of the University of California and may in the future depend on patents, know-how and proprietary technology licensed from third parties. Our licenses to such patents, know-how and proprietary technology may not provide exclusive rights in all relevant fields of use and in all territories in which we may wish to develop or commercialize our products in the future. The agreements under which we license patents, know-how and proprietary technology from others may be complex, and certain provisions in such agreements may be susceptible to multiple interpretations.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may in the future need to obtain licenses from third parties to advance our research or allow commercialization of product candidates Tempest may develop. It is possible that we may be unable to obtain any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If our current or future licensors fail to adequately protect our licensed intellectual property, our ability to commercialize product candidates could suffer. We may not have complete control over the maintenance, prosecution and litigation of our current or future in-licensed patents and patent applications. For example, we cannot be certain that activities such as the maintenance and prosecution by our current or future licensors have been or will be conducted in compliance with applicable laws and regulations or will result in valid and enforceable patents and other intellectual property rights. It is possible that our current or future licensors’ infringement proceedings or defense activities may be less vigorous than had we conducted them ourselves or may not be conducted in accordance with our best interests.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addition, the resolution of any contract interpretation disagreement that may arise could narrow what we might believe to be the scope of our rights to the relevant patents, know-how and proprietary technology, or increase what we believe to be our financial or other obligations under the relevant agreement. Disputes that may arise between us and our current or future licensors regarding intellectual property subject to a license agreement could include disputes regarding:</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scope of rights granted under the license agreement and other interpretation-related issues;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whether and the extent to which our technology and processes infringe on intellectual property of the licensor that is not subject to the licensing agreement;</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right to sublicense patent and other rights to third parties under collaborative development relationships;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diligence obligations with respect to the use of the licensed technology in relation to our development and commercialization of our product candidates and what activities satisfy those diligence obligations;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royalty, milestone or other payment obligations that may result from the advancement or commercial sale of any of our product candidates;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the ownership of inventions and know-how resulting from the joint creation or use of intellectual property by our licensors and us.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If disputes over intellectual property that we currently license or may license in the future prevent or impair our ability to maintain our licensing arrangements on acceptable terms, we may be unable to successfully develop and commercialize the affected technology or product candidates.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Our owned and in-licensed patents and patent applications may not provide sufficient protection of our product candidates or result in any competitive advantage.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pStyle w:val="TextBody"/>
        <w:bidi w:val="0"/>
        <w:spacing w:before="240" w:after="0"/>
        <w:jc w:val="both"/>
        <w:rPr>
          <w:rFonts w:ascii="Times New Roman" w:hAnsi="Times New Roman"/>
          <w:sz w:val="20"/>
        </w:rPr>
      </w:pPr>
      <w:r>
        <w:rPr>
          <w:rFonts w:ascii="Times New Roman;serif" w:hAnsi="Times New Roman;serif"/>
          <w:b w:val="false"/>
          <w:sz w:val="20"/>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United States Patent and Trademark</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Office (the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inter partes review proceedings. An adverse determination in any such submission, proceeding or litigation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 or eliminated.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Since patent applications in the United States and other countries are confidential for a period of time after filing or until issuance, at any moment in time, we cannot be certain that it was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 enforceability of a patent claim, and we may be subject to priority disputes. We may be required to disclaim part or all of the term of certain patents or all of the term of certain patent applications.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 products and technology. Those patent applications may have priority over our owned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patents that we have had issued that cover our product candidates or their use. Likewise, our currently owned patents and patent applications, if issued as patents, directed to our proprietary technologies and our product candidates are expected to expire from 2033 through 2041, without taking into account any possible patent term adjustments or extensions. Our earliest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others may be able to make or use compounds that are similar to the active compositions of our product candidates but that are not covered by the claims of our patents;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APIs in our current product candidates will eventually become commercially available in generic drug products, and no patent protection may be available with regard to formulation or method of use;</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or our current or future licensors, as the case may be, may fail to meet our or our obligations to the U.S. government regarding any patents and patent applications funded by U.S. government grants, leading to the loss or unenforceability of patent rights;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or our current or future licensors, as the case may be, might not have been the first to file patent applications for certain inventions;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others may independently develop similar or alternative technologies or duplicate any of our technologies;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it is possible that our pending patent applications will not result in issued patents;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it is possible that there are prior public disclosures that could invalidate our owned or in-licensed patents, as the case may be, or parts of our owned or in-licensed patents;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it is possible that others may circumvent our owned or in-licensed patents;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it is possible that there are unpublished applications or patent applications maintained in secrecy that may later issue with claims covering our product candidates or technology similar to ours;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laws of foreign countries may not protect our, or our current or future licensors’, as the case may be, proprietary rights to the same extent as the laws of the United States;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claims of our owned or in-licensed issued patents or patent applications, if and when issued, may not adequately cover our product candidates;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owned or in-licensed issued patents may not provide us with any competitive advantages, may be narrowed in scope, or be held invalid or unenforceable as a result of legal challenges by third parties;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it is possible that our owned or in-licensed patents or patent applications may omit individual(s) that should be listed as inventor(s) or include individual(s) that should not be listed as inventor(s), which may cause these patents or patents issuing from these patent applications to be held invalid or unenforceable or such omitted individuals may grant licenses to third parties;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have engaged in scientific collaborations in the past and will continue to do so in the future and our collaborators may develop adjacent or competing products that are outside the scope of our patents;</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we may not develop additional proprietary technologies for which we can obtain patent protection;</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it is possible that product candidates or diagnostic tests we develop may be covered by third parties’ patents or other exclusive rights; or</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the patents of others may have an adverse effect on our business.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Any of the foregoing could have a material adverse effect on our business, financial conditions, results of operations and prospects.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Our strategy of obtaining rights to key technologies through in-licenses may not be successful.</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future growth of our business may depend in part on our ability to in-license or otherwise acquire the rights to additional product candidates and technologies. We cannot assure you that we will be able to in-license or acquire the rights to any product candidates or technologies from third parties on acceptable terms or at all.</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For example, our agreements with certain of our third-party research partners provide that improvements developed in the course of our relationship may be owned solely by either we or our third-party research partner, or jointly between us and the third party. If we determine that exclusive rights to such improvements owned solely by a research partner or other third party 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opportunity to access technology that is important to our business. We also may need the cooperation of any co-owners of our intellectual property in order to enforce such intellectual property against third parties, and such cooperation may not be provided to us.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addition, the in-licensing and acquisition of these technologies is a highly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w:t>
      </w:r>
    </w:p>
    <w:p>
      <w:pPr>
        <w:pStyle w:val="TextBody"/>
        <w:bidi w:val="0"/>
        <w:spacing w:before="240" w:after="0"/>
        <w:jc w:val="both"/>
        <w:rPr>
          <w:rFonts w:ascii="Times New Roman" w:hAnsi="Times New Roman"/>
          <w:sz w:val="20"/>
        </w:rPr>
      </w:pPr>
      <w:r>
        <w:rPr>
          <w:rFonts w:ascii="Times New Roman;serif" w:hAnsi="Times New Roman;serif"/>
          <w:b/>
          <w:i/>
          <w:sz w:val="20"/>
        </w:rPr>
        <w:t>If we are unable to protect the confidentiality of our trade secrets, our business and competitive position would be harmed.</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w:t>
      </w:r>
    </w:p>
    <w:p>
      <w:pPr>
        <w:pStyle w:val="TextBody"/>
        <w:bidi w:val="0"/>
        <w:spacing w:before="240" w:after="0"/>
        <w:jc w:val="both"/>
        <w:rPr>
          <w:rFonts w:ascii="Times New Roman" w:hAnsi="Times New Roman"/>
          <w:sz w:val="20"/>
        </w:rPr>
      </w:pPr>
      <w:r>
        <w:rPr>
          <w:rFonts w:ascii="Times New Roman;serif" w:hAnsi="Times New Roman;serif"/>
          <w:b w:val="false"/>
          <w:sz w:val="20"/>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are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(or as otherwise permitted by applicable law),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We have also adopted policies and conducts training that provides guidance on our expectations,</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and our advice for best practices, in protecting our trade secrets. Despite these efforts, any of these parties may breach the agreements and disclose our proprietary information, including our trade secrets, and we may not be able to obtain adequate remedies for such breaches.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our trade secrets, were to be disclosed or misappropriated, such as through a data breach, or if any of that information was independently developed by a competitor, our competitive position could be harmed. Additionally, certain trade secret and proprietary information may be required to be disclosed in submissions to regulatory authorities. If such authorities do not maintain the confidential basis of such information or disclose it as part of the basis of regulatory approval, our competitive position could be adversely affected.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addition, courts outside the United States are sometimes less willing to protect trade secrets. If we choose to go to court to stop a third party from using any of our trade secrets, we may incur substantial costs. Even if we are successful, these types of lawsuits may result in substantial cost and require significant time from our scientists and management. Although we take steps to protect our proprietary information and trade secrets, third parties may independently develop substantially equivalent proprietary information and techniques or otherwise gain access to our trade secrets or disclose our technology, through legal or illegal means. As a result, we may not be able to meaningfully protect our trade secrets. Any of the foregoing could have a material adverse effect on our business, financial condition, results of operations and prospects.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Third-party claims of intellectual property infringement may prevent, delay or otherwise interfere with our product discovery and development efforts.</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Our commercial success depends in part on our ability to develop, manufacture, market and sell our product candidates and use our proprietary technologies without infringing, misappropriating or otherwise violating the intellectual property or other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serif" w:hAnsi="Times New Roman;serif"/>
          <w:b w:val="false"/>
          <w:i/>
          <w:sz w:val="20"/>
        </w:rPr>
        <w:t>inter partes</w:t>
      </w:r>
      <w:r>
        <w:rPr>
          <w:rFonts w:ascii="Times New Roman" w:hAnsi="Times New Roman"/>
          <w:sz w:val="20"/>
        </w:rPr>
        <w:t xml:space="preserve"> </w:t>
      </w:r>
      <w:r>
        <w:rPr>
          <w:rFonts w:ascii="Times New Roman;serif" w:hAnsi="Times New Roman;serif"/>
          <w:b w:val="false"/>
          <w:sz w:val="20"/>
        </w:rPr>
        <w:t>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If a third party claims that we infringe, misappropriate or otherwise violate their intellectual property rights, we may face a number of issues, including, but not limited to:</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infringement and other intellectual property claims that, regardless of merit, may be expensive and time-consuming to litigate and may divert our management’s attention from our core business;</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 court prohibiting us from developing, manufacturing, marketing or selling our product candidates, or from using our proprietary technologies, unless the third-party licenses our product rights or proprietary technology to us, which it is not required to do, on commercially reasonable terms or at all;</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if a license is available from a third party, we may have to pay substantial royalties, upfront fees and other amounts, and/or grant cross-licenses to intellectual property rights for our product candidates;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requirement that we redesign our product candidates or processes so they do not infringe, which may not be possible or may require substantial monetary expenditures and time;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Third parties may assert that we are employing their proprietary technology without authorization, including by enforcing our patents against us by filing a patent infringement lawsuit against us. In this regard, patents issued in the United States by law enjoy a presumption of validity that can be rebutted only with evidence that is “clear and convincing,” a heightened standard of proof.</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There may be third-party patents of which we are currently unaware of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 upon these patents.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 manufacture or methods of use, including combination therapy or patient selection methods, the holders of that patent may be able to block our ability to develop and commercialize the product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before="240" w:after="0"/>
        <w:jc w:val="both"/>
        <w:rPr>
          <w:rFonts w:ascii="Times New Roman" w:hAnsi="Times New Roman"/>
          <w:sz w:val="20"/>
        </w:rPr>
      </w:pPr>
      <w:r>
        <w:rPr>
          <w:rFonts w:ascii="Times New Roman;serif" w:hAnsi="Times New Roman;serif"/>
          <w:b w:val="false"/>
          <w:sz w:val="20"/>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product candidates and we may fail to obtain any of these licenses at a reasonable cost or on reasonable terms, if at all.</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that event, we would be unable to further develop and commercialize our product candidates, which could significantly harm our business.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may be involved in lawsuits to protect or enforce our patents or the patents of our licensors, which could be expensive, time-consuming and unsuccessful and could result in a finding that such patents are unenforceable or invalid.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patent litigation in the United States, defendant counterclaims alleging invalidity and/or unenforceability are commonplace, and there are numerous grounds upon which a third party can assert invalidity or unenforceability of a patent.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These types of mechanisms include re-examination, post-grant review, inter partes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Conversely, we may choose to challenge the patentability of claims in a third party’s U.S. patent by requesting that the USPTO review the patent claims in re-examination, post-grant review, inter partes review, interference proceedings, derivation 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Even if successful, the costs of these opposition proceedings could be substantial, 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pStyle w:val="TextBody"/>
        <w:bidi w:val="0"/>
        <w:spacing w:before="240" w:after="0"/>
        <w:jc w:val="both"/>
        <w:rPr>
          <w:rFonts w:ascii="Times New Roman" w:hAnsi="Times New Roman"/>
          <w:sz w:val="20"/>
        </w:rPr>
      </w:pPr>
      <w:r>
        <w:rPr>
          <w:rFonts w:ascii="Times New Roman;serif" w:hAnsi="Times New Roman;serif"/>
          <w:b w:val="false"/>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price of our common stock. Any of the foregoing could have a material adverse effect on our business financial condition, results of operations and prospects.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may not be able to protect our intellectual property rights throughout the world.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For example, patents covering methods-of-use are not available in certain foreign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do not have or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in jurisdictions where we do not have any issued patents and our patent claims or other intellectual property rights may not be effective or sufficient to prevent them from competing.</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management’s efforts and attention from other aspects of our business. Proceedings to enforce our patent rights in foreign jurisdictions could result in substantial costs and divert management’s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the Russia-Ukraine war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i/>
          <w:sz w:val="20"/>
        </w:rPr>
      </w:pPr>
      <w:r>
        <w:rPr>
          <w:rFonts w:ascii="Times New Roman;serif" w:hAnsi="Times New Roman;serif"/>
          <w:b/>
          <w:i/>
          <w:sz w:val="20"/>
        </w:rPr>
        <w:t>Third parties may assert that our employees or consultants have wrongfully used or disclosed confidential information or misappropriated trade secrets.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As is common in the biotechnology and pharmaceutical industries, we employ individuals who were previously employed at universities or other biopharmaceutical or pharmaceutical companies, including our competitors or potential competitors. Although we try to ensure that our employees and consultants do not use the proprietary information or know-how of others in their work for us, we may be subject to claims that our employees, consultants or independent contractors have inadvertently or otherwise used or disclosed intellectual property, including trade secrets or other proprietary information, of a former employer or other third parties. We may then have to pursue litigation to defend against these claims. If we fail in defending any claims of this nature, in addition to paying monetary damages, we may lose valuable intellectual property rights or personnel.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us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laws and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our competitors might be able to enter the market, which would have a material adverse effect on our business financial condition, results of operations and prospects.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Changes in patent law in the United States and in non-U.S. jurisdictions could diminish the value of patents in general, thereby impairing our ability to protect our product candidates.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pStyle w:val="TextBody"/>
        <w:bidi w:val="0"/>
        <w:spacing w:before="240" w:after="0"/>
        <w:jc w:val="both"/>
        <w:rPr>
          <w:rFonts w:ascii="Times New Roman" w:hAnsi="Times New Roman"/>
          <w:sz w:val="20"/>
        </w:rPr>
      </w:pPr>
      <w:r>
        <w:rPr>
          <w:rFonts w:ascii="Times New Roman;serif" w:hAnsi="Times New Roman;serif"/>
          <w:b w:val="false"/>
          <w:sz w:val="20"/>
        </w:rPr>
        <w:t>Past or future patent reform legislation could increase the uncertainties and costs surrounding the prosecution of our patent applications and the enforcement or defense of our issued patents. For example, in March 2013, under the Leahy-Smith America Invents Act (“America Invents Act”), the United States moved from a “first to invent” to a “first-to-file” patent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66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way patent applications are prosecuted, redefine prior art and establish a new post-grant review system. The effects of these changes continue to evolve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Moreover, the America Invents Act and our implementation could increase the uncertainties and costs surrounding the prosecution of our patent applications and the enforcement or defense of our issued patents.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or license in the future. For example, in the case, Assoc. for Molecular Pathology v. Myriad Genetics, Inc., the U.S. Supreme Court held that certain claims to DNA molecules are not patent-eligible.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Similarly, other cases by the U.S. Supreme Court have held that certain methods of treatment or diagnosis are not patent-eligible. U.S. law regarding patent-eligibility continues to evolve. While we do not believe that any of our patents will be found invalid based on these changes to U.S. patent law, we cannot predict how future decisions by the courts, the U.S. Congress or the USPTO may impact the value of our patents and patent applications. Any similar adverse changes in the patent laws of other jurisdictions could also have a material adverse effect on our business, financial condition, results of operations and prospects.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As a further example, beginning June 1, 2023 European patent applications and patents may be subjected to the jurisdiction of the Unified Patent Court (UPC). Also, European patent applications will have the option, upon grant of a patent, of becoming a Unitary Patent, which will be subject to the jurisdiction of the UPC. The UPC and Unitary Patent are significant changes in European patent practice. As the UPC is a new court system, there is no precedent for the court, increasing the uncertainty of any litigation in the UPC. As a single court system can invalidate a European patent, we, where applicable, may opt out of the UPC and as such, each European patent would need to be challenged in each individual country.</w:t>
      </w:r>
    </w:p>
    <w:p>
      <w:pPr>
        <w:pStyle w:val="TextBody"/>
        <w:bidi w:val="0"/>
        <w:spacing w:before="240" w:after="0"/>
        <w:jc w:val="both"/>
        <w:rPr>
          <w:rFonts w:ascii="Times New Roman;serif" w:hAnsi="Times New Roman;serif"/>
          <w:b/>
          <w:i/>
          <w:sz w:val="20"/>
        </w:rPr>
      </w:pPr>
      <w:r>
        <w:rPr>
          <w:rFonts w:ascii="Times New Roman;serif" w:hAnsi="Times New Roman;serif"/>
          <w:b/>
          <w:i/>
          <w:sz w:val="20"/>
        </w:rPr>
        <w:t>Patent terms may be inadequate to protect our competitive position on our product candidates for an adequate amount of time.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If we do not obtain patent term extension for any product candidates it may develop, our business may be materially harmed.</w:t>
      </w:r>
    </w:p>
    <w:p>
      <w:pPr>
        <w:pStyle w:val="TextBody"/>
        <w:bidi w:val="0"/>
        <w:spacing w:before="240" w:after="0"/>
        <w:jc w:val="both"/>
        <w:rPr>
          <w:rFonts w:ascii="Times New Roman" w:hAnsi="Times New Roman"/>
          <w:sz w:val="20"/>
        </w:rPr>
      </w:pPr>
      <w:r>
        <w:rPr>
          <w:rFonts w:ascii="Times New Roman;serif" w:hAnsi="Times New Roman;serif"/>
          <w:b w:val="false"/>
          <w:sz w:val="20"/>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clinical trials and the FDA regulatory review process. A patent term extension cannot extend the remaining term of a patent beyond a total of 14 years from the date of product approval, only one patent per product may be extended and only those claims covering the approved drug, a method</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67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for using it, or a method for manufacturing it may be extended. U.S. and ex-U.S. law concerning patent term extensions and foreign equivalents continue to evolve. Even if we were to seek a patent term extension,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of extension or the scope of patent protection afforded could be less than we request. If we are unable to obtain patent term extension or term of any such extension is less than it requests, our competitors may obtain approval of competing products following our patent expiration sooner than expected, and our business, financial condition, results of operations and prospects could be materially harmed.</w:t>
      </w:r>
    </w:p>
    <w:p>
      <w:pPr>
        <w:pStyle w:val="TextBody"/>
        <w:bidi w:val="0"/>
        <w:spacing w:before="240" w:after="0"/>
        <w:jc w:val="both"/>
        <w:rPr>
          <w:rFonts w:ascii="Times New Roman" w:hAnsi="Times New Roman"/>
          <w:sz w:val="20"/>
        </w:rPr>
      </w:pPr>
      <w:r>
        <w:rPr>
          <w:rFonts w:ascii="Times New Roman;serif" w:hAnsi="Times New Roman;serif"/>
          <w:b/>
          <w:i/>
          <w:sz w:val="20"/>
        </w:rPr>
        <w:t xml:space="preserve">Intellectual property discovered through government funded programs may be subject to federal regulations such as </w:t>
      </w:r>
      <w:r>
        <w:rPr>
          <w:rFonts w:ascii="Times New Roman" w:hAnsi="Times New Roman"/>
          <w:sz w:val="20"/>
        </w:rPr>
        <w:t>“</w:t>
      </w:r>
      <w:r>
        <w:rPr>
          <w:rFonts w:ascii="Times New Roman;serif" w:hAnsi="Times New Roman;serif"/>
          <w:b/>
          <w:i/>
          <w:sz w:val="20"/>
        </w:rPr>
        <w:t>march-in</w:t>
      </w:r>
      <w:r>
        <w:rPr>
          <w:rFonts w:ascii="Times New Roman" w:hAnsi="Times New Roman"/>
          <w:sz w:val="20"/>
        </w:rPr>
        <w:t xml:space="preserve">” </w:t>
      </w:r>
      <w:r>
        <w:rPr>
          <w:rFonts w:ascii="Times New Roman;serif" w:hAnsi="Times New Roman;serif"/>
          <w:b/>
          <w:i/>
          <w:sz w:val="20"/>
        </w:rPr>
        <w:t>rights, certain reporting requirements and a preference for U.S.-based companies. Compliance with such regulations may limit our exclusive rights and limit our ability to contract with non-U.S. manufacturers.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patent application in-licensed from the Regents of the University of California has been supported through the use of U.S. government funding awarded by the National Institutes of Health. Although we do not currently own issued patents or pending patent applications that have been generated through the use of U.S. government funding, we may acquire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bidi w:val="0"/>
        <w:spacing w:before="240" w:after="0"/>
        <w:jc w:val="both"/>
        <w:rPr>
          <w:rFonts w:ascii="Times New Roman;serif" w:hAnsi="Times New Roman;serif"/>
          <w:b/>
          <w:sz w:val="20"/>
        </w:rPr>
      </w:pPr>
      <w:r>
        <w:rPr>
          <w:rFonts w:ascii="Times New Roman;serif" w:hAnsi="Times New Roman;serif"/>
          <w:b/>
          <w:sz w:val="20"/>
        </w:rPr>
        <w:t>Risks Related to Ownership of Our Common Stock and Other General Matters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The trading price of the shares of our common stock has been and is likely to continue to be volatile, and purchasers of our common stock could incur substantial losses.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market price of our common stock has been and is likely to continue to be volatile. Some of the factors that may cause the market price of our common stock to fluctuate include:</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results of clinical trials and preclinical studies of our product candidates, or those of our competitors or our existing or future collaborators;</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failure to meet or exceed financial and development projections we may provide to the public;</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68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failure to meet or exceed the financial and development projections of the investment community;</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announcements of significant acquisitions, strategic collaborations, joint ventures or capital commitments by us or our competitors;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actions taken by regulatory agencies with respect to our product candidates, clinical studies, manufacturing process or sales and marketing terms;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disputes or other developments relating to proprietary rights, including patents, litigation matters, and our ability to obtain patent protection for our technologies;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additions or departures of key personnel;</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significant lawsuits, including patent or stockholder litigation;</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if securities or industry analysts do not publish research or reports about our business, or if they issue adverse or misleading opinions regarding our business and stock;</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changes in the market valuations of similar companies;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sales of securities by us or our securityholders in the future;</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if we fail to raise an adequate amount of capital to fund our operations and continued development of our product candidates;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trading volume of our common stock;</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announcements by competitors of new commercial products, clinical progress or lack thereof, significant contracts, commercial relationships or capital commitments;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adverse publicity relating to precision medicine product candidates, including with respect to other products in such markets;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introduction of technological innovations or new therapies that compete with our products and services;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general economic, political, and market conditions and overall fluctuations in the financial markets in the United States and abroad, including as a result of bank failures, public health crises or geopolitical tensions, such as the Russia-Ukraine war; and</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period-to-period fluctuations in our financial results.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69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i/>
          <w:sz w:val="20"/>
        </w:rPr>
      </w:pPr>
      <w:r>
        <w:rPr>
          <w:rFonts w:ascii="Times New Roman;serif" w:hAnsi="Times New Roman;serif"/>
          <w:b/>
          <w:i/>
          <w:sz w:val="20"/>
        </w:rPr>
        <w:t>Unstable market and economic conditions may have serious adverse consequences on our business, financial condition and share price.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macroeconomic uncertainty and volatile business environment have resulted in ongoing inflation, volatility in the capital markets, significantly reduced liquidity and credit availability, decreases in consumer demand and confidence, declines in economic growth, increases in unemployment rates and uncertainty about economic stability. Our general business strategy may be materially or adversely impacted by if these unpredictable and unstable market conditions continue. Additionally, the recent bank closures and the Russia-Ukraine war has created extreme volatility in the global capital markets and is expected to have further global economic consequences, including disruptions of the global supply chain and energy markets. Any such volatility and disruptions may have adverse consequences on us or the third parties on whom we rely. If the equity and credit markets deteriorate, including as a result of future bank closures or political unrest or war, it may make any necessary debt or equity financing more difficult to obtain in a timely manner or on favorable terms, more costly or more dilutive. Inflation can adversely affect us by increasing our costs, including salary costs. Any significant increases in inflation and related increase in interest rates could have a material adverse effect on our business, results of operations and financial condition. A weak or declining economy could also strain our suppliers and manufacturers, possibly resulting in supply and clinical trial disruption. Any of the foregoing could harm our business and we cannot anticipate all of the ways in which the current economic climate and financial market conditions could adversely impact our business.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Our common stock is thinly traded and our stockholders may be unable to sell their shares quickly or at market price.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Although we have had periods of high-volume daily trading in our common stock, generally our stock is thinly traded. As a consequence of this lack of liquidity, the trading of relatively small quantities of shares by our stockholders may disproportionately influence the price of those shares in either direction. Our common stock price could, for example, decline significantly as a result of sales of a large number of shares of our common stock on the market without commensurate demand, as compared to a seasoned issuer that could better absorb those sales without adverse impact on its share price, or from the perception that these sales could occur.</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Our executive officers, directors and principal stockholders have the ability to control or significantly influence all matters submitted to our stockholders for approval.</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As of December 31, 2022, our executive officers, directors and stockholders, who hold greater than 5% of our outstanding common stock, beneficially own in the aggregate approximately 79% of our outstanding shares of common stock. As a result, if these persons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the company’s assets. This concentration of voting power could delay or prevent an acquisition on terms that other stockholders may desire.</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are a smaller reporting company, and the reduced reporting requirements applicable to smaller reporting companies may make our common stock less attractive to investors.</w:t>
      </w:r>
    </w:p>
    <w:p>
      <w:pPr>
        <w:pStyle w:val="TextBody"/>
        <w:bidi w:val="0"/>
        <w:spacing w:before="240" w:after="0"/>
        <w:jc w:val="both"/>
        <w:rPr>
          <w:rFonts w:ascii="Times New Roman" w:hAnsi="Times New Roman"/>
          <w:sz w:val="20"/>
        </w:rPr>
      </w:pPr>
      <w:r>
        <w:rPr>
          <w:rFonts w:ascii="Times New Roman;serif" w:hAnsi="Times New Roman;serif"/>
          <w:b w:val="false"/>
          <w:sz w:val="20"/>
        </w:rPr>
        <w:t>We are a “smaller reporting company” as defined in Section 12 of the Exchange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Sarbanes-Oxley Act of 2002, reduced disclosure obligations regarding executive compensation in our periodic reports and proxy statements, and stockholder approval of any golden parachute payments not previously approved. We cannot predict if investors will find our common stock less attractive because we may rely on these exemptions.</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70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If some investors find our common stock less attractive as a result, there may be a less active trading market for our common stock and our stock price may be more volatile.</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Risks Related to Our Status as a Public Company and Other General Matters</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expect to continue to incur increased costs as a result of operating as a public company, and our management is required to devote substantial time to compliance with our public company responsibilities and corporate governance practices.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continue to incur significant legal, accounting and other expenses. The Sarbanes-Oxley Act, the Dodd-Frank Wall Street Reform and Consumer Protection Act, the listing requirements of the Nasdaq Stock Market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For example, we expect that these rules and regulations may make it more difficult and more expensive for us to obtain directors’ and officers’ liability insurance, compared to when we were a private company, which could make it more difficult for us to attract and retain qualified members of our board of directors. We cannot predict or estimate the amount of additional costs we will continue to incur as a public company or the timing of such costs. Once we are no longer a smaller reporting company or otherwise no longer qualifies for applicable exemptions, we will be subject to additional laws and regulations affecting public companies that will increase our costs and the demands on management and could harm our operating results.</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If we fail to maintain proper and effective internal controls, our ability to produce accurate financial statements on a timely basis could be impaired.</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 reporting and a report by management on, among other things, the effectiveness of our internal control over financial reporting. We will not be required to have our auditors formally attest to the effectiveness of our internal control over financial reporting until we cease to be a smaller reporting company.</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If we are not able to comply with the requirements of Section 404 of the Sarbanes-Oxley Act (“Section 404”),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Additionally, as a privately held company, we were not required to evaluate our internal control over financial reporting in a manner that meets the standards of publicly traded companies required by Section 404. In connection with the preparation and audit of our financial statements as of and for the year ended December 31, 2020, a material weaknesses was identified in our internal control over financial reporting, which has been remediated. We cannot assure you that there will not be additional material weaknesses or significant deficiencies in the internal control over financial reporting in the future. Any failure to maintain effective internal control over financial reporting could severely inhibit our ability to accurately report our financial condition, results of operations or cash flows. If we are unable to conclude that our internal control over financial reporting is</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71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effective, or if our independent registered public accounting firm determines we have a material weakness or significant deficiency in our internal control over financial reporting once that firm begins its reporting on internal control over financial reporting, investors may lose confidence in the accuracy and completeness of our financial reports, the market price of our common stock could decline, and we could be subject to sanctions or investigations by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or the third parties upon whom we depend may be adversely affected by natural disasters and other calamities, including public health crises, and our business continuity and disaster recovery plans may not adequately protect us from a serious disaster.</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such as data storage, it may be difficult or, in certain cases, impossible for us to continue our business for a substantial period of time.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Occurrences of epidemics or pandemics, depending on their scale, may cause different degrees of damage to the national and local economies within our geographic focus. Global economic conditions may be disrupted by widespread outbreaks of infectious or contagious diseases, and such disruption may adversely affect clinical development plans.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Our business entails a significant risk of product liability and our ability to obtain sufficient insurance coverage could have a material and adverse effect on our business, financial condition, results of operations and prospects.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will face an inherent risk of product liability exposure related to the testing of our product candidates in clinical trials and will face an even greater risk if we commercialize any of our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we cannot successfully defend against claims that our product candidates caused injuries, we could incur substantial liabilities. Regardless of merit or eventual outcome, liability claims may result in:</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decreased demand for any product candidates that we may develop;</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injury to our reputation and significant negative media attention;</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withdrawal of clinical trial participants;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significant time and costs to defend the related litigation;</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substantial monetary awards to trial participants or patients;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loss of revenue;</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termination of our collaboration relationships or disputes with our collaborators;</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voluntary product recalls, withdrawals or labeling restrictions; and</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72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the inability to commercialize any product candidates that we may develop.</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While we currently have insurance that we believe is appropriate for our stage of development, we may need to obtain higher levels prior to clinical development or marketing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establish a classified board of directors such that not all members of the board are elected at one time;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allow the authorized number of our directors to be changed only by resolution of our board of directors;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limit the manner in which stockholders can remove directors from the board;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establish advance notice requirements for stockholder proposals that can be acted on at stockholder meetings and for nominations to our board of directors;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limit who may call stockholder meetings;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prohibit actions by our stockholders by written consent;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require that stockholder actions be effected at a duly called stockholders meeting;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require the approval of the holders of at least 75% of the votes that all our stockholders would be entitled to cast to amend or repeal certain provisions of our certificate of incorporation or by-laws.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percent or more of our outstanding voting stock, unless the merger or combination is approved in a manner prescribed by the statute.</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pStyle w:val="TextBody"/>
        <w:bidi w:val="0"/>
        <w:spacing w:before="240" w:after="0"/>
        <w:jc w:val="both"/>
        <w:rPr>
          <w:rFonts w:ascii="Times New Roman" w:hAnsi="Times New Roman"/>
          <w:sz w:val="20"/>
        </w:rPr>
      </w:pPr>
      <w:r>
        <w:rPr>
          <w:rFonts w:ascii="Times New Roman;serif" w:hAnsi="Times New Roman;serif"/>
          <w:b w:val="false"/>
          <w:sz w:val="20"/>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provision may limit a stockholder’s ability to bring a claim in a judicial forum that it finds favorable for disputes with us or our directors, officers or other employees, which may discourage</w:t>
      </w:r>
      <w:r>
        <w:rPr>
          <w:rFonts w:ascii="Times New Roman" w:hAnsi="Times New Roman"/>
          <w:sz w:val="20"/>
        </w:rPr>
        <w:t xml:space="preserve"> </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73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such lawsuits against us and our directors, officers and other employees. Alternatively, if a court were to find the choice of forum provision contained in the bylaws to be inapplicable or unenforceable in an action, we may incur additional costs associated with resolving such action in other jurisdictions, which could materially and adversely affect our business, financial condition and results of operations.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do not anticipate that we will pay any cash dividends in the foreseeable future.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current expectation is that we will retain our future earnings, if any, to fund our growth as opposed to paying dividends. As a result, capital appreciation, if any, of our common stock will be your sole source of gain, if any, for the foreseeable future.</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may be exposed to increased litigation, including stockholder litigation, which could have an adverse effect on our business and operations.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may be exposed to increased litigation from stockholders, customers, suppliers, consumers and other third parties due to the combination of Millendo’s business and ours following the merger. Such litigation may have an adverse impact on our business and results of operations or may cause disruptions to our operations. In addition, in the past, stockholders have initiated class action lawsuits against biotechnology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 We also remain the subject of various securities class action lawsuits and shareholder derivative lawsuits that were filed against OvaScience and certain of our officer and directors, as described in more detail in Part II, Item 3 under the heading “Legal Proceedings” of the Annual Report on Form 10-K.</w:t>
      </w:r>
    </w:p>
    <w:p>
      <w:pPr>
        <w:pStyle w:val="TextBody"/>
        <w:bidi w:val="0"/>
        <w:spacing w:before="240" w:after="0"/>
        <w:jc w:val="both"/>
        <w:rPr>
          <w:rFonts w:ascii="Times New Roman;serif" w:hAnsi="Times New Roman;serif"/>
          <w:b/>
          <w:i/>
          <w:sz w:val="20"/>
        </w:rPr>
      </w:pPr>
      <w:r>
        <w:rPr>
          <w:rFonts w:ascii="Times New Roman;serif" w:hAnsi="Times New Roman;serif"/>
          <w:b/>
          <w:i/>
          <w:sz w:val="20"/>
        </w:rPr>
        <w:t>If equity research analysts do not publish research or reports, or publish unfavorable research or reports, about us, our business or our market, our stock price and trading volume could decline.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or fails to publish reports on us regularly, demand for our common stock could decrease, which in turn could cause our stock price or trading volume to decline.</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74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bookmarkStart w:id="29" w:name="item_2_unregistered_sales_equity_securit"/>
      <w:bookmarkEnd w:id="29"/>
      <w:r>
        <w:rPr>
          <w:rFonts w:ascii="Times New Roman;serif" w:hAnsi="Times New Roman;serif"/>
          <w:b/>
          <w:sz w:val="20"/>
        </w:rPr>
        <w:t>Item 2. Unregistered Sales of Equity Securities and Use of Proceeds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200" w:after="0"/>
        <w:jc w:val="both"/>
        <w:rPr>
          <w:rFonts w:ascii="Times New Roman;serif" w:hAnsi="Times New Roman;serif"/>
          <w:b/>
          <w:sz w:val="20"/>
        </w:rPr>
      </w:pPr>
      <w:bookmarkStart w:id="30" w:name="item_3_defaults_upon_senior_securities"/>
      <w:bookmarkEnd w:id="30"/>
      <w:r>
        <w:rPr>
          <w:rFonts w:ascii="Times New Roman;serif" w:hAnsi="Times New Roman;serif"/>
          <w:b/>
          <w:sz w:val="20"/>
        </w:rPr>
        <w:t>Item 3. Defaults upon Senior Securities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200" w:after="0"/>
        <w:jc w:val="left"/>
        <w:rPr>
          <w:rFonts w:ascii="Times New Roman;serif" w:hAnsi="Times New Roman;serif"/>
          <w:b/>
          <w:sz w:val="20"/>
        </w:rPr>
      </w:pPr>
      <w:bookmarkStart w:id="31" w:name="item_4_mine_safety_disclosures"/>
      <w:bookmarkEnd w:id="31"/>
      <w:r>
        <w:rPr>
          <w:rFonts w:ascii="Times New Roman;serif" w:hAnsi="Times New Roman;serif"/>
          <w:b/>
          <w:sz w:val="20"/>
        </w:rPr>
        <w:t>Item 4. Mine Safety Disclosures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200" w:after="0"/>
        <w:jc w:val="both"/>
        <w:rPr>
          <w:rFonts w:ascii="Times New Roman;serif" w:hAnsi="Times New Roman;serif"/>
          <w:b/>
          <w:sz w:val="20"/>
        </w:rPr>
      </w:pPr>
      <w:bookmarkStart w:id="32" w:name="item_5_other_information"/>
      <w:bookmarkEnd w:id="32"/>
      <w:r>
        <w:rPr>
          <w:rFonts w:ascii="Times New Roman;serif" w:hAnsi="Times New Roman;serif"/>
          <w:b/>
          <w:sz w:val="20"/>
        </w:rPr>
        <w:t>Item 5. Other Information</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200" w:after="0"/>
        <w:jc w:val="center"/>
        <w:rPr>
          <w:rFonts w:ascii="Times New Roman;serif" w:hAnsi="Times New Roman;serif"/>
          <w:b w:val="false"/>
          <w:sz w:val="20"/>
        </w:rPr>
      </w:pPr>
      <w:r>
        <w:rPr>
          <w:rFonts w:ascii="Times New Roman;serif" w:hAnsi="Times New Roman;serif"/>
          <w:b w:val="false"/>
          <w:sz w:val="20"/>
        </w:rPr>
        <w:t>75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33" w:name="item_6_exhibits"/>
      <w:bookmarkEnd w:id="33"/>
      <w:r>
        <w:rPr>
          <w:rFonts w:ascii="Times New Roman;serif" w:hAnsi="Times New Roman;serif"/>
          <w:b/>
          <w:sz w:val="20"/>
        </w:rPr>
        <w:t>Item 6. Exhibits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exhibits are incorporated by reference or filed as part of this report.</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904"/>
        <w:gridCol w:w="5387"/>
        <w:gridCol w:w="526"/>
        <w:gridCol w:w="821"/>
        <w:gridCol w:w="676"/>
        <w:gridCol w:w="632"/>
        <w:gridCol w:w="1259"/>
      </w:tblGrid>
      <w:tr>
        <w:trPr/>
        <w:tc>
          <w:tcPr>
            <w:tcW w:w="904" w:type="dxa"/>
            <w:tcBorders/>
            <w:vAlign w:val="center"/>
          </w:tcPr>
          <w:p>
            <w:pPr>
              <w:pStyle w:val="TableContents"/>
              <w:bidi w:val="0"/>
              <w:spacing w:before="0" w:after="283"/>
              <w:jc w:val="left"/>
              <w:rPr>
                <w:sz w:val="4"/>
                <w:szCs w:val="4"/>
              </w:rPr>
            </w:pPr>
            <w:r>
              <w:rPr>
                <w:sz w:val="4"/>
                <w:szCs w:val="4"/>
              </w:rPr>
            </w:r>
          </w:p>
        </w:tc>
        <w:tc>
          <w:tcPr>
            <w:tcW w:w="538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38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914" w:type="dxa"/>
            <w:gridSpan w:val="5"/>
            <w:tcBorders>
              <w:bottom w:val="single" w:sz="8" w:space="0" w:color="000000"/>
            </w:tcBorders>
            <w:tcMar>
              <w:top w:w="0" w:type="dxa"/>
              <w:left w:w="0" w:type="dxa"/>
              <w:right w:w="0" w:type="dxa"/>
            </w:tcMar>
            <w:vAlign w:val="center"/>
          </w:tcPr>
          <w:p>
            <w:pPr>
              <w:pStyle w:val="TableContents"/>
              <w:bidi w:val="0"/>
              <w:spacing w:before="53" w:after="30"/>
              <w:ind w:left="0" w:right="0" w:hanging="0"/>
              <w:jc w:val="center"/>
              <w:rPr>
                <w:rFonts w:ascii="Times New Roman;serif" w:hAnsi="Times New Roman;serif"/>
                <w:b/>
                <w:sz w:val="20"/>
              </w:rPr>
            </w:pPr>
            <w:r>
              <w:rPr>
                <w:rFonts w:ascii="Times New Roman;serif" w:hAnsi="Times New Roman;serif"/>
                <w:b/>
                <w:sz w:val="20"/>
              </w:rPr>
              <w:t>Incorporation by Reference</w:t>
            </w:r>
          </w:p>
        </w:tc>
      </w:tr>
      <w:tr>
        <w:trPr/>
        <w:tc>
          <w:tcPr>
            <w:tcW w:w="904" w:type="dxa"/>
            <w:tcBorders>
              <w:bottom w:val="single" w:sz="8" w:space="0" w:color="000000"/>
            </w:tcBorders>
            <w:tcMar>
              <w:top w:w="0" w:type="dxa"/>
              <w:left w:w="0" w:type="dxa"/>
              <w:right w:w="0" w:type="dxa"/>
            </w:tcMar>
            <w:vAlign w:val="center"/>
          </w:tcPr>
          <w:p>
            <w:pPr>
              <w:pStyle w:val="TableContents"/>
              <w:bidi w:val="0"/>
              <w:spacing w:before="33" w:after="30"/>
              <w:ind w:left="0" w:right="0" w:hanging="0"/>
              <w:jc w:val="center"/>
              <w:rPr>
                <w:rFonts w:ascii="Times New Roman;serif" w:hAnsi="Times New Roman;serif"/>
                <w:b/>
                <w:sz w:val="18"/>
              </w:rPr>
            </w:pPr>
            <w:r>
              <w:rPr>
                <w:rFonts w:ascii="Times New Roman;serif" w:hAnsi="Times New Roman;serif"/>
                <w:b/>
                <w:sz w:val="18"/>
              </w:rPr>
              <w:t>Exhibit Number</w:t>
            </w:r>
          </w:p>
        </w:tc>
        <w:tc>
          <w:tcPr>
            <w:tcW w:w="5387" w:type="dxa"/>
            <w:tcBorders>
              <w:bottom w:val="single" w:sz="8" w:space="0" w:color="000000"/>
            </w:tcBorders>
            <w:tcMar>
              <w:top w:w="0" w:type="dxa"/>
              <w:left w:w="0" w:type="dxa"/>
              <w:right w:w="0" w:type="dxa"/>
            </w:tcMar>
            <w:vAlign w:val="center"/>
          </w:tcPr>
          <w:p>
            <w:pPr>
              <w:pStyle w:val="TableContents"/>
              <w:bidi w:val="0"/>
              <w:spacing w:before="33" w:after="30"/>
              <w:ind w:left="0" w:right="0" w:hanging="0"/>
              <w:jc w:val="center"/>
              <w:rPr>
                <w:rFonts w:ascii="Times New Roman;serif" w:hAnsi="Times New Roman;serif"/>
                <w:b/>
                <w:sz w:val="18"/>
              </w:rPr>
            </w:pPr>
            <w:r>
              <w:rPr>
                <w:rFonts w:ascii="Times New Roman;serif" w:hAnsi="Times New Roman;serif"/>
                <w:b/>
                <w:sz w:val="18"/>
              </w:rPr>
              <w:t>Description of Exhibit</w:t>
            </w:r>
          </w:p>
        </w:tc>
        <w:tc>
          <w:tcPr>
            <w:tcW w:w="526" w:type="dxa"/>
            <w:tcBorders>
              <w:bottom w:val="single" w:sz="8" w:space="0" w:color="000000"/>
            </w:tcBorders>
            <w:tcMar>
              <w:top w:w="0" w:type="dxa"/>
              <w:left w:w="0" w:type="dxa"/>
              <w:right w:w="0" w:type="dxa"/>
            </w:tcMar>
            <w:vAlign w:val="center"/>
          </w:tcPr>
          <w:p>
            <w:pPr>
              <w:pStyle w:val="TableContents"/>
              <w:bidi w:val="0"/>
              <w:spacing w:before="33" w:after="30"/>
              <w:ind w:left="0" w:right="0" w:hanging="0"/>
              <w:jc w:val="center"/>
              <w:rPr>
                <w:rFonts w:ascii="Times New Roman;serif" w:hAnsi="Times New Roman;serif"/>
                <w:b/>
                <w:sz w:val="18"/>
              </w:rPr>
            </w:pPr>
            <w:r>
              <w:rPr>
                <w:rFonts w:ascii="Times New Roman;serif" w:hAnsi="Times New Roman;serif"/>
                <w:b/>
                <w:sz w:val="18"/>
              </w:rPr>
              <w:t>Form</w:t>
            </w:r>
          </w:p>
        </w:tc>
        <w:tc>
          <w:tcPr>
            <w:tcW w:w="821" w:type="dxa"/>
            <w:tcBorders>
              <w:bottom w:val="single" w:sz="8" w:space="0" w:color="000000"/>
            </w:tcBorders>
            <w:tcMar>
              <w:top w:w="0" w:type="dxa"/>
              <w:left w:w="0" w:type="dxa"/>
              <w:right w:w="0" w:type="dxa"/>
            </w:tcMar>
            <w:vAlign w:val="center"/>
          </w:tcPr>
          <w:p>
            <w:pPr>
              <w:pStyle w:val="TableContents"/>
              <w:bidi w:val="0"/>
              <w:spacing w:before="33" w:after="30"/>
              <w:ind w:left="0" w:right="0" w:hanging="0"/>
              <w:jc w:val="center"/>
              <w:rPr>
                <w:rFonts w:ascii="Times New Roman;serif" w:hAnsi="Times New Roman;serif"/>
                <w:b/>
                <w:sz w:val="18"/>
              </w:rPr>
            </w:pPr>
            <w:r>
              <w:rPr>
                <w:rFonts w:ascii="Times New Roman;serif" w:hAnsi="Times New Roman;serif"/>
                <w:b/>
                <w:sz w:val="18"/>
              </w:rPr>
              <w:t>File Number</w:t>
            </w:r>
          </w:p>
        </w:tc>
        <w:tc>
          <w:tcPr>
            <w:tcW w:w="676" w:type="dxa"/>
            <w:tcBorders>
              <w:bottom w:val="single" w:sz="8" w:space="0" w:color="000000"/>
            </w:tcBorders>
            <w:tcMar>
              <w:top w:w="0" w:type="dxa"/>
              <w:left w:w="0" w:type="dxa"/>
              <w:right w:w="0" w:type="dxa"/>
            </w:tcMar>
            <w:vAlign w:val="center"/>
          </w:tcPr>
          <w:p>
            <w:pPr>
              <w:pStyle w:val="TableContents"/>
              <w:bidi w:val="0"/>
              <w:spacing w:before="33" w:after="30"/>
              <w:ind w:left="0" w:right="0" w:hanging="0"/>
              <w:jc w:val="center"/>
              <w:rPr>
                <w:rFonts w:ascii="Times New Roman;serif" w:hAnsi="Times New Roman;serif"/>
                <w:b/>
                <w:sz w:val="18"/>
              </w:rPr>
            </w:pPr>
            <w:r>
              <w:rPr>
                <w:rFonts w:ascii="Times New Roman;serif" w:hAnsi="Times New Roman;serif"/>
                <w:b/>
                <w:sz w:val="18"/>
              </w:rPr>
              <w:t>Exhibit</w:t>
            </w:r>
          </w:p>
        </w:tc>
        <w:tc>
          <w:tcPr>
            <w:tcW w:w="632" w:type="dxa"/>
            <w:tcBorders>
              <w:bottom w:val="single" w:sz="8" w:space="0" w:color="000000"/>
            </w:tcBorders>
            <w:tcMar>
              <w:top w:w="0" w:type="dxa"/>
              <w:left w:w="0" w:type="dxa"/>
              <w:right w:w="0" w:type="dxa"/>
            </w:tcMar>
            <w:vAlign w:val="center"/>
          </w:tcPr>
          <w:p>
            <w:pPr>
              <w:pStyle w:val="TableContents"/>
              <w:bidi w:val="0"/>
              <w:spacing w:before="33" w:after="30"/>
              <w:ind w:left="0" w:right="0" w:hanging="0"/>
              <w:jc w:val="center"/>
              <w:rPr>
                <w:rFonts w:ascii="Times New Roman;serif" w:hAnsi="Times New Roman;serif"/>
                <w:b/>
                <w:sz w:val="18"/>
              </w:rPr>
            </w:pPr>
            <w:r>
              <w:rPr>
                <w:rFonts w:ascii="Times New Roman;serif" w:hAnsi="Times New Roman;serif"/>
                <w:b/>
                <w:sz w:val="18"/>
              </w:rPr>
              <w:t>Filing Date</w:t>
            </w:r>
          </w:p>
        </w:tc>
        <w:tc>
          <w:tcPr>
            <w:tcW w:w="1259" w:type="dxa"/>
            <w:tcBorders>
              <w:bottom w:val="single" w:sz="8" w:space="0" w:color="000000"/>
            </w:tcBorders>
            <w:tcMar>
              <w:top w:w="0" w:type="dxa"/>
              <w:left w:w="0" w:type="dxa"/>
              <w:right w:w="0" w:type="dxa"/>
            </w:tcMar>
            <w:vAlign w:val="center"/>
          </w:tcPr>
          <w:p>
            <w:pPr>
              <w:pStyle w:val="TableContents"/>
              <w:bidi w:val="0"/>
              <w:spacing w:before="33" w:after="30"/>
              <w:ind w:left="0" w:right="0" w:hanging="0"/>
              <w:jc w:val="center"/>
              <w:rPr>
                <w:rFonts w:ascii="Times New Roman;serif" w:hAnsi="Times New Roman;serif"/>
                <w:b/>
                <w:sz w:val="18"/>
              </w:rPr>
            </w:pPr>
            <w:r>
              <w:rPr>
                <w:rFonts w:ascii="Times New Roman;serif" w:hAnsi="Times New Roman;serif"/>
                <w:b/>
                <w:sz w:val="18"/>
              </w:rPr>
              <w:t>Filed or Furnished Herewith</w:t>
            </w:r>
          </w:p>
        </w:tc>
      </w:tr>
      <w:tr>
        <w:trPr/>
        <w:tc>
          <w:tcPr>
            <w:tcW w:w="904"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3.1</w:t>
            </w:r>
          </w:p>
        </w:tc>
        <w:tc>
          <w:tcPr>
            <w:tcW w:w="5387" w:type="dxa"/>
            <w:tcBorders/>
            <w:tcMar>
              <w:top w:w="0" w:type="dxa"/>
              <w:left w:w="0" w:type="dxa"/>
              <w:bottom w:w="0" w:type="dxa"/>
              <w:right w:w="0" w:type="dxa"/>
            </w:tcMar>
            <w:vAlign w:val="center"/>
          </w:tcPr>
          <w:p>
            <w:pPr>
              <w:pStyle w:val="TableContents"/>
              <w:bidi w:val="0"/>
              <w:spacing w:before="30" w:after="30"/>
              <w:ind w:left="0" w:right="0" w:hanging="0"/>
              <w:jc w:val="left"/>
              <w:rPr/>
            </w:pPr>
            <w:hyperlink r:id="rId2">
              <w:r>
                <w:rPr>
                  <w:rStyle w:val="InternetLink"/>
                  <w:rFonts w:ascii="Times New Roman;serif" w:hAnsi="Times New Roman;serif"/>
                  <w:b w:val="false"/>
                  <w:sz w:val="18"/>
                  <w:u w:val="single"/>
                </w:rPr>
                <w:t>Restated Certificate of Incorporation of the Registrant, as amended</w:t>
              </w:r>
            </w:hyperlink>
          </w:p>
        </w:tc>
        <w:tc>
          <w:tcPr>
            <w:tcW w:w="526"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10-Q</w:t>
            </w:r>
          </w:p>
        </w:tc>
        <w:tc>
          <w:tcPr>
            <w:tcW w:w="821" w:type="dxa"/>
            <w:tcBorders/>
            <w:tcMar>
              <w:top w:w="0" w:type="dxa"/>
              <w:left w:w="0" w:type="dxa"/>
              <w:bottom w:w="0" w:type="dxa"/>
              <w:right w:w="0" w:type="dxa"/>
            </w:tcMar>
            <w:vAlign w:val="center"/>
          </w:tcPr>
          <w:p>
            <w:pPr>
              <w:pStyle w:val="TableContents"/>
              <w:bidi w:val="0"/>
              <w:spacing w:before="30" w:after="30"/>
              <w:ind w:left="0" w:right="0" w:hanging="0"/>
              <w:jc w:val="right"/>
              <w:rPr>
                <w:rFonts w:ascii="Times New Roman;serif" w:hAnsi="Times New Roman;serif"/>
                <w:b w:val="false"/>
                <w:sz w:val="18"/>
              </w:rPr>
            </w:pPr>
            <w:r>
              <w:rPr>
                <w:rFonts w:ascii="Times New Roman;serif" w:hAnsi="Times New Roman;serif"/>
                <w:b w:val="false"/>
                <w:sz w:val="18"/>
              </w:rPr>
              <w:t>001-35890</w:t>
            </w:r>
          </w:p>
        </w:tc>
        <w:tc>
          <w:tcPr>
            <w:tcW w:w="676"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3.1</w:t>
            </w:r>
          </w:p>
        </w:tc>
        <w:tc>
          <w:tcPr>
            <w:tcW w:w="632" w:type="dxa"/>
            <w:tcBorders/>
            <w:tcMar>
              <w:top w:w="0" w:type="dxa"/>
              <w:left w:w="0" w:type="dxa"/>
              <w:bottom w:w="0" w:type="dxa"/>
              <w:right w:w="0" w:type="dxa"/>
            </w:tcMar>
            <w:vAlign w:val="center"/>
          </w:tcPr>
          <w:p>
            <w:pPr>
              <w:pStyle w:val="TableContents"/>
              <w:bidi w:val="0"/>
              <w:spacing w:before="30" w:after="30"/>
              <w:ind w:left="0" w:right="0" w:hanging="0"/>
              <w:jc w:val="right"/>
              <w:rPr>
                <w:rFonts w:ascii="Times New Roman;serif" w:hAnsi="Times New Roman;serif"/>
                <w:b w:val="false"/>
                <w:sz w:val="18"/>
              </w:rPr>
            </w:pPr>
            <w:r>
              <w:rPr>
                <w:rFonts w:ascii="Times New Roman;serif" w:hAnsi="Times New Roman;serif"/>
                <w:b w:val="false"/>
                <w:sz w:val="18"/>
              </w:rPr>
              <w:t>5/15/2019</w:t>
            </w:r>
          </w:p>
        </w:tc>
        <w:tc>
          <w:tcPr>
            <w:tcW w:w="1259"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3.2</w:t>
            </w:r>
          </w:p>
        </w:tc>
        <w:tc>
          <w:tcPr>
            <w:tcW w:w="5387" w:type="dxa"/>
            <w:tcBorders/>
            <w:tcMar>
              <w:top w:w="0" w:type="dxa"/>
              <w:left w:w="0" w:type="dxa"/>
              <w:bottom w:w="0" w:type="dxa"/>
              <w:right w:w="0" w:type="dxa"/>
            </w:tcMar>
            <w:vAlign w:val="center"/>
          </w:tcPr>
          <w:p>
            <w:pPr>
              <w:pStyle w:val="TableContents"/>
              <w:bidi w:val="0"/>
              <w:spacing w:before="30" w:after="30"/>
              <w:ind w:left="0" w:right="0" w:hanging="0"/>
              <w:jc w:val="left"/>
              <w:rPr/>
            </w:pPr>
            <w:hyperlink r:id="rId3">
              <w:r>
                <w:rPr>
                  <w:rStyle w:val="InternetLink"/>
                  <w:rFonts w:ascii="Times New Roman;serif" w:hAnsi="Times New Roman;serif"/>
                  <w:b w:val="false"/>
                  <w:sz w:val="18"/>
                  <w:u w:val="single"/>
                </w:rPr>
                <w:t>Certificate of Amendment to the Restated Certificate of Incorporation of the Company, as filed with the Secretary of State of the State of Delaware on June 24, 2021</w:t>
              </w:r>
            </w:hyperlink>
          </w:p>
        </w:tc>
        <w:tc>
          <w:tcPr>
            <w:tcW w:w="526"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8-K</w:t>
            </w:r>
          </w:p>
        </w:tc>
        <w:tc>
          <w:tcPr>
            <w:tcW w:w="821" w:type="dxa"/>
            <w:tcBorders/>
            <w:tcMar>
              <w:top w:w="0" w:type="dxa"/>
              <w:left w:w="0" w:type="dxa"/>
              <w:bottom w:w="0" w:type="dxa"/>
              <w:right w:w="0" w:type="dxa"/>
            </w:tcMar>
            <w:vAlign w:val="center"/>
          </w:tcPr>
          <w:p>
            <w:pPr>
              <w:pStyle w:val="TableContents"/>
              <w:bidi w:val="0"/>
              <w:spacing w:before="30" w:after="30"/>
              <w:ind w:left="0" w:right="0" w:hanging="0"/>
              <w:jc w:val="right"/>
              <w:rPr>
                <w:rFonts w:ascii="Times New Roman;serif" w:hAnsi="Times New Roman;serif"/>
                <w:b w:val="false"/>
                <w:sz w:val="18"/>
              </w:rPr>
            </w:pPr>
            <w:r>
              <w:rPr>
                <w:rFonts w:ascii="Times New Roman;serif" w:hAnsi="Times New Roman;serif"/>
                <w:b w:val="false"/>
                <w:sz w:val="18"/>
              </w:rPr>
              <w:t>001-35890</w:t>
            </w:r>
          </w:p>
        </w:tc>
        <w:tc>
          <w:tcPr>
            <w:tcW w:w="676"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3.1</w:t>
            </w:r>
          </w:p>
        </w:tc>
        <w:tc>
          <w:tcPr>
            <w:tcW w:w="632" w:type="dxa"/>
            <w:tcBorders/>
            <w:tcMar>
              <w:top w:w="0" w:type="dxa"/>
              <w:left w:w="0" w:type="dxa"/>
              <w:bottom w:w="0" w:type="dxa"/>
              <w:right w:w="0" w:type="dxa"/>
            </w:tcMar>
            <w:vAlign w:val="center"/>
          </w:tcPr>
          <w:p>
            <w:pPr>
              <w:pStyle w:val="TableContents"/>
              <w:bidi w:val="0"/>
              <w:spacing w:before="30" w:after="30"/>
              <w:ind w:left="0" w:right="0" w:hanging="0"/>
              <w:jc w:val="right"/>
              <w:rPr>
                <w:rFonts w:ascii="Times New Roman;serif" w:hAnsi="Times New Roman;serif"/>
                <w:b w:val="false"/>
                <w:sz w:val="18"/>
              </w:rPr>
            </w:pPr>
            <w:r>
              <w:rPr>
                <w:rFonts w:ascii="Times New Roman;serif" w:hAnsi="Times New Roman;serif"/>
                <w:b w:val="false"/>
                <w:sz w:val="18"/>
              </w:rPr>
              <w:t>6/28/2021</w:t>
            </w:r>
          </w:p>
        </w:tc>
        <w:tc>
          <w:tcPr>
            <w:tcW w:w="1259"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3.3</w:t>
            </w:r>
          </w:p>
        </w:tc>
        <w:tc>
          <w:tcPr>
            <w:tcW w:w="5387" w:type="dxa"/>
            <w:tcBorders/>
            <w:tcMar>
              <w:top w:w="0" w:type="dxa"/>
              <w:left w:w="0" w:type="dxa"/>
              <w:bottom w:w="0" w:type="dxa"/>
              <w:right w:w="0" w:type="dxa"/>
            </w:tcMar>
            <w:vAlign w:val="center"/>
          </w:tcPr>
          <w:p>
            <w:pPr>
              <w:pStyle w:val="TableContents"/>
              <w:bidi w:val="0"/>
              <w:spacing w:before="30" w:after="30"/>
              <w:ind w:left="0" w:right="0" w:hanging="0"/>
              <w:jc w:val="left"/>
              <w:rPr/>
            </w:pPr>
            <w:hyperlink r:id="rId4">
              <w:r>
                <w:rPr>
                  <w:rStyle w:val="InternetLink"/>
                  <w:rFonts w:ascii="Times New Roman;serif" w:hAnsi="Times New Roman;serif"/>
                  <w:b w:val="false"/>
                  <w:sz w:val="18"/>
                  <w:u w:val="single"/>
                </w:rPr>
                <w:t>Certificate of Amendment to the Restated Certificate of Incorporation of the Company, as filed with the Secretary of State of the State of Delaware on June 25, 2021</w:t>
              </w:r>
            </w:hyperlink>
          </w:p>
        </w:tc>
        <w:tc>
          <w:tcPr>
            <w:tcW w:w="526"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8-K</w:t>
            </w:r>
          </w:p>
        </w:tc>
        <w:tc>
          <w:tcPr>
            <w:tcW w:w="821" w:type="dxa"/>
            <w:tcBorders/>
            <w:tcMar>
              <w:top w:w="0" w:type="dxa"/>
              <w:left w:w="0" w:type="dxa"/>
              <w:bottom w:w="0" w:type="dxa"/>
              <w:right w:w="0" w:type="dxa"/>
            </w:tcMar>
            <w:vAlign w:val="center"/>
          </w:tcPr>
          <w:p>
            <w:pPr>
              <w:pStyle w:val="TableContents"/>
              <w:bidi w:val="0"/>
              <w:spacing w:before="30" w:after="30"/>
              <w:ind w:left="0" w:right="0" w:hanging="0"/>
              <w:jc w:val="right"/>
              <w:rPr>
                <w:rFonts w:ascii="Times New Roman;serif" w:hAnsi="Times New Roman;serif"/>
                <w:b w:val="false"/>
                <w:sz w:val="18"/>
              </w:rPr>
            </w:pPr>
            <w:r>
              <w:rPr>
                <w:rFonts w:ascii="Times New Roman;serif" w:hAnsi="Times New Roman;serif"/>
                <w:b w:val="false"/>
                <w:sz w:val="18"/>
              </w:rPr>
              <w:t>001-35890</w:t>
            </w:r>
          </w:p>
        </w:tc>
        <w:tc>
          <w:tcPr>
            <w:tcW w:w="676"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3.2</w:t>
            </w:r>
          </w:p>
        </w:tc>
        <w:tc>
          <w:tcPr>
            <w:tcW w:w="632" w:type="dxa"/>
            <w:tcBorders/>
            <w:tcMar>
              <w:top w:w="0" w:type="dxa"/>
              <w:left w:w="0" w:type="dxa"/>
              <w:bottom w:w="0" w:type="dxa"/>
              <w:right w:w="0" w:type="dxa"/>
            </w:tcMar>
            <w:vAlign w:val="center"/>
          </w:tcPr>
          <w:p>
            <w:pPr>
              <w:pStyle w:val="TableContents"/>
              <w:bidi w:val="0"/>
              <w:spacing w:before="30" w:after="30"/>
              <w:ind w:left="0" w:right="0" w:hanging="0"/>
              <w:jc w:val="right"/>
              <w:rPr>
                <w:rFonts w:ascii="Times New Roman;serif" w:hAnsi="Times New Roman;serif"/>
                <w:b w:val="false"/>
                <w:sz w:val="18"/>
              </w:rPr>
            </w:pPr>
            <w:r>
              <w:rPr>
                <w:rFonts w:ascii="Times New Roman;serif" w:hAnsi="Times New Roman;serif"/>
                <w:b w:val="false"/>
                <w:sz w:val="18"/>
              </w:rPr>
              <w:t>6/28/2021</w:t>
            </w:r>
          </w:p>
        </w:tc>
        <w:tc>
          <w:tcPr>
            <w:tcW w:w="1259"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3.4</w:t>
            </w:r>
          </w:p>
        </w:tc>
        <w:tc>
          <w:tcPr>
            <w:tcW w:w="5387" w:type="dxa"/>
            <w:tcBorders/>
            <w:tcMar>
              <w:top w:w="0" w:type="dxa"/>
              <w:left w:w="0" w:type="dxa"/>
              <w:bottom w:w="0" w:type="dxa"/>
              <w:right w:w="0" w:type="dxa"/>
            </w:tcMar>
            <w:vAlign w:val="center"/>
          </w:tcPr>
          <w:p>
            <w:pPr>
              <w:pStyle w:val="TableContents"/>
              <w:bidi w:val="0"/>
              <w:spacing w:before="30" w:after="30"/>
              <w:ind w:left="0" w:right="0" w:hanging="0"/>
              <w:jc w:val="left"/>
              <w:rPr/>
            </w:pPr>
            <w:hyperlink r:id="rId5">
              <w:r>
                <w:rPr>
                  <w:rStyle w:val="InternetLink"/>
                  <w:rFonts w:ascii="Times New Roman;serif" w:hAnsi="Times New Roman;serif"/>
                  <w:b w:val="false"/>
                  <w:sz w:val="18"/>
                  <w:u w:val="single"/>
                </w:rPr>
                <w:t>Amended and Restated Bylaws of the Registrant</w:t>
              </w:r>
            </w:hyperlink>
          </w:p>
        </w:tc>
        <w:tc>
          <w:tcPr>
            <w:tcW w:w="526"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8-K</w:t>
            </w:r>
          </w:p>
        </w:tc>
        <w:tc>
          <w:tcPr>
            <w:tcW w:w="821" w:type="dxa"/>
            <w:tcBorders/>
            <w:tcMar>
              <w:top w:w="0" w:type="dxa"/>
              <w:left w:w="0" w:type="dxa"/>
              <w:bottom w:w="0" w:type="dxa"/>
              <w:right w:w="0" w:type="dxa"/>
            </w:tcMar>
            <w:vAlign w:val="center"/>
          </w:tcPr>
          <w:p>
            <w:pPr>
              <w:pStyle w:val="TableContents"/>
              <w:bidi w:val="0"/>
              <w:spacing w:before="30" w:after="30"/>
              <w:ind w:left="0" w:right="0" w:hanging="0"/>
              <w:jc w:val="right"/>
              <w:rPr>
                <w:rFonts w:ascii="Times New Roman;serif" w:hAnsi="Times New Roman;serif"/>
                <w:b w:val="false"/>
                <w:sz w:val="18"/>
              </w:rPr>
            </w:pPr>
            <w:r>
              <w:rPr>
                <w:rFonts w:ascii="Times New Roman;serif" w:hAnsi="Times New Roman;serif"/>
                <w:b w:val="false"/>
                <w:sz w:val="18"/>
              </w:rPr>
              <w:t>001-35890</w:t>
            </w:r>
          </w:p>
        </w:tc>
        <w:tc>
          <w:tcPr>
            <w:tcW w:w="676"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3.1</w:t>
            </w:r>
          </w:p>
        </w:tc>
        <w:tc>
          <w:tcPr>
            <w:tcW w:w="632" w:type="dxa"/>
            <w:tcBorders/>
            <w:tcMar>
              <w:top w:w="0" w:type="dxa"/>
              <w:left w:w="0" w:type="dxa"/>
              <w:bottom w:w="0" w:type="dxa"/>
              <w:right w:w="0" w:type="dxa"/>
            </w:tcMar>
            <w:vAlign w:val="center"/>
          </w:tcPr>
          <w:p>
            <w:pPr>
              <w:pStyle w:val="TableContents"/>
              <w:bidi w:val="0"/>
              <w:spacing w:before="30" w:after="30"/>
              <w:ind w:left="0" w:right="0" w:hanging="0"/>
              <w:jc w:val="right"/>
              <w:rPr>
                <w:rFonts w:ascii="Times New Roman;serif" w:hAnsi="Times New Roman;serif"/>
                <w:b w:val="false"/>
                <w:sz w:val="18"/>
              </w:rPr>
            </w:pPr>
            <w:r>
              <w:rPr>
                <w:rFonts w:ascii="Times New Roman;serif" w:hAnsi="Times New Roman;serif"/>
                <w:b w:val="false"/>
                <w:sz w:val="18"/>
              </w:rPr>
              <w:t>9/24/2021</w:t>
            </w:r>
          </w:p>
        </w:tc>
        <w:tc>
          <w:tcPr>
            <w:tcW w:w="1259"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31.1</w:t>
            </w:r>
          </w:p>
        </w:tc>
        <w:tc>
          <w:tcPr>
            <w:tcW w:w="5387" w:type="dxa"/>
            <w:tcBorders/>
            <w:tcMar>
              <w:top w:w="0" w:type="dxa"/>
              <w:left w:w="0" w:type="dxa"/>
              <w:bottom w:w="0" w:type="dxa"/>
              <w:right w:w="0" w:type="dxa"/>
            </w:tcMar>
            <w:vAlign w:val="center"/>
          </w:tcPr>
          <w:p>
            <w:pPr>
              <w:pStyle w:val="TableContents"/>
              <w:bidi w:val="0"/>
              <w:spacing w:before="30" w:after="30"/>
              <w:ind w:left="0" w:right="0" w:hanging="0"/>
              <w:jc w:val="left"/>
              <w:rPr/>
            </w:pPr>
            <w:hyperlink w:anchor="tpst-ex31_1.htm">
              <w:r>
                <w:rPr>
                  <w:rStyle w:val="InternetLink"/>
                  <w:rFonts w:ascii="Times New Roman;serif" w:hAnsi="Times New Roman;serif"/>
                  <w:b w:val="false"/>
                  <w:sz w:val="18"/>
                  <w:u w:val="single"/>
                </w:rPr>
                <w:t>Certification of Principal Executive Officer pursuant to Rules 13a-14(a) and 15d-14(a) promulgated under the Securities Exchange Act of 1934, as adopted pursuant to Section 302 of the Sarbanes-Oxley Act of 2002</w:t>
              </w:r>
            </w:hyperlink>
          </w:p>
        </w:tc>
        <w:tc>
          <w:tcPr>
            <w:tcW w:w="52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821"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67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632"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1259"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X</w:t>
            </w:r>
          </w:p>
        </w:tc>
      </w:tr>
      <w:tr>
        <w:trPr/>
        <w:tc>
          <w:tcPr>
            <w:tcW w:w="904"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31.2</w:t>
            </w:r>
          </w:p>
        </w:tc>
        <w:tc>
          <w:tcPr>
            <w:tcW w:w="5387" w:type="dxa"/>
            <w:tcBorders/>
            <w:tcMar>
              <w:top w:w="0" w:type="dxa"/>
              <w:left w:w="0" w:type="dxa"/>
              <w:bottom w:w="0" w:type="dxa"/>
              <w:right w:w="0" w:type="dxa"/>
            </w:tcMar>
            <w:vAlign w:val="center"/>
          </w:tcPr>
          <w:p>
            <w:pPr>
              <w:pStyle w:val="TableContents"/>
              <w:bidi w:val="0"/>
              <w:spacing w:before="30" w:after="30"/>
              <w:ind w:left="0" w:right="0" w:hanging="0"/>
              <w:jc w:val="left"/>
              <w:rPr/>
            </w:pPr>
            <w:hyperlink w:anchor="tpst-ex31_2.htm">
              <w:r>
                <w:rPr>
                  <w:rStyle w:val="InternetLink"/>
                  <w:rFonts w:ascii="Times New Roman;serif" w:hAnsi="Times New Roman;serif"/>
                  <w:b w:val="false"/>
                  <w:sz w:val="18"/>
                  <w:u w:val="single"/>
                </w:rPr>
                <w:t>Certification of Principal Financial Officer pursuant to Rules 13a-14(a) and 15d-14(a) promulgated under the Securities Exchange Act of 1934, as adopted pursuant to section 302 of the Sarbanes-Oxley Act of 2002</w:t>
              </w:r>
            </w:hyperlink>
          </w:p>
        </w:tc>
        <w:tc>
          <w:tcPr>
            <w:tcW w:w="52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821"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67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632"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1259"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X</w:t>
            </w:r>
          </w:p>
        </w:tc>
      </w:tr>
      <w:tr>
        <w:trPr/>
        <w:tc>
          <w:tcPr>
            <w:tcW w:w="904"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 w:hAnsi="Times New Roman"/>
                <w:sz w:val="18"/>
              </w:rPr>
            </w:pPr>
            <w:r>
              <w:rPr>
                <w:rFonts w:ascii="Times New Roman;serif" w:hAnsi="Times New Roman;serif"/>
                <w:b w:val="false"/>
                <w:sz w:val="18"/>
              </w:rPr>
              <w:t>32.1</w:t>
            </w:r>
            <w:r>
              <w:rPr>
                <w:rFonts w:ascii="Times New Roman;serif" w:hAnsi="Times New Roman;serif"/>
                <w:b w:val="false"/>
                <w:sz w:val="12"/>
              </w:rPr>
              <w:t>^</w:t>
            </w:r>
          </w:p>
        </w:tc>
        <w:tc>
          <w:tcPr>
            <w:tcW w:w="5387" w:type="dxa"/>
            <w:tcBorders/>
            <w:tcMar>
              <w:top w:w="0" w:type="dxa"/>
              <w:left w:w="0" w:type="dxa"/>
              <w:bottom w:w="0" w:type="dxa"/>
              <w:right w:w="0" w:type="dxa"/>
            </w:tcMar>
            <w:vAlign w:val="center"/>
          </w:tcPr>
          <w:p>
            <w:pPr>
              <w:pStyle w:val="TableContents"/>
              <w:bidi w:val="0"/>
              <w:spacing w:before="30" w:after="30"/>
              <w:ind w:left="0" w:right="0" w:hanging="0"/>
              <w:jc w:val="left"/>
              <w:rPr/>
            </w:pPr>
            <w:hyperlink w:anchor="tpst-ex32_1.htm">
              <w:r>
                <w:rPr>
                  <w:rStyle w:val="InternetLink"/>
                  <w:rFonts w:ascii="Times New Roman;serif" w:hAnsi="Times New Roman;serif"/>
                  <w:b w:val="false"/>
                  <w:sz w:val="18"/>
                  <w:u w:val="single"/>
                </w:rPr>
                <w:t>Certification of Principal Executive Officer and Principal Financial Officer pursuant to Rules 13a-14(b) and 15d-14(b) promulgated under the Securities Exchange Act of 1934 and 18 U.S.C. Section 1350, as adopted pursuant to section 906 of The Sarbanes-Oxley Act of 2002</w:t>
              </w:r>
            </w:hyperlink>
          </w:p>
        </w:tc>
        <w:tc>
          <w:tcPr>
            <w:tcW w:w="52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821"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67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632"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1259"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X</w:t>
            </w:r>
          </w:p>
        </w:tc>
      </w:tr>
      <w:tr>
        <w:trPr/>
        <w:tc>
          <w:tcPr>
            <w:tcW w:w="904"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101.INS</w:t>
            </w:r>
          </w:p>
        </w:tc>
        <w:tc>
          <w:tcPr>
            <w:tcW w:w="5387" w:type="dxa"/>
            <w:tcBorders/>
            <w:tcMar>
              <w:top w:w="0" w:type="dxa"/>
              <w:left w:w="0" w:type="dxa"/>
              <w:bottom w:w="0" w:type="dxa"/>
              <w:right w:w="0" w:type="dxa"/>
            </w:tcMar>
            <w:vAlign w:val="center"/>
          </w:tcPr>
          <w:p>
            <w:pPr>
              <w:pStyle w:val="TableContents"/>
              <w:bidi w:val="0"/>
              <w:spacing w:before="30" w:after="30"/>
              <w:ind w:left="0" w:right="0" w:hanging="0"/>
              <w:jc w:val="left"/>
              <w:rPr>
                <w:rFonts w:ascii="Times New Roman;serif" w:hAnsi="Times New Roman;serif"/>
                <w:b w:val="false"/>
                <w:sz w:val="18"/>
              </w:rPr>
            </w:pPr>
            <w:r>
              <w:rPr>
                <w:rFonts w:ascii="Times New Roman;serif" w:hAnsi="Times New Roman;serif"/>
                <w:b w:val="false"/>
                <w:sz w:val="18"/>
              </w:rPr>
              <w:t>Inline XBRL Instance Document</w:t>
            </w:r>
          </w:p>
        </w:tc>
        <w:tc>
          <w:tcPr>
            <w:tcW w:w="52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821"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67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632"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1259"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X</w:t>
            </w:r>
          </w:p>
        </w:tc>
      </w:tr>
      <w:tr>
        <w:trPr/>
        <w:tc>
          <w:tcPr>
            <w:tcW w:w="904"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101.SCH</w:t>
            </w:r>
          </w:p>
        </w:tc>
        <w:tc>
          <w:tcPr>
            <w:tcW w:w="5387" w:type="dxa"/>
            <w:tcBorders/>
            <w:tcMar>
              <w:top w:w="0" w:type="dxa"/>
              <w:left w:w="0" w:type="dxa"/>
              <w:bottom w:w="0" w:type="dxa"/>
              <w:right w:w="0" w:type="dxa"/>
            </w:tcMar>
            <w:vAlign w:val="center"/>
          </w:tcPr>
          <w:p>
            <w:pPr>
              <w:pStyle w:val="TableContents"/>
              <w:bidi w:val="0"/>
              <w:spacing w:before="30" w:after="30"/>
              <w:ind w:left="0" w:right="0" w:hanging="0"/>
              <w:jc w:val="left"/>
              <w:rPr>
                <w:rFonts w:ascii="Times New Roman;serif" w:hAnsi="Times New Roman;serif"/>
                <w:b w:val="false"/>
                <w:sz w:val="18"/>
              </w:rPr>
            </w:pPr>
            <w:r>
              <w:rPr>
                <w:rFonts w:ascii="Times New Roman;serif" w:hAnsi="Times New Roman;serif"/>
                <w:b w:val="false"/>
                <w:sz w:val="18"/>
              </w:rPr>
              <w:t>Inline XBRL Taxonomy Extension Schema Document</w:t>
            </w:r>
          </w:p>
        </w:tc>
        <w:tc>
          <w:tcPr>
            <w:tcW w:w="52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821"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67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632"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1259"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X</w:t>
            </w:r>
          </w:p>
        </w:tc>
      </w:tr>
      <w:tr>
        <w:trPr/>
        <w:tc>
          <w:tcPr>
            <w:tcW w:w="904"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101.CAL</w:t>
            </w:r>
          </w:p>
        </w:tc>
        <w:tc>
          <w:tcPr>
            <w:tcW w:w="5387" w:type="dxa"/>
            <w:tcBorders/>
            <w:tcMar>
              <w:top w:w="0" w:type="dxa"/>
              <w:left w:w="0" w:type="dxa"/>
              <w:bottom w:w="0" w:type="dxa"/>
              <w:right w:w="0" w:type="dxa"/>
            </w:tcMar>
            <w:vAlign w:val="center"/>
          </w:tcPr>
          <w:p>
            <w:pPr>
              <w:pStyle w:val="TableContents"/>
              <w:bidi w:val="0"/>
              <w:spacing w:before="30" w:after="30"/>
              <w:ind w:left="0" w:right="0" w:hanging="0"/>
              <w:jc w:val="left"/>
              <w:rPr>
                <w:rFonts w:ascii="Times New Roman;serif" w:hAnsi="Times New Roman;serif"/>
                <w:b w:val="false"/>
                <w:sz w:val="18"/>
              </w:rPr>
            </w:pPr>
            <w:r>
              <w:rPr>
                <w:rFonts w:ascii="Times New Roman;serif" w:hAnsi="Times New Roman;serif"/>
                <w:b w:val="false"/>
                <w:sz w:val="18"/>
              </w:rPr>
              <w:t>Inline XBRL Taxonomy Extension Calculation Linkbase Document</w:t>
            </w:r>
          </w:p>
        </w:tc>
        <w:tc>
          <w:tcPr>
            <w:tcW w:w="52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821"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67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632"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1259"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X</w:t>
            </w:r>
          </w:p>
        </w:tc>
      </w:tr>
      <w:tr>
        <w:trPr/>
        <w:tc>
          <w:tcPr>
            <w:tcW w:w="904"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101.DEF</w:t>
            </w:r>
          </w:p>
        </w:tc>
        <w:tc>
          <w:tcPr>
            <w:tcW w:w="5387" w:type="dxa"/>
            <w:tcBorders/>
            <w:tcMar>
              <w:top w:w="0" w:type="dxa"/>
              <w:left w:w="0" w:type="dxa"/>
              <w:bottom w:w="0" w:type="dxa"/>
              <w:right w:w="0" w:type="dxa"/>
            </w:tcMar>
            <w:vAlign w:val="center"/>
          </w:tcPr>
          <w:p>
            <w:pPr>
              <w:pStyle w:val="TableContents"/>
              <w:bidi w:val="0"/>
              <w:spacing w:before="30" w:after="30"/>
              <w:ind w:left="0" w:right="0" w:hanging="0"/>
              <w:jc w:val="left"/>
              <w:rPr>
                <w:rFonts w:ascii="Times New Roman;serif" w:hAnsi="Times New Roman;serif"/>
                <w:b w:val="false"/>
                <w:sz w:val="18"/>
              </w:rPr>
            </w:pPr>
            <w:r>
              <w:rPr>
                <w:rFonts w:ascii="Times New Roman;serif" w:hAnsi="Times New Roman;serif"/>
                <w:b w:val="false"/>
                <w:sz w:val="18"/>
              </w:rPr>
              <w:t>Inline XBRL Taxonomy Extension Definition Linkbase Document</w:t>
            </w:r>
          </w:p>
        </w:tc>
        <w:tc>
          <w:tcPr>
            <w:tcW w:w="52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821"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67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632"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1259"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X</w:t>
            </w:r>
          </w:p>
        </w:tc>
      </w:tr>
      <w:tr>
        <w:trPr/>
        <w:tc>
          <w:tcPr>
            <w:tcW w:w="904"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101.LAB</w:t>
            </w:r>
          </w:p>
        </w:tc>
        <w:tc>
          <w:tcPr>
            <w:tcW w:w="5387" w:type="dxa"/>
            <w:tcBorders/>
            <w:tcMar>
              <w:top w:w="0" w:type="dxa"/>
              <w:left w:w="0" w:type="dxa"/>
              <w:bottom w:w="0" w:type="dxa"/>
              <w:right w:w="0" w:type="dxa"/>
            </w:tcMar>
            <w:vAlign w:val="center"/>
          </w:tcPr>
          <w:p>
            <w:pPr>
              <w:pStyle w:val="TableContents"/>
              <w:bidi w:val="0"/>
              <w:spacing w:before="30" w:after="30"/>
              <w:ind w:left="0" w:right="0" w:hanging="0"/>
              <w:jc w:val="left"/>
              <w:rPr>
                <w:rFonts w:ascii="Times New Roman;serif" w:hAnsi="Times New Roman;serif"/>
                <w:b w:val="false"/>
                <w:sz w:val="18"/>
              </w:rPr>
            </w:pPr>
            <w:r>
              <w:rPr>
                <w:rFonts w:ascii="Times New Roman;serif" w:hAnsi="Times New Roman;serif"/>
                <w:b w:val="false"/>
                <w:sz w:val="18"/>
              </w:rPr>
              <w:t>Inline XBRL Taxonomy Extension Label Linkbase Document</w:t>
            </w:r>
          </w:p>
        </w:tc>
        <w:tc>
          <w:tcPr>
            <w:tcW w:w="52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821"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67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632"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1259"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X</w:t>
            </w:r>
          </w:p>
        </w:tc>
      </w:tr>
      <w:tr>
        <w:trPr/>
        <w:tc>
          <w:tcPr>
            <w:tcW w:w="904"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101.PRE</w:t>
            </w:r>
          </w:p>
        </w:tc>
        <w:tc>
          <w:tcPr>
            <w:tcW w:w="5387" w:type="dxa"/>
            <w:tcBorders/>
            <w:tcMar>
              <w:top w:w="0" w:type="dxa"/>
              <w:left w:w="0" w:type="dxa"/>
              <w:bottom w:w="0" w:type="dxa"/>
              <w:right w:w="0" w:type="dxa"/>
            </w:tcMar>
            <w:vAlign w:val="center"/>
          </w:tcPr>
          <w:p>
            <w:pPr>
              <w:pStyle w:val="TableContents"/>
              <w:bidi w:val="0"/>
              <w:spacing w:before="30" w:after="30"/>
              <w:ind w:left="0" w:right="0" w:hanging="0"/>
              <w:jc w:val="left"/>
              <w:rPr>
                <w:rFonts w:ascii="Times New Roman;serif" w:hAnsi="Times New Roman;serif"/>
                <w:b w:val="false"/>
                <w:sz w:val="18"/>
              </w:rPr>
            </w:pPr>
            <w:r>
              <w:rPr>
                <w:rFonts w:ascii="Times New Roman;serif" w:hAnsi="Times New Roman;serif"/>
                <w:b w:val="false"/>
                <w:sz w:val="18"/>
              </w:rPr>
              <w:t>Inline XBRL Taxonomy Extension Presentation Linkbase Document</w:t>
            </w:r>
          </w:p>
        </w:tc>
        <w:tc>
          <w:tcPr>
            <w:tcW w:w="52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821"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67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632"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1259"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X</w:t>
            </w:r>
          </w:p>
        </w:tc>
      </w:tr>
      <w:tr>
        <w:trPr/>
        <w:tc>
          <w:tcPr>
            <w:tcW w:w="904" w:type="dxa"/>
            <w:tcBorders/>
            <w:tcMar>
              <w:top w:w="0" w:type="dxa"/>
              <w:left w:w="0" w:type="dxa"/>
              <w:bottom w:w="0" w:type="dxa"/>
              <w:right w:w="0" w:type="dxa"/>
            </w:tcMar>
            <w:vAlign w:val="center"/>
          </w:tcPr>
          <w:p>
            <w:pPr>
              <w:pStyle w:val="TableContents"/>
              <w:bidi w:val="0"/>
              <w:spacing w:before="30" w:after="30"/>
              <w:ind w:left="0" w:right="0" w:hanging="0"/>
              <w:jc w:val="center"/>
              <w:rPr>
                <w:rFonts w:ascii="Times New Roman;serif" w:hAnsi="Times New Roman;serif"/>
                <w:b w:val="false"/>
                <w:sz w:val="18"/>
              </w:rPr>
            </w:pPr>
            <w:r>
              <w:rPr>
                <w:rFonts w:ascii="Times New Roman;serif" w:hAnsi="Times New Roman;serif"/>
                <w:b w:val="false"/>
                <w:sz w:val="18"/>
              </w:rPr>
              <w:t>104</w:t>
            </w:r>
          </w:p>
        </w:tc>
        <w:tc>
          <w:tcPr>
            <w:tcW w:w="5387" w:type="dxa"/>
            <w:tcBorders/>
            <w:tcMar>
              <w:top w:w="0" w:type="dxa"/>
              <w:left w:w="0" w:type="dxa"/>
              <w:bottom w:w="0" w:type="dxa"/>
              <w:right w:w="0" w:type="dxa"/>
            </w:tcMar>
            <w:vAlign w:val="center"/>
          </w:tcPr>
          <w:p>
            <w:pPr>
              <w:pStyle w:val="TableContents"/>
              <w:bidi w:val="0"/>
              <w:spacing w:before="30" w:after="30"/>
              <w:ind w:left="0" w:right="0" w:hanging="0"/>
              <w:jc w:val="left"/>
              <w:rPr>
                <w:rFonts w:ascii="Times New Roman;serif" w:hAnsi="Times New Roman;serif"/>
                <w:b w:val="false"/>
                <w:sz w:val="18"/>
              </w:rPr>
            </w:pPr>
            <w:r>
              <w:rPr>
                <w:rFonts w:ascii="Times New Roman;serif" w:hAnsi="Times New Roman;serif"/>
                <w:b w:val="false"/>
                <w:sz w:val="18"/>
              </w:rPr>
              <w:t>The cover page from the Company’s Quarterly Report on Form 10-Q for the quarter ended March 31, 2023, has been formatted in Inline XBRL.</w:t>
            </w:r>
          </w:p>
        </w:tc>
        <w:tc>
          <w:tcPr>
            <w:tcW w:w="52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821"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676"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632"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c>
          <w:tcPr>
            <w:tcW w:w="1259" w:type="dxa"/>
            <w:tcBorders/>
            <w:tcMar>
              <w:top w:w="0" w:type="dxa"/>
              <w:left w:w="0" w:type="dxa"/>
              <w:bottom w:w="0" w:type="dxa"/>
              <w:right w:w="0" w:type="dxa"/>
            </w:tcMar>
            <w:vAlign w:val="center"/>
          </w:tcPr>
          <w:p>
            <w:pPr>
              <w:pStyle w:val="TableContents"/>
              <w:bidi w:val="0"/>
              <w:spacing w:before="30" w:after="30"/>
              <w:ind w:left="0" w:right="0" w:hanging="0"/>
              <w:jc w:val="left"/>
              <w:rPr/>
            </w:pPr>
            <w:r>
              <w:rPr/>
              <w:t> </w:t>
            </w:r>
          </w:p>
        </w:tc>
      </w:tr>
    </w:tbl>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 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serif" w:hAnsi="Times New Roman;serif"/>
            <w:sz w:val="20"/>
          </w:rPr>
          <w:t>Table of Contents</w:t>
        </w:r>
      </w:hyperlink>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34" w:name="signatures"/>
      <w:bookmarkEnd w:id="34"/>
      <w:r>
        <w:rPr>
          <w:rFonts w:ascii="Times New Roman;serif" w:hAnsi="Times New Roman;serif"/>
          <w:b/>
          <w:sz w:val="20"/>
        </w:rPr>
        <w:t>SIGNATURES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t> </w:t>
      </w:r>
    </w:p>
    <w:tbl>
      <w:tblPr>
        <w:tblW w:w="4455" w:type="dxa"/>
        <w:jc w:val="left"/>
        <w:tblInd w:w="0" w:type="dxa"/>
        <w:tblLayout w:type="fixed"/>
        <w:tblCellMar>
          <w:top w:w="28" w:type="dxa"/>
          <w:left w:w="28" w:type="dxa"/>
          <w:bottom w:w="28" w:type="dxa"/>
          <w:right w:w="28" w:type="dxa"/>
        </w:tblCellMar>
      </w:tblPr>
      <w:tblGrid>
        <w:gridCol w:w="786"/>
        <w:gridCol w:w="273"/>
        <w:gridCol w:w="3396"/>
      </w:tblGrid>
      <w:tr>
        <w:trPr/>
        <w:tc>
          <w:tcPr>
            <w:tcW w:w="78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396"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TEMPEST THERAPEUTICS, INC.</w:t>
            </w:r>
          </w:p>
        </w:tc>
      </w:tr>
      <w:tr>
        <w:trPr/>
        <w:tc>
          <w:tcPr>
            <w:tcW w:w="78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3396" w:type="dxa"/>
            <w:tcBorders/>
            <w:vAlign w:val="center"/>
          </w:tcPr>
          <w:p>
            <w:pPr>
              <w:pStyle w:val="TableContents"/>
              <w:bidi w:val="0"/>
              <w:spacing w:before="0" w:after="0"/>
              <w:ind w:left="0" w:right="0" w:hanging="0"/>
              <w:jc w:val="left"/>
              <w:rPr/>
            </w:pPr>
            <w:r>
              <w:rPr/>
              <w:t> </w:t>
            </w:r>
          </w:p>
        </w:tc>
      </w:tr>
      <w:tr>
        <w:trPr/>
        <w:tc>
          <w:tcPr>
            <w:tcW w:w="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73" w:type="dxa"/>
            <w:tcBorders/>
            <w:vAlign w:val="center"/>
          </w:tcPr>
          <w:p>
            <w:pPr>
              <w:pStyle w:val="TableContents"/>
              <w:bidi w:val="0"/>
              <w:spacing w:before="0" w:after="0"/>
              <w:ind w:left="0" w:right="0" w:hanging="0"/>
              <w:jc w:val="left"/>
              <w:rPr/>
            </w:pPr>
            <w:r>
              <w:rPr/>
              <w:t> </w:t>
            </w:r>
          </w:p>
        </w:tc>
        <w:tc>
          <w:tcPr>
            <w:tcW w:w="3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Stephen Brady</w:t>
            </w:r>
          </w:p>
        </w:tc>
      </w:tr>
      <w:tr>
        <w:trPr/>
        <w:tc>
          <w:tcPr>
            <w:tcW w:w="4455" w:type="dxa"/>
            <w:gridSpan w:val="3"/>
            <w:tcBorders/>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Stephen Brady</w:t>
            </w:r>
          </w:p>
        </w:tc>
      </w:tr>
      <w:tr>
        <w:trPr/>
        <w:tc>
          <w:tcPr>
            <w:tcW w:w="4455" w:type="dxa"/>
            <w:gridSpan w:val="3"/>
            <w:tcBorders/>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Chief Executive Officer (Principal Executive Officer)</w:t>
            </w:r>
          </w:p>
        </w:tc>
      </w:tr>
      <w:tr>
        <w:trPr/>
        <w:tc>
          <w:tcPr>
            <w:tcW w:w="4455" w:type="dxa"/>
            <w:gridSpan w:val="3"/>
            <w:tcBorders/>
            <w:vAlign w:val="center"/>
          </w:tcPr>
          <w:p>
            <w:pPr>
              <w:pStyle w:val="TableContents"/>
              <w:bidi w:val="0"/>
              <w:spacing w:before="0" w:after="0"/>
              <w:ind w:left="0" w:right="0" w:hanging="0"/>
              <w:jc w:val="left"/>
              <w:rPr/>
            </w:pPr>
            <w:r>
              <w:rPr/>
              <w:t> </w:t>
            </w:r>
          </w:p>
        </w:tc>
      </w:tr>
      <w:tr>
        <w:trPr/>
        <w:tc>
          <w:tcPr>
            <w:tcW w:w="4455" w:type="dxa"/>
            <w:gridSpan w:val="3"/>
            <w:tcBorders/>
            <w:vAlign w:val="center"/>
          </w:tcPr>
          <w:p>
            <w:pPr>
              <w:pStyle w:val="TableContents"/>
              <w:bidi w:val="0"/>
              <w:spacing w:before="0" w:after="0"/>
              <w:ind w:left="0" w:right="0" w:hanging="0"/>
              <w:jc w:val="left"/>
              <w:rPr/>
            </w:pPr>
            <w:r>
              <w:rPr/>
              <w:t> </w:t>
            </w:r>
          </w:p>
        </w:tc>
      </w:tr>
      <w:tr>
        <w:trPr/>
        <w:tc>
          <w:tcPr>
            <w:tcW w:w="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73" w:type="dxa"/>
            <w:tcBorders/>
            <w:vAlign w:val="center"/>
          </w:tcPr>
          <w:p>
            <w:pPr>
              <w:pStyle w:val="TableContents"/>
              <w:bidi w:val="0"/>
              <w:spacing w:before="0" w:after="0"/>
              <w:ind w:left="0" w:right="0" w:hanging="0"/>
              <w:jc w:val="left"/>
              <w:rPr/>
            </w:pPr>
            <w:r>
              <w:rPr/>
              <w:t> </w:t>
            </w:r>
          </w:p>
        </w:tc>
        <w:tc>
          <w:tcPr>
            <w:tcW w:w="3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Nicholas Maestas</w:t>
            </w:r>
          </w:p>
        </w:tc>
      </w:tr>
      <w:tr>
        <w:trPr/>
        <w:tc>
          <w:tcPr>
            <w:tcW w:w="4455" w:type="dxa"/>
            <w:gridSpan w:val="3"/>
            <w:tcBorders/>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Nicholas Maestas</w:t>
            </w:r>
          </w:p>
        </w:tc>
      </w:tr>
      <w:tr>
        <w:trPr/>
        <w:tc>
          <w:tcPr>
            <w:tcW w:w="4455" w:type="dxa"/>
            <w:gridSpan w:val="3"/>
            <w:tcBorders/>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Vice-President, Strategy and Finance (Principal</w:t>
            </w:r>
          </w:p>
        </w:tc>
      </w:tr>
      <w:tr>
        <w:trPr/>
        <w:tc>
          <w:tcPr>
            <w:tcW w:w="4455" w:type="dxa"/>
            <w:gridSpan w:val="3"/>
            <w:tcBorders/>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Financial Officer)</w:t>
            </w:r>
          </w:p>
        </w:tc>
      </w:tr>
      <w:tr>
        <w:trPr/>
        <w:tc>
          <w:tcPr>
            <w:tcW w:w="4455" w:type="dxa"/>
            <w:gridSpan w:val="3"/>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Date: May 10, 2023</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77</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35" w:name="tpst-ex31_1.htm"/>
      <w:bookmarkStart w:id="36" w:name="kstpstex31_1"/>
      <w:bookmarkEnd w:id="35"/>
      <w:bookmarkEnd w:id="36"/>
      <w:r>
        <w:rPr>
          <w:rFonts w:ascii="Times New Roman;serif" w:hAnsi="Times New Roman;serif"/>
          <w:b/>
          <w:sz w:val="20"/>
        </w:rPr>
        <w:t>Exhibit 31.1</w:t>
      </w:r>
      <w:r>
        <w:br w:type="page"/>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u w:val="single"/>
        </w:rPr>
      </w:pPr>
      <w:r>
        <w:rPr>
          <w:rFonts w:ascii="Times New Roman;serif" w:hAnsi="Times New Roman;serif"/>
          <w:b/>
          <w:sz w:val="20"/>
          <w:u w:val="single"/>
        </w:rPr>
        <w:t>CERTIFICATIONS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 Stephen Brady, certify that:</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1.</w:t>
      </w:r>
    </w:p>
    <w:p>
      <w:pPr>
        <w:pStyle w:val="TextBody"/>
        <w:bidi w:val="0"/>
        <w:jc w:val="both"/>
        <w:rPr>
          <w:rFonts w:ascii="Times New Roman;serif" w:hAnsi="Times New Roman;serif"/>
          <w:b w:val="false"/>
          <w:sz w:val="20"/>
        </w:rPr>
      </w:pPr>
      <w:r>
        <w:rPr>
          <w:rFonts w:ascii="Times New Roman;serif" w:hAnsi="Times New Roman;serif"/>
          <w:b w:val="false"/>
          <w:sz w:val="20"/>
        </w:rPr>
        <w:t>I have reviewed this Form 10-Q of Tempest Therapeutics, Inc.;</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2.</w:t>
      </w:r>
    </w:p>
    <w:p>
      <w:pPr>
        <w:pStyle w:val="TextBody"/>
        <w:bidi w:val="0"/>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3.</w:t>
      </w:r>
    </w:p>
    <w:p>
      <w:pPr>
        <w:pStyle w:val="TextBody"/>
        <w:bidi w:val="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4.</w:t>
      </w:r>
    </w:p>
    <w:p>
      <w:pPr>
        <w:pStyle w:val="TextBody"/>
        <w:bidi w:val="0"/>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(a)</w:t>
      </w:r>
    </w:p>
    <w:p>
      <w:pPr>
        <w:pStyle w:val="TextBody"/>
        <w:bidi w:val="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(b)</w:t>
      </w:r>
    </w:p>
    <w:p>
      <w:pPr>
        <w:pStyle w:val="TextBody"/>
        <w:bidi w:val="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(c)</w:t>
      </w:r>
    </w:p>
    <w:p>
      <w:pPr>
        <w:pStyle w:val="TextBody"/>
        <w:bidi w:val="0"/>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(d)</w:t>
      </w:r>
    </w:p>
    <w:p>
      <w:pPr>
        <w:pStyle w:val="TextBody"/>
        <w:bidi w:val="0"/>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5.</w:t>
      </w:r>
    </w:p>
    <w:p>
      <w:pPr>
        <w:pStyle w:val="TextBody"/>
        <w:bidi w:val="0"/>
        <w:jc w:val="both"/>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(a)</w:t>
      </w:r>
    </w:p>
    <w:p>
      <w:pPr>
        <w:pStyle w:val="TextBody"/>
        <w:bidi w:val="0"/>
        <w:jc w:val="both"/>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(b)</w:t>
      </w:r>
    </w:p>
    <w:p>
      <w:pPr>
        <w:pStyle w:val="TextBody"/>
        <w:bidi w:val="0"/>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218" w:type="dxa"/>
        <w:jc w:val="left"/>
        <w:tblInd w:w="0" w:type="dxa"/>
        <w:tblLayout w:type="fixed"/>
        <w:tblCellMar>
          <w:top w:w="28" w:type="dxa"/>
          <w:left w:w="28" w:type="dxa"/>
          <w:bottom w:w="28" w:type="dxa"/>
          <w:right w:w="28" w:type="dxa"/>
        </w:tblCellMar>
      </w:tblPr>
      <w:tblGrid>
        <w:gridCol w:w="1741"/>
        <w:gridCol w:w="406"/>
        <w:gridCol w:w="207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0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Stephen Brady</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Stephen Brady</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37" w:name="tpst-ex31_2.htm"/>
      <w:bookmarkStart w:id="38" w:name="kstpstex31_2"/>
      <w:bookmarkEnd w:id="37"/>
      <w:bookmarkEnd w:id="38"/>
      <w:r>
        <w:rPr>
          <w:rFonts w:ascii="Times New Roman;serif" w:hAnsi="Times New Roman;serif"/>
          <w:b/>
          <w:sz w:val="20"/>
        </w:rPr>
        <w:t>Exhibit 31.2</w:t>
      </w:r>
      <w:r>
        <w:br w:type="page"/>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u w:val="single"/>
        </w:rPr>
      </w:pPr>
      <w:r>
        <w:rPr>
          <w:rFonts w:ascii="Times New Roman;serif" w:hAnsi="Times New Roman;serif"/>
          <w:b/>
          <w:sz w:val="20"/>
          <w:u w:val="single"/>
        </w:rPr>
        <w:t>CERTIFICATIONS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 Nicholas Maestas, certify that:</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1.</w:t>
      </w:r>
    </w:p>
    <w:p>
      <w:pPr>
        <w:pStyle w:val="TextBody"/>
        <w:bidi w:val="0"/>
        <w:jc w:val="both"/>
        <w:rPr>
          <w:rFonts w:ascii="Times New Roman;serif" w:hAnsi="Times New Roman;serif"/>
          <w:b w:val="false"/>
          <w:sz w:val="20"/>
        </w:rPr>
      </w:pPr>
      <w:r>
        <w:rPr>
          <w:rFonts w:ascii="Times New Roman;serif" w:hAnsi="Times New Roman;serif"/>
          <w:b w:val="false"/>
          <w:sz w:val="20"/>
        </w:rPr>
        <w:t>I have reviewed this Form 10-Q of Tempest Therapeutics, Inc.;</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2.</w:t>
      </w:r>
    </w:p>
    <w:p>
      <w:pPr>
        <w:pStyle w:val="TextBody"/>
        <w:bidi w:val="0"/>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3.</w:t>
      </w:r>
    </w:p>
    <w:p>
      <w:pPr>
        <w:pStyle w:val="TextBody"/>
        <w:bidi w:val="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4.</w:t>
      </w:r>
    </w:p>
    <w:p>
      <w:pPr>
        <w:pStyle w:val="TextBody"/>
        <w:bidi w:val="0"/>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(a)</w:t>
      </w:r>
    </w:p>
    <w:p>
      <w:pPr>
        <w:pStyle w:val="TextBody"/>
        <w:bidi w:val="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(b)</w:t>
      </w:r>
    </w:p>
    <w:p>
      <w:pPr>
        <w:pStyle w:val="TextBody"/>
        <w:bidi w:val="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(c)</w:t>
      </w:r>
    </w:p>
    <w:p>
      <w:pPr>
        <w:pStyle w:val="TextBody"/>
        <w:bidi w:val="0"/>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(d)</w:t>
      </w:r>
    </w:p>
    <w:p>
      <w:pPr>
        <w:pStyle w:val="TextBody"/>
        <w:bidi w:val="0"/>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5.</w:t>
      </w:r>
    </w:p>
    <w:p>
      <w:pPr>
        <w:pStyle w:val="TextBody"/>
        <w:bidi w:val="0"/>
        <w:jc w:val="both"/>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(a)</w:t>
      </w:r>
    </w:p>
    <w:p>
      <w:pPr>
        <w:pStyle w:val="TextBody"/>
        <w:bidi w:val="0"/>
        <w:jc w:val="both"/>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(b)</w:t>
      </w:r>
    </w:p>
    <w:p>
      <w:pPr>
        <w:pStyle w:val="TextBody"/>
        <w:bidi w:val="0"/>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5283" w:type="dxa"/>
        <w:jc w:val="left"/>
        <w:tblInd w:w="0" w:type="dxa"/>
        <w:tblLayout w:type="fixed"/>
        <w:tblCellMar>
          <w:top w:w="28" w:type="dxa"/>
          <w:left w:w="28" w:type="dxa"/>
          <w:bottom w:w="28" w:type="dxa"/>
          <w:right w:w="28" w:type="dxa"/>
        </w:tblCellMar>
      </w:tblPr>
      <w:tblGrid>
        <w:gridCol w:w="1741"/>
        <w:gridCol w:w="406"/>
        <w:gridCol w:w="3136"/>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136"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136"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1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Nicholas Maestas</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1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Nicholas Maestas</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1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Vice-President, Strategy and Finance</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39" w:name="tpst-ex32_1.htm"/>
      <w:bookmarkStart w:id="40" w:name="kstpstex32_1"/>
      <w:bookmarkEnd w:id="39"/>
      <w:bookmarkEnd w:id="40"/>
      <w:r>
        <w:rPr>
          <w:rFonts w:ascii="Times New Roman;serif" w:hAnsi="Times New Roman;serif"/>
          <w:b/>
          <w:sz w:val="20"/>
        </w:rPr>
        <w:t>Exhibit 32.1</w:t>
      </w:r>
      <w:r>
        <w:br w:type="page"/>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Pursuant to the requirement set forth in Rule 13a-14(b) of the Securities Exchange Act of 1934, as amended, (the “Exchange Act”) and Section 1350 of Chapter 63 of Title 18 of the United States Code (18 U.S.C. §1350), Stephen Brady, Chief Executive Officer of Tempest Therapeutics, Inc. (the “Company”), and Nicholas Maestas, Vice President, Strategy and Finance, of the Company, each hereby certifies that, to the best of his or her knowledge:</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1.</w:t>
      </w:r>
    </w:p>
    <w:p>
      <w:pPr>
        <w:pStyle w:val="TextBody"/>
        <w:bidi w:val="0"/>
        <w:jc w:val="both"/>
        <w:rPr>
          <w:rFonts w:ascii="Times New Roman;serif" w:hAnsi="Times New Roman;serif"/>
          <w:b w:val="false"/>
          <w:sz w:val="20"/>
        </w:rPr>
      </w:pPr>
      <w:r>
        <w:rPr>
          <w:rFonts w:ascii="Times New Roman;serif" w:hAnsi="Times New Roman;serif"/>
          <w:b w:val="false"/>
          <w:sz w:val="20"/>
        </w:rPr>
        <w:t>The Company’s Quarterly Report on Form 10-Q for the period ended March 31, 2023, to which this Certification is attached as Exhibit 32.1 (the “Report”), fully complies with the requirements of Section 13(a) or Section 15(d) of the Exchange Act; and</w:t>
      </w:r>
    </w:p>
    <w:p>
      <w:pPr>
        <w:pStyle w:val="TextBody"/>
        <w:bidi w:val="0"/>
        <w:spacing w:before="0" w:after="0"/>
        <w:jc w:val="both"/>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2.</w:t>
      </w:r>
    </w:p>
    <w:p>
      <w:pPr>
        <w:pStyle w:val="TextBody"/>
        <w:bidi w:val="0"/>
        <w:jc w:val="both"/>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Dated: May 10, 2023</w:t>
      </w:r>
    </w:p>
    <w:p>
      <w:pPr>
        <w:pStyle w:val="TextBody"/>
        <w:bidi w:val="0"/>
        <w:spacing w:before="0" w:after="0"/>
        <w:jc w:val="both"/>
        <w:rPr/>
      </w:pPr>
      <w:r>
        <w:rPr/>
        <w:t> </w:t>
      </w:r>
    </w:p>
    <w:tbl>
      <w:tblPr>
        <w:tblW w:w="5343" w:type="dxa"/>
        <w:jc w:val="left"/>
        <w:tblInd w:w="0" w:type="dxa"/>
        <w:tblLayout w:type="fixed"/>
        <w:tblCellMar>
          <w:top w:w="28" w:type="dxa"/>
          <w:left w:w="28" w:type="dxa"/>
          <w:bottom w:w="28" w:type="dxa"/>
          <w:right w:w="28" w:type="dxa"/>
        </w:tblCellMar>
      </w:tblPr>
      <w:tblGrid>
        <w:gridCol w:w="2041"/>
        <w:gridCol w:w="166"/>
        <w:gridCol w:w="3136"/>
      </w:tblGrid>
      <w:tr>
        <w:trPr/>
        <w:tc>
          <w:tcPr>
            <w:tcW w:w="20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4" w:space="0" w:color="000000"/>
            </w:tcBorders>
            <w:tcMar>
              <w:top w:w="0" w:type="dxa"/>
              <w:left w:w="0" w:type="dxa"/>
              <w:right w:w="0" w:type="dxa"/>
            </w:tcMar>
            <w:vAlign w:val="center"/>
          </w:tcPr>
          <w:p>
            <w:pPr>
              <w:pStyle w:val="TableContents"/>
              <w:bidi w:val="0"/>
              <w:spacing w:before="53" w:after="30"/>
              <w:ind w:left="0" w:right="0" w:hanging="0"/>
              <w:jc w:val="left"/>
              <w:rPr>
                <w:rFonts w:ascii="Times New Roman" w:hAnsi="Times New Roman"/>
                <w:sz w:val="20"/>
              </w:rPr>
            </w:pPr>
            <w:r>
              <w:rPr>
                <w:rFonts w:ascii="Times New Roman;serif" w:hAnsi="Times New Roman;serif"/>
                <w:b w:val="false"/>
                <w:sz w:val="20"/>
              </w:rPr>
              <w:t>/s/ Stephen Brady</w:t>
            </w:r>
            <w:r>
              <w:rPr>
                <w:rFonts w:ascii="Times New Roman" w:hAnsi="Times New Roman"/>
                <w:sz w:val="20"/>
              </w:rPr>
              <w:t xml:space="preserve">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firstLine="20"/>
              <w:jc w:val="left"/>
              <w:rPr/>
            </w:pPr>
            <w:r>
              <w:rPr/>
              <w:t> </w:t>
            </w:r>
          </w:p>
        </w:tc>
        <w:tc>
          <w:tcPr>
            <w:tcW w:w="3136" w:type="dxa"/>
            <w:tcBorders>
              <w:bottom w:val="single" w:sz="4" w:space="0" w:color="000000"/>
            </w:tcBorders>
            <w:tcMar>
              <w:top w:w="0" w:type="dxa"/>
              <w:left w:w="0" w:type="dxa"/>
              <w:right w:w="0" w:type="dxa"/>
            </w:tcMar>
            <w:vAlign w:val="center"/>
          </w:tcPr>
          <w:p>
            <w:pPr>
              <w:pStyle w:val="TableContents"/>
              <w:bidi w:val="0"/>
              <w:spacing w:before="53" w:after="30"/>
              <w:ind w:left="20" w:right="0" w:hanging="0"/>
              <w:jc w:val="left"/>
              <w:rPr>
                <w:rFonts w:ascii="Times New Roman" w:hAnsi="Times New Roman"/>
                <w:sz w:val="20"/>
              </w:rPr>
            </w:pPr>
            <w:r>
              <w:rPr>
                <w:rFonts w:ascii="Times New Roman;serif" w:hAnsi="Times New Roman;serif"/>
                <w:b w:val="false"/>
                <w:sz w:val="20"/>
              </w:rPr>
              <w:t>/s/ Nicholas Maestas</w:t>
            </w:r>
            <w:r>
              <w:rPr>
                <w:rFonts w:ascii="Times New Roman" w:hAnsi="Times New Roman"/>
                <w:sz w:val="20"/>
              </w:rPr>
              <w:t xml:space="preserve"> </w:t>
            </w:r>
          </w:p>
        </w:tc>
      </w:tr>
      <w:tr>
        <w:trPr/>
        <w:tc>
          <w:tcPr>
            <w:tcW w:w="2041" w:type="dxa"/>
            <w:tcBorders/>
            <w:vAlign w:val="center"/>
          </w:tcPr>
          <w:p>
            <w:pPr>
              <w:pStyle w:val="TableContents"/>
              <w:bidi w:val="0"/>
              <w:spacing w:before="53" w:after="30"/>
              <w:ind w:left="0" w:right="0" w:hanging="0"/>
              <w:jc w:val="left"/>
              <w:rPr>
                <w:rFonts w:ascii="Times New Roman;serif" w:hAnsi="Times New Roman;serif"/>
                <w:b w:val="false"/>
                <w:sz w:val="20"/>
              </w:rPr>
            </w:pPr>
            <w:r>
              <w:rPr>
                <w:rFonts w:ascii="Times New Roman;serif" w:hAnsi="Times New Roman;serif"/>
                <w:b w:val="false"/>
                <w:sz w:val="20"/>
              </w:rPr>
              <w:t>Stephen Brady</w:t>
            </w:r>
          </w:p>
        </w:tc>
        <w:tc>
          <w:tcPr>
            <w:tcW w:w="166" w:type="dxa"/>
            <w:tcBorders/>
            <w:vAlign w:val="center"/>
          </w:tcPr>
          <w:p>
            <w:pPr>
              <w:pStyle w:val="TableContents"/>
              <w:bidi w:val="0"/>
              <w:spacing w:before="0" w:after="0"/>
              <w:ind w:left="0" w:right="0" w:firstLine="20"/>
              <w:jc w:val="left"/>
              <w:rPr/>
            </w:pPr>
            <w:r>
              <w:rPr/>
              <w:t> </w:t>
            </w:r>
          </w:p>
        </w:tc>
        <w:tc>
          <w:tcPr>
            <w:tcW w:w="3136" w:type="dxa"/>
            <w:tcBorders/>
            <w:vAlign w:val="center"/>
          </w:tcPr>
          <w:p>
            <w:pPr>
              <w:pStyle w:val="TableContents"/>
              <w:bidi w:val="0"/>
              <w:spacing w:before="53" w:after="30"/>
              <w:ind w:left="20" w:right="0" w:hanging="0"/>
              <w:jc w:val="left"/>
              <w:rPr>
                <w:rFonts w:ascii="Times New Roman;serif" w:hAnsi="Times New Roman;serif"/>
                <w:b w:val="false"/>
                <w:sz w:val="20"/>
              </w:rPr>
            </w:pPr>
            <w:r>
              <w:rPr>
                <w:rFonts w:ascii="Times New Roman;serif" w:hAnsi="Times New Roman;serif"/>
                <w:b w:val="false"/>
                <w:sz w:val="20"/>
              </w:rPr>
              <w:t>Nicholas Maestas</w:t>
            </w:r>
          </w:p>
        </w:tc>
      </w:tr>
      <w:tr>
        <w:trPr/>
        <w:tc>
          <w:tcPr>
            <w:tcW w:w="2041" w:type="dxa"/>
            <w:tcBorders/>
            <w:vAlign w:val="center"/>
          </w:tcPr>
          <w:p>
            <w:pPr>
              <w:pStyle w:val="TableContents"/>
              <w:bidi w:val="0"/>
              <w:spacing w:before="53" w:after="3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c>
          <w:tcPr>
            <w:tcW w:w="166" w:type="dxa"/>
            <w:tcBorders/>
            <w:vAlign w:val="center"/>
          </w:tcPr>
          <w:p>
            <w:pPr>
              <w:pStyle w:val="TableContents"/>
              <w:bidi w:val="0"/>
              <w:spacing w:before="0" w:after="0"/>
              <w:ind w:left="0" w:right="0" w:firstLine="20"/>
              <w:jc w:val="left"/>
              <w:rPr/>
            </w:pPr>
            <w:r>
              <w:rPr/>
              <w:t> </w:t>
            </w:r>
          </w:p>
        </w:tc>
        <w:tc>
          <w:tcPr>
            <w:tcW w:w="3136" w:type="dxa"/>
            <w:tcBorders/>
            <w:vAlign w:val="center"/>
          </w:tcPr>
          <w:p>
            <w:pPr>
              <w:pStyle w:val="TableContents"/>
              <w:bidi w:val="0"/>
              <w:spacing w:before="53" w:after="30"/>
              <w:ind w:left="20" w:right="0" w:hanging="0"/>
              <w:jc w:val="left"/>
              <w:rPr>
                <w:rFonts w:ascii="Times New Roman;serif" w:hAnsi="Times New Roman;serif"/>
                <w:b w:val="false"/>
                <w:sz w:val="20"/>
              </w:rPr>
            </w:pPr>
            <w:r>
              <w:rPr>
                <w:rFonts w:ascii="Times New Roman;serif" w:hAnsi="Times New Roman;serif"/>
                <w:b w:val="false"/>
                <w:sz w:val="20"/>
              </w:rPr>
              <w:t>Vice-President, Strategy and Finance</w:t>
            </w:r>
          </w:p>
        </w:tc>
      </w:tr>
    </w:tbl>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This certification accompanies the Form 10-Q to which it relates, is not deemed filed with the Securities and Exchange Commission and is not to be incorporated by reference into any filing of Tempest Therapeutics, Inc. under the Securities Act of 1933, as amended, or the Securities Exchange Act of 1934, as amended (whether made before or after the date of the Form 10-Q),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44227/000155837019005038/mlnd-20190331ex31b53fa83.htm" TargetMode="External"/><Relationship Id="rId3" Type="http://schemas.openxmlformats.org/officeDocument/2006/relationships/hyperlink" Target="https://www.sec.gov/Archives/edgar/data/1544227/000119312521201157/d196630dex31.htm" TargetMode="External"/><Relationship Id="rId4" Type="http://schemas.openxmlformats.org/officeDocument/2006/relationships/hyperlink" Target="https://www.sec.gov/Archives/edgar/data/1544227/000119312521201157/d196630dex32.htm" TargetMode="External"/><Relationship Id="rId5" Type="http://schemas.openxmlformats.org/officeDocument/2006/relationships/hyperlink" Target="https://www.sec.gov/Archives/edgar/data/1544227/000119312521281694/d222030dex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45871</Words>
  <Characters>255550</Characters>
  <CharactersWithSpaces>300887</CharactersWithSpaces>
  <Paragraphs>3477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