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333-294740</w:t>
      </w:r>
    </w:p>
    <w:p>
      <w:pPr>
        <w:spacing w:after="0" w:line="13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8,268,495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182245</wp:posOffset>
            </wp:positionV>
            <wp:extent cx="1508760" cy="386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08760"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This prospectus relates to the offer and resale from time to time of up to an aggregate 8,268,495 shares of our common stock, par value $0.001 per share (the “Shares”), by the selling stockholders named herein, together with any additional selling stockholders listed in a prospectus supplement (together with any of such stockholders’ transferees, pledgees, donees or successors). The Shares were acquired by the selling stockholders named herein pursuant to an asset purchase agreement, dated November 19, 2025 (the “Asset Purchase Agreement”), by and among us and the parties named therein, in a transaction more fully described in the section titled “Prospectus Summary.”</w:t>
      </w:r>
    </w:p>
    <w:p>
      <w:pPr>
        <w:spacing w:after="0" w:line="183" w:lineRule="exact"/>
        <w:rPr>
          <w:sz w:val="24"/>
          <w:szCs w:val="24"/>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are registering the offer and sale of the Shares from time to time by the selling stockholders to satisfy the registration rights granted pursuant to the Asset Purchase Agreement in connection with the issuance of the Shares. We will not receive any proceeds from the sale of the Shares by the selling stockholders.</w:t>
      </w:r>
    </w:p>
    <w:p>
      <w:pPr>
        <w:spacing w:after="0" w:line="176" w:lineRule="exact"/>
        <w:rPr>
          <w:sz w:val="24"/>
          <w:szCs w:val="24"/>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selling stockholders may offer and sell or otherwise dispose of the Shares described in this prospectus from time to time through public or private transactions at prevailing market prices, at prices related to prevailing market prices or at privately negotiated prices. The selling stockholders will bear all underwriting fees, commissions and discounts, if any, attributable to the sales of Shares and any transfer taxes. We will bear all other costs, expenses and fees in connection with the registration of the Shares. See “Plan of Distribution” for more information about how the selling stockholders may sell or dispose of their Shares.</w:t>
      </w:r>
    </w:p>
    <w:p>
      <w:pPr>
        <w:spacing w:after="0" w:line="183" w:lineRule="exact"/>
        <w:rPr>
          <w:sz w:val="24"/>
          <w:szCs w:val="24"/>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trading symbol “TPST.” On April 2, 2026, the closing price of our common stock was $1.59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ind w:left="120" w:right="260" w:firstLine="44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common stock involves a high degree of risk. Before making an investment decision, please read the information under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4 of this prospectus and under similar headings in any amendment or supplement to this prospectus or in any filing with the Securities and Exchange Commission that is incorporated by reference herein.</w:t>
      </w:r>
    </w:p>
    <w:p>
      <w:pPr>
        <w:spacing w:after="0" w:line="181" w:lineRule="exact"/>
        <w:rPr>
          <w:sz w:val="24"/>
          <w:szCs w:val="24"/>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207010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April 3, 2026.</w:t>
      </w:r>
    </w:p>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66"/>
        </w:trPr>
        <w:tc>
          <w:tcPr>
            <w:tcW w:w="800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r>
      <w:tr>
        <w:trPr>
          <w:trHeight w:val="304"/>
        </w:trPr>
        <w:tc>
          <w:tcPr>
            <w:tcW w:w="222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5780" w:type="dxa"/>
            <w:vAlign w:val="bottom"/>
            <w:gridSpan w:val="4"/>
          </w:tcPr>
          <w:p>
            <w:pPr>
              <w:spacing w:after="0"/>
              <w:rPr>
                <w:sz w:val="24"/>
                <w:szCs w:val="24"/>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4"/>
        </w:trPr>
        <w:tc>
          <w:tcPr>
            <w:tcW w:w="208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5920" w:type="dxa"/>
            <w:vAlign w:val="bottom"/>
            <w:gridSpan w:val="6"/>
          </w:tcPr>
          <w:p>
            <w:pPr>
              <w:spacing w:after="0"/>
              <w:rPr>
                <w:sz w:val="24"/>
                <w:szCs w:val="24"/>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304"/>
        </w:trPr>
        <w:tc>
          <w:tcPr>
            <w:tcW w:w="800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04"/>
        </w:trPr>
        <w:tc>
          <w:tcPr>
            <w:tcW w:w="158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7"/>
          </w:tcPr>
          <w:p>
            <w:pPr>
              <w:spacing w:after="0"/>
              <w:rPr>
                <w:sz w:val="24"/>
                <w:szCs w:val="24"/>
                <w:color w:val="auto"/>
              </w:rPr>
            </w:pPr>
          </w:p>
        </w:tc>
        <w:tc>
          <w:tcPr>
            <w:tcW w:w="2680" w:type="dxa"/>
            <w:vAlign w:val="bottom"/>
          </w:tcPr>
          <w:p>
            <w:pPr>
              <w:spacing w:after="0"/>
              <w:rPr>
                <w:sz w:val="24"/>
                <w:szCs w:val="24"/>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04"/>
        </w:trPr>
        <w:tc>
          <w:tcPr>
            <w:tcW w:w="800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SELLING STOCKHOLDERS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04"/>
        </w:trPr>
        <w:tc>
          <w:tcPr>
            <w:tcW w:w="220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5800" w:type="dxa"/>
            <w:vAlign w:val="bottom"/>
            <w:gridSpan w:val="5"/>
          </w:tcPr>
          <w:p>
            <w:pPr>
              <w:spacing w:after="0"/>
              <w:rPr>
                <w:sz w:val="24"/>
                <w:szCs w:val="24"/>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04"/>
        </w:trPr>
        <w:tc>
          <w:tcPr>
            <w:tcW w:w="146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24"/>
                <w:szCs w:val="24"/>
                <w:color w:val="auto"/>
              </w:rPr>
            </w:pPr>
          </w:p>
        </w:tc>
        <w:tc>
          <w:tcPr>
            <w:tcW w:w="5960" w:type="dxa"/>
            <w:vAlign w:val="bottom"/>
            <w:gridSpan w:val="7"/>
          </w:tcPr>
          <w:p>
            <w:pPr>
              <w:spacing w:after="0"/>
              <w:rPr>
                <w:sz w:val="24"/>
                <w:szCs w:val="24"/>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04"/>
        </w:trPr>
        <w:tc>
          <w:tcPr>
            <w:tcW w:w="800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EXPERTS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760" w:type="dxa"/>
            <w:vAlign w:val="bottom"/>
            <w:shd w:val="clear" w:color="auto" w:fill="0000EE"/>
          </w:tcPr>
          <w:p>
            <w:pPr>
              <w:spacing w:after="0" w:line="20" w:lineRule="exact"/>
              <w:rPr>
                <w:sz w:val="1"/>
                <w:szCs w:val="1"/>
                <w:color w:val="auto"/>
              </w:rPr>
            </w:pPr>
          </w:p>
        </w:tc>
        <w:tc>
          <w:tcPr>
            <w:tcW w:w="364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304"/>
        </w:trPr>
        <w:tc>
          <w:tcPr>
            <w:tcW w:w="800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4400" w:type="dxa"/>
            <w:vAlign w:val="bottom"/>
            <w:gridSpan w:val="9"/>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304"/>
        </w:trPr>
        <w:tc>
          <w:tcPr>
            <w:tcW w:w="51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2820" w:type="dxa"/>
            <w:vAlign w:val="bottom"/>
            <w:gridSpan w:val="2"/>
          </w:tcPr>
          <w:p>
            <w:pPr>
              <w:spacing w:after="0"/>
              <w:rPr>
                <w:sz w:val="24"/>
                <w:szCs w:val="24"/>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402590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(“SEC”), using a “shelf” registration process. Under this registration statement, the selling stockholders may sell from time to time in one or more offerings the common stock described in this prospectus.</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have not authorized anyone to provide you with information other than the information that we have provided or incorporated by reference in this prospectus and your reliance on any unauthorized information or representation is at your own risk. This prospectus may be used only in jurisdictions where offers and sales of these securities are permitted. You should assume that the information appearing in this prospectus is accurate only as of the date of this prospectus and that any information we have incorporated by reference is accurate only as of the date of the document incorporated by reference, regardless of the time of delivery of this prospectus, or any sale of our common stock. Our business, financial condition and results of operations may have changed since those dates.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Throughout this prospectus, the terms “we,” “us,” “our,” and our “company” refer to Tempest Therapeutics, Inc. and its subsidiaries.</w:t>
      </w:r>
    </w:p>
    <w:p>
      <w:pPr>
        <w:spacing w:after="0" w:line="15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33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40"/>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the Asset Acquisition (as defined below) and selected information contained elsewhere in or incorporated by reference into this prospectus. This summary is not complete and does not contain all of the information that you should consider before making an investment decision. For a more complete understanding of our company, you should read and consider carefully the more detailed information included or incorporated by reference in this prospectus and any applicable prospectus supplement, including the factors described under the heading “Risk Factors” on page 4 of this prospectus, as well as the information incorporated herein by reference, before making an investment decision</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20"/>
        <w:spacing w:after="0" w:line="253" w:lineRule="auto"/>
        <w:rPr>
          <w:sz w:val="20"/>
          <w:szCs w:val="20"/>
          <w:color w:val="auto"/>
        </w:rPr>
      </w:pPr>
      <w:r>
        <w:rPr>
          <w:rFonts w:ascii="Times New Roman" w:cs="Times New Roman" w:eastAsia="Times New Roman" w:hAnsi="Times New Roman"/>
          <w:sz w:val="18"/>
          <w:szCs w:val="18"/>
          <w:color w:val="auto"/>
        </w:rPr>
        <w:t>We are a clinical-stage biotechnology company advancing a diversified portfolio of cell therapy and small molecule product candidates. In February 2026, we expanded our pipeline through a strategic transaction under which we acquired rights to a portfolio of dual-targeting chimeric antigen receptor T-cells (“CAR-T”) product candidates with the potential to treat certain blood cancers, solid tumors and immunology indications, including TPST-2003, an autologous CD19/B-cell maturation antigen CAR-T therapy currently in clinical development for relapsed or refractory multiple myeloma (“rrMM”). Our portfolio also includes two clinical-stage small molecule product candidates with the potential to treat certain cancer indications. One of our small-molecule product candidates, amezalpat (previously known as TPST-1120), has completed a Phase 2 study in first-line hepatocellular carcinoma (“HCC”). Amezalpat remains Phase 3-ready in HCC and we plan to pursue business development discussions to advance pivotal development. Our second small-molecule product candidate is TPST-1495, which we plan to initiate a Phase 2 study for in familial adenomatous polyposis. The study is expected to be funded by the National Cancer Institute and conducted through the Cancer Prevention Clinical Trials Network, enabling advancement with limited internal capital deployment.</w:t>
      </w:r>
    </w:p>
    <w:p>
      <w:pPr>
        <w:spacing w:after="0" w:line="194" w:lineRule="exact"/>
        <w:rPr>
          <w:sz w:val="20"/>
          <w:szCs w:val="20"/>
          <w:color w:val="auto"/>
        </w:rPr>
      </w:pPr>
    </w:p>
    <w:p>
      <w:pPr>
        <w:ind w:left="300" w:right="320"/>
        <w:spacing w:after="0" w:line="266" w:lineRule="auto"/>
        <w:rPr>
          <w:sz w:val="20"/>
          <w:szCs w:val="20"/>
          <w:color w:val="auto"/>
        </w:rPr>
      </w:pPr>
      <w:r>
        <w:rPr>
          <w:rFonts w:ascii="Times New Roman" w:cs="Times New Roman" w:eastAsia="Times New Roman" w:hAnsi="Times New Roman"/>
          <w:sz w:val="18"/>
          <w:szCs w:val="18"/>
          <w:color w:val="auto"/>
        </w:rPr>
        <w:t>Additional information about our company, including recent developments, is contained in the documents incorporated by reference into this prospectus supplement and the accompanying prospectus, including our Annual Report on Form 10-K that we filed with the SEC on March 30, 2026.</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Asset Purchase Agreement</w:t>
      </w:r>
    </w:p>
    <w:p>
      <w:pPr>
        <w:spacing w:after="0" w:line="121" w:lineRule="exact"/>
        <w:rPr>
          <w:sz w:val="20"/>
          <w:szCs w:val="20"/>
          <w:color w:val="auto"/>
        </w:rPr>
      </w:pPr>
    </w:p>
    <w:p>
      <w:pPr>
        <w:ind w:left="300"/>
        <w:spacing w:after="0" w:line="254" w:lineRule="auto"/>
        <w:rPr>
          <w:sz w:val="20"/>
          <w:szCs w:val="20"/>
          <w:color w:val="auto"/>
        </w:rPr>
      </w:pPr>
      <w:r>
        <w:rPr>
          <w:rFonts w:ascii="Times New Roman" w:cs="Times New Roman" w:eastAsia="Times New Roman" w:hAnsi="Times New Roman"/>
          <w:sz w:val="18"/>
          <w:szCs w:val="18"/>
          <w:color w:val="auto"/>
        </w:rPr>
        <w:t>On November 19, 2025, we executed the Asset Purchase Agreement with Erigen LLC, a Delaware limited liability company (“Erigen”), and Factor Bioscience Inc., a Delaware corporation (together with Erigen, “Sellers”), pursuant to which Sellers agreed to sell and transfer to the Company all right, title and interest of Sellers in and to all of the assets primarily related to (a) the autologous BCMA/CD19 dual-targeting CAR T-cell therapy known as TPST-2003 currently being evaluated in a Phase 1/2a clinical study in patients with rrMM, (b) the autologous CD70/CD70 dual-targeting CAR T-cell therapy known as TPST-2206, (c) the allogeneic BCMA/CD19 dual-targeting CAR T-cell therapy with a gene edit in the TRAC locus that inactivates the T cell receptor known as TPST-3003, and (d) the allogeneic CD70/CD70 dual-targeting CAR T-cell therapy with a gene edit in the TRAC locus that inactivates the T cell receptor known as TPST-3206 (collectively referred to herein as the “Assets”), in exchange for an aggregate purchase price of 8,268,495 shares of our common stock issued to Erigen on behalf of both Sellers.</w:t>
      </w:r>
    </w:p>
    <w:p>
      <w:pPr>
        <w:spacing w:after="0" w:line="192" w:lineRule="exact"/>
        <w:rPr>
          <w:sz w:val="20"/>
          <w:szCs w:val="20"/>
          <w:color w:val="auto"/>
        </w:rPr>
      </w:pPr>
    </w:p>
    <w:p>
      <w:pPr>
        <w:ind w:left="300" w:right="240"/>
        <w:spacing w:after="0" w:line="282" w:lineRule="auto"/>
        <w:rPr>
          <w:sz w:val="20"/>
          <w:szCs w:val="20"/>
          <w:color w:val="auto"/>
        </w:rPr>
      </w:pPr>
      <w:r>
        <w:rPr>
          <w:rFonts w:ascii="Times New Roman" w:cs="Times New Roman" w:eastAsia="Times New Roman" w:hAnsi="Times New Roman"/>
          <w:sz w:val="18"/>
          <w:szCs w:val="18"/>
          <w:color w:val="auto"/>
        </w:rPr>
        <w:t>On February 3, 2026, we completed the acquisition of the Assets (the “Closing”) under the Asset Purchase Agreement (the “Asset Acquisition”) and issued to Erigen 8,268,495 shares of our common stock (the “Share Issuance”).</w:t>
      </w:r>
    </w:p>
    <w:p>
      <w:pPr>
        <w:spacing w:after="0" w:line="162" w:lineRule="exact"/>
        <w:rPr>
          <w:sz w:val="20"/>
          <w:szCs w:val="20"/>
          <w:color w:val="auto"/>
        </w:rPr>
      </w:pPr>
    </w:p>
    <w:p>
      <w:pPr>
        <w:ind w:left="300" w:right="80"/>
        <w:spacing w:after="0" w:line="266" w:lineRule="auto"/>
        <w:rPr>
          <w:sz w:val="20"/>
          <w:szCs w:val="20"/>
          <w:color w:val="auto"/>
        </w:rPr>
      </w:pPr>
      <w:r>
        <w:rPr>
          <w:rFonts w:ascii="Times New Roman" w:cs="Times New Roman" w:eastAsia="Times New Roman" w:hAnsi="Times New Roman"/>
          <w:sz w:val="18"/>
          <w:szCs w:val="18"/>
          <w:color w:val="auto"/>
        </w:rPr>
        <w:t>Pursuant to the Asset Purchase Agreement, at Closing we obtained an exclusive license to specified patents and know-how in all fields worldwide, but excluding Greater China, India, Turkey, and Russia, to exploit the TPST-2003 and TPST -2206 programs and allogeneic CAR-T therapies based on the TPST-2003 and TPST-2206</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4476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54476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80"/>
        <w:spacing w:after="0" w:line="266" w:lineRule="auto"/>
        <w:rPr>
          <w:sz w:val="20"/>
          <w:szCs w:val="20"/>
          <w:color w:val="auto"/>
        </w:rPr>
      </w:pPr>
      <w:r>
        <w:rPr>
          <w:rFonts w:ascii="Times New Roman" w:cs="Times New Roman" w:eastAsia="Times New Roman" w:hAnsi="Times New Roman"/>
          <w:sz w:val="18"/>
          <w:szCs w:val="18"/>
          <w:color w:val="auto"/>
        </w:rPr>
        <w:t>programs. We also received a right of first negotiation to negotiate a license to exploit allogeneic CAR-T therapies and in vivo CAR-T therapies in Greater China. We also obtained an exclusive license to specified patents in all fields worldwide, but excluding Greater China, India, Turkey, and Russia, to exploit the TPST-3003 and TPST-3206 programs.</w:t>
      </w:r>
    </w:p>
    <w:p>
      <w:pPr>
        <w:spacing w:after="0" w:line="176" w:lineRule="exact"/>
        <w:rPr>
          <w:sz w:val="20"/>
          <w:szCs w:val="20"/>
          <w:color w:val="auto"/>
        </w:rPr>
      </w:pPr>
    </w:p>
    <w:p>
      <w:pPr>
        <w:ind w:left="300" w:right="120"/>
        <w:spacing w:after="0" w:line="282" w:lineRule="auto"/>
        <w:rPr>
          <w:sz w:val="20"/>
          <w:szCs w:val="20"/>
          <w:color w:val="auto"/>
        </w:rPr>
      </w:pPr>
      <w:r>
        <w:rPr>
          <w:rFonts w:ascii="Times New Roman" w:cs="Times New Roman" w:eastAsia="Times New Roman" w:hAnsi="Times New Roman"/>
          <w:sz w:val="18"/>
          <w:szCs w:val="18"/>
          <w:color w:val="auto"/>
        </w:rPr>
        <w:t>Following the Closing, it is expected that Erigen will dissolve and will distribute the shares of common stock received by it in the Shares Issuance to its members, Matthew Angel and Lotus Capital (BVI) Limited.</w:t>
      </w:r>
    </w:p>
    <w:p>
      <w:pPr>
        <w:spacing w:after="0" w:line="162" w:lineRule="exact"/>
        <w:rPr>
          <w:sz w:val="20"/>
          <w:szCs w:val="20"/>
          <w:color w:val="auto"/>
        </w:rPr>
      </w:pPr>
    </w:p>
    <w:p>
      <w:pPr>
        <w:ind w:left="300" w:right="380"/>
        <w:spacing w:after="0" w:line="282" w:lineRule="auto"/>
        <w:rPr>
          <w:sz w:val="20"/>
          <w:szCs w:val="20"/>
          <w:color w:val="auto"/>
        </w:rPr>
      </w:pPr>
      <w:r>
        <w:rPr>
          <w:rFonts w:ascii="Times New Roman" w:cs="Times New Roman" w:eastAsia="Times New Roman" w:hAnsi="Times New Roman"/>
          <w:sz w:val="18"/>
          <w:szCs w:val="18"/>
          <w:color w:val="auto"/>
        </w:rPr>
        <w:t>Under the terms of the Asset Purchase Agreement, we agreed to prepare and file a registration statement with the SEC to register for resale the Shares, and generally to cause the registration statement to promptly become effective.</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 and a Non-Accelerated Filer</w:t>
      </w:r>
    </w:p>
    <w:p>
      <w:pPr>
        <w:spacing w:after="0" w:line="121"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of the Securities Exchange Act of 1934 (the “Exchange Act”), meaning that the market value of our shares held by non-affiliates is less than $700 million and our annual revenue was less than $100 million during the most recently completed fiscal year. We may continue to be a smaller reporting company if either (i) the market value of our shares held by non-affiliates is less than $250 million or (ii) our annual revenue was less than $100 million during the most recently completed fiscal year for which audited financial statements are available as of the determination date and the market value of our shares held by non-affiliates is less than $700 million. As a smaller reporting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If investors consider our common stock less attractive as a result of our election to use the scaled-back disclosure permitted for smaller reporting companies, there may be a less active trading market for our common stock and our share price may be more volatile.</w:t>
      </w:r>
    </w:p>
    <w:p>
      <w:pPr>
        <w:spacing w:after="0" w:line="192" w:lineRule="exact"/>
        <w:rPr>
          <w:sz w:val="20"/>
          <w:szCs w:val="20"/>
          <w:color w:val="auto"/>
        </w:rPr>
      </w:pPr>
    </w:p>
    <w:p>
      <w:pPr>
        <w:ind w:left="300" w:right="800"/>
        <w:spacing w:after="0" w:line="282" w:lineRule="auto"/>
        <w:rPr>
          <w:sz w:val="20"/>
          <w:szCs w:val="20"/>
          <w:color w:val="auto"/>
        </w:rPr>
      </w:pPr>
      <w:r>
        <w:rPr>
          <w:rFonts w:ascii="Times New Roman" w:cs="Times New Roman" w:eastAsia="Times New Roman" w:hAnsi="Times New Roman"/>
          <w:sz w:val="18"/>
          <w:szCs w:val="18"/>
          <w:color w:val="auto"/>
        </w:rPr>
        <w:t>Additionally, as a non-accelerated filer, we may continue to take advantage of the exception from compliance with the auditor attestation requirements of Section 404 of the Sarbanes-Oxley Act of 2002, as amended.</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121"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We were incorporated in Delaware in April 2011. Our principal executive offices are located at 2000 Sierra Point Parkway, Suite 400, Brisbane, CA 94005, and our telephone number is (415) 798-8589. Our website is located at http://www.tempesttx.com. We do not incorporate by reference into this prospectus supplement the information on, or accessible through, our website, and you should not consider it as part of this prospectus supplement.</w:t>
      </w:r>
    </w:p>
    <w:p>
      <w:pPr>
        <w:spacing w:after="0" w:line="180" w:lineRule="exact"/>
        <w:rPr>
          <w:sz w:val="20"/>
          <w:szCs w:val="20"/>
          <w:color w:val="auto"/>
        </w:rPr>
      </w:pPr>
    </w:p>
    <w:p>
      <w:pPr>
        <w:ind w:left="300" w:right="40"/>
        <w:spacing w:after="0" w:line="261" w:lineRule="auto"/>
        <w:rPr>
          <w:sz w:val="20"/>
          <w:szCs w:val="20"/>
          <w:color w:val="auto"/>
        </w:rPr>
      </w:pPr>
      <w:r>
        <w:rPr>
          <w:rFonts w:ascii="Times New Roman" w:cs="Times New Roman" w:eastAsia="Times New Roman" w:hAnsi="Times New Roman"/>
          <w:sz w:val="18"/>
          <w:szCs w:val="18"/>
          <w:color w:val="auto"/>
        </w:rPr>
        <w:t>The Tempest logo and other trademarks or service marks of Tempest Therapeutics, Inc. appearing in this prospectus supplement are the property of Tempest Therapeutics, Inc. Other trademarks, service marks or trade names appearing in this prospectus supplement are the property of their respective owners. We do not intend our use or display of other companies’ trade names, trademarks or service marks to imply a relationship with, or endorsement or sponsorship of us by, these other companies.</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4931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34931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10940"/>
          </w:cols>
          <w:pgMar w:left="320" w:top="455" w:right="639" w:bottom="1440" w:gutter="0" w:footer="0" w:header="0"/>
        </w:sectPr>
      </w:pP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Common stock offered by the selling stockholders</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8,268,495 shares</w:t>
      </w:r>
    </w:p>
    <w:p>
      <w:pPr>
        <w:spacing w:after="0" w:line="200" w:lineRule="exact"/>
        <w:rPr>
          <w:sz w:val="20"/>
          <w:szCs w:val="20"/>
          <w:color w:val="auto"/>
        </w:rPr>
      </w:pPr>
    </w:p>
    <w:p>
      <w:pPr>
        <w:sectPr>
          <w:pgSz w:w="11900" w:h="16838" w:orient="portrait"/>
          <w:cols w:equalWidth="0" w:num="2">
            <w:col w:w="4120" w:space="220"/>
            <w:col w:w="6600"/>
          </w:cols>
          <w:pgMar w:left="320" w:top="455" w:right="639" w:bottom="1440" w:gutter="0" w:footer="0" w:header="0"/>
          <w:type w:val="continuous"/>
        </w:sectPr>
      </w:pPr>
    </w:p>
    <w:p>
      <w:pPr>
        <w:spacing w:after="0" w:line="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Terms of the offering</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Each selling stockholder will determine when and how it will sell the common stock offered in this prospectus, as described in “Plan of Distribution.”</w:t>
      </w:r>
    </w:p>
    <w:p>
      <w:pPr>
        <w:spacing w:after="0" w:line="185"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 w:lineRule="exact"/>
        <w:rPr>
          <w:sz w:val="20"/>
          <w:szCs w:val="20"/>
          <w:color w:val="auto"/>
        </w:rPr>
      </w:pPr>
      <w:r>
        <w:rPr>
          <w:sz w:val="20"/>
          <w:szCs w:val="20"/>
          <w:color w:val="auto"/>
        </w:rPr>
        <w:br w:type="column"/>
      </w:r>
    </w:p>
    <w:p>
      <w:pPr>
        <w:ind w:right="140"/>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the sale of the shares of common stock covered by this prospectus.</w:t>
      </w:r>
    </w:p>
    <w:p>
      <w:pPr>
        <w:spacing w:after="0" w:line="185"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 w:lineRule="exact"/>
        <w:rPr>
          <w:sz w:val="20"/>
          <w:szCs w:val="20"/>
          <w:color w:val="auto"/>
        </w:rPr>
      </w:pPr>
      <w:r>
        <w:rPr>
          <w:sz w:val="20"/>
          <w:szCs w:val="20"/>
          <w:color w:val="auto"/>
        </w:rPr>
        <w:br w:type="column"/>
      </w:r>
    </w:p>
    <w:p>
      <w:pPr>
        <w:ind w:right="400"/>
        <w:spacing w:after="0" w:line="282" w:lineRule="auto"/>
        <w:rPr>
          <w:sz w:val="20"/>
          <w:szCs w:val="20"/>
          <w:color w:val="auto"/>
        </w:rPr>
      </w:pPr>
      <w:r>
        <w:rPr>
          <w:rFonts w:ascii="Times New Roman" w:cs="Times New Roman" w:eastAsia="Times New Roman" w:hAnsi="Times New Roman"/>
          <w:sz w:val="18"/>
          <w:szCs w:val="18"/>
          <w:color w:val="auto"/>
        </w:rPr>
        <w:t>See “Risk Factors” on page 4 for a discussion of factors you should carefully consider before deciding to invest in our common stock.</w:t>
      </w:r>
    </w:p>
    <w:p>
      <w:pPr>
        <w:spacing w:after="0" w:line="185"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b w:val="1"/>
          <w:bCs w:val="1"/>
          <w:color w:val="auto"/>
        </w:rPr>
        <w:t>Nasdaq Capital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TPST.</w:t>
      </w:r>
    </w:p>
    <w:p>
      <w:pPr>
        <w:spacing w:after="0" w:line="207"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spacing w:after="0" w:line="43"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The selling stockholders named in this prospectus may offer and sell up to 8,268,495 shares of our common stock. Our common stock is currently listed on Nasdaq Capital Market under the symbol “TPST.” Shares of our common stock that may be offered under this prospectus are fully paid and non-assessable. We will not receive any of the proceeds from sales by the selling stockholders of any of the common stock covered by this prospectus. Throughout this prospectus, when we refer to the shares of our common stock being registered on behalf of the selling stockholders for offer and resale, we are referring to the Shares. When we refer to the selling stockholders in this prospectus, we are referring to the selling stockholders identified in this prospectus and, as applicable, their respective permitted transferees or other successors-in-interest that may be identified in a supplement to this prospectus or, if required, a post-effective amendment to the registration statement of which this prospectus is a part.</w:t>
      </w:r>
    </w:p>
    <w:p>
      <w:pPr>
        <w:spacing w:after="0" w:line="31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Before making an investment decision, you should carefully consider the risks described in the sections entitled “Risk Factors” in our most recent Annual Report on Form 10-K and subsequent Quarterly Reports on Form 10-Q, as filed with the SEC, which are incorporated herein by reference in their entirety, as well any amendment or updates to our risk factors reflected in subsequent filings with the SEC, including any applicable prospectus supplement. Our business, financial condition, results of operations or prospects could be materially adversely affected by any of these risks. The trading price of our securities could decline due to any of these risks, and you may lose all or part of your investment. This prospectus and the documents incorporated herein by reference also contain forward-looking statements that involve risks and uncertainties. Our actual results could differ materially from those anticipated in these forward-looking statements as a result of certain factors, including the risks mentioned elsewhere in this prospectus. For more information, see the section entitled “Where You Can Find Additional Information.” Please also read carefully the section entitled “Special Note Regarding Forward-Looking Statements.”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00"/>
          </w:cols>
          <w:pgMar w:left="320" w:top="455"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This prospectus and any applicable prospectus supplement or free writing prospectus, including the documents that we incorporate by reference herein and therein, contain “forward-looking statements” within the meaning of Section 27A of the Securities Act of 1933, as amended (the “Securities Act”), and Section 21E of the Securities Exchange Act of 1934, as amended (the “Exchange Act”). These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w:t>
      </w:r>
    </w:p>
    <w:p>
      <w:pPr>
        <w:spacing w:after="0" w:line="18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and are based on assumptions and are subject to risks and uncertainties. As such, our actual results may differ significantly from those expressed in any forward-looking statements. Given these uncertainties, you should not place undue reliance on these forward-looking statements. In addition, statements indicating that “we believe” and similar statements reflect our beliefs and opinions on the relevant subject. These statements are based upon information available to us as of the date they were made, and while we believe such information formed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8"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discuss many of these risks in greater detail under “Risk Factors” in this prospectus and in the “Risk Factors,” “Business” and “Management’s Discussion and Analysis of Financial Condition and Results of Operations” sections incorporated by reference from our most recent Annual Report on Form 10-K and in our Quarterly Reports on Form 10-Q for the quarterly periods ended subsequent to our filing of such Annual Report on Form 10-K, as well as any amendments thereto reflected in subsequent filings with the SEC.</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You should read this prospectus, any applicable prospectus supplement, together with the documents that we have filed with the SEC that are incorporated by reference and any free writing prospectus we have authorized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55"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will not receive any of the proceeds from the sale or other disposition of shares of our common stock held by the selling stockholders pursuant to this prospectus. We will bear the out-of-pocket costs, expenses and fees incurred in connection with the registration of shares of our common stock to be sold by the selling stockholders pursuant to this prospectus. Other than registration expenses, the selling stockholders will bear underwriting discounts, commissions, placement agent fees or other similar expenses payable with respect to sales of shares of our common stock.</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55"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selling stockholders may sell some, all or none of their shares. We do not know how long the selling stockholders will hold the shares before selling them, and we currently have no agreements, arrangements or understandings with the selling stockholders regarding the sale or other disposition of any of the shares. The shares covered hereby may be offered from time to time by the selling stockholders. As a result, we cannot estimate the number of shares of common stock each of the selling stockholders will beneficially own after termination of sales under this prospectus. In addition, the selling stockholders may have sold, transferred or otherwise disposed of all or a portion of their shares of common stock since the date on which they provided information for the table below.</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includes voting or investment power with respect to our common stock. Generally, a person “beneficially owns” shares of our common stock if the person has or shares with others the right to vote those shares or to dispose of them, or if the person has the right to acquire voting or disposition rights within 60 days.</w:t>
      </w:r>
    </w:p>
    <w:p>
      <w:pPr>
        <w:spacing w:after="0" w:line="176"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The information in the table below and the footnotes thereto regarding shares of common stock to be beneficially owned after the offering assumes the sale of all shares being offered by the selling stockholders under this prospectus, consisting of the Shares. This information has been obtained from the selling stockholders. The percentage of shares owned after the offering is based on 14,344,034 shares outstanding as of March 25, 2026.</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used in this prospectus, the term “selling stockholders” includes the selling stockholders listed in the table below, together with any additional selling stockholders listed in a prospectus supplement, and their donees, pledgees, assignees, transferees, distributees and successors-in-interest that receive Shares in any non-sale transfer after the date of this prospectus.</w:t>
      </w:r>
    </w:p>
    <w:p>
      <w:pPr>
        <w:spacing w:after="0" w:line="19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17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16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Shares of Common Stock</w:t>
            </w:r>
          </w:p>
        </w:tc>
        <w:tc>
          <w:tcPr>
            <w:tcW w:w="142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160" w:type="dxa"/>
            <w:vAlign w:val="bottom"/>
            <w:tcBorders>
              <w:bottom w:val="single" w:sz="8" w:color="auto"/>
            </w:tcBorders>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Beneficial Ownership After this Offering</w:t>
            </w:r>
            <w:r>
              <w:rPr>
                <w:rFonts w:ascii="Times New Roman" w:cs="Times New Roman" w:eastAsia="Times New Roman" w:hAnsi="Times New Roman"/>
                <w:sz w:val="10"/>
                <w:szCs w:val="10"/>
                <w:b w:val="1"/>
                <w:bCs w:val="1"/>
                <w:color w:val="auto"/>
              </w:rPr>
              <w:t>(1)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17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Percent of Outstanding</w:t>
            </w: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w:t>
            </w:r>
          </w:p>
        </w:tc>
        <w:tc>
          <w:tcPr>
            <w:tcW w:w="1420" w:type="dxa"/>
            <w:vAlign w:val="bottom"/>
            <w:vMerge w:val="restart"/>
          </w:tcPr>
          <w:p>
            <w:pPr>
              <w:spacing w:after="0"/>
              <w:rPr>
                <w:sz w:val="12"/>
                <w:szCs w:val="12"/>
                <w:color w:val="auto"/>
              </w:rPr>
            </w:pPr>
          </w:p>
        </w:tc>
        <w:tc>
          <w:tcPr>
            <w:tcW w:w="216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 prior</w:t>
            </w:r>
          </w:p>
        </w:tc>
        <w:tc>
          <w:tcPr>
            <w:tcW w:w="142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Shares Being</w:t>
            </w:r>
          </w:p>
        </w:tc>
        <w:tc>
          <w:tcPr>
            <w:tcW w:w="174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760" w:type="dxa"/>
            <w:vAlign w:val="bottom"/>
            <w:tcBorders>
              <w:bottom w:val="single" w:sz="8" w:color="auto"/>
            </w:tcBorders>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2160" w:type="dxa"/>
            <w:vAlign w:val="bottom"/>
            <w:gridSpan w:val="2"/>
          </w:tcPr>
          <w:p>
            <w:pPr>
              <w:jc w:val="right"/>
              <w:ind w:right="900"/>
              <w:spacing w:after="0" w:line="160" w:lineRule="exact"/>
              <w:rPr>
                <w:sz w:val="20"/>
                <w:szCs w:val="20"/>
                <w:color w:val="auto"/>
              </w:rPr>
            </w:pPr>
            <w:r>
              <w:rPr>
                <w:rFonts w:ascii="Times New Roman" w:cs="Times New Roman" w:eastAsia="Times New Roman" w:hAnsi="Times New Roman"/>
                <w:sz w:val="14"/>
                <w:szCs w:val="14"/>
                <w:b w:val="1"/>
                <w:bCs w:val="1"/>
                <w:color w:val="auto"/>
              </w:rPr>
              <w:t>to this Offering</w:t>
            </w:r>
          </w:p>
        </w:tc>
        <w:tc>
          <w:tcPr>
            <w:tcW w:w="1420" w:type="dxa"/>
            <w:vAlign w:val="bottom"/>
            <w:gridSpan w:val="2"/>
          </w:tcPr>
          <w:p>
            <w:pPr>
              <w:jc w:val="center"/>
              <w:ind w:right="580"/>
              <w:spacing w:after="0" w:line="160" w:lineRule="exact"/>
              <w:rPr>
                <w:sz w:val="20"/>
                <w:szCs w:val="20"/>
                <w:color w:val="auto"/>
              </w:rPr>
            </w:pPr>
            <w:r>
              <w:rPr>
                <w:rFonts w:ascii="Times New Roman" w:cs="Times New Roman" w:eastAsia="Times New Roman" w:hAnsi="Times New Roman"/>
                <w:sz w:val="14"/>
                <w:szCs w:val="14"/>
                <w:b w:val="1"/>
                <w:bCs w:val="1"/>
                <w:color w:val="auto"/>
              </w:rPr>
              <w:t>Offered</w:t>
            </w:r>
          </w:p>
        </w:tc>
        <w:tc>
          <w:tcPr>
            <w:tcW w:w="1740" w:type="dxa"/>
            <w:vAlign w:val="bottom"/>
            <w:gridSpan w:val="2"/>
            <w:vMerge w:val="continue"/>
          </w:tcPr>
          <w:p>
            <w:pPr>
              <w:spacing w:after="0"/>
              <w:rPr>
                <w:sz w:val="13"/>
                <w:szCs w:val="13"/>
                <w:color w:val="auto"/>
              </w:rPr>
            </w:pPr>
          </w:p>
        </w:tc>
        <w:tc>
          <w:tcPr>
            <w:tcW w:w="162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20"/>
        </w:trPr>
        <w:tc>
          <w:tcPr>
            <w:tcW w:w="3180" w:type="dxa"/>
            <w:vAlign w:val="bottom"/>
            <w:gridSpan w:val="2"/>
            <w:vMerge w:val="restart"/>
            <w:shd w:val="clear" w:color="auto" w:fill="CCEEFF"/>
          </w:tcPr>
          <w:p>
            <w:pPr>
              <w:spacing w:after="0" w:line="223" w:lineRule="exact"/>
              <w:rPr>
                <w:sz w:val="20"/>
                <w:szCs w:val="20"/>
                <w:color w:val="auto"/>
              </w:rPr>
            </w:pPr>
            <w:r>
              <w:rPr>
                <w:rFonts w:ascii="Times New Roman" w:cs="Times New Roman" w:eastAsia="Times New Roman" w:hAnsi="Times New Roman"/>
                <w:sz w:val="17"/>
                <w:szCs w:val="17"/>
                <w:color w:val="auto"/>
              </w:rPr>
              <w:t>Matthew Angel</w:t>
            </w:r>
            <w:r>
              <w:rPr>
                <w:rFonts w:ascii="Times New Roman" w:cs="Times New Roman" w:eastAsia="Times New Roman" w:hAnsi="Times New Roman"/>
                <w:sz w:val="25"/>
                <w:szCs w:val="25"/>
                <w:color w:val="auto"/>
                <w:vertAlign w:val="superscript"/>
              </w:rPr>
              <w:t>(2)</w:t>
            </w:r>
          </w:p>
        </w:tc>
        <w:tc>
          <w:tcPr>
            <w:tcW w:w="156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80" w:type="dxa"/>
            <w:vAlign w:val="bottom"/>
            <w:gridSpan w:val="2"/>
            <w:vMerge w:val="continue"/>
            <w:shd w:val="clear" w:color="auto" w:fill="CCEEFF"/>
          </w:tcPr>
          <w:p>
            <w:pPr>
              <w:spacing w:after="0"/>
              <w:rPr>
                <w:sz w:val="17"/>
                <w:szCs w:val="17"/>
                <w:color w:val="auto"/>
              </w:rPr>
            </w:pPr>
          </w:p>
        </w:tc>
        <w:tc>
          <w:tcPr>
            <w:tcW w:w="15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5,531,516</w:t>
            </w:r>
          </w:p>
        </w:tc>
        <w:tc>
          <w:tcPr>
            <w:tcW w:w="600" w:type="dxa"/>
            <w:vAlign w:val="bottom"/>
            <w:vMerge w:val="continue"/>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4,837,070</w:t>
            </w:r>
          </w:p>
        </w:tc>
        <w:tc>
          <w:tcPr>
            <w:tcW w:w="600" w:type="dxa"/>
            <w:vAlign w:val="bottom"/>
            <w:vMerge w:val="continue"/>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694,446</w:t>
            </w:r>
          </w:p>
        </w:tc>
        <w:tc>
          <w:tcPr>
            <w:tcW w:w="620" w:type="dxa"/>
            <w:vAlign w:val="bottom"/>
            <w:vMerge w:val="continue"/>
            <w:shd w:val="clear" w:color="auto" w:fill="CCEEFF"/>
          </w:tcPr>
          <w:p>
            <w:pPr>
              <w:spacing w:after="0"/>
              <w:rPr>
                <w:sz w:val="17"/>
                <w:szCs w:val="17"/>
                <w:color w:val="auto"/>
              </w:rPr>
            </w:pPr>
          </w:p>
        </w:tc>
        <w:tc>
          <w:tcPr>
            <w:tcW w:w="162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355"/>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Lotus Capital (BVI) Limited</w:t>
            </w:r>
            <w:r>
              <w:rPr>
                <w:rFonts w:ascii="Times New Roman" w:cs="Times New Roman" w:eastAsia="Times New Roman" w:hAnsi="Times New Roman"/>
                <w:sz w:val="26"/>
                <w:szCs w:val="26"/>
                <w:color w:val="auto"/>
                <w:vertAlign w:val="superscript"/>
              </w:rPr>
              <w:t>(3)</w:t>
            </w:r>
          </w:p>
        </w:tc>
        <w:tc>
          <w:tcPr>
            <w:tcW w:w="2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3,431,425</w:t>
            </w: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3,431,425</w:t>
            </w:r>
          </w:p>
        </w:tc>
        <w:tc>
          <w:tcPr>
            <w:tcW w:w="17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7715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3" w:lineRule="exact"/>
        <w:rPr>
          <w:sz w:val="20"/>
          <w:szCs w:val="20"/>
          <w:color w:val="auto"/>
        </w:rPr>
      </w:pPr>
    </w:p>
    <w:p>
      <w:pPr>
        <w:ind w:left="540" w:right="480" w:hanging="424"/>
        <w:spacing w:after="0" w:line="261" w:lineRule="auto"/>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the selling stockholders sell all Shares registered under this prospectus, but that each such selling stockholder does not sell or otherwise dispose of any of the other shares of common stock that it beneficially owns as of the date hereof.</w:t>
      </w:r>
    </w:p>
    <w:p>
      <w:pPr>
        <w:ind w:left="540" w:right="20" w:hanging="424"/>
        <w:spacing w:after="0" w:line="250" w:lineRule="auto"/>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4,837,070 shares of common stock held by the selling stockholder, (ii) 231,482 shares of common stock held by Factor Bioscience Inc. (“Factor”) and (iii) 462,964 shares of common stock issuable upon the exercise of warrants held by Factor. Dr. Angel is the majority equityholder of the parent of Factor and Chairman of the Board of Directors of Factor and exercises voting and investment power over the shares held by Factor.</w:t>
      </w:r>
    </w:p>
    <w:p>
      <w:pPr>
        <w:spacing w:after="0" w:line="1" w:lineRule="exact"/>
        <w:rPr>
          <w:rFonts w:ascii="Times New Roman" w:cs="Times New Roman" w:eastAsia="Times New Roman" w:hAnsi="Times New Roman"/>
          <w:sz w:val="18"/>
          <w:szCs w:val="18"/>
          <w:color w:val="auto"/>
        </w:rPr>
      </w:pPr>
    </w:p>
    <w:p>
      <w:pPr>
        <w:jc w:val="both"/>
        <w:ind w:left="540" w:right="460" w:hanging="424"/>
        <w:spacing w:after="0" w:line="255" w:lineRule="auto"/>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3,431,425 shares of common stock. The principal business address of Lotus Capital (BVI) Limited is Mandar House, 3rd Floor, Johnson’s Ghut, Tortola VG1110, British Virgin Islands. Bangxia Yang has sole voting and dispositive power over the shares held by Lotus Capital (BVI) Limited.</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Relationship with Selling Stockholders</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As discussed in greater detail above under the section “Prospectus Summary—Asset Purchase Agreement,” on November 19, 2025, we entered into the Asset Purchase Agreement pursuant to which we issued shares of common stock, and agreed with Sellers to file a registration statement to enable the resale of the shares of our</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40"/>
          </w:cols>
          <w:pgMar w:left="320" w:top="455" w:right="5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common stock covered by this prospectus. On February 3, 2026, following the Closing of the Asset Acquisition, Dr. Angel was appointed to serve as our President and Chief Executive Officer and as a member of our board of directors. No other selling stockholder or any persons having control over such selling stockholder has held any position or office with us or our affiliates within the last three years or has had a material relationship with us or any of our predecessors or affiliates within the past three years, other than as a result of the ownership of our shares.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selling stockholders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selling stockholders may use any one or more of the following methods when disposing of shares or interests therein:</w:t>
      </w:r>
    </w:p>
    <w:p>
      <w:pPr>
        <w:spacing w:after="0" w:line="131" w:lineRule="exact"/>
        <w:rPr>
          <w:sz w:val="20"/>
          <w:szCs w:val="20"/>
          <w:color w:val="auto"/>
        </w:rPr>
      </w:pPr>
    </w:p>
    <w:p>
      <w:pPr>
        <w:ind w:left="1540" w:hanging="331"/>
        <w:spacing w:after="0"/>
        <w:tabs>
          <w:tab w:leader="none" w:pos="1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members, partners, stockholders or other equityholders of the selling stockholders;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30" w:lineRule="exact"/>
        <w:rPr>
          <w:rFonts w:ascii="Times New Roman" w:cs="Times New Roman" w:eastAsia="Times New Roman" w:hAnsi="Times New Roman"/>
          <w:sz w:val="18"/>
          <w:szCs w:val="18"/>
          <w:color w:val="auto"/>
        </w:rPr>
      </w:pPr>
    </w:p>
    <w:p>
      <w:pPr>
        <w:ind w:left="1540" w:right="120" w:hanging="331"/>
        <w:spacing w:after="0" w:line="282" w:lineRule="auto"/>
        <w:tabs>
          <w:tab w:leader="none" w:pos="1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1540" w:hanging="331"/>
        <w:spacing w:after="0" w:line="282" w:lineRule="auto"/>
        <w:tabs>
          <w:tab w:leader="none" w:pos="1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and settlement of short sales entered into after the effective date of the registration statement of which this prospectus is a part;</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shares at a stipulated price per share;</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ind w:left="120" w:right="60" w:firstLine="440"/>
        <w:spacing w:after="0" w:line="270" w:lineRule="auto"/>
        <w:rPr>
          <w:sz w:val="20"/>
          <w:szCs w:val="20"/>
          <w:color w:val="auto"/>
        </w:rPr>
      </w:pPr>
      <w:r>
        <w:rPr>
          <w:rFonts w:ascii="Times New Roman" w:cs="Times New Roman" w:eastAsia="Times New Roman" w:hAnsi="Times New Roman"/>
          <w:sz w:val="17"/>
          <w:szCs w:val="17"/>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w:t>
      </w:r>
    </w:p>
    <w:p>
      <w:pPr>
        <w:spacing w:after="0" w:line="3" w:lineRule="exact"/>
        <w:rPr>
          <w:sz w:val="20"/>
          <w:szCs w:val="20"/>
          <w:color w:val="auto"/>
        </w:rPr>
      </w:pPr>
    </w:p>
    <w:p>
      <w:pPr>
        <w:ind w:left="120" w:right="720"/>
        <w:spacing w:after="0" w:line="260" w:lineRule="auto"/>
        <w:rPr>
          <w:sz w:val="20"/>
          <w:szCs w:val="20"/>
          <w:color w:val="auto"/>
        </w:rPr>
      </w:pPr>
      <w:r>
        <w:rPr>
          <w:rFonts w:ascii="Times New Roman" w:cs="Times New Roman" w:eastAsia="Times New Roman" w:hAnsi="Times New Roman"/>
          <w:sz w:val="18"/>
          <w:szCs w:val="18"/>
          <w:color w:val="auto"/>
        </w:rPr>
        <w:t>The selling stockholders also may transfer the shares of common stock in other circumstances, in which case the transferees, pledgees or other successors in interest may become the selling stockholders for purposes of this prospectus.</w:t>
      </w:r>
    </w:p>
    <w:p>
      <w:pPr>
        <w:spacing w:after="0" w:line="18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aggregate proceeds to the selling stockholders from the sale of the common stock offered by them will be the purchase price of the common stock less discounts or commissions, if any. Each of the selling stockholders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320" w:top="455" w:right="4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reserves the right to accept and, together with their agents from time to time, to reject, in whole or in part, any proposed purchase of common stock to be made directly or through agents. We will not receive any of the proceeds from this offering.</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83"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have agreed with the selling stockholders to use reasonable best efforts to cause the registration statement of which this prospectus constitutes a part to become effective and to remain continuously effective until such time as the selling stockholder no longer owns any Shares.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Certain legal matters, including the validity of the shares of common stock offered by this prospectus, will be passed upon by Cooley LLP.</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Tempest Therapeutics, Inc. appearing in Tempest Therapeutics, Inc.’s Annual Report (Form 10-K) for the year ended December 31, 2025 have been audited by Ernst &amp; Young LLP, independent registered public accounting firm, as set forth in their report thereon (which contains an explanatory paragraph describing conditions that raise substantial doubt about the Company’s ability to continue as a going concern as described in Note 1 to the consolidated financial statements), included therein, and incorporated herein by reference. Such consolidated financial statements are incorporated herein by reference in reliance upon such report given on the authority of such firm as experts in accounting and auditing.</w:t>
      </w: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left="120" w:right="340" w:firstLine="440"/>
        <w:spacing w:after="0" w:line="256" w:lineRule="auto"/>
        <w:rPr>
          <w:sz w:val="20"/>
          <w:szCs w:val="20"/>
          <w:color w:val="auto"/>
        </w:rPr>
      </w:pPr>
      <w:r>
        <w:rPr>
          <w:rFonts w:ascii="Times New Roman" w:cs="Times New Roman" w:eastAsia="Times New Roman" w:hAnsi="Times New Roman"/>
          <w:sz w:val="18"/>
          <w:szCs w:val="18"/>
          <w:color w:val="auto"/>
        </w:rPr>
        <w:t>This prospectus is part of the registration statement on Form S-3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w:t>
      </w:r>
    </w:p>
    <w:p>
      <w:pPr>
        <w:spacing w:after="0" w:line="187"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We maintain a website at www.tempesttx.com. Information contained in or accessible through our website does not constitute a part of this prospectus.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which means that we can disclose important information to you by referring you to another document filed separately with the SEC. The information incorporated by reference is considered to be part of this prospectus. Information in this prospectus supersedes information incorporated by reference that we filed with the SEC prior to the date of this prospectus. We incorporate by reference into this prospectus the information or documents listed below that we have filed with the</w:t>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 (File No. 001-35890):</w:t>
      </w:r>
    </w:p>
    <w:p>
      <w:pPr>
        <w:spacing w:after="0" w:line="112"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fiscal year ended December 31, 2025, filed with the SEC on </w:t>
      </w:r>
      <w:hyperlink r:id="rId30">
        <w:r>
          <w:rPr>
            <w:rFonts w:ascii="Times New Roman" w:cs="Times New Roman" w:eastAsia="Times New Roman" w:hAnsi="Times New Roman"/>
            <w:sz w:val="18"/>
            <w:szCs w:val="18"/>
            <w:u w:val="single" w:color="auto"/>
            <w:color w:val="0000EE"/>
          </w:rPr>
          <w:t>March 30, 2026</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31">
        <w:r>
          <w:rPr>
            <w:rFonts w:ascii="Times New Roman" w:cs="Times New Roman" w:eastAsia="Times New Roman" w:hAnsi="Times New Roman"/>
            <w:sz w:val="18"/>
            <w:szCs w:val="18"/>
            <w:u w:val="single" w:color="auto"/>
            <w:color w:val="0000EE"/>
          </w:rPr>
          <w:t>January 9, 2026</w:t>
        </w:r>
      </w:hyperlink>
      <w:r>
        <w:rPr>
          <w:rFonts w:ascii="Times New Roman" w:cs="Times New Roman" w:eastAsia="Times New Roman" w:hAnsi="Times New Roman"/>
          <w:sz w:val="18"/>
          <w:szCs w:val="18"/>
          <w:color w:val="auto"/>
        </w:rPr>
        <w:t xml:space="preserve">, </w:t>
      </w:r>
      <w:hyperlink r:id="rId32">
        <w:r>
          <w:rPr>
            <w:rFonts w:ascii="Times New Roman" w:cs="Times New Roman" w:eastAsia="Times New Roman" w:hAnsi="Times New Roman"/>
            <w:sz w:val="18"/>
            <w:szCs w:val="18"/>
            <w:u w:val="single" w:color="auto"/>
            <w:color w:val="0000EE"/>
          </w:rPr>
          <w:t>January 28, 2026</w:t>
        </w:r>
      </w:hyperlink>
      <w:r>
        <w:rPr>
          <w:rFonts w:ascii="Times New Roman" w:cs="Times New Roman" w:eastAsia="Times New Roman" w:hAnsi="Times New Roman"/>
          <w:sz w:val="18"/>
          <w:szCs w:val="18"/>
          <w:color w:val="auto"/>
        </w:rPr>
        <w:t xml:space="preserve">, </w:t>
      </w:r>
      <w:hyperlink r:id="rId33">
        <w:r>
          <w:rPr>
            <w:rFonts w:ascii="Times New Roman" w:cs="Times New Roman" w:eastAsia="Times New Roman" w:hAnsi="Times New Roman"/>
            <w:sz w:val="18"/>
            <w:szCs w:val="18"/>
            <w:u w:val="single" w:color="auto"/>
            <w:color w:val="0000EE"/>
          </w:rPr>
          <w:t>February 6, 2026</w:t>
        </w:r>
      </w:hyperlink>
      <w:r>
        <w:rPr>
          <w:rFonts w:ascii="Times New Roman" w:cs="Times New Roman" w:eastAsia="Times New Roman" w:hAnsi="Times New Roman"/>
          <w:sz w:val="18"/>
          <w:szCs w:val="18"/>
          <w:color w:val="auto"/>
        </w:rPr>
        <w:t xml:space="preserve">, </w:t>
      </w:r>
      <w:hyperlink r:id="rId34">
        <w:r>
          <w:rPr>
            <w:rFonts w:ascii="Times New Roman" w:cs="Times New Roman" w:eastAsia="Times New Roman" w:hAnsi="Times New Roman"/>
            <w:sz w:val="18"/>
            <w:szCs w:val="18"/>
            <w:u w:val="single" w:color="auto"/>
            <w:color w:val="0000EE"/>
          </w:rPr>
          <w:t>February 25,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35">
        <w:r>
          <w:rPr>
            <w:rFonts w:ascii="Times New Roman" w:cs="Times New Roman" w:eastAsia="Times New Roman" w:hAnsi="Times New Roman"/>
            <w:sz w:val="18"/>
            <w:szCs w:val="18"/>
            <w:u w:val="single" w:color="auto"/>
            <w:color w:val="0000EE"/>
          </w:rPr>
          <w:t>March 23,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to the extent the information in such reports is filed and not furnished; and</w:t>
      </w:r>
    </w:p>
    <w:p>
      <w:pPr>
        <w:spacing w:after="0" w:line="67" w:lineRule="exact"/>
        <w:rPr>
          <w:rFonts w:ascii="Times New Roman" w:cs="Times New Roman" w:eastAsia="Times New Roman" w:hAnsi="Times New Roman"/>
          <w:sz w:val="18"/>
          <w:szCs w:val="18"/>
          <w:color w:val="0000EE"/>
        </w:rPr>
      </w:pPr>
    </w:p>
    <w:p>
      <w:pPr>
        <w:ind w:left="1080" w:right="22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set forth in our registration statement on </w:t>
      </w:r>
      <w:hyperlink r:id="rId36">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001-35890), filed with the SEC on April 25, 2013, including any amendments thereto or reports filed for the purposes of updating this description, including </w:t>
      </w:r>
      <w:hyperlink r:id="rId37">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fiscal year ended December 31, 2025 filed with the SEC on March 30, 2026.</w:t>
      </w:r>
    </w:p>
    <w:p>
      <w:pPr>
        <w:spacing w:after="0" w:line="176" w:lineRule="exact"/>
        <w:rPr>
          <w:rFonts w:ascii="Times New Roman" w:cs="Times New Roman" w:eastAsia="Times New Roman" w:hAnsi="Times New Roman"/>
          <w:sz w:val="18"/>
          <w:szCs w:val="18"/>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statements in the preceding paragraphs, no document, report or exhibit (or portion of any of the foregoing) or any other information that we have “furnished” to the SEC pursuant to the Exchange Act shall be incorporated by reference into this prospectus.</w:t>
      </w:r>
    </w:p>
    <w:p>
      <w:pPr>
        <w:spacing w:after="0" w:line="162" w:lineRule="exact"/>
        <w:rPr>
          <w:rFonts w:ascii="Times New Roman" w:cs="Times New Roman" w:eastAsia="Times New Roman" w:hAnsi="Times New Roman"/>
          <w:sz w:val="18"/>
          <w:szCs w:val="18"/>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We also incorporate by reference into this prospectus all documents (other than current reports furnished under Item 2.02 or Item 7.01 of Form 8-K and exhibits filed on such form that are related to such items, and other information that is furnished or is otherwise not incorporated into registrations statements pursuant to applicable SEC rules) that are filed by us with the SEC pursuant to Sections 13(a), 13(c), 14 or 15(d) of the Exchange Act after the date of this prospectus but prior to the termination of the offering. These documents include periodic reports, such as Annual Reports on Form 10-K, Quarterly Reports on Form 10-Q and Current Reports on Form 8-K, as well as proxy statements.</w:t>
      </w:r>
    </w:p>
    <w:p>
      <w:pPr>
        <w:spacing w:after="0" w:line="183" w:lineRule="exact"/>
        <w:rPr>
          <w:rFonts w:ascii="Times New Roman" w:cs="Times New Roman" w:eastAsia="Times New Roman" w:hAnsi="Times New Roman"/>
          <w:sz w:val="18"/>
          <w:szCs w:val="18"/>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should direct any requests for documents to Tempest Therapeutics, Inc., Attn: Investor Relations, 2000 Sierra Point Parkway, Suite 400, Brisbane, California 94005; telephone: (415) 798-8589.</w:t>
      </w:r>
    </w:p>
    <w:p>
      <w:pPr>
        <w:spacing w:after="0" w:line="112" w:lineRule="exact"/>
        <w:rPr>
          <w:rFonts w:ascii="Times New Roman" w:cs="Times New Roman" w:eastAsia="Times New Roman" w:hAnsi="Times New Roman"/>
          <w:sz w:val="18"/>
          <w:szCs w:val="18"/>
          <w:color w:val="auto"/>
        </w:rPr>
      </w:pPr>
    </w:p>
    <w:p>
      <w:pPr>
        <w:ind w:left="5540"/>
        <w:spacing w:after="0"/>
        <w:rPr>
          <w:sz w:val="20"/>
          <w:szCs w:val="20"/>
          <w:color w:val="auto"/>
        </w:rPr>
      </w:pPr>
      <w:r>
        <w:rPr>
          <w:rFonts w:ascii="Times New Roman" w:cs="Times New Roman" w:eastAsia="Times New Roman" w:hAnsi="Times New Roman"/>
          <w:sz w:val="18"/>
          <w:szCs w:val="18"/>
          <w:color w:val="auto"/>
        </w:rPr>
        <w:t>12</w:t>
      </w:r>
    </w:p>
    <w:sectPr>
      <w:pgSz w:w="11900" w:h="16838" w:orient="portrait"/>
      <w:cols w:equalWidth="0" w:num="1">
        <w:col w:w="11080"/>
      </w:cols>
      <w:pgMar w:left="320" w:top="455"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hyperlink" Target="http://www.sec.gov/ix?doc=/Archives/edgar/data/1544227/000119312526130490/tpst-20251231.htm" TargetMode="External"/><Relationship Id="rId31" Type="http://schemas.openxmlformats.org/officeDocument/2006/relationships/hyperlink" Target="http://www.sec.gov/ix?doc=/Archives/edgar/data/1544227/000119312526008938/d30095d8k.htm" TargetMode="External"/><Relationship Id="rId32" Type="http://schemas.openxmlformats.org/officeDocument/2006/relationships/hyperlink" Target="http://www.sec.gov/ix?doc=/Archives/edgar/data/1544227/000119312526027203/d70064d8k.htm" TargetMode="External"/><Relationship Id="rId33" Type="http://schemas.openxmlformats.org/officeDocument/2006/relationships/hyperlink" Target="http://www.sec.gov/ix?doc=/Archives/edgar/data/1544227/000119312526041190/d159400d8k.htm" TargetMode="External"/><Relationship Id="rId34" Type="http://schemas.openxmlformats.org/officeDocument/2006/relationships/hyperlink" Target="http://www.sec.gov/ix?doc=/Archives/edgar/data/1544227/000119312526068614/d22967d8k.htm" TargetMode="External"/><Relationship Id="rId35" Type="http://schemas.openxmlformats.org/officeDocument/2006/relationships/hyperlink" Target="http://www.sec.gov/ix?doc=/Archives/edgar/data/1544227/000119312526118618/d85035d8k.htm" TargetMode="External"/><Relationship Id="rId36" Type="http://schemas.openxmlformats.org/officeDocument/2006/relationships/hyperlink" Target="http://www.sec.gov/Archives/edgar/data/1544227/000110465913033085/a13-9660_28a12b.htm" TargetMode="External"/><Relationship Id="rId37" Type="http://schemas.openxmlformats.org/officeDocument/2006/relationships/hyperlink" Target="http://www.sec.gov/Archives/edgar/data/1544227/000119312526130490/tpst-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2026-04-10T08:27:44Z</dcterms:created>
  <dcterms:modified xsi:type="dcterms:W3CDTF">2026-04-10T08:27:44Z</dcterms:modified>
</cp:coreProperties>
</file>