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pst-20240509.htm"/>
      <w:bookmarkStart w:id="1" w:name="kstpst20240509"/>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414" w:type="dxa"/>
        <w:jc w:val="left"/>
        <w:tblInd w:w="0" w:type="dxa"/>
        <w:tblLayout w:type="fixed"/>
        <w:tblCellMar>
          <w:top w:w="28" w:type="dxa"/>
          <w:left w:w="28" w:type="dxa"/>
          <w:bottom w:w="28" w:type="dxa"/>
          <w:right w:w="28" w:type="dxa"/>
        </w:tblCellMar>
      </w:tblPr>
      <w:tblGrid>
        <w:gridCol w:w="5414"/>
      </w:tblGrid>
      <w:tr>
        <w:trPr/>
        <w:tc>
          <w:tcPr>
            <w:tcW w:w="5414" w:type="dxa"/>
            <w:tcBorders/>
            <w:vAlign w:val="center"/>
          </w:tcPr>
          <w:p>
            <w:pPr>
              <w:pStyle w:val="TableContents"/>
              <w:bidi w:val="0"/>
              <w:spacing w:before="0" w:after="283"/>
              <w:jc w:val="left"/>
              <w:rPr>
                <w:sz w:val="4"/>
                <w:szCs w:val="4"/>
              </w:rPr>
            </w:pPr>
            <w:r>
              <w:rPr>
                <w:sz w:val="4"/>
                <w:szCs w:val="4"/>
              </w:rPr>
            </w:r>
          </w:p>
        </w:tc>
      </w:tr>
      <w:tr>
        <w:trPr/>
        <w:tc>
          <w:tcPr>
            <w:tcW w:w="541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May 09, 2024</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Tempest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481" w:type="dxa"/>
        <w:jc w:val="left"/>
        <w:tblInd w:w="0" w:type="dxa"/>
        <w:tblLayout w:type="fixed"/>
        <w:tblCellMar>
          <w:top w:w="28" w:type="dxa"/>
          <w:left w:w="28" w:type="dxa"/>
          <w:bottom w:w="28" w:type="dxa"/>
          <w:right w:w="28" w:type="dxa"/>
        </w:tblCellMar>
      </w:tblPr>
      <w:tblGrid>
        <w:gridCol w:w="1166"/>
        <w:gridCol w:w="1064"/>
        <w:gridCol w:w="1069"/>
        <w:gridCol w:w="1846"/>
        <w:gridCol w:w="1336"/>
      </w:tblGrid>
      <w:tr>
        <w:trPr/>
        <w:tc>
          <w:tcPr>
            <w:tcW w:w="116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001-35890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45-1472564</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2000 Sierra Point Parkway, Suite 400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Brisbane,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94005</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6119"/>
      </w:tblGrid>
      <w:tr>
        <w:trPr/>
        <w:tc>
          <w:tcPr>
            <w:tcW w:w="6119" w:type="dxa"/>
            <w:tcBorders/>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(415)</w:t>
            </w:r>
            <w:r>
              <w:rPr>
                <w:rFonts w:ascii="Times New Roman" w:hAnsi="Times New Roman"/>
                <w:color w:val="000000"/>
                <w:sz w:val="20"/>
              </w:rPr>
              <w:t xml:space="preserve"> </w:t>
            </w:r>
            <w:r>
              <w:rPr>
                <w:rFonts w:ascii="Times New Roman" w:hAnsi="Times New Roman"/>
                <w:b/>
                <w:color w:val="000000"/>
                <w:sz w:val="20"/>
              </w:rPr>
              <w:t>798-8589</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8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610" w:type="dxa"/>
        <w:jc w:val="left"/>
        <w:tblInd w:w="0" w:type="dxa"/>
        <w:tblLayout w:type="fixed"/>
        <w:tblCellMar>
          <w:top w:w="28" w:type="dxa"/>
          <w:left w:w="28" w:type="dxa"/>
          <w:bottom w:w="28" w:type="dxa"/>
          <w:right w:w="28" w:type="dxa"/>
        </w:tblCellMar>
      </w:tblPr>
      <w:tblGrid>
        <w:gridCol w:w="4546"/>
        <w:gridCol w:w="146"/>
        <w:gridCol w:w="946"/>
        <w:gridCol w:w="146"/>
        <w:gridCol w:w="3826"/>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5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TPST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4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Series A Junior Participating Preferred Purchase Rights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May 9, 2024, Tempest Therapeutics, Inc. (the “Company”) issued a press release announcing its financial results for the quarter ended March 31, 2024 and other business highlights. A copy of the Company’s press release dated May 9, 2024, titled “Tempest Reports First Quarter 2024 Financial Results and Provides Business Update” is attached hereto as Exhibit 99.1 and is incorporated herein by reference.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foregoing information (including Exhibit 99.1 hereto) is being furnished under “Item 2.02 Results of Operations and Financial Condition” and shall not be deemed “filed” for purposes of Section 18 of the Securities Exchange Act of 1934, as amended, or otherwise subject to the liabilities of that section, nor shall it be deemed incorporated by reference in any filing under the Securities Act of 1933, as amended, except as shall be expressly set forth by specific reference in such filing.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 xml:space="preserve">(d) Exhibits. </w:t>
      </w:r>
    </w:p>
    <w:tbl>
      <w:tblPr>
        <w:tblW w:w="7727" w:type="dxa"/>
        <w:jc w:val="left"/>
        <w:tblInd w:w="0" w:type="dxa"/>
        <w:tblLayout w:type="fixed"/>
        <w:tblCellMar>
          <w:top w:w="28" w:type="dxa"/>
          <w:left w:w="28" w:type="dxa"/>
          <w:bottom w:w="28" w:type="dxa"/>
          <w:right w:w="28" w:type="dxa"/>
        </w:tblCellMar>
      </w:tblPr>
      <w:tblGrid>
        <w:gridCol w:w="1126"/>
        <w:gridCol w:w="6601"/>
      </w:tblGrid>
      <w:tr>
        <w:trPr/>
        <w:tc>
          <w:tcPr>
            <w:tcW w:w="112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 No.</w:t>
            </w:r>
            <w:r>
              <w:rPr>
                <w:rFonts w:ascii="Times New Roman" w:hAnsi="Times New Roman"/>
                <w:color w:val="000000"/>
                <w:sz w:val="20"/>
              </w:rPr>
              <w:t xml:space="preserve">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Description</w:t>
            </w:r>
            <w:r>
              <w:rPr>
                <w:rFonts w:ascii="Times New Roman" w:hAnsi="Times New Roman"/>
                <w:color w:val="000000"/>
                <w:sz w:val="20"/>
              </w:rPr>
              <w:t xml:space="preserve"> </w:t>
            </w:r>
          </w:p>
        </w:tc>
      </w:tr>
      <w:tr>
        <w:trPr/>
        <w:tc>
          <w:tcPr>
            <w:tcW w:w="112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tpst-ex99_1.htm">
              <w:r>
                <w:rPr>
                  <w:rStyle w:val="InternetLink"/>
                  <w:rFonts w:ascii="Times New Roman" w:hAnsi="Times New Roman"/>
                  <w:color w:val="0000FF"/>
                  <w:sz w:val="20"/>
                  <w:u w:val="single"/>
                </w:rPr>
                <w:t>Press release dated May 9, 2024</w:t>
              </w:r>
            </w:hyperlink>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479" w:type="dxa"/>
        <w:jc w:val="left"/>
        <w:tblInd w:w="0" w:type="dxa"/>
        <w:tblLayout w:type="fixed"/>
        <w:tblCellMar>
          <w:top w:w="28" w:type="dxa"/>
          <w:left w:w="28" w:type="dxa"/>
          <w:bottom w:w="28" w:type="dxa"/>
          <w:right w:w="28" w:type="dxa"/>
        </w:tblCellMar>
      </w:tblPr>
      <w:tblGrid>
        <w:gridCol w:w="556"/>
        <w:gridCol w:w="1141"/>
        <w:gridCol w:w="631"/>
        <w:gridCol w:w="3151"/>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TEMPEST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4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9, 2024</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15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Stephen Brady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Stephen Brady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15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tpst-ex99_1.htm"/>
      <w:bookmarkStart w:id="3" w:name="kstpstex99_1"/>
      <w:bookmarkEnd w:id="2"/>
      <w:bookmarkEnd w:id="3"/>
      <w:r>
        <w:rPr>
          <w:rFonts w:ascii="Times New Roman" w:hAnsi="Times New Roman"/>
          <w:b/>
          <w:color w:val="000000"/>
          <w:sz w:val="20"/>
        </w:rPr>
        <w:t>Exhibit 99.1</w:t>
      </w:r>
      <w:r>
        <w:br w:type="page"/>
      </w:r>
    </w:p>
    <w:p>
      <w:pPr>
        <w:pStyle w:val="TextBody"/>
        <w:bidi w:val="0"/>
        <w:jc w:val="left"/>
        <w:rPr/>
      </w:pPr>
      <w:r>
        <w:rPr/>
        <w:t> </w:t>
      </w:r>
    </w:p>
    <w:p>
      <w:pPr>
        <w:pStyle w:val="TextBody"/>
        <w:bidi w:val="0"/>
        <w:jc w:val="center"/>
        <w:rPr/>
      </w:pPr>
      <w:r>
        <w:rPr/>
        <w:drawing>
          <wp:inline distT="0" distB="0" distL="0" distR="0">
            <wp:extent cx="3524250" cy="942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24250" cy="942975"/>
                    </a:xfrm>
                    <a:prstGeom prst="rect">
                      <a:avLst/>
                    </a:prstGeom>
                  </pic:spPr>
                </pic:pic>
              </a:graphicData>
            </a:graphic>
          </wp:inline>
        </w:drawing>
      </w:r>
      <w:r>
        <w:rPr>
          <w:color w:val="000000"/>
        </w:rPr>
        <w:t xml:space="preserve"> </w:t>
      </w:r>
    </w:p>
    <w:p>
      <w:pPr>
        <w:pStyle w:val="TextBody"/>
        <w:bidi w:val="0"/>
        <w:jc w:val="center"/>
        <w:rPr/>
      </w:pPr>
      <w:r>
        <w:rPr/>
        <w:t> </w:t>
      </w:r>
    </w:p>
    <w:p>
      <w:pPr>
        <w:pStyle w:val="TextBody"/>
        <w:bidi w:val="0"/>
        <w:spacing w:before="0" w:after="60"/>
        <w:jc w:val="center"/>
        <w:rPr>
          <w:rFonts w:ascii="Arial" w:hAnsi="Arial"/>
          <w:b/>
          <w:color w:val="000000"/>
          <w:sz w:val="28"/>
        </w:rPr>
      </w:pPr>
      <w:r>
        <w:rPr>
          <w:rFonts w:ascii="Arial" w:hAnsi="Arial"/>
          <w:b/>
          <w:color w:val="000000"/>
          <w:sz w:val="28"/>
        </w:rPr>
        <w:t>Tempest Reports First Quarter 2024 Financial Results and</w:t>
      </w:r>
    </w:p>
    <w:p>
      <w:pPr>
        <w:pStyle w:val="TextBody"/>
        <w:bidi w:val="0"/>
        <w:spacing w:before="0" w:after="120"/>
        <w:jc w:val="center"/>
        <w:rPr>
          <w:rFonts w:ascii="Arial" w:hAnsi="Arial"/>
          <w:b/>
          <w:color w:val="000000"/>
          <w:sz w:val="28"/>
        </w:rPr>
      </w:pPr>
      <w:r>
        <w:rPr>
          <w:rFonts w:ascii="Arial" w:hAnsi="Arial"/>
          <w:b/>
          <w:color w:val="000000"/>
          <w:sz w:val="28"/>
        </w:rPr>
        <w:t>Provides Business Update</w:t>
      </w:r>
    </w:p>
    <w:p>
      <w:pPr>
        <w:pStyle w:val="TextBody"/>
        <w:bidi w:val="0"/>
        <w:spacing w:before="0" w:after="120"/>
        <w:jc w:val="left"/>
        <w:rPr>
          <w:rFonts w:ascii="Times New Roman" w:hAnsi="Times New Roman"/>
          <w:color w:val="000000"/>
          <w:sz w:val="26"/>
        </w:rPr>
      </w:pPr>
      <w:r>
        <w:rPr>
          <w:rFonts w:ascii="Times New Roman" w:hAnsi="Times New Roman"/>
          <w:color w:val="000000"/>
          <w:sz w:val="26"/>
        </w:rPr>
        <w:t>-</w:t>
      </w:r>
    </w:p>
    <w:p>
      <w:pPr>
        <w:pStyle w:val="TextBody"/>
        <w:bidi w:val="0"/>
        <w:spacing w:before="0" w:after="120"/>
        <w:jc w:val="left"/>
        <w:rPr>
          <w:rFonts w:ascii="Arial" w:hAnsi="Arial"/>
          <w:i/>
          <w:color w:val="000000"/>
          <w:sz w:val="26"/>
        </w:rPr>
      </w:pPr>
      <w:r>
        <w:rPr>
          <w:rFonts w:ascii="Arial" w:hAnsi="Arial"/>
          <w:i/>
          <w:color w:val="000000"/>
          <w:sz w:val="26"/>
        </w:rPr>
        <w:t>Advancing TPST-1120 into a pivotal Phase 3 trial in first-line HCC and TPST-1495 into a Phase 2 in FAP</w:t>
      </w:r>
    </w:p>
    <w:p>
      <w:pPr>
        <w:pStyle w:val="TextBody"/>
        <w:bidi w:val="0"/>
        <w:spacing w:before="0" w:after="120"/>
        <w:jc w:val="left"/>
        <w:rPr>
          <w:rFonts w:ascii="Times New Roman" w:hAnsi="Times New Roman"/>
          <w:color w:val="000000"/>
          <w:sz w:val="26"/>
        </w:rPr>
      </w:pPr>
      <w:r>
        <w:rPr>
          <w:rFonts w:ascii="Times New Roman" w:hAnsi="Times New Roman"/>
          <w:color w:val="000000"/>
          <w:sz w:val="26"/>
        </w:rPr>
        <w:t>-</w:t>
      </w:r>
    </w:p>
    <w:p>
      <w:pPr>
        <w:pStyle w:val="TextBody"/>
        <w:bidi w:val="0"/>
        <w:spacing w:before="0" w:after="120"/>
        <w:jc w:val="left"/>
        <w:rPr>
          <w:rFonts w:ascii="Arial" w:hAnsi="Arial"/>
          <w:i/>
          <w:color w:val="000000"/>
          <w:sz w:val="26"/>
        </w:rPr>
      </w:pPr>
      <w:r>
        <w:rPr>
          <w:rFonts w:ascii="Arial" w:hAnsi="Arial"/>
          <w:i/>
          <w:color w:val="000000"/>
          <w:sz w:val="26"/>
        </w:rPr>
        <w:t>Reported new preclinical data for TPST-1120 in kidney cancer at the AACR Annual Meeting</w:t>
      </w:r>
    </w:p>
    <w:p>
      <w:pPr>
        <w:pStyle w:val="TextBody"/>
        <w:bidi w:val="0"/>
        <w:spacing w:before="0" w:after="120"/>
        <w:jc w:val="left"/>
        <w:rPr>
          <w:rFonts w:ascii="Times New Roman" w:hAnsi="Times New Roman"/>
          <w:color w:val="000000"/>
          <w:sz w:val="26"/>
        </w:rPr>
      </w:pPr>
      <w:r>
        <w:rPr>
          <w:rFonts w:ascii="Times New Roman" w:hAnsi="Times New Roman"/>
          <w:color w:val="000000"/>
          <w:sz w:val="26"/>
        </w:rPr>
        <w:t>-</w:t>
      </w:r>
    </w:p>
    <w:p>
      <w:pPr>
        <w:pStyle w:val="TextBody"/>
        <w:bidi w:val="0"/>
        <w:spacing w:before="0" w:after="120"/>
        <w:jc w:val="left"/>
        <w:rPr>
          <w:rFonts w:ascii="Arial" w:hAnsi="Arial"/>
          <w:i/>
          <w:color w:val="000000"/>
          <w:sz w:val="26"/>
        </w:rPr>
      </w:pPr>
      <w:r>
        <w:rPr>
          <w:rFonts w:ascii="Arial" w:hAnsi="Arial"/>
          <w:i/>
          <w:color w:val="000000"/>
          <w:sz w:val="26"/>
        </w:rPr>
        <w:t>Published positive data from the Phase 1 Trial of TPST-1120 in patients with advanced solid tumors in the Journal of Cancer Research Communications</w:t>
      </w:r>
    </w:p>
    <w:p>
      <w:pPr>
        <w:pStyle w:val="TextBody"/>
        <w:bidi w:val="0"/>
        <w:spacing w:before="0" w:after="120"/>
        <w:jc w:val="left"/>
        <w:rPr>
          <w:rFonts w:ascii="Times New Roman" w:hAnsi="Times New Roman"/>
          <w:color w:val="000000"/>
          <w:sz w:val="26"/>
        </w:rPr>
      </w:pPr>
      <w:r>
        <w:rPr>
          <w:rFonts w:ascii="Times New Roman" w:hAnsi="Times New Roman"/>
          <w:color w:val="000000"/>
          <w:sz w:val="26"/>
        </w:rPr>
        <w:t>-</w:t>
      </w:r>
    </w:p>
    <w:p>
      <w:pPr>
        <w:pStyle w:val="TextBody"/>
        <w:bidi w:val="0"/>
        <w:spacing w:before="0" w:after="120"/>
        <w:jc w:val="left"/>
        <w:rPr>
          <w:rFonts w:ascii="Arial" w:hAnsi="Arial"/>
          <w:i/>
          <w:color w:val="000000"/>
          <w:sz w:val="26"/>
        </w:rPr>
      </w:pPr>
      <w:r>
        <w:rPr>
          <w:rFonts w:ascii="Arial" w:hAnsi="Arial"/>
          <w:i/>
          <w:color w:val="000000"/>
          <w:sz w:val="26"/>
        </w:rPr>
        <w:t xml:space="preserve">Presented new data at the SITC 2024 Spring Scientific Meeting elucidating the mechanism of TPST-1120 and supporting its potential in multiple cancers </w:t>
      </w:r>
    </w:p>
    <w:p>
      <w:pPr>
        <w:pStyle w:val="TextBody"/>
        <w:bidi w:val="0"/>
        <w:spacing w:before="240" w:after="160"/>
        <w:jc w:val="both"/>
        <w:rPr>
          <w:rFonts w:ascii="Times New Roman" w:hAnsi="Times New Roman"/>
          <w:sz w:val="20"/>
        </w:rPr>
      </w:pPr>
      <w:r>
        <w:rPr>
          <w:rFonts w:ascii="Arial" w:hAnsi="Arial"/>
          <w:b/>
          <w:color w:val="000000"/>
          <w:sz w:val="24"/>
        </w:rPr>
        <w:t>Brisbane, CA</w:t>
      </w:r>
      <w:r>
        <w:rPr>
          <w:rFonts w:ascii="Arial" w:hAnsi="Arial"/>
          <w:color w:val="000000"/>
          <w:sz w:val="24"/>
        </w:rPr>
        <w:t xml:space="preserve">, May 9, 2024 </w:t>
      </w:r>
      <w:r>
        <w:rPr>
          <w:rFonts w:ascii="Times New Roman" w:hAnsi="Times New Roman"/>
          <w:color w:val="000000"/>
          <w:sz w:val="20"/>
        </w:rPr>
        <w:t xml:space="preserve">– </w:t>
      </w:r>
      <w:r>
        <w:rPr>
          <w:rFonts w:ascii="Arial" w:hAnsi="Arial"/>
          <w:color w:val="000000"/>
          <w:sz w:val="24"/>
        </w:rPr>
        <w:t>Tempest Therapeutics, Inc. (Nasdaq: TPST), a clinical-stage biotechnology company developing first-in-class</w:t>
      </w:r>
      <w:r>
        <w:rPr>
          <w:rFonts w:ascii="Arial" w:hAnsi="Arial"/>
          <w:color w:val="000000"/>
          <w:sz w:val="16"/>
        </w:rPr>
        <w:t>i</w:t>
      </w:r>
      <w:r>
        <w:rPr>
          <w:rFonts w:ascii="Times New Roman" w:hAnsi="Times New Roman"/>
          <w:color w:val="000000"/>
          <w:sz w:val="20"/>
        </w:rPr>
        <w:t xml:space="preserve"> </w:t>
      </w:r>
      <w:r>
        <w:rPr>
          <w:rFonts w:ascii="Arial" w:hAnsi="Arial"/>
          <w:color w:val="000000"/>
          <w:sz w:val="24"/>
        </w:rPr>
        <w:t>targeted and immune-mediated therapeutics to fight cancer, today reported financial results for the quarter ended March 31, 2024, and provided a corporate update.</w:t>
      </w:r>
    </w:p>
    <w:p>
      <w:pPr>
        <w:pStyle w:val="TextBody"/>
        <w:bidi w:val="0"/>
        <w:spacing w:before="240" w:after="160"/>
        <w:jc w:val="both"/>
        <w:rPr>
          <w:rFonts w:ascii="Arial" w:hAnsi="Arial"/>
          <w:color w:val="000000"/>
          <w:sz w:val="24"/>
        </w:rPr>
      </w:pPr>
      <w:r>
        <w:rPr>
          <w:rFonts w:ascii="Arial" w:hAnsi="Arial"/>
          <w:color w:val="000000"/>
          <w:sz w:val="24"/>
        </w:rPr>
        <w:t>"The positive data and mechanistic analysis presented in the first quarter build on the positive preclinical and clinical data package for TPST-1120, further confirming and reinforcing our excitement about the potential of TPST-1120 in liver and kidney cancers, as well as other indications, and our confidence in the program as it moves closer to a pivotal Phase 3 study in first-line HCC,” said Stephen Brady, president and chief executive officer of Tempest.</w:t>
      </w:r>
    </w:p>
    <w:p>
      <w:pPr>
        <w:pStyle w:val="TextBody"/>
        <w:bidi w:val="0"/>
        <w:spacing w:before="240" w:after="240"/>
        <w:jc w:val="left"/>
        <w:rPr>
          <w:rFonts w:ascii="Arial" w:hAnsi="Arial"/>
          <w:b/>
          <w:color w:val="000000"/>
          <w:sz w:val="24"/>
        </w:rPr>
      </w:pPr>
      <w:r>
        <w:rPr>
          <w:rFonts w:ascii="Arial" w:hAnsi="Arial"/>
          <w:b/>
          <w:color w:val="000000"/>
          <w:sz w:val="24"/>
        </w:rPr>
        <w:t>Recent Highlights</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Arial" w:hAnsi="Arial"/>
          <w:b/>
          <w:color w:val="000000"/>
          <w:sz w:val="24"/>
        </w:rPr>
        <w:t xml:space="preserve">TPST-1120 </w:t>
      </w:r>
      <w:r>
        <w:rPr>
          <w:rFonts w:ascii="Arial" w:hAnsi="Arial"/>
          <w:color w:val="000000"/>
          <w:sz w:val="24"/>
        </w:rPr>
        <w:t xml:space="preserve">(clinical PPARα antagonist): </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60"/>
        <w:jc w:val="both"/>
        <w:rPr>
          <w:rFonts w:ascii="Arial" w:hAnsi="Arial"/>
          <w:color w:val="000000"/>
          <w:sz w:val="24"/>
        </w:rPr>
      </w:pPr>
      <w:r>
        <w:rPr>
          <w:rFonts w:ascii="Arial" w:hAnsi="Arial"/>
          <w:color w:val="000000"/>
          <w:sz w:val="24"/>
        </w:rPr>
        <w:t xml:space="preserve">Reported new preclinical data at the 2024 American Association for Cancer Research (AACR) Annual Meeting demonstrating that TPST-1120 reduces kidney cancer (RCC) growth as a monotherapy, while also showing increased inhibition when combined with frontline chemotherapy and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Arial" w:hAnsi="Arial"/>
          <w:color w:val="000000"/>
          <w:sz w:val="24"/>
        </w:rPr>
      </w:pPr>
      <w:r>
        <w:rPr>
          <w:rFonts w:ascii="Arial" w:hAnsi="Arial"/>
          <w:color w:val="000000"/>
          <w:sz w:val="24"/>
        </w:rPr>
        <w:t>immunotherapy. These data further support the clinical benefit observed in the TPST-1120 Phase 1 data presented in an oral presentation at ASCO 2022.</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60"/>
        <w:jc w:val="both"/>
        <w:rPr/>
      </w:pPr>
      <w:r>
        <w:rPr>
          <w:rFonts w:ascii="Arial" w:hAnsi="Arial"/>
          <w:color w:val="000000"/>
          <w:sz w:val="24"/>
        </w:rPr>
        <w:t xml:space="preserve">Published positive data from Phase 1 Trial of TPST-1120 in patients with advanced solid tumors in the </w:t>
      </w:r>
      <w:r>
        <w:rPr>
          <w:rFonts w:ascii="Arial" w:hAnsi="Arial"/>
          <w:i/>
          <w:color w:val="000000"/>
          <w:sz w:val="24"/>
        </w:rPr>
        <w:t>Journal of Cancer Research Communications</w:t>
      </w:r>
      <w:r>
        <w:rPr>
          <w:rFonts w:ascii="Arial" w:hAnsi="Arial"/>
          <w:color w:val="000000"/>
          <w:sz w:val="24"/>
        </w:rPr>
        <w:t>. Data showed that TPST-1120 demonstrated clinical activity, including tumor shrinkage, even in PD-1 inhibitor-refractory and immune-compromised cancers, and was well tolerated both as monotherapy and in combination with nivolumab. These data complement the positive Phase 1b/2 data reported in October 2023 from a global randomized study of TPST-1120 in combination with atezolizumab and bevacizumab in first-line patients with advanced HCC.</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60"/>
        <w:jc w:val="both"/>
        <w:rPr>
          <w:rFonts w:ascii="Arial" w:hAnsi="Arial"/>
          <w:color w:val="000000"/>
          <w:sz w:val="24"/>
        </w:rPr>
      </w:pPr>
      <w:r>
        <w:rPr>
          <w:rFonts w:ascii="Arial" w:hAnsi="Arial"/>
          <w:color w:val="000000"/>
          <w:sz w:val="24"/>
        </w:rPr>
        <w:t>Presented new preclinical data showing potent anti-tumor activity in several cancer models treated with TPST-1120 alone or with immune checkpoint inhibitors at the Society for Immunotherapy of Cancer (SITC) 2024 Spring Scientific Meeting. The presentation also covered experimental results that corroborated clinical biomarker data from patients with advanced solid tumor cancers treated in the Phase 1 clinical trial of TPST-1120 in multiple solid tumor indications, which showed statistically significant, exposure-dependent elevations in expression levels of multiple immune-related genes, and patients exhibiting objective responses displayed increased circulating free fatty acids (FFA), both of which are in-line with the proposed TPST-1120 mechanism of action.</w:t>
      </w:r>
    </w:p>
    <w:p>
      <w:pPr>
        <w:pStyle w:val="TextBody"/>
        <w:bidi w:val="0"/>
        <w:jc w:val="both"/>
        <w:rPr/>
      </w:pPr>
      <w:r>
        <w:rPr/>
        <w:t> </w:t>
      </w:r>
    </w:p>
    <w:p>
      <w:pPr>
        <w:pStyle w:val="TextBody"/>
        <w:bidi w:val="0"/>
        <w:spacing w:before="0" w:after="120"/>
        <w:jc w:val="both"/>
        <w:rPr>
          <w:rFonts w:ascii="Times New Roman" w:hAnsi="Times New Roman"/>
          <w:sz w:val="20"/>
        </w:rPr>
      </w:pPr>
      <w:r>
        <w:rPr>
          <w:rFonts w:ascii="Arial" w:hAnsi="Arial"/>
          <w:b/>
          <w:color w:val="000000"/>
          <w:sz w:val="24"/>
        </w:rPr>
        <w:t>Potential Future Milestones</w:t>
      </w:r>
      <w:r>
        <w:rPr>
          <w:rFonts w:ascii="Times New Roman" w:hAnsi="Times New Roman"/>
          <w:color w:val="000000"/>
          <w:sz w:val="20"/>
        </w:rPr>
        <w:t xml:space="preserve">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rial" w:hAnsi="Arial"/>
          <w:b/>
          <w:color w:val="000000"/>
          <w:sz w:val="24"/>
        </w:rPr>
        <w:t xml:space="preserve">TPST-1120 </w:t>
      </w:r>
      <w:r>
        <w:rPr>
          <w:rFonts w:ascii="Arial" w:hAnsi="Arial"/>
          <w:color w:val="000000"/>
          <w:sz w:val="24"/>
        </w:rPr>
        <w:t>(clinical PPARα antagonist)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20"/>
        <w:jc w:val="both"/>
        <w:rPr>
          <w:rFonts w:ascii="Arial" w:hAnsi="Arial"/>
          <w:color w:val="000000"/>
          <w:sz w:val="24"/>
        </w:rPr>
      </w:pPr>
      <w:r>
        <w:rPr>
          <w:rFonts w:ascii="Arial" w:hAnsi="Arial"/>
          <w:color w:val="000000"/>
          <w:sz w:val="24"/>
        </w:rPr>
        <w:t>Expect to announce updated data from the ongoing randomized study in first-line HCC patients in 2024.</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20"/>
        <w:jc w:val="both"/>
        <w:rPr>
          <w:rFonts w:ascii="Arial" w:hAnsi="Arial"/>
          <w:color w:val="000000"/>
          <w:sz w:val="24"/>
        </w:rPr>
      </w:pPr>
      <w:r>
        <w:rPr>
          <w:rFonts w:ascii="Arial" w:hAnsi="Arial"/>
          <w:color w:val="000000"/>
          <w:sz w:val="24"/>
        </w:rPr>
        <w:t xml:space="preserve">Plan to advance TPST-1120 into a registrational Phase 3 study in first-line HCC patients, subject to obtaining feedback from the FDA.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rial" w:hAnsi="Arial"/>
          <w:b/>
          <w:color w:val="000000"/>
          <w:sz w:val="24"/>
        </w:rPr>
        <w:t>TPST-1495</w:t>
      </w:r>
      <w:r>
        <w:rPr>
          <w:color w:val="000000"/>
        </w:rPr>
        <w:t xml:space="preserve"> </w:t>
      </w:r>
      <w:r>
        <w:rPr>
          <w:rFonts w:ascii="Arial" w:hAnsi="Arial"/>
          <w:color w:val="000000"/>
          <w:sz w:val="24"/>
        </w:rPr>
        <w:t>(clinical dual EP2/4 prostaglandin receptor antagonist)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20"/>
        <w:jc w:val="both"/>
        <w:rPr>
          <w:rFonts w:ascii="Arial" w:hAnsi="Arial"/>
          <w:color w:val="000000"/>
          <w:sz w:val="24"/>
        </w:rPr>
      </w:pPr>
      <w:r>
        <w:rPr>
          <w:rFonts w:ascii="Arial" w:hAnsi="Arial"/>
          <w:color w:val="000000"/>
          <w:sz w:val="24"/>
        </w:rPr>
        <w:t>Plan to advance TPST-1495 into a Phase 2 study in patients with Familial Adenomatous Polyposis (“FAP”) in 2024 under the auspices of the Cancer Prevention Clinical Trials Network and funded by the National Cancer Institute (“NCI”) Division of Cancer Prevention, subject to final approval of NCI.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20"/>
        <w:jc w:val="both"/>
        <w:rPr>
          <w:rFonts w:ascii="Arial" w:hAnsi="Arial"/>
          <w:color w:val="000000"/>
          <w:sz w:val="24"/>
        </w:rPr>
      </w:pPr>
      <w:r>
        <w:rPr>
          <w:rFonts w:ascii="Arial" w:hAnsi="Arial"/>
          <w:color w:val="000000"/>
          <w:sz w:val="24"/>
        </w:rPr>
        <w:t>Expect to report data from the combination arm at the two highest TPST-1495 doses in patients with advanced endometrial cancer, where prostaglandin signaling is implicated, in 2024.</w:t>
      </w:r>
    </w:p>
    <w:p>
      <w:pPr>
        <w:pStyle w:val="TextBody"/>
        <w:bidi w:val="0"/>
        <w:spacing w:before="240" w:after="240"/>
        <w:jc w:val="left"/>
        <w:rPr>
          <w:rFonts w:ascii="Arial" w:hAnsi="Arial"/>
          <w:b/>
          <w:color w:val="000000"/>
          <w:sz w:val="24"/>
        </w:rPr>
      </w:pPr>
      <w:r>
        <w:rPr>
          <w:rFonts w:ascii="Arial" w:hAnsi="Arial"/>
          <w:b/>
          <w:color w:val="000000"/>
          <w:sz w:val="24"/>
        </w:rPr>
        <w:t>Financial Results</w:t>
      </w:r>
    </w:p>
    <w:p>
      <w:pPr>
        <w:pStyle w:val="TextBody"/>
        <w:bidi w:val="0"/>
        <w:spacing w:before="0" w:after="120"/>
        <w:jc w:val="both"/>
        <w:rPr>
          <w:rFonts w:ascii="Arial" w:hAnsi="Arial"/>
          <w:i/>
          <w:color w:val="000000"/>
          <w:sz w:val="24"/>
        </w:rPr>
      </w:pPr>
      <w:r>
        <w:rPr>
          <w:rFonts w:ascii="Arial" w:hAnsi="Arial"/>
          <w:i/>
          <w:color w:val="000000"/>
          <w:sz w:val="24"/>
        </w:rPr>
        <w:t>First Quarter 2024</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 xml:space="preserve">Tempest ended the quarter with $32.3 million in cash and cash equivalents, compared to $39.2 million on December 31, 2023. </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Net loss and net loss per share for the quarter ended March 31, 2024, were $7.9 million and $0.36, respectively, compared to $7.6 million and $0.55, respectively, for the same period in 2023.</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Research and development expenses for the quarter were $4.3 million compared to $4.7 million for the same period in 2023. The $0.4 million decrease was primarily due to a decrease in costs incurred from contract research organizations and third-party vendors.</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General and administrative expenses for the quarter were $3.6 million compared to $2.9 million for the same period in 2023. The $0.7 million increase was primarily due to share-based compensation expense and consulting services.</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Based on its current cash and operating plan, Tempest expects to have sufficient resources to fund operations into the second quarter of 2025.</w:t>
      </w:r>
    </w:p>
    <w:p>
      <w:pPr>
        <w:pStyle w:val="TextBody"/>
        <w:bidi w:val="0"/>
        <w:spacing w:before="0" w:after="120"/>
        <w:jc w:val="both"/>
        <w:rPr/>
      </w:pPr>
      <w:r>
        <w:rPr/>
        <w:t> </w:t>
      </w:r>
    </w:p>
    <w:p>
      <w:pPr>
        <w:pStyle w:val="TextBody"/>
        <w:bidi w:val="0"/>
        <w:spacing w:before="0" w:after="120"/>
        <w:jc w:val="left"/>
        <w:rPr>
          <w:rFonts w:ascii="Arial" w:hAnsi="Arial"/>
          <w:b/>
          <w:color w:val="000000"/>
          <w:sz w:val="24"/>
        </w:rPr>
      </w:pPr>
      <w:r>
        <w:rPr>
          <w:rFonts w:ascii="Arial" w:hAnsi="Arial"/>
          <w:b/>
          <w:color w:val="000000"/>
          <w:sz w:val="24"/>
        </w:rPr>
        <w:t>About Tempest Therapeutics</w:t>
      </w:r>
    </w:p>
    <w:p>
      <w:pPr>
        <w:pStyle w:val="TextBody"/>
        <w:bidi w:val="0"/>
        <w:jc w:val="both"/>
        <w:rPr>
          <w:rFonts w:ascii="Times New Roman" w:hAnsi="Times New Roman"/>
          <w:sz w:val="20"/>
        </w:rPr>
      </w:pPr>
      <w:r>
        <w:rPr>
          <w:rFonts w:ascii="Arial" w:hAnsi="Arial"/>
          <w:color w:val="000000"/>
          <w:sz w:val="24"/>
        </w:rPr>
        <w:t xml:space="preserve">Tempest Therapeutics is a clinical-stage biotechnology company advancing a diverse portfolio of small molecule product candidates containing tumor-targeted and/or immune-mediated mechanisms with the potential to treat a wide range of tumors. The company’s novel programs range from early research to later-stage investigation in a randomized global study in first-line cancer patients. Tempest is headquartered in Brisbane, California. More information about Tempest can be found on the company’s website at </w:t>
      </w:r>
      <w:r>
        <w:rPr>
          <w:rFonts w:ascii="Arial" w:hAnsi="Arial"/>
          <w:sz w:val="24"/>
        </w:rPr>
        <w:t>www.tempesttx.com</w:t>
      </w:r>
      <w:r>
        <w:rPr>
          <w:rFonts w:ascii="Arial" w:hAnsi="Arial"/>
          <w:color w:val="000000"/>
          <w:sz w:val="24"/>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4"/>
        </w:rPr>
        <w:t>Forward-Looking Statements</w:t>
      </w:r>
      <w:r>
        <w:rPr>
          <w:rFonts w:ascii="Times New Roman" w:hAnsi="Times New Roman"/>
          <w:color w:val="000000"/>
          <w:sz w:val="20"/>
        </w:rPr>
        <w:t xml:space="preserve"> </w:t>
      </w:r>
    </w:p>
    <w:p>
      <w:pPr>
        <w:pStyle w:val="TextBody"/>
        <w:bidi w:val="0"/>
        <w:jc w:val="both"/>
        <w:rPr/>
      </w:pPr>
      <w:r>
        <w:rPr/>
        <w:t> </w:t>
      </w:r>
    </w:p>
    <w:p>
      <w:pPr>
        <w:pStyle w:val="TextBody"/>
        <w:bidi w:val="0"/>
        <w:spacing w:before="0" w:after="160"/>
        <w:jc w:val="both"/>
        <w:rPr>
          <w:rFonts w:ascii="Times New Roman" w:hAnsi="Times New Roman"/>
          <w:sz w:val="20"/>
        </w:rPr>
      </w:pPr>
      <w:r>
        <w:rPr>
          <w:rFonts w:ascii="Arial" w:hAnsi="Arial"/>
          <w:color w:val="000000"/>
          <w:sz w:val="24"/>
        </w:rPr>
        <w:t>This press release contains forward-looking statements (including within the meaning of Section 21E of the Securities Exchange Act of 1934, as amended, and Section 27A of the Securities Act of 1933, as amended (the “Securities Act”)) concerning Tempest Therapeutics, Inc. These statements may discuss goals, intentions, and expectations as to future plans, trends, events, results of operations or financial condition, or otherwise,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Times New Roman" w:hAnsi="Times New Roman"/>
          <w:sz w:val="20"/>
        </w:rPr>
      </w:pPr>
      <w:r>
        <w:rPr>
          <w:rFonts w:ascii="Arial" w:hAnsi="Arial"/>
          <w:color w:val="000000"/>
          <w:sz w:val="24"/>
        </w:rPr>
        <w:t>based on current beliefs of the management of Tempest Therapeutics, as well as assumptions made by, and information currently available to, management of Tempest Therapeutics. Forward-looking statements generally include statements that are predictive in nature and depend upon or refer to future events or conditions, and include words such as “may,” “will,” “should,” “would,” “could”, “expect,” “anticipate,” “plan,” “likely,” “believe,” “estimate,” “project,” “intend,” and other similar expressions. All statements that are not historical facts are forward-looking statements, including any statements regarding: the design, initiation, progress, timing, scope and results of clinical trials; anticipated therapeutic benefit and regulatory development of the Company’s product candidates;</w:t>
      </w:r>
      <w:r>
        <w:rPr>
          <w:rFonts w:ascii="Times New Roman" w:hAnsi="Times New Roman"/>
          <w:color w:val="000000"/>
          <w:sz w:val="20"/>
        </w:rPr>
        <w:t xml:space="preserve"> </w:t>
      </w:r>
      <w:r>
        <w:rPr>
          <w:rFonts w:ascii="Arial" w:hAnsi="Arial"/>
          <w:color w:val="000000"/>
          <w:sz w:val="24"/>
        </w:rPr>
        <w:t>the Company’s anticipated cash runway; the Company’s</w:t>
      </w:r>
      <w:r>
        <w:rPr>
          <w:rFonts w:ascii="Times New Roman" w:hAnsi="Times New Roman"/>
          <w:color w:val="000000"/>
          <w:sz w:val="20"/>
        </w:rPr>
        <w:t xml:space="preserve"> </w:t>
      </w:r>
      <w:r>
        <w:rPr>
          <w:rFonts w:ascii="Arial" w:hAnsi="Arial"/>
          <w:color w:val="000000"/>
          <w:sz w:val="24"/>
        </w:rPr>
        <w:t>ability to deliver on potential value-creating milestones; the Company’s ability to advance into a late-stage clinical company; and the Company’s ability to achieve its operational plans. Forward-looking statements are based on information available to Tempest Therapeutics as of the date hereof and are not guarantees of future performance. Any factors may cause differences between current expectations and actual results, including: unexpected safety or efficacy data observed during preclinical or clinical trials; clinical trial site activation or enrollment rates that are lower than expected; changes in expected or existing competition; changes in the regulatory environment; and unexpected litigation or other disputes. Other factors that may cause actual results to differ from those expressed or implied are discussed in greater detail in the “Risk Factors” section of the Company’s Quarterly Report on Form 10-Q for the quarter ended March 31, 2024 and other documents filed by the Company from time to time with the Securities and Exchange Commission. Except as required by applicable law, Tempest Therapeutics undertakes no obligation to revise or update any forward-looking statement, or to make any other forward-looking statements, whether as a result of new information, future events or otherwise. These forward-looking statements should not be relied upon as representing Tempest Therapeutics’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 Therapeutics.</w:t>
      </w:r>
      <w:r>
        <w:rPr>
          <w:rFonts w:ascii="Times New Roman" w:hAnsi="Times New Roman"/>
          <w:color w:val="000000"/>
          <w:sz w:val="20"/>
        </w:rPr>
        <w:br/>
        <w:b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744" w:type="dxa"/>
        <w:jc w:val="left"/>
        <w:tblInd w:w="0" w:type="dxa"/>
        <w:tblLayout w:type="fixed"/>
        <w:tblCellMar>
          <w:top w:w="28" w:type="dxa"/>
          <w:left w:w="28" w:type="dxa"/>
          <w:bottom w:w="28" w:type="dxa"/>
          <w:right w:w="28" w:type="dxa"/>
        </w:tblCellMar>
      </w:tblPr>
      <w:tblGrid>
        <w:gridCol w:w="4806"/>
        <w:gridCol w:w="307"/>
        <w:gridCol w:w="1343"/>
        <w:gridCol w:w="181"/>
        <w:gridCol w:w="146"/>
        <w:gridCol w:w="386"/>
        <w:gridCol w:w="1684"/>
        <w:gridCol w:w="891"/>
      </w:tblGrid>
      <w:tr>
        <w:trPr/>
        <w:tc>
          <w:tcPr>
            <w:tcW w:w="48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8853" w:type="dxa"/>
            <w:gridSpan w:val="7"/>
            <w:tcBorders/>
            <w:shd w:fill="FFFFFF" w:val="clear"/>
            <w:vAlign w:val="center"/>
          </w:tcPr>
          <w:p>
            <w:pPr>
              <w:pStyle w:val="TableContents"/>
              <w:bidi w:val="0"/>
              <w:spacing w:before="0" w:after="283"/>
              <w:jc w:val="center"/>
              <w:rPr>
                <w:rFonts w:ascii="Arial" w:hAnsi="Arial"/>
                <w:b/>
                <w:color w:val="000000"/>
                <w:sz w:val="28"/>
              </w:rPr>
            </w:pPr>
            <w:r>
              <w:rPr>
                <w:rFonts w:ascii="Arial" w:hAnsi="Arial"/>
                <w:b/>
                <w:color w:val="000000"/>
                <w:sz w:val="28"/>
              </w:rPr>
              <w:t>TEMPEST THERAPEUTICS, INC.</w:t>
            </w:r>
          </w:p>
        </w:tc>
        <w:tc>
          <w:tcPr>
            <w:tcW w:w="891" w:type="dxa"/>
            <w:tcBorders/>
            <w:shd w:fill="FFFFFF" w:val="clear"/>
            <w:vAlign w:val="center"/>
          </w:tcPr>
          <w:p>
            <w:pPr>
              <w:pStyle w:val="TableContents"/>
              <w:bidi w:val="0"/>
              <w:spacing w:before="0" w:after="283"/>
              <w:jc w:val="center"/>
              <w:rPr/>
            </w:pPr>
            <w:r>
              <w:rPr/>
              <w:t> </w:t>
            </w:r>
          </w:p>
        </w:tc>
      </w:tr>
      <w:tr>
        <w:trPr/>
        <w:tc>
          <w:tcPr>
            <w:tcW w:w="8853" w:type="dxa"/>
            <w:gridSpan w:val="7"/>
            <w:tcBorders/>
            <w:shd w:fill="FFFFFF" w:val="clear"/>
            <w:vAlign w:val="center"/>
          </w:tcPr>
          <w:p>
            <w:pPr>
              <w:pStyle w:val="TableContents"/>
              <w:bidi w:val="0"/>
              <w:spacing w:before="0" w:after="283"/>
              <w:jc w:val="center"/>
              <w:rPr>
                <w:rFonts w:ascii="Arial" w:hAnsi="Arial"/>
                <w:b/>
                <w:color w:val="000000"/>
                <w:sz w:val="28"/>
              </w:rPr>
            </w:pPr>
            <w:r>
              <w:rPr>
                <w:rFonts w:ascii="Arial" w:hAnsi="Arial"/>
                <w:b/>
                <w:color w:val="000000"/>
                <w:sz w:val="28"/>
              </w:rPr>
              <w:t>Consolidated Balance Sheets</w:t>
            </w:r>
          </w:p>
        </w:tc>
        <w:tc>
          <w:tcPr>
            <w:tcW w:w="891" w:type="dxa"/>
            <w:tcBorders/>
            <w:shd w:fill="FFFFFF" w:val="clear"/>
            <w:vAlign w:val="center"/>
          </w:tcPr>
          <w:p>
            <w:pPr>
              <w:pStyle w:val="TableContents"/>
              <w:bidi w:val="0"/>
              <w:spacing w:before="0" w:after="283"/>
              <w:jc w:val="center"/>
              <w:rPr/>
            </w:pPr>
            <w:r>
              <w:rPr/>
              <w:t> </w:t>
            </w:r>
          </w:p>
        </w:tc>
      </w:tr>
      <w:tr>
        <w:trPr/>
        <w:tc>
          <w:tcPr>
            <w:tcW w:w="8853" w:type="dxa"/>
            <w:gridSpan w:val="7"/>
            <w:tcBorders/>
            <w:shd w:fill="FFFFFF" w:val="clear"/>
            <w:vAlign w:val="center"/>
          </w:tcPr>
          <w:p>
            <w:pPr>
              <w:pStyle w:val="TableContents"/>
              <w:bidi w:val="0"/>
              <w:spacing w:before="0" w:after="283"/>
              <w:jc w:val="center"/>
              <w:rPr>
                <w:rFonts w:ascii="Arial" w:hAnsi="Arial"/>
                <w:b/>
                <w:color w:val="000000"/>
                <w:sz w:val="28"/>
              </w:rPr>
            </w:pPr>
            <w:r>
              <w:rPr>
                <w:rFonts w:ascii="Arial" w:hAnsi="Arial"/>
                <w:b/>
                <w:color w:val="000000"/>
                <w:sz w:val="28"/>
              </w:rPr>
              <w:t>(in thousands)</w:t>
            </w:r>
          </w:p>
        </w:tc>
        <w:tc>
          <w:tcPr>
            <w:tcW w:w="891" w:type="dxa"/>
            <w:tcBorders/>
            <w:shd w:fill="FFFFFF" w:val="clear"/>
            <w:vAlign w:val="center"/>
          </w:tcPr>
          <w:p>
            <w:pPr>
              <w:pStyle w:val="TableContents"/>
              <w:bidi w:val="0"/>
              <w:spacing w:before="0" w:after="283"/>
              <w:jc w:val="center"/>
              <w:rPr/>
            </w:pPr>
            <w:r>
              <w:rPr/>
              <w:t> </w:t>
            </w:r>
          </w:p>
        </w:tc>
      </w:tr>
      <w:tr>
        <w:trPr/>
        <w:tc>
          <w:tcPr>
            <w:tcW w:w="4806" w:type="dxa"/>
            <w:tcBorders/>
            <w:shd w:fill="FFFFFF" w:val="clear"/>
            <w:vAlign w:val="center"/>
          </w:tcPr>
          <w:p>
            <w:pPr>
              <w:pStyle w:val="TableContents"/>
              <w:bidi w:val="0"/>
              <w:spacing w:before="0" w:after="283"/>
              <w:jc w:val="center"/>
              <w:rPr/>
            </w:pPr>
            <w:r>
              <w:rPr/>
              <w:t> </w:t>
            </w:r>
          </w:p>
        </w:tc>
        <w:tc>
          <w:tcPr>
            <w:tcW w:w="1650" w:type="dxa"/>
            <w:gridSpan w:val="2"/>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70" w:type="dxa"/>
            <w:gridSpan w:val="2"/>
            <w:tcBorders/>
            <w:shd w:fill="FFFFFF" w:val="clear"/>
            <w:vAlign w:val="center"/>
          </w:tcPr>
          <w:p>
            <w:pPr>
              <w:pStyle w:val="TableContents"/>
              <w:bidi w:val="0"/>
              <w:spacing w:before="0" w:after="283"/>
              <w:jc w:val="center"/>
              <w:rPr/>
            </w:pPr>
            <w:r>
              <w:rPr/>
              <w:t> </w:t>
            </w:r>
          </w:p>
        </w:tc>
        <w:tc>
          <w:tcPr>
            <w:tcW w:w="891" w:type="dxa"/>
            <w:tcBorders/>
            <w:shd w:fill="FFFFFF" w:val="clear"/>
            <w:vAlign w:val="center"/>
          </w:tcPr>
          <w:p>
            <w:pPr>
              <w:pStyle w:val="TableContents"/>
              <w:bidi w:val="0"/>
              <w:spacing w:before="0" w:after="283"/>
              <w:jc w:val="center"/>
              <w:rPr/>
            </w:pPr>
            <w:r>
              <w:rPr/>
              <w:t> </w:t>
            </w:r>
          </w:p>
        </w:tc>
      </w:tr>
      <w:tr>
        <w:trPr/>
        <w:tc>
          <w:tcPr>
            <w:tcW w:w="4806" w:type="dxa"/>
            <w:tcBorders/>
            <w:shd w:fill="FFFFFF" w:val="cle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March 31, 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December 31, 2023</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6" w:type="dxa"/>
            <w:tcBorders/>
            <w:shd w:fill="FFFFFF" w:val="clear"/>
            <w:vAlign w:val="center"/>
          </w:tcPr>
          <w:p>
            <w:pPr>
              <w:pStyle w:val="TableContents"/>
              <w:bidi w:val="0"/>
              <w:spacing w:before="0" w:after="283"/>
              <w:jc w:val="center"/>
              <w:rPr>
                <w:rFonts w:ascii="Arial" w:hAnsi="Arial"/>
                <w:b/>
                <w:color w:val="000000"/>
                <w:sz w:val="24"/>
              </w:rPr>
            </w:pPr>
            <w:r>
              <w:rPr>
                <w:rFonts w:ascii="Arial" w:hAnsi="Arial"/>
                <w:b/>
                <w:color w:val="000000"/>
                <w:sz w:val="24"/>
              </w:rPr>
              <w:t>Assets</w:t>
            </w:r>
          </w:p>
        </w:tc>
        <w:tc>
          <w:tcPr>
            <w:tcW w:w="1650"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Current assets</w:t>
            </w:r>
          </w:p>
        </w:tc>
        <w:tc>
          <w:tcPr>
            <w:tcW w:w="1650"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ind w:left="0" w:right="0" w:firstLine="140"/>
              <w:jc w:val="left"/>
              <w:rPr/>
            </w:pPr>
            <w:r>
              <w:rPr/>
              <w:t> </w:t>
            </w:r>
          </w:p>
        </w:tc>
      </w:tr>
      <w:tr>
        <w:trPr/>
        <w:tc>
          <w:tcPr>
            <w:tcW w:w="480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Cash and cash equivalents</w:t>
            </w:r>
          </w:p>
        </w:tc>
        <w:tc>
          <w:tcPr>
            <w:tcW w:w="307"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343"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32,326</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39,230</w:t>
            </w:r>
          </w:p>
        </w:tc>
        <w:tc>
          <w:tcPr>
            <w:tcW w:w="891" w:type="dxa"/>
            <w:tcBorders/>
            <w:shd w:fill="FFFFFF" w:val="clear"/>
            <w:vAlign w:val="center"/>
          </w:tcPr>
          <w:p>
            <w:pPr>
              <w:pStyle w:val="TableContents"/>
              <w:bidi w:val="0"/>
              <w:spacing w:before="0" w:after="283"/>
              <w:ind w:left="0" w:right="0" w:firstLine="140"/>
              <w:jc w:val="left"/>
              <w:rPr/>
            </w:pPr>
            <w:r>
              <w:rPr/>
              <w:t> </w:t>
            </w:r>
          </w:p>
        </w:tc>
      </w:tr>
      <w:tr>
        <w:trPr/>
        <w:tc>
          <w:tcPr>
            <w:tcW w:w="480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Prepaid expenses and other current assets</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1,171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1,133</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4806" w:type="dxa"/>
            <w:tcBorders/>
            <w:shd w:fill="FFFFFF" w:val="clear"/>
            <w:vAlign w:val="center"/>
          </w:tcPr>
          <w:p>
            <w:pPr>
              <w:pStyle w:val="TableContents"/>
              <w:bidi w:val="0"/>
              <w:spacing w:before="0" w:after="283"/>
              <w:ind w:left="420" w:right="0" w:firstLine="420"/>
              <w:jc w:val="left"/>
              <w:rPr>
                <w:rFonts w:ascii="Arial" w:hAnsi="Arial"/>
                <w:color w:val="000000"/>
                <w:sz w:val="24"/>
              </w:rPr>
            </w:pPr>
            <w:r>
              <w:rPr>
                <w:rFonts w:ascii="Arial" w:hAnsi="Arial"/>
                <w:color w:val="000000"/>
                <w:sz w:val="24"/>
              </w:rPr>
              <w:t>Total current assets</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33,497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40,363</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pPr>
            <w:r>
              <w:rPr/>
              <w:t> </w:t>
            </w:r>
          </w:p>
        </w:tc>
      </w:tr>
      <w:tr>
        <w:trPr/>
        <w:tc>
          <w:tcPr>
            <w:tcW w:w="4806" w:type="dxa"/>
            <w:tcBorders/>
            <w:shd w:fill="FFFFFF" w:val="clear"/>
            <w:vAlign w:val="center"/>
          </w:tcPr>
          <w:p>
            <w:pPr>
              <w:pStyle w:val="TableContents"/>
              <w:bidi w:val="0"/>
              <w:spacing w:before="0" w:after="283"/>
              <w:ind w:left="700" w:right="0" w:firstLine="700"/>
              <w:jc w:val="left"/>
              <w:rPr/>
            </w:pPr>
            <w:r>
              <w:rPr/>
              <w:t> </w:t>
            </w:r>
          </w:p>
        </w:tc>
        <w:tc>
          <w:tcPr>
            <w:tcW w:w="1650"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Property and equipment, net</w:t>
            </w:r>
          </w:p>
        </w:tc>
        <w:tc>
          <w:tcPr>
            <w:tcW w:w="307" w:type="dxa"/>
            <w:tcBorders/>
            <w:shd w:fill="FFFFFF" w:val="clear"/>
            <w:vAlign w:val="center"/>
          </w:tcPr>
          <w:p>
            <w:pPr>
              <w:pStyle w:val="TableContents"/>
              <w:bidi w:val="0"/>
              <w:spacing w:before="0" w:after="283"/>
              <w:jc w:val="left"/>
              <w:rPr/>
            </w:pPr>
            <w:r>
              <w:rPr/>
              <w:t> </w:t>
            </w:r>
          </w:p>
        </w:tc>
        <w:tc>
          <w:tcPr>
            <w:tcW w:w="1343"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920</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840</w:t>
            </w:r>
          </w:p>
        </w:tc>
        <w:tc>
          <w:tcPr>
            <w:tcW w:w="891" w:type="dxa"/>
            <w:tcBorders/>
            <w:shd w:fill="FFFFFF" w:val="cle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Operating lease right-of-use assets</w:t>
            </w:r>
          </w:p>
        </w:tc>
        <w:tc>
          <w:tcPr>
            <w:tcW w:w="307" w:type="dxa"/>
            <w:tcBorders/>
            <w:shd w:fill="FFFFFF" w:val="clear"/>
            <w:vAlign w:val="center"/>
          </w:tcPr>
          <w:p>
            <w:pPr>
              <w:pStyle w:val="TableContents"/>
              <w:bidi w:val="0"/>
              <w:spacing w:before="0" w:after="283"/>
              <w:jc w:val="left"/>
              <w:rPr/>
            </w:pPr>
            <w:r>
              <w:rPr/>
              <w:t> </w:t>
            </w:r>
          </w:p>
        </w:tc>
        <w:tc>
          <w:tcPr>
            <w:tcW w:w="1343"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9,513</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9,952</w:t>
            </w:r>
          </w:p>
        </w:tc>
        <w:tc>
          <w:tcPr>
            <w:tcW w:w="891" w:type="dxa"/>
            <w:tcBorders/>
            <w:shd w:fill="FFFFFF" w:val="cle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Other noncurrent assets</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448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448</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left"/>
              <w:rPr/>
            </w:pPr>
            <w:r>
              <w:rPr/>
              <w:t> </w:t>
            </w:r>
          </w:p>
        </w:tc>
        <w:tc>
          <w:tcPr>
            <w:tcW w:w="1650"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ind w:left="0" w:right="0" w:firstLine="420"/>
              <w:jc w:val="left"/>
              <w:rPr/>
            </w:pPr>
            <w:r>
              <w:rPr/>
              <w:t> </w:t>
            </w:r>
          </w:p>
        </w:tc>
      </w:tr>
      <w:tr>
        <w:trPr/>
        <w:tc>
          <w:tcPr>
            <w:tcW w:w="4806" w:type="dxa"/>
            <w:tcBorders/>
            <w:shd w:fill="FFFFFF" w:val="clear"/>
            <w:vAlign w:val="center"/>
          </w:tcPr>
          <w:p>
            <w:pPr>
              <w:pStyle w:val="TableContents"/>
              <w:bidi w:val="0"/>
              <w:spacing w:before="0" w:after="283"/>
              <w:ind w:left="420" w:right="0" w:firstLine="420"/>
              <w:jc w:val="left"/>
              <w:rPr>
                <w:rFonts w:ascii="Arial" w:hAnsi="Arial"/>
                <w:color w:val="000000"/>
                <w:sz w:val="24"/>
              </w:rPr>
            </w:pPr>
            <w:r>
              <w:rPr>
                <w:rFonts w:ascii="Arial" w:hAnsi="Arial"/>
                <w:color w:val="000000"/>
                <w:sz w:val="24"/>
              </w:rPr>
              <w:t>Total assets</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44,378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51,603</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left"/>
              <w:rPr/>
            </w:pPr>
            <w:r>
              <w:rPr/>
              <w:t> </w:t>
            </w:r>
          </w:p>
        </w:tc>
        <w:tc>
          <w:tcPr>
            <w:tcW w:w="1650"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center"/>
              <w:rPr>
                <w:rFonts w:ascii="Arial" w:hAnsi="Arial"/>
                <w:b/>
                <w:color w:val="000000"/>
                <w:sz w:val="24"/>
              </w:rPr>
            </w:pPr>
            <w:r>
              <w:rPr>
                <w:rFonts w:ascii="Arial" w:hAnsi="Arial"/>
                <w:b/>
                <w:color w:val="000000"/>
                <w:sz w:val="24"/>
              </w:rPr>
              <w:t>Liabilities and Stockholders' Equity</w:t>
            </w:r>
          </w:p>
        </w:tc>
        <w:tc>
          <w:tcPr>
            <w:tcW w:w="1650"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Current liabilities</w:t>
            </w:r>
          </w:p>
        </w:tc>
        <w:tc>
          <w:tcPr>
            <w:tcW w:w="1650"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ind w:left="0" w:right="0" w:firstLine="140"/>
              <w:jc w:val="left"/>
              <w:rPr/>
            </w:pPr>
            <w:r>
              <w:rPr/>
              <w:t> </w:t>
            </w:r>
          </w:p>
        </w:tc>
      </w:tr>
      <w:tr>
        <w:trPr/>
        <w:tc>
          <w:tcPr>
            <w:tcW w:w="480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Accounts payable</w:t>
            </w:r>
          </w:p>
        </w:tc>
        <w:tc>
          <w:tcPr>
            <w:tcW w:w="307"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343"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1,051</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845</w:t>
            </w:r>
          </w:p>
        </w:tc>
        <w:tc>
          <w:tcPr>
            <w:tcW w:w="891" w:type="dxa"/>
            <w:tcBorders/>
            <w:shd w:fill="FFFFFF" w:val="clear"/>
            <w:vAlign w:val="center"/>
          </w:tcPr>
          <w:p>
            <w:pPr>
              <w:pStyle w:val="TableContents"/>
              <w:bidi w:val="0"/>
              <w:spacing w:before="0" w:after="283"/>
              <w:ind w:left="0" w:right="0" w:firstLine="140"/>
              <w:jc w:val="left"/>
              <w:rPr/>
            </w:pPr>
            <w:r>
              <w:rPr/>
              <w:t> </w:t>
            </w:r>
          </w:p>
        </w:tc>
      </w:tr>
      <w:tr>
        <w:trPr/>
        <w:tc>
          <w:tcPr>
            <w:tcW w:w="480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Accrued expenses</w:t>
            </w:r>
          </w:p>
        </w:tc>
        <w:tc>
          <w:tcPr>
            <w:tcW w:w="307" w:type="dxa"/>
            <w:tcBorders/>
            <w:shd w:fill="FFFFFF" w:val="clear"/>
            <w:vAlign w:val="center"/>
          </w:tcPr>
          <w:p>
            <w:pPr>
              <w:pStyle w:val="TableContents"/>
              <w:bidi w:val="0"/>
              <w:spacing w:before="0" w:after="283"/>
              <w:jc w:val="left"/>
              <w:rPr/>
            </w:pPr>
            <w:r>
              <w:rPr/>
              <w:t> </w:t>
            </w:r>
          </w:p>
        </w:tc>
        <w:tc>
          <w:tcPr>
            <w:tcW w:w="1343"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1,524</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1,673</w:t>
            </w:r>
          </w:p>
        </w:tc>
        <w:tc>
          <w:tcPr>
            <w:tcW w:w="891" w:type="dxa"/>
            <w:tcBorders/>
            <w:shd w:fill="FFFFFF" w:val="clear"/>
            <w:vAlign w:val="center"/>
          </w:tcPr>
          <w:p>
            <w:pPr>
              <w:pStyle w:val="TableContents"/>
              <w:bidi w:val="0"/>
              <w:spacing w:before="0" w:after="283"/>
              <w:ind w:left="0" w:right="0" w:firstLine="140"/>
              <w:jc w:val="left"/>
              <w:rPr/>
            </w:pPr>
            <w:r>
              <w:rPr/>
              <w:t> </w:t>
            </w:r>
          </w:p>
        </w:tc>
      </w:tr>
      <w:tr>
        <w:trPr/>
        <w:tc>
          <w:tcPr>
            <w:tcW w:w="480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Current loan payable, net</w:t>
            </w:r>
          </w:p>
        </w:tc>
        <w:tc>
          <w:tcPr>
            <w:tcW w:w="307" w:type="dxa"/>
            <w:tcBorders/>
            <w:shd w:fill="FFFFFF" w:val="clear"/>
            <w:vAlign w:val="center"/>
          </w:tcPr>
          <w:p>
            <w:pPr>
              <w:pStyle w:val="TableContents"/>
              <w:bidi w:val="0"/>
              <w:spacing w:before="0" w:after="283"/>
              <w:jc w:val="left"/>
              <w:rPr/>
            </w:pPr>
            <w:r>
              <w:rPr/>
              <w:t> </w:t>
            </w:r>
          </w:p>
        </w:tc>
        <w:tc>
          <w:tcPr>
            <w:tcW w:w="1343"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6,458</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4,285</w:t>
            </w:r>
          </w:p>
        </w:tc>
        <w:tc>
          <w:tcPr>
            <w:tcW w:w="891" w:type="dxa"/>
            <w:tcBorders/>
            <w:shd w:fill="FFFFFF" w:val="clear"/>
            <w:vAlign w:val="center"/>
          </w:tcPr>
          <w:p>
            <w:pPr>
              <w:pStyle w:val="TableContents"/>
              <w:bidi w:val="0"/>
              <w:spacing w:before="0" w:after="283"/>
              <w:ind w:left="0" w:right="0" w:firstLine="140"/>
              <w:jc w:val="left"/>
              <w:rPr/>
            </w:pPr>
            <w:r>
              <w:rPr/>
              <w:t> </w:t>
            </w:r>
          </w:p>
        </w:tc>
      </w:tr>
      <w:tr>
        <w:trPr/>
        <w:tc>
          <w:tcPr>
            <w:tcW w:w="480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Current operating lease liabilities</w:t>
            </w:r>
          </w:p>
        </w:tc>
        <w:tc>
          <w:tcPr>
            <w:tcW w:w="307" w:type="dxa"/>
            <w:tcBorders/>
            <w:shd w:fill="FFFFFF" w:val="clear"/>
            <w:vAlign w:val="center"/>
          </w:tcPr>
          <w:p>
            <w:pPr>
              <w:pStyle w:val="TableContents"/>
              <w:bidi w:val="0"/>
              <w:spacing w:before="0" w:after="283"/>
              <w:jc w:val="left"/>
              <w:rPr/>
            </w:pPr>
            <w:r>
              <w:rPr/>
              <w:t> </w:t>
            </w:r>
          </w:p>
        </w:tc>
        <w:tc>
          <w:tcPr>
            <w:tcW w:w="1343"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858</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952</w:t>
            </w:r>
          </w:p>
        </w:tc>
        <w:tc>
          <w:tcPr>
            <w:tcW w:w="891" w:type="dxa"/>
            <w:tcBorders/>
            <w:shd w:fill="FFFFFF" w:val="clear"/>
            <w:vAlign w:val="center"/>
          </w:tcPr>
          <w:p>
            <w:pPr>
              <w:pStyle w:val="TableContents"/>
              <w:bidi w:val="0"/>
              <w:spacing w:before="0" w:after="283"/>
              <w:ind w:left="0" w:right="0" w:firstLine="140"/>
              <w:jc w:val="left"/>
              <w:rPr/>
            </w:pPr>
            <w:r>
              <w:rPr/>
              <w:t> </w:t>
            </w:r>
          </w:p>
        </w:tc>
      </w:tr>
      <w:tr>
        <w:trPr/>
        <w:tc>
          <w:tcPr>
            <w:tcW w:w="480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Accrued compensation</w:t>
            </w:r>
          </w:p>
        </w:tc>
        <w:tc>
          <w:tcPr>
            <w:tcW w:w="307" w:type="dxa"/>
            <w:tcBorders/>
            <w:shd w:fill="FFFFFF" w:val="clear"/>
            <w:vAlign w:val="center"/>
          </w:tcPr>
          <w:p>
            <w:pPr>
              <w:pStyle w:val="TableContents"/>
              <w:bidi w:val="0"/>
              <w:spacing w:before="0" w:after="283"/>
              <w:jc w:val="left"/>
              <w:rPr/>
            </w:pPr>
            <w:r>
              <w:rPr/>
              <w:t> </w:t>
            </w:r>
          </w:p>
        </w:tc>
        <w:tc>
          <w:tcPr>
            <w:tcW w:w="1343"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690</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1,543</w:t>
            </w:r>
          </w:p>
        </w:tc>
        <w:tc>
          <w:tcPr>
            <w:tcW w:w="891" w:type="dxa"/>
            <w:tcBorders/>
            <w:shd w:fill="FFFFFF" w:val="clear"/>
            <w:vAlign w:val="center"/>
          </w:tcPr>
          <w:p>
            <w:pPr>
              <w:pStyle w:val="TableContents"/>
              <w:bidi w:val="0"/>
              <w:spacing w:before="0" w:after="283"/>
              <w:ind w:left="0" w:right="0" w:firstLine="140"/>
              <w:jc w:val="left"/>
              <w:rPr/>
            </w:pPr>
            <w:r>
              <w:rPr/>
              <w:t> </w:t>
            </w:r>
          </w:p>
        </w:tc>
      </w:tr>
      <w:tr>
        <w:trPr/>
        <w:tc>
          <w:tcPr>
            <w:tcW w:w="480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Interest payable</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110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113</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4806" w:type="dxa"/>
            <w:tcBorders/>
            <w:shd w:fill="FFFFFF" w:val="clear"/>
            <w:vAlign w:val="center"/>
          </w:tcPr>
          <w:p>
            <w:pPr>
              <w:pStyle w:val="TableContents"/>
              <w:bidi w:val="0"/>
              <w:spacing w:before="0" w:after="283"/>
              <w:ind w:left="420" w:right="0" w:firstLine="420"/>
              <w:jc w:val="left"/>
              <w:rPr>
                <w:rFonts w:ascii="Arial" w:hAnsi="Arial"/>
                <w:color w:val="000000"/>
                <w:sz w:val="24"/>
              </w:rPr>
            </w:pPr>
            <w:r>
              <w:rPr>
                <w:rFonts w:ascii="Arial" w:hAnsi="Arial"/>
                <w:color w:val="000000"/>
                <w:sz w:val="24"/>
              </w:rPr>
              <w:t>Total current liabilities</w:t>
            </w:r>
          </w:p>
        </w:tc>
        <w:tc>
          <w:tcPr>
            <w:tcW w:w="307" w:type="dxa"/>
            <w:tcBorders/>
            <w:shd w:fill="FFFFFF" w:val="clear"/>
            <w:vAlign w:val="center"/>
          </w:tcPr>
          <w:p>
            <w:pPr>
              <w:pStyle w:val="TableContents"/>
              <w:bidi w:val="0"/>
              <w:spacing w:before="0" w:after="283"/>
              <w:jc w:val="left"/>
              <w:rPr/>
            </w:pPr>
            <w:r>
              <w:rPr/>
              <w:t> </w:t>
            </w:r>
          </w:p>
        </w:tc>
        <w:tc>
          <w:tcPr>
            <w:tcW w:w="1343"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10,691</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9,411</w:t>
            </w:r>
          </w:p>
        </w:tc>
        <w:tc>
          <w:tcPr>
            <w:tcW w:w="891" w:type="dxa"/>
            <w:tcBorders/>
            <w:shd w:fill="FFFFFF" w:val="cle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left"/>
              <w:rPr/>
            </w:pPr>
            <w:r>
              <w:rPr/>
              <w:t> </w:t>
            </w:r>
          </w:p>
        </w:tc>
        <w:tc>
          <w:tcPr>
            <w:tcW w:w="1650"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Loan payable, net</w:t>
            </w:r>
          </w:p>
        </w:tc>
        <w:tc>
          <w:tcPr>
            <w:tcW w:w="307" w:type="dxa"/>
            <w:tcBorders/>
            <w:shd w:fill="FFFFFF" w:val="clear"/>
            <w:vAlign w:val="center"/>
          </w:tcPr>
          <w:p>
            <w:pPr>
              <w:pStyle w:val="TableContents"/>
              <w:bidi w:val="0"/>
              <w:spacing w:before="0" w:after="283"/>
              <w:jc w:val="left"/>
              <w:rPr/>
            </w:pPr>
            <w:r>
              <w:rPr/>
              <w:t> </w:t>
            </w:r>
          </w:p>
        </w:tc>
        <w:tc>
          <w:tcPr>
            <w:tcW w:w="1343"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4,140</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6,264</w:t>
            </w:r>
          </w:p>
        </w:tc>
        <w:tc>
          <w:tcPr>
            <w:tcW w:w="891" w:type="dxa"/>
            <w:tcBorders/>
            <w:shd w:fill="FFFFFF" w:val="cle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Operating lease liabilities</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8,915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9,160</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4806" w:type="dxa"/>
            <w:tcBorders/>
            <w:shd w:fill="FFFFFF" w:val="clear"/>
            <w:vAlign w:val="center"/>
          </w:tcPr>
          <w:p>
            <w:pPr>
              <w:pStyle w:val="TableContents"/>
              <w:bidi w:val="0"/>
              <w:spacing w:before="0" w:after="283"/>
              <w:ind w:left="420" w:right="0" w:firstLine="420"/>
              <w:jc w:val="left"/>
              <w:rPr>
                <w:rFonts w:ascii="Arial" w:hAnsi="Arial"/>
                <w:color w:val="000000"/>
                <w:sz w:val="24"/>
              </w:rPr>
            </w:pPr>
            <w:r>
              <w:rPr>
                <w:rFonts w:ascii="Arial" w:hAnsi="Arial"/>
                <w:color w:val="000000"/>
                <w:sz w:val="24"/>
              </w:rPr>
              <w:t>Total liabilities</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23,746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24,835</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left"/>
              <w:rPr/>
            </w:pPr>
            <w:r>
              <w:rPr/>
              <w:t> </w:t>
            </w:r>
          </w:p>
        </w:tc>
        <w:tc>
          <w:tcPr>
            <w:tcW w:w="1650"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Stockholders' equity</w:t>
            </w:r>
          </w:p>
        </w:tc>
        <w:tc>
          <w:tcPr>
            <w:tcW w:w="1650"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ind w:left="0" w:right="0" w:firstLine="140"/>
              <w:jc w:val="left"/>
              <w:rPr/>
            </w:pPr>
            <w:r>
              <w:rPr/>
              <w:t> </w:t>
            </w:r>
          </w:p>
        </w:tc>
      </w:tr>
      <w:tr>
        <w:trPr/>
        <w:tc>
          <w:tcPr>
            <w:tcW w:w="480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Common stock</w:t>
            </w:r>
          </w:p>
        </w:tc>
        <w:tc>
          <w:tcPr>
            <w:tcW w:w="307" w:type="dxa"/>
            <w:tcBorders/>
            <w:shd w:fill="FFFFFF" w:val="clear"/>
            <w:vAlign w:val="center"/>
          </w:tcPr>
          <w:p>
            <w:pPr>
              <w:pStyle w:val="TableContents"/>
              <w:bidi w:val="0"/>
              <w:spacing w:before="0" w:after="283"/>
              <w:jc w:val="left"/>
              <w:rPr/>
            </w:pPr>
            <w:r>
              <w:rPr/>
              <w:t> </w:t>
            </w:r>
          </w:p>
        </w:tc>
        <w:tc>
          <w:tcPr>
            <w:tcW w:w="1343"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22</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22</w:t>
            </w:r>
          </w:p>
        </w:tc>
        <w:tc>
          <w:tcPr>
            <w:tcW w:w="891" w:type="dxa"/>
            <w:tcBorders/>
            <w:shd w:fill="FFFFFF" w:val="clear"/>
            <w:vAlign w:val="center"/>
          </w:tcPr>
          <w:p>
            <w:pPr>
              <w:pStyle w:val="TableContents"/>
              <w:bidi w:val="0"/>
              <w:spacing w:before="0" w:after="283"/>
              <w:ind w:left="0" w:right="0" w:firstLine="140"/>
              <w:jc w:val="left"/>
              <w:rPr/>
            </w:pPr>
            <w:r>
              <w:rPr/>
              <w:t> </w:t>
            </w:r>
          </w:p>
        </w:tc>
      </w:tr>
      <w:tr>
        <w:trPr/>
        <w:tc>
          <w:tcPr>
            <w:tcW w:w="480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Additional paid-in capital</w:t>
            </w:r>
          </w:p>
        </w:tc>
        <w:tc>
          <w:tcPr>
            <w:tcW w:w="307" w:type="dxa"/>
            <w:tcBorders/>
            <w:shd w:fill="FFFFFF" w:val="clear"/>
            <w:vAlign w:val="center"/>
          </w:tcPr>
          <w:p>
            <w:pPr>
              <w:pStyle w:val="TableContents"/>
              <w:bidi w:val="0"/>
              <w:spacing w:before="0" w:after="283"/>
              <w:jc w:val="left"/>
              <w:rPr/>
            </w:pPr>
            <w:r>
              <w:rPr/>
              <w:t> </w:t>
            </w:r>
          </w:p>
        </w:tc>
        <w:tc>
          <w:tcPr>
            <w:tcW w:w="1343"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193,777</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192,009</w:t>
            </w:r>
          </w:p>
        </w:tc>
        <w:tc>
          <w:tcPr>
            <w:tcW w:w="891" w:type="dxa"/>
            <w:tcBorders/>
            <w:shd w:fill="FFFFFF" w:val="clear"/>
            <w:vAlign w:val="center"/>
          </w:tcPr>
          <w:p>
            <w:pPr>
              <w:pStyle w:val="TableContents"/>
              <w:bidi w:val="0"/>
              <w:spacing w:before="0" w:after="283"/>
              <w:ind w:left="0" w:right="0" w:firstLine="140"/>
              <w:jc w:val="left"/>
              <w:rPr/>
            </w:pPr>
            <w:r>
              <w:rPr/>
              <w:t> </w:t>
            </w:r>
          </w:p>
        </w:tc>
      </w:tr>
      <w:tr>
        <w:trPr/>
        <w:tc>
          <w:tcPr>
            <w:tcW w:w="480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Accumulated deficit</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(173,167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(165,263</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w:t>
            </w:r>
          </w:p>
        </w:tc>
      </w:tr>
      <w:tr>
        <w:trPr/>
        <w:tc>
          <w:tcPr>
            <w:tcW w:w="4806" w:type="dxa"/>
            <w:tcBorders/>
            <w:shd w:fill="FFFFFF" w:val="clear"/>
            <w:vAlign w:val="center"/>
          </w:tcPr>
          <w:p>
            <w:pPr>
              <w:pStyle w:val="TableContents"/>
              <w:bidi w:val="0"/>
              <w:spacing w:before="0" w:after="283"/>
              <w:ind w:left="420" w:right="0" w:firstLine="420"/>
              <w:jc w:val="left"/>
              <w:rPr>
                <w:rFonts w:ascii="Arial" w:hAnsi="Arial"/>
                <w:color w:val="000000"/>
                <w:sz w:val="24"/>
              </w:rPr>
            </w:pPr>
            <w:r>
              <w:rPr>
                <w:rFonts w:ascii="Arial" w:hAnsi="Arial"/>
                <w:color w:val="000000"/>
                <w:sz w:val="24"/>
              </w:rPr>
              <w:t>Total stockholders' equity</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20,632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26,768</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4806" w:type="dxa"/>
            <w:tcBorders/>
            <w:shd w:fill="FFFFFF" w:val="clear"/>
            <w:vAlign w:val="center"/>
          </w:tcPr>
          <w:p>
            <w:pPr>
              <w:pStyle w:val="TableContents"/>
              <w:bidi w:val="0"/>
              <w:spacing w:before="0" w:after="283"/>
              <w:ind w:left="420" w:right="0" w:firstLine="420"/>
              <w:jc w:val="left"/>
              <w:rPr>
                <w:rFonts w:ascii="Arial" w:hAnsi="Arial"/>
                <w:color w:val="000000"/>
                <w:sz w:val="24"/>
              </w:rPr>
            </w:pPr>
            <w:r>
              <w:rPr>
                <w:rFonts w:ascii="Arial" w:hAnsi="Arial"/>
                <w:color w:val="000000"/>
                <w:sz w:val="24"/>
              </w:rPr>
              <w:t>Total liabilities and stockholders' equity</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44,378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51,603</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pPr>
      <w:r>
        <w:rPr/>
        <w:t> </w:t>
      </w:r>
    </w:p>
    <w:tbl>
      <w:tblPr>
        <w:tblW w:w="9102" w:type="dxa"/>
        <w:jc w:val="left"/>
        <w:tblInd w:w="0" w:type="dxa"/>
        <w:tblLayout w:type="fixed"/>
        <w:tblCellMar>
          <w:top w:w="28" w:type="dxa"/>
          <w:left w:w="28" w:type="dxa"/>
          <w:bottom w:w="28" w:type="dxa"/>
          <w:right w:w="28" w:type="dxa"/>
        </w:tblCellMar>
      </w:tblPr>
      <w:tblGrid>
        <w:gridCol w:w="3454"/>
        <w:gridCol w:w="583"/>
        <w:gridCol w:w="1892"/>
        <w:gridCol w:w="184"/>
        <w:gridCol w:w="148"/>
        <w:gridCol w:w="583"/>
        <w:gridCol w:w="1892"/>
        <w:gridCol w:w="366"/>
      </w:tblGrid>
      <w:tr>
        <w:trPr/>
        <w:tc>
          <w:tcPr>
            <w:tcW w:w="345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8736" w:type="dxa"/>
            <w:gridSpan w:val="7"/>
            <w:tcBorders/>
            <w:shd w:fill="FFFFFF" w:val="clear"/>
            <w:vAlign w:val="center"/>
          </w:tcPr>
          <w:p>
            <w:pPr>
              <w:pStyle w:val="TableContents"/>
              <w:bidi w:val="0"/>
              <w:spacing w:before="0" w:after="283"/>
              <w:jc w:val="center"/>
              <w:rPr>
                <w:rFonts w:ascii="Arial" w:hAnsi="Arial"/>
                <w:b/>
                <w:color w:val="000000"/>
                <w:sz w:val="28"/>
              </w:rPr>
            </w:pPr>
            <w:r>
              <w:rPr>
                <w:rFonts w:ascii="Arial" w:hAnsi="Arial"/>
                <w:b/>
                <w:color w:val="000000"/>
                <w:sz w:val="28"/>
              </w:rPr>
              <w:t>TEMPEST THERAPEUTICS, INC.</w:t>
            </w:r>
          </w:p>
        </w:tc>
        <w:tc>
          <w:tcPr>
            <w:tcW w:w="366" w:type="dxa"/>
            <w:tcBorders/>
            <w:shd w:fill="FFFFFF" w:val="clear"/>
            <w:vAlign w:val="center"/>
          </w:tcPr>
          <w:p>
            <w:pPr>
              <w:pStyle w:val="TableContents"/>
              <w:bidi w:val="0"/>
              <w:spacing w:before="0" w:after="283"/>
              <w:jc w:val="center"/>
              <w:rPr/>
            </w:pPr>
            <w:r>
              <w:rPr/>
              <w:t> </w:t>
            </w:r>
          </w:p>
        </w:tc>
      </w:tr>
      <w:tr>
        <w:trPr/>
        <w:tc>
          <w:tcPr>
            <w:tcW w:w="8736" w:type="dxa"/>
            <w:gridSpan w:val="7"/>
            <w:tcBorders/>
            <w:shd w:fill="FFFFFF" w:val="clear"/>
            <w:vAlign w:val="center"/>
          </w:tcPr>
          <w:p>
            <w:pPr>
              <w:pStyle w:val="TableContents"/>
              <w:bidi w:val="0"/>
              <w:spacing w:before="0" w:after="283"/>
              <w:jc w:val="center"/>
              <w:rPr>
                <w:rFonts w:ascii="Arial" w:hAnsi="Arial"/>
                <w:b/>
                <w:color w:val="000000"/>
                <w:sz w:val="28"/>
              </w:rPr>
            </w:pPr>
            <w:r>
              <w:rPr>
                <w:rFonts w:ascii="Arial" w:hAnsi="Arial"/>
                <w:b/>
                <w:color w:val="000000"/>
                <w:sz w:val="28"/>
              </w:rPr>
              <w:t>Consolidated Statements of Operations</w:t>
            </w:r>
          </w:p>
        </w:tc>
        <w:tc>
          <w:tcPr>
            <w:tcW w:w="366" w:type="dxa"/>
            <w:tcBorders/>
            <w:shd w:fill="FFFFFF" w:val="clear"/>
            <w:vAlign w:val="center"/>
          </w:tcPr>
          <w:p>
            <w:pPr>
              <w:pStyle w:val="TableContents"/>
              <w:bidi w:val="0"/>
              <w:spacing w:before="0" w:after="283"/>
              <w:jc w:val="center"/>
              <w:rPr/>
            </w:pPr>
            <w:r>
              <w:rPr/>
              <w:t> </w:t>
            </w:r>
          </w:p>
        </w:tc>
      </w:tr>
      <w:tr>
        <w:trPr/>
        <w:tc>
          <w:tcPr>
            <w:tcW w:w="8736" w:type="dxa"/>
            <w:gridSpan w:val="7"/>
            <w:tcBorders/>
            <w:shd w:fill="FFFFFF" w:val="clear"/>
            <w:vAlign w:val="center"/>
          </w:tcPr>
          <w:p>
            <w:pPr>
              <w:pStyle w:val="TableContents"/>
              <w:bidi w:val="0"/>
              <w:spacing w:before="0" w:after="283"/>
              <w:jc w:val="center"/>
              <w:rPr>
                <w:rFonts w:ascii="Arial" w:hAnsi="Arial"/>
                <w:b/>
                <w:color w:val="000000"/>
                <w:sz w:val="28"/>
              </w:rPr>
            </w:pPr>
            <w:r>
              <w:rPr>
                <w:rFonts w:ascii="Arial" w:hAnsi="Arial"/>
                <w:b/>
                <w:color w:val="000000"/>
                <w:sz w:val="28"/>
              </w:rPr>
              <w:t>(in thousands, except per share amounts)</w:t>
            </w:r>
          </w:p>
        </w:tc>
        <w:tc>
          <w:tcPr>
            <w:tcW w:w="366" w:type="dxa"/>
            <w:tcBorders/>
            <w:shd w:fill="FFFFFF" w:val="clear"/>
            <w:vAlign w:val="center"/>
          </w:tcPr>
          <w:p>
            <w:pPr>
              <w:pStyle w:val="TableContents"/>
              <w:bidi w:val="0"/>
              <w:spacing w:before="0" w:after="283"/>
              <w:jc w:val="center"/>
              <w:rPr/>
            </w:pPr>
            <w:r>
              <w:rPr/>
              <w:t> </w:t>
            </w:r>
          </w:p>
        </w:tc>
      </w:tr>
      <w:tr>
        <w:trPr/>
        <w:tc>
          <w:tcPr>
            <w:tcW w:w="3454" w:type="dxa"/>
            <w:tcBorders/>
            <w:shd w:fill="FFFFFF" w:val="clear"/>
            <w:vAlign w:val="center"/>
          </w:tcPr>
          <w:p>
            <w:pPr>
              <w:pStyle w:val="TableContents"/>
              <w:bidi w:val="0"/>
              <w:spacing w:before="0" w:after="283"/>
              <w:jc w:val="center"/>
              <w:rPr/>
            </w:pPr>
            <w:r>
              <w:rPr/>
              <w:t> </w:t>
            </w:r>
          </w:p>
        </w:tc>
        <w:tc>
          <w:tcPr>
            <w:tcW w:w="2475" w:type="dxa"/>
            <w:gridSpan w:val="2"/>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475" w:type="dxa"/>
            <w:gridSpan w:val="2"/>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r>
      <w:tr>
        <w:trPr/>
        <w:tc>
          <w:tcPr>
            <w:tcW w:w="3454" w:type="dxa"/>
            <w:tcBorders/>
            <w:shd w:fill="FFFFFF" w:val="clear"/>
            <w:vAlign w:val="center"/>
          </w:tcPr>
          <w:p>
            <w:pPr>
              <w:pStyle w:val="TableContents"/>
              <w:bidi w:val="0"/>
              <w:spacing w:before="0" w:after="283"/>
              <w:jc w:val="left"/>
              <w:rPr/>
            </w:pPr>
            <w:r>
              <w:rPr/>
              <w:t> </w:t>
            </w:r>
          </w:p>
        </w:tc>
        <w:tc>
          <w:tcPr>
            <w:tcW w:w="2475" w:type="dxa"/>
            <w:gridSpan w:val="2"/>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475" w:type="dxa"/>
            <w:gridSpan w:val="2"/>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r>
      <w:tr>
        <w:trPr/>
        <w:tc>
          <w:tcPr>
            <w:tcW w:w="3454" w:type="dxa"/>
            <w:tcBorders/>
            <w:shd w:fill="FFFFFF" w:val="clear"/>
            <w:vAlign w:val="center"/>
          </w:tcPr>
          <w:p>
            <w:pPr>
              <w:pStyle w:val="TableContents"/>
              <w:bidi w:val="0"/>
              <w:spacing w:before="0" w:after="283"/>
              <w:jc w:val="left"/>
              <w:rPr/>
            </w:pPr>
            <w:r>
              <w:rPr/>
              <w:t> </w:t>
            </w:r>
          </w:p>
        </w:tc>
        <w:tc>
          <w:tcPr>
            <w:tcW w:w="2475" w:type="dxa"/>
            <w:gridSpan w:val="2"/>
            <w:tcBorders/>
            <w:shd w:fill="FFFFFF" w:val="clear"/>
            <w:vAlign w:val="center"/>
          </w:tcPr>
          <w:p>
            <w:pPr>
              <w:pStyle w:val="TableContents"/>
              <w:bidi w:val="0"/>
              <w:spacing w:before="0" w:after="283"/>
              <w:jc w:val="center"/>
              <w:rPr>
                <w:rFonts w:ascii="Arial" w:hAnsi="Arial"/>
                <w:b/>
                <w:color w:val="000000"/>
                <w:sz w:val="24"/>
              </w:rPr>
            </w:pPr>
            <w:r>
              <w:rPr>
                <w:rFonts w:ascii="Arial" w:hAnsi="Arial"/>
                <w:b/>
                <w:color w:val="000000"/>
                <w:sz w:val="24"/>
              </w:rPr>
              <w:t>Three months ended</w:t>
            </w:r>
          </w:p>
        </w:tc>
        <w:tc>
          <w:tcPr>
            <w:tcW w:w="184" w:type="dxa"/>
            <w:tcBorders/>
            <w:shd w:fill="FFFFFF" w:val="cle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2475" w:type="dxa"/>
            <w:gridSpan w:val="2"/>
            <w:tcBorders/>
            <w:shd w:fill="FFFFFF" w:val="clear"/>
            <w:vAlign w:val="center"/>
          </w:tcPr>
          <w:p>
            <w:pPr>
              <w:pStyle w:val="TableContents"/>
              <w:bidi w:val="0"/>
              <w:spacing w:before="0" w:after="283"/>
              <w:jc w:val="center"/>
              <w:rPr>
                <w:rFonts w:ascii="Arial" w:hAnsi="Arial"/>
                <w:b/>
                <w:color w:val="000000"/>
                <w:sz w:val="24"/>
              </w:rPr>
            </w:pPr>
            <w:r>
              <w:rPr>
                <w:rFonts w:ascii="Arial" w:hAnsi="Arial"/>
                <w:b/>
                <w:color w:val="000000"/>
                <w:sz w:val="24"/>
              </w:rPr>
              <w:t>Three months ended</w:t>
            </w:r>
          </w:p>
        </w:tc>
        <w:tc>
          <w:tcPr>
            <w:tcW w:w="366" w:type="dxa"/>
            <w:tcBorders/>
            <w:shd w:fill="FFFFFF" w:val="clear"/>
            <w:vAlign w:val="center"/>
          </w:tcPr>
          <w:p>
            <w:pPr>
              <w:pStyle w:val="TableContents"/>
              <w:bidi w:val="0"/>
              <w:spacing w:before="0" w:after="283"/>
              <w:jc w:val="center"/>
              <w:rPr/>
            </w:pPr>
            <w:r>
              <w:rPr/>
              <w:t> </w:t>
            </w:r>
          </w:p>
        </w:tc>
      </w:tr>
      <w:tr>
        <w:trPr/>
        <w:tc>
          <w:tcPr>
            <w:tcW w:w="3454" w:type="dxa"/>
            <w:tcBorders/>
            <w:shd w:fill="FFFFFF" w:val="clear"/>
            <w:vAlign w:val="center"/>
          </w:tcPr>
          <w:p>
            <w:pPr>
              <w:pStyle w:val="TableContents"/>
              <w:bidi w:val="0"/>
              <w:spacing w:before="0" w:after="283"/>
              <w:jc w:val="left"/>
              <w:rPr/>
            </w:pPr>
            <w:r>
              <w:rPr/>
              <w:t> </w:t>
            </w:r>
          </w:p>
        </w:tc>
        <w:tc>
          <w:tcPr>
            <w:tcW w:w="2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March 31, 2024</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2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March 31, 2023</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4" w:type="dxa"/>
            <w:tcBorders/>
            <w:shd w:fill="FFFFFF" w:val="clear"/>
            <w:vAlign w:val="center"/>
          </w:tcPr>
          <w:p>
            <w:pPr>
              <w:pStyle w:val="TableContents"/>
              <w:bidi w:val="0"/>
              <w:spacing w:before="0" w:after="283"/>
              <w:jc w:val="left"/>
              <w:rPr>
                <w:rFonts w:ascii="Arial" w:hAnsi="Arial"/>
                <w:b/>
                <w:color w:val="000000"/>
                <w:sz w:val="24"/>
              </w:rPr>
            </w:pPr>
            <w:r>
              <w:rPr>
                <w:rFonts w:ascii="Arial" w:hAnsi="Arial"/>
                <w:b/>
                <w:color w:val="000000"/>
                <w:sz w:val="24"/>
              </w:rPr>
              <w:t>Expenses:</w:t>
            </w:r>
          </w:p>
        </w:tc>
        <w:tc>
          <w:tcPr>
            <w:tcW w:w="2475" w:type="dxa"/>
            <w:gridSpan w:val="2"/>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475" w:type="dxa"/>
            <w:gridSpan w:val="2"/>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ind w:left="0" w:right="0" w:firstLine="140"/>
              <w:jc w:val="left"/>
              <w:rPr/>
            </w:pPr>
            <w:r>
              <w:rPr/>
              <w:t> </w:t>
            </w:r>
          </w:p>
        </w:tc>
      </w:tr>
      <w:tr>
        <w:trPr/>
        <w:tc>
          <w:tcPr>
            <w:tcW w:w="3454"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Research and development</w:t>
            </w:r>
          </w:p>
        </w:tc>
        <w:tc>
          <w:tcPr>
            <w:tcW w:w="583"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892"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4,340</w:t>
            </w:r>
          </w:p>
        </w:tc>
        <w:tc>
          <w:tcPr>
            <w:tcW w:w="184"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892"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4,678</w:t>
            </w:r>
          </w:p>
        </w:tc>
        <w:tc>
          <w:tcPr>
            <w:tcW w:w="366" w:type="dxa"/>
            <w:tcBorders/>
            <w:shd w:fill="FFFFFF" w:val="clear"/>
            <w:vAlign w:val="center"/>
          </w:tcPr>
          <w:p>
            <w:pPr>
              <w:pStyle w:val="TableContents"/>
              <w:bidi w:val="0"/>
              <w:spacing w:before="0" w:after="283"/>
              <w:ind w:left="0" w:right="0" w:firstLine="140"/>
              <w:jc w:val="left"/>
              <w:rPr/>
            </w:pPr>
            <w:r>
              <w:rPr/>
              <w:t> </w:t>
            </w:r>
          </w:p>
        </w:tc>
      </w:tr>
      <w:tr>
        <w:trPr/>
        <w:tc>
          <w:tcPr>
            <w:tcW w:w="3454"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General and administrative</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3,634</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2,903</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3454" w:type="dxa"/>
            <w:tcBorders/>
            <w:shd w:fill="FFFFFF" w:val="clear"/>
            <w:vAlign w:val="center"/>
          </w:tcPr>
          <w:p>
            <w:pPr>
              <w:pStyle w:val="TableContents"/>
              <w:bidi w:val="0"/>
              <w:spacing w:before="0" w:after="283"/>
              <w:ind w:left="140" w:right="0" w:firstLine="140"/>
              <w:jc w:val="left"/>
              <w:rPr/>
            </w:pPr>
            <w:r>
              <w:rPr/>
              <w:t> </w:t>
            </w:r>
          </w:p>
        </w:tc>
        <w:tc>
          <w:tcPr>
            <w:tcW w:w="2475" w:type="dxa"/>
            <w:gridSpan w:val="2"/>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475" w:type="dxa"/>
            <w:gridSpan w:val="2"/>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r>
      <w:tr>
        <w:trPr/>
        <w:tc>
          <w:tcPr>
            <w:tcW w:w="3454" w:type="dxa"/>
            <w:tcBorders/>
            <w:shd w:fill="FFFFFF" w:val="clear"/>
            <w:vAlign w:val="center"/>
          </w:tcPr>
          <w:p>
            <w:pPr>
              <w:pStyle w:val="TableContents"/>
              <w:bidi w:val="0"/>
              <w:spacing w:before="0" w:after="283"/>
              <w:jc w:val="left"/>
              <w:rPr>
                <w:rFonts w:ascii="Arial" w:hAnsi="Arial"/>
                <w:b/>
                <w:color w:val="000000"/>
                <w:sz w:val="24"/>
              </w:rPr>
            </w:pPr>
            <w:r>
              <w:rPr>
                <w:rFonts w:ascii="Arial" w:hAnsi="Arial"/>
                <w:b/>
                <w:color w:val="000000"/>
                <w:sz w:val="24"/>
              </w:rPr>
              <w:t>Operating loss</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(7,974</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8" w:type="dxa"/>
            <w:tcBorders/>
            <w:shd w:fill="FFFFFF" w:val="cle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(7,581</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w:t>
            </w:r>
          </w:p>
        </w:tc>
      </w:tr>
      <w:tr>
        <w:trPr/>
        <w:tc>
          <w:tcPr>
            <w:tcW w:w="3454" w:type="dxa"/>
            <w:tcBorders/>
            <w:shd w:fill="FFFFFF" w:val="clear"/>
            <w:vAlign w:val="center"/>
          </w:tcPr>
          <w:p>
            <w:pPr>
              <w:pStyle w:val="TableContents"/>
              <w:bidi w:val="0"/>
              <w:spacing w:before="0" w:after="283"/>
              <w:ind w:left="140" w:right="0" w:firstLine="140"/>
              <w:jc w:val="left"/>
              <w:rPr/>
            </w:pPr>
            <w:r>
              <w:rPr/>
              <w:t> </w:t>
            </w:r>
          </w:p>
        </w:tc>
        <w:tc>
          <w:tcPr>
            <w:tcW w:w="2475" w:type="dxa"/>
            <w:gridSpan w:val="2"/>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475" w:type="dxa"/>
            <w:gridSpan w:val="2"/>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r>
      <w:tr>
        <w:trPr/>
        <w:tc>
          <w:tcPr>
            <w:tcW w:w="3454" w:type="dxa"/>
            <w:tcBorders/>
            <w:shd w:fill="FFFFFF" w:val="clear"/>
            <w:vAlign w:val="center"/>
          </w:tcPr>
          <w:p>
            <w:pPr>
              <w:pStyle w:val="TableContents"/>
              <w:bidi w:val="0"/>
              <w:spacing w:before="0" w:after="283"/>
              <w:jc w:val="left"/>
              <w:rPr>
                <w:rFonts w:ascii="Arial" w:hAnsi="Arial"/>
                <w:b/>
                <w:color w:val="000000"/>
                <w:sz w:val="24"/>
              </w:rPr>
            </w:pPr>
            <w:r>
              <w:rPr>
                <w:rFonts w:ascii="Arial" w:hAnsi="Arial"/>
                <w:b/>
                <w:color w:val="000000"/>
                <w:sz w:val="24"/>
              </w:rPr>
              <w:t>Other income (expense), net:</w:t>
            </w:r>
          </w:p>
        </w:tc>
        <w:tc>
          <w:tcPr>
            <w:tcW w:w="2475" w:type="dxa"/>
            <w:gridSpan w:val="2"/>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475" w:type="dxa"/>
            <w:gridSpan w:val="2"/>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ind w:left="0" w:right="0" w:firstLine="140"/>
              <w:jc w:val="left"/>
              <w:rPr/>
            </w:pPr>
            <w:r>
              <w:rPr/>
              <w:t> </w:t>
            </w:r>
          </w:p>
        </w:tc>
      </w:tr>
      <w:tr>
        <w:trPr/>
        <w:tc>
          <w:tcPr>
            <w:tcW w:w="3454"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Interest expense</w:t>
            </w:r>
          </w:p>
        </w:tc>
        <w:tc>
          <w:tcPr>
            <w:tcW w:w="583" w:type="dxa"/>
            <w:tcBorders/>
            <w:shd w:fill="FFFFFF" w:val="clear"/>
            <w:vAlign w:val="center"/>
          </w:tcPr>
          <w:p>
            <w:pPr>
              <w:pStyle w:val="TableContents"/>
              <w:bidi w:val="0"/>
              <w:spacing w:before="0" w:after="283"/>
              <w:jc w:val="left"/>
              <w:rPr/>
            </w:pPr>
            <w:r>
              <w:rPr/>
              <w:t> </w:t>
            </w:r>
          </w:p>
        </w:tc>
        <w:tc>
          <w:tcPr>
            <w:tcW w:w="1892"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(368</w:t>
            </w:r>
          </w:p>
        </w:tc>
        <w:tc>
          <w:tcPr>
            <w:tcW w:w="184"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8"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left"/>
              <w:rPr/>
            </w:pPr>
            <w:r>
              <w:rPr/>
              <w:t> </w:t>
            </w:r>
          </w:p>
        </w:tc>
        <w:tc>
          <w:tcPr>
            <w:tcW w:w="1892"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(344</w:t>
            </w:r>
          </w:p>
        </w:tc>
        <w:tc>
          <w:tcPr>
            <w:tcW w:w="366" w:type="dxa"/>
            <w:tcBorders/>
            <w:shd w:fill="FFFFFF" w:val="cle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w:t>
            </w:r>
          </w:p>
        </w:tc>
      </w:tr>
      <w:tr>
        <w:trPr/>
        <w:tc>
          <w:tcPr>
            <w:tcW w:w="3454"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Interest and other income, net</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438</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289</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4" w:type="dxa"/>
            <w:tcBorders/>
            <w:shd w:fill="FFFFFF" w:val="clear"/>
            <w:vAlign w:val="center"/>
          </w:tcPr>
          <w:p>
            <w:pPr>
              <w:pStyle w:val="TableContents"/>
              <w:bidi w:val="0"/>
              <w:spacing w:before="0" w:after="283"/>
              <w:jc w:val="left"/>
              <w:rPr/>
            </w:pPr>
            <w:r>
              <w:rPr/>
              <w:t> </w:t>
            </w:r>
          </w:p>
        </w:tc>
        <w:tc>
          <w:tcPr>
            <w:tcW w:w="2475" w:type="dxa"/>
            <w:gridSpan w:val="2"/>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475" w:type="dxa"/>
            <w:gridSpan w:val="2"/>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r>
      <w:tr>
        <w:trPr/>
        <w:tc>
          <w:tcPr>
            <w:tcW w:w="3454" w:type="dxa"/>
            <w:tcBorders/>
            <w:shd w:fill="FFFFFF" w:val="clear"/>
            <w:vAlign w:val="center"/>
          </w:tcPr>
          <w:p>
            <w:pPr>
              <w:pStyle w:val="TableContents"/>
              <w:bidi w:val="0"/>
              <w:spacing w:before="0" w:after="283"/>
              <w:jc w:val="left"/>
              <w:rPr>
                <w:rFonts w:ascii="Arial" w:hAnsi="Arial"/>
                <w:b/>
                <w:color w:val="000000"/>
                <w:sz w:val="24"/>
              </w:rPr>
            </w:pPr>
            <w:r>
              <w:rPr>
                <w:rFonts w:ascii="Arial" w:hAnsi="Arial"/>
                <w:b/>
                <w:color w:val="000000"/>
                <w:sz w:val="24"/>
              </w:rPr>
              <w:t>Net loss</w:t>
            </w:r>
          </w:p>
        </w:tc>
        <w:tc>
          <w:tcPr>
            <w:tcW w:w="5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8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(7,904</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8" w:type="dxa"/>
            <w:tcBorders/>
            <w:shd w:fill="FFFFFF" w:val="clear"/>
            <w:vAlign w:val="center"/>
          </w:tcPr>
          <w:p>
            <w:pPr>
              <w:pStyle w:val="TableContents"/>
              <w:bidi w:val="0"/>
              <w:spacing w:before="0" w:after="283"/>
              <w:jc w:val="left"/>
              <w:rPr/>
            </w:pPr>
            <w:r>
              <w:rPr/>
              <w:t> </w:t>
            </w:r>
          </w:p>
        </w:tc>
        <w:tc>
          <w:tcPr>
            <w:tcW w:w="5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8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(7,636</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r>
      <w:tr>
        <w:trPr/>
        <w:tc>
          <w:tcPr>
            <w:tcW w:w="3454" w:type="dxa"/>
            <w:tcBorders/>
            <w:shd w:fill="FFFFFF" w:val="clear"/>
            <w:vAlign w:val="center"/>
          </w:tcPr>
          <w:p>
            <w:pPr>
              <w:pStyle w:val="TableContents"/>
              <w:bidi w:val="0"/>
              <w:spacing w:before="0" w:after="283"/>
              <w:jc w:val="left"/>
              <w:rPr>
                <w:rFonts w:ascii="Arial" w:hAnsi="Arial"/>
                <w:b/>
                <w:color w:val="000000"/>
                <w:sz w:val="24"/>
              </w:rPr>
            </w:pPr>
            <w:r>
              <w:rPr>
                <w:rFonts w:ascii="Arial" w:hAnsi="Arial"/>
                <w:b/>
                <w:color w:val="000000"/>
                <w:sz w:val="24"/>
              </w:rPr>
              <w:t>Net loss per share</w:t>
            </w:r>
          </w:p>
        </w:tc>
        <w:tc>
          <w:tcPr>
            <w:tcW w:w="5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8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(0.36</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8" w:type="dxa"/>
            <w:tcBorders/>
            <w:shd w:fill="FFFFFF" w:val="clear"/>
            <w:vAlign w:val="center"/>
          </w:tcPr>
          <w:p>
            <w:pPr>
              <w:pStyle w:val="TableContents"/>
              <w:bidi w:val="0"/>
              <w:spacing w:before="0" w:after="283"/>
              <w:jc w:val="left"/>
              <w:rPr/>
            </w:pPr>
            <w:r>
              <w:rPr/>
              <w:t> </w:t>
            </w:r>
          </w:p>
        </w:tc>
        <w:tc>
          <w:tcPr>
            <w:tcW w:w="5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8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(0.55</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r>
    </w:tbl>
    <w:p>
      <w:pPr>
        <w:pStyle w:val="TextBody"/>
        <w:bidi w:val="0"/>
        <w:spacing w:before="0" w:after="160"/>
        <w:jc w:val="left"/>
        <w:rPr/>
      </w:pPr>
      <w:r>
        <w:rPr/>
        <w:t> </w:t>
      </w:r>
    </w:p>
    <w:p>
      <w:pPr>
        <w:pStyle w:val="TextBody"/>
        <w:bidi w:val="0"/>
        <w:spacing w:before="0" w:after="160"/>
        <w:jc w:val="left"/>
        <w:rPr>
          <w:rFonts w:ascii="Arial" w:hAnsi="Arial"/>
          <w:b/>
          <w:color w:val="000000"/>
          <w:sz w:val="24"/>
        </w:rPr>
      </w:pPr>
      <w:r>
        <w:rPr>
          <w:rFonts w:ascii="Arial" w:hAnsi="Arial"/>
          <w:b/>
          <w:color w:val="000000"/>
          <w:sz w:val="24"/>
        </w:rPr>
        <w:t>Investor Contacts:</w:t>
      </w:r>
    </w:p>
    <w:p>
      <w:pPr>
        <w:pStyle w:val="TextBody"/>
        <w:bidi w:val="0"/>
        <w:jc w:val="left"/>
        <w:rPr>
          <w:rFonts w:ascii="Arial" w:hAnsi="Arial"/>
          <w:color w:val="000000"/>
          <w:sz w:val="24"/>
        </w:rPr>
      </w:pPr>
      <w:r>
        <w:rPr>
          <w:rFonts w:ascii="Arial" w:hAnsi="Arial"/>
          <w:color w:val="000000"/>
          <w:sz w:val="24"/>
        </w:rPr>
        <w:t>Sylvia Wheeler</w:t>
      </w:r>
    </w:p>
    <w:p>
      <w:pPr>
        <w:pStyle w:val="TextBody"/>
        <w:bidi w:val="0"/>
        <w:jc w:val="left"/>
        <w:rPr>
          <w:rFonts w:ascii="Arial" w:hAnsi="Arial"/>
          <w:color w:val="000000"/>
          <w:sz w:val="24"/>
        </w:rPr>
      </w:pPr>
      <w:r>
        <w:rPr>
          <w:rFonts w:ascii="Arial" w:hAnsi="Arial"/>
          <w:color w:val="000000"/>
          <w:sz w:val="24"/>
        </w:rPr>
        <w:t>Wheelhouse Life Science Advisors</w:t>
      </w:r>
    </w:p>
    <w:p>
      <w:pPr>
        <w:pStyle w:val="TextBody"/>
        <w:bidi w:val="0"/>
        <w:jc w:val="left"/>
        <w:rPr>
          <w:rFonts w:ascii="Arial" w:hAnsi="Arial"/>
          <w:color w:val="0563C1"/>
          <w:sz w:val="24"/>
        </w:rPr>
      </w:pPr>
      <w:r>
        <w:rPr>
          <w:rFonts w:ascii="Arial" w:hAnsi="Arial"/>
          <w:color w:val="0563C1"/>
          <w:sz w:val="24"/>
        </w:rPr>
        <w:t>swheeler@wheelhouselsa.com</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Aljanae Reynolds</w:t>
      </w:r>
      <w:r>
        <w:rPr>
          <w:rFonts w:ascii="Times New Roman" w:hAnsi="Times New Roman"/>
          <w:color w:val="000000"/>
          <w:sz w:val="20"/>
        </w:rPr>
        <w:t xml:space="preserve"> </w:t>
      </w:r>
    </w:p>
    <w:p>
      <w:pPr>
        <w:pStyle w:val="TextBody"/>
        <w:bidi w:val="0"/>
        <w:jc w:val="left"/>
        <w:rPr>
          <w:rFonts w:ascii="Arial" w:hAnsi="Arial"/>
          <w:color w:val="000000"/>
          <w:sz w:val="24"/>
        </w:rPr>
      </w:pPr>
      <w:r>
        <w:rPr>
          <w:rFonts w:ascii="Arial" w:hAnsi="Arial"/>
          <w:color w:val="000000"/>
          <w:sz w:val="24"/>
        </w:rPr>
        <w:t>Wheelhouse Life Science Advisors</w:t>
      </w:r>
    </w:p>
    <w:p>
      <w:pPr>
        <w:pStyle w:val="TextBody"/>
        <w:bidi w:val="0"/>
        <w:jc w:val="left"/>
        <w:rPr>
          <w:rFonts w:ascii="Times New Roman" w:hAnsi="Times New Roman"/>
          <w:sz w:val="20"/>
        </w:rPr>
      </w:pPr>
      <w:r>
        <w:rPr>
          <w:rFonts w:ascii="Arial" w:hAnsi="Arial"/>
          <w:color w:val="0563C1"/>
          <w:sz w:val="24"/>
        </w:rPr>
        <w:t>areynolds@wheelhouselsa.com</w:t>
      </w:r>
      <w:r>
        <w:rPr>
          <w:rFonts w:ascii="Times New Roman" w:hAnsi="Times New Roman"/>
          <w:color w:val="000000"/>
          <w:sz w:val="20"/>
        </w:rPr>
        <w:t xml:space="preserve">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283"/>
              <w:jc w:val="left"/>
              <w:rPr>
                <w:sz w:val="4"/>
                <w:szCs w:val="4"/>
              </w:rPr>
            </w:pPr>
            <w:r>
              <w:rPr>
                <w:sz w:val="4"/>
                <w:szCs w:val="4"/>
              </w:rPr>
            </w:r>
          </w:p>
        </w:tc>
      </w:tr>
      <w:tr>
        <w:trPr/>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13"/>
              </w:rPr>
              <w:t>i</w:t>
            </w:r>
            <w:r>
              <w:rPr>
                <w:rFonts w:ascii="Times New Roman" w:hAnsi="Times New Roman"/>
                <w:color w:val="000000"/>
                <w:sz w:val="20"/>
              </w:rPr>
              <w:t> </w:t>
            </w:r>
            <w:r>
              <w:rPr>
                <w:rFonts w:ascii="Calibri;sans-serif" w:hAnsi="Calibri;sans-serif"/>
                <w:color w:val="000000"/>
                <w:sz w:val="20"/>
              </w:rPr>
              <w:t>If approved by the FDA</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2045</Words>
  <Characters>11827</Characters>
  <CharactersWithSpaces>13952</CharactersWithSpaces>
  <Paragraphs>557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