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90534ds8.htm"/>
      <w:bookmarkStart w:id="1" w:name="ksd90534ds8"/>
      <w:bookmarkEnd w:id="0"/>
      <w:bookmarkEnd w:id="1"/>
      <w:r>
        <w:rPr>
          <w:rFonts w:ascii="Times New Roman" w:hAnsi="Times New Roman"/>
          <w:b/>
          <w:sz w:val="20"/>
        </w:rPr>
        <w:t xml:space="preserve">As filed with the U.S. Securities and Exchange Commission on March 30,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45-1472564</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0"/>
              <w:jc w:val="center"/>
              <w:rPr>
                <w:rFonts w:ascii="Times New Roman" w:hAnsi="Times New Roman"/>
                <w:b/>
                <w:sz w:val="16"/>
              </w:rPr>
            </w:pPr>
            <w:r>
              <w:rPr>
                <w:rFonts w:ascii="Times New Roman" w:hAnsi="Times New Roman"/>
                <w:b/>
                <w:sz w:val="16"/>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2000 Sierra Point Parkway,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Brisbane, California 94005 </w:t>
      </w:r>
    </w:p>
    <w:p>
      <w:pPr>
        <w:pStyle w:val="TextBody"/>
        <w:bidi w:val="0"/>
        <w:spacing w:before="0" w:after="0"/>
        <w:jc w:val="center"/>
        <w:rPr>
          <w:rFonts w:ascii="Times New Roman" w:hAnsi="Times New Roman"/>
          <w:b/>
          <w:sz w:val="20"/>
        </w:rPr>
      </w:pPr>
      <w:r>
        <w:rPr>
          <w:rFonts w:ascii="Times New Roman" w:hAnsi="Times New Roman"/>
          <w:b/>
          <w:sz w:val="20"/>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Tempest Therapeutics, Inc. Amended and Restated 2023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Tempest Therapeutics, Inc. Amended and Restated 2019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Matthew Angel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2000 Sierra Point Parkway,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Brisbane, California 94005 </w:t>
      </w:r>
    </w:p>
    <w:p>
      <w:pPr>
        <w:pStyle w:val="TextBody"/>
        <w:bidi w:val="0"/>
        <w:spacing w:before="0" w:after="0"/>
        <w:jc w:val="center"/>
        <w:rPr>
          <w:rFonts w:ascii="Times New Roman" w:hAnsi="Times New Roman"/>
          <w:b/>
          <w:sz w:val="20"/>
        </w:rPr>
      </w:pPr>
      <w:r>
        <w:rPr>
          <w:rFonts w:ascii="Times New Roman" w:hAnsi="Times New Roman"/>
          <w:b/>
          <w:sz w:val="20"/>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Laura Berezin </w:t>
      </w:r>
    </w:p>
    <w:p>
      <w:pPr>
        <w:pStyle w:val="TextBody"/>
        <w:bidi w:val="0"/>
        <w:spacing w:before="0" w:after="0"/>
        <w:jc w:val="center"/>
        <w:rPr>
          <w:rFonts w:ascii="Times New Roman" w:hAnsi="Times New Roman"/>
          <w:b/>
          <w:sz w:val="20"/>
        </w:rPr>
      </w:pPr>
      <w:r>
        <w:rPr>
          <w:rFonts w:ascii="Times New Roman" w:hAnsi="Times New Roman"/>
          <w:b/>
          <w:sz w:val="20"/>
        </w:rPr>
        <w:t xml:space="preserve">Jaime Chase </w:t>
      </w:r>
    </w:p>
    <w:p>
      <w:pPr>
        <w:pStyle w:val="TextBody"/>
        <w:bidi w:val="0"/>
        <w:spacing w:before="0" w:after="0"/>
        <w:jc w:val="center"/>
        <w:rPr>
          <w:rFonts w:ascii="Times New Roman" w:hAnsi="Times New Roman"/>
          <w:b/>
          <w:sz w:val="20"/>
        </w:rPr>
      </w:pPr>
      <w:r>
        <w:rPr>
          <w:rFonts w:ascii="Times New Roman" w:hAnsi="Times New Roman"/>
          <w:b/>
          <w:sz w:val="20"/>
        </w:rPr>
        <w:t xml:space="preserve">Cooley LLP </w:t>
      </w:r>
    </w:p>
    <w:p>
      <w:pPr>
        <w:pStyle w:val="TextBody"/>
        <w:bidi w:val="0"/>
        <w:spacing w:before="0" w:after="0"/>
        <w:jc w:val="center"/>
        <w:rPr>
          <w:rFonts w:ascii="Times New Roman" w:hAnsi="Times New Roman"/>
          <w:b/>
          <w:sz w:val="20"/>
        </w:rPr>
      </w:pPr>
      <w:r>
        <w:rPr>
          <w:rFonts w:ascii="Times New Roman" w:hAnsi="Times New Roman"/>
          <w:b/>
          <w:sz w:val="20"/>
        </w:rPr>
        <w:t xml:space="preserve">1700 Seventh Avenue, Suite 1900 </w:t>
      </w:r>
    </w:p>
    <w:p>
      <w:pPr>
        <w:pStyle w:val="TextBody"/>
        <w:bidi w:val="0"/>
        <w:spacing w:before="0" w:after="0"/>
        <w:jc w:val="center"/>
        <w:rPr>
          <w:rFonts w:ascii="Times New Roman" w:hAnsi="Times New Roman"/>
          <w:b/>
          <w:sz w:val="20"/>
        </w:rPr>
      </w:pPr>
      <w:r>
        <w:rPr>
          <w:rFonts w:ascii="Times New Roman" w:hAnsi="Times New Roman"/>
          <w:b/>
          <w:sz w:val="20"/>
        </w:rPr>
        <w:t xml:space="preserve">Seattle, Washington 98101 </w:t>
      </w:r>
    </w:p>
    <w:p>
      <w:pPr>
        <w:pStyle w:val="TextBody"/>
        <w:bidi w:val="0"/>
        <w:spacing w:before="0" w:after="0"/>
        <w:jc w:val="center"/>
        <w:rPr>
          <w:rFonts w:ascii="Times New Roman" w:hAnsi="Times New Roman"/>
          <w:b/>
          <w:sz w:val="20"/>
        </w:rPr>
      </w:pPr>
      <w:r>
        <w:rPr>
          <w:rFonts w:ascii="Times New Roman" w:hAnsi="Times New Roman"/>
          <w:b/>
          <w:sz w:val="20"/>
        </w:rPr>
        <w:t xml:space="preserve">(206) 452-8700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(the “Registrant”) is filing this Registration Statement on Form S-8 for the purpose of registering (a) 197,086 additional shares of its common stock, par value $0.001 per share (the “Common Stock”), issuable to eligible persons under the Registrant’s Amended and Restated 2023 Equity Incentive Plan (the “2023 Plan”) pursuant to the provisions of the 2023 Plan providing for an automatic increase in the number of shares of Common Stock reserved and available for issuance under the 2023 Plan on January 1, 2026, (b) 1,410,000 additional shares of Common Stock, issuable to eligible persons under the 2023 Plan, pursuant to an amendment to the 2023 Plan approved by the Company’s stockholders on January 27, 2026, and (c) 38,461 additional shares of Common Stock issuable to eligible persons under the Registrant’s Amended and Restated 2019 Employee Stock Purchase Plan (the “2019 ESPP”) pursuant to the provisions of the 2019 ESPP providing for an automatic increase in the number of shares of Common Stock reserved and available for issuance under the 2019 ESPP on January 1, 2026.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instructional note to Part I of Form S-8 as promulgated by the Securities and Exchange Commission (the “SEC”), the information specified by Part I of the Form S-8 has been omitted from this Registration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Certain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by the Registrant with the SEC are incorporated by reference into this Registration Statement: </w:t>
      </w:r>
    </w:p>
    <w:p>
      <w:pPr>
        <w:pStyle w:val="TextBody"/>
        <w:bidi w:val="0"/>
        <w:spacing w:before="120" w:after="0"/>
        <w:jc w:val="left"/>
        <w:rPr/>
      </w:pPr>
      <w:r>
        <w:rPr>
          <w:rFonts w:ascii="Times New Roman" w:hAnsi="Times New Roman"/>
          <w:sz w:val="20"/>
        </w:rPr>
        <w:t>(a) the contents of the Registrant’s Registration Statements on Form S-8, previously filed with the SEC on December 16, 2019 (File No.</w:t>
      </w:r>
      <w:hyperlink r:id="rId2">
        <w:r>
          <w:rPr>
            <w:rStyle w:val="InternetLink"/>
            <w:rFonts w:ascii="Times New Roman" w:hAnsi="Times New Roman"/>
            <w:sz w:val="20"/>
          </w:rPr>
          <w:t>  333-235515</w:t>
        </w:r>
      </w:hyperlink>
      <w:r>
        <w:rPr>
          <w:rFonts w:ascii="Times New Roman" w:hAnsi="Times New Roman"/>
          <w:sz w:val="20"/>
        </w:rPr>
        <w:t>), November 10, 2020 (File No.</w:t>
      </w:r>
      <w:hyperlink r:id="rId3">
        <w:r>
          <w:rPr>
            <w:rStyle w:val="InternetLink"/>
            <w:rFonts w:ascii="Times New Roman" w:hAnsi="Times New Roman"/>
            <w:sz w:val="20"/>
          </w:rPr>
          <w:t> 333-249993</w:t>
        </w:r>
      </w:hyperlink>
      <w:r>
        <w:rPr>
          <w:rFonts w:ascii="Times New Roman" w:hAnsi="Times New Roman"/>
          <w:sz w:val="20"/>
        </w:rPr>
        <w:t>), April  15, 2021 (File No.</w:t>
      </w:r>
      <w:hyperlink r:id="rId4">
        <w:r>
          <w:rPr>
            <w:rStyle w:val="InternetLink"/>
            <w:rFonts w:ascii="Times New Roman" w:hAnsi="Times New Roman"/>
            <w:sz w:val="20"/>
          </w:rPr>
          <w:t> 333-255261</w:t>
        </w:r>
      </w:hyperlink>
      <w:r>
        <w:rPr>
          <w:rFonts w:ascii="Times New Roman" w:hAnsi="Times New Roman"/>
          <w:sz w:val="20"/>
        </w:rPr>
        <w:t>), May  13, 2022 (File No.</w:t>
      </w:r>
      <w:hyperlink r:id="rId5">
        <w:r>
          <w:rPr>
            <w:rStyle w:val="InternetLink"/>
            <w:rFonts w:ascii="Times New Roman" w:hAnsi="Times New Roman"/>
            <w:sz w:val="20"/>
          </w:rPr>
          <w:t> 333-264943</w:t>
        </w:r>
      </w:hyperlink>
      <w:r>
        <w:rPr>
          <w:rFonts w:ascii="Times New Roman" w:hAnsi="Times New Roman"/>
          <w:sz w:val="20"/>
        </w:rPr>
        <w:t>), June  21, 2022 (File No.</w:t>
      </w:r>
      <w:hyperlink r:id="rId6">
        <w:r>
          <w:rPr>
            <w:rStyle w:val="InternetLink"/>
            <w:rFonts w:ascii="Times New Roman" w:hAnsi="Times New Roman"/>
            <w:sz w:val="20"/>
          </w:rPr>
          <w:t> 333-265718</w:t>
        </w:r>
      </w:hyperlink>
      <w:r>
        <w:rPr>
          <w:rFonts w:ascii="Times New Roman" w:hAnsi="Times New Roman"/>
          <w:sz w:val="20"/>
        </w:rPr>
        <w:t xml:space="preserve">), each as amended by the Post-Effective Amendments to Form S-8 filed on November  17, 2023 (File Nos. </w:t>
      </w:r>
      <w:hyperlink r:id="rId7">
        <w:r>
          <w:rPr>
            <w:rStyle w:val="InternetLink"/>
            <w:rFonts w:ascii="Times New Roman" w:hAnsi="Times New Roman"/>
            <w:sz w:val="20"/>
          </w:rPr>
          <w:t>333-265718</w:t>
        </w:r>
      </w:hyperlink>
      <w:r>
        <w:rPr>
          <w:rFonts w:ascii="Times New Roman" w:hAnsi="Times New Roman"/>
          <w:sz w:val="20"/>
        </w:rPr>
        <w:t xml:space="preserve">, </w:t>
      </w:r>
      <w:hyperlink r:id="rId8">
        <w:r>
          <w:rPr>
            <w:rStyle w:val="InternetLink"/>
            <w:rFonts w:ascii="Times New Roman" w:hAnsi="Times New Roman"/>
            <w:sz w:val="20"/>
          </w:rPr>
          <w:t>333-264943</w:t>
        </w:r>
      </w:hyperlink>
      <w:r>
        <w:rPr>
          <w:rFonts w:ascii="Times New Roman" w:hAnsi="Times New Roman"/>
          <w:sz w:val="20"/>
        </w:rPr>
        <w:t xml:space="preserve">, </w:t>
      </w:r>
      <w:hyperlink r:id="rId9">
        <w:r>
          <w:rPr>
            <w:rStyle w:val="InternetLink"/>
            <w:rFonts w:ascii="Times New Roman" w:hAnsi="Times New Roman"/>
            <w:sz w:val="20"/>
          </w:rPr>
          <w:t>333-255261</w:t>
        </w:r>
      </w:hyperlink>
      <w:r>
        <w:rPr>
          <w:rFonts w:ascii="Times New Roman" w:hAnsi="Times New Roman"/>
          <w:sz w:val="20"/>
        </w:rPr>
        <w:t xml:space="preserve">, </w:t>
      </w:r>
      <w:hyperlink r:id="rId10">
        <w:r>
          <w:rPr>
            <w:rStyle w:val="InternetLink"/>
            <w:rFonts w:ascii="Times New Roman" w:hAnsi="Times New Roman"/>
            <w:sz w:val="20"/>
          </w:rPr>
          <w:t>333-249993</w:t>
        </w:r>
      </w:hyperlink>
      <w:r>
        <w:rPr>
          <w:rFonts w:ascii="Times New Roman" w:hAnsi="Times New Roman"/>
          <w:sz w:val="20"/>
        </w:rPr>
        <w:t xml:space="preserve"> and </w:t>
      </w:r>
      <w:hyperlink r:id="rId11">
        <w:r>
          <w:rPr>
            <w:rStyle w:val="InternetLink"/>
            <w:rFonts w:ascii="Times New Roman" w:hAnsi="Times New Roman"/>
            <w:sz w:val="20"/>
          </w:rPr>
          <w:t>333-235515</w:t>
        </w:r>
      </w:hyperlink>
      <w:r>
        <w:rPr>
          <w:rFonts w:ascii="Times New Roman" w:hAnsi="Times New Roman"/>
          <w:sz w:val="20"/>
        </w:rPr>
        <w:t>), November  17, 2023 (File No.</w:t>
      </w:r>
      <w:hyperlink r:id="rId12">
        <w:r>
          <w:rPr>
            <w:rStyle w:val="InternetLink"/>
            <w:rFonts w:ascii="Times New Roman" w:hAnsi="Times New Roman"/>
            <w:sz w:val="20"/>
          </w:rPr>
          <w:t> 333-275637</w:t>
        </w:r>
      </w:hyperlink>
      <w:r>
        <w:rPr>
          <w:rFonts w:ascii="Times New Roman" w:hAnsi="Times New Roman"/>
          <w:sz w:val="20"/>
        </w:rPr>
        <w:t>), March  19, 2024 (File No.</w:t>
      </w:r>
      <w:hyperlink r:id="rId13">
        <w:r>
          <w:rPr>
            <w:rStyle w:val="InternetLink"/>
            <w:rFonts w:ascii="Times New Roman" w:hAnsi="Times New Roman"/>
            <w:sz w:val="20"/>
          </w:rPr>
          <w:t> 333-278071</w:t>
        </w:r>
      </w:hyperlink>
      <w:r>
        <w:rPr>
          <w:rFonts w:ascii="Times New Roman" w:hAnsi="Times New Roman"/>
          <w:sz w:val="20"/>
        </w:rPr>
        <w:t>); and March  27, 2025 (File No.</w:t>
      </w:r>
      <w:hyperlink r:id="rId14">
        <w:r>
          <w:rPr>
            <w:rStyle w:val="InternetLink"/>
            <w:rFonts w:ascii="Times New Roman" w:hAnsi="Times New Roman"/>
            <w:sz w:val="20"/>
          </w:rPr>
          <w:t> 333-286186</w:t>
        </w:r>
      </w:hyperlink>
      <w:r>
        <w:rPr>
          <w:rFonts w:ascii="Times New Roman" w:hAnsi="Times New Roman"/>
          <w:sz w:val="20"/>
        </w:rPr>
        <w:t xml:space="preserve">); </w:t>
      </w:r>
    </w:p>
    <w:p>
      <w:pPr>
        <w:pStyle w:val="TextBody"/>
        <w:bidi w:val="0"/>
        <w:spacing w:before="240" w:after="0"/>
        <w:jc w:val="left"/>
        <w:rPr/>
      </w:pPr>
      <w:r>
        <w:rPr>
          <w:rFonts w:ascii="Times New Roman" w:hAnsi="Times New Roman"/>
          <w:sz w:val="20"/>
        </w:rPr>
        <w:t xml:space="preserve">(b) the Registrant’s Annual Report on Form 10-K for the fiscal year ended December 31, 2025, filed with the SEC on </w:t>
      </w:r>
      <w:hyperlink r:id="rId15">
        <w:r>
          <w:rPr>
            <w:rStyle w:val="InternetLink"/>
            <w:rFonts w:ascii="Times New Roman" w:hAnsi="Times New Roman"/>
            <w:sz w:val="20"/>
          </w:rPr>
          <w:t>March 30, 2026</w:t>
        </w:r>
      </w:hyperlink>
      <w:r>
        <w:rPr>
          <w:rFonts w:ascii="Times New Roman" w:hAnsi="Times New Roman"/>
          <w:sz w:val="20"/>
        </w:rPr>
        <w:t xml:space="preserve"> (File No. 001-35890); </w:t>
      </w:r>
    </w:p>
    <w:p>
      <w:pPr>
        <w:pStyle w:val="TextBody"/>
        <w:bidi w:val="0"/>
        <w:spacing w:before="240" w:after="0"/>
        <w:jc w:val="left"/>
        <w:rPr/>
      </w:pPr>
      <w:r>
        <w:rPr>
          <w:rFonts w:ascii="Times New Roman" w:hAnsi="Times New Roman"/>
          <w:sz w:val="20"/>
        </w:rPr>
        <w:t xml:space="preserve">(c) the Registrant’s Current Reports on Form 8-K, filed with the SEC on </w:t>
      </w:r>
      <w:hyperlink r:id="rId16">
        <w:r>
          <w:rPr>
            <w:rStyle w:val="InternetLink"/>
            <w:rFonts w:ascii="Times New Roman" w:hAnsi="Times New Roman"/>
            <w:sz w:val="20"/>
          </w:rPr>
          <w:t>January 9, 2026</w:t>
        </w:r>
      </w:hyperlink>
      <w:r>
        <w:rPr>
          <w:rFonts w:ascii="Times New Roman" w:hAnsi="Times New Roman"/>
          <w:sz w:val="20"/>
        </w:rPr>
        <w:t xml:space="preserve">, </w:t>
      </w:r>
      <w:hyperlink r:id="rId17">
        <w:r>
          <w:rPr>
            <w:rStyle w:val="InternetLink"/>
            <w:rFonts w:ascii="Times New Roman" w:hAnsi="Times New Roman"/>
            <w:sz w:val="20"/>
          </w:rPr>
          <w:t>January  28, 2026</w:t>
        </w:r>
      </w:hyperlink>
      <w:r>
        <w:rPr>
          <w:rFonts w:ascii="Times New Roman" w:hAnsi="Times New Roman"/>
          <w:sz w:val="20"/>
        </w:rPr>
        <w:t xml:space="preserve">, </w:t>
      </w:r>
      <w:hyperlink r:id="rId18">
        <w:r>
          <w:rPr>
            <w:rStyle w:val="InternetLink"/>
            <w:rFonts w:ascii="Times New Roman" w:hAnsi="Times New Roman"/>
            <w:sz w:val="20"/>
          </w:rPr>
          <w:t>February  6, 2026</w:t>
        </w:r>
      </w:hyperlink>
      <w:r>
        <w:rPr>
          <w:rFonts w:ascii="Times New Roman" w:hAnsi="Times New Roman"/>
          <w:sz w:val="20"/>
        </w:rPr>
        <w:t xml:space="preserve">, </w:t>
      </w:r>
      <w:hyperlink r:id="rId19">
        <w:r>
          <w:rPr>
            <w:rStyle w:val="InternetLink"/>
            <w:rFonts w:ascii="Times New Roman" w:hAnsi="Times New Roman"/>
            <w:sz w:val="20"/>
          </w:rPr>
          <w:t>February  25, 2026</w:t>
        </w:r>
      </w:hyperlink>
      <w:r>
        <w:rPr>
          <w:rFonts w:ascii="Times New Roman" w:hAnsi="Times New Roman"/>
          <w:sz w:val="20"/>
        </w:rPr>
        <w:t xml:space="preserve"> and </w:t>
      </w:r>
      <w:hyperlink r:id="rId20">
        <w:r>
          <w:rPr>
            <w:rStyle w:val="InternetLink"/>
            <w:rFonts w:ascii="Times New Roman" w:hAnsi="Times New Roman"/>
            <w:sz w:val="20"/>
          </w:rPr>
          <w:t>March 23, 2026</w:t>
        </w:r>
      </w:hyperlink>
      <w:r>
        <w:rPr>
          <w:rFonts w:ascii="Times New Roman" w:hAnsi="Times New Roman"/>
          <w:sz w:val="20"/>
        </w:rPr>
        <w:t xml:space="preserve">, to the extent the information in such reports is filed and not furnished; and </w:t>
      </w:r>
    </w:p>
    <w:p>
      <w:pPr>
        <w:pStyle w:val="TextBody"/>
        <w:bidi w:val="0"/>
        <w:spacing w:before="240" w:after="0"/>
        <w:jc w:val="left"/>
        <w:rPr/>
      </w:pPr>
      <w:r>
        <w:rPr>
          <w:rFonts w:ascii="Times New Roman" w:hAnsi="Times New Roman"/>
          <w:sz w:val="20"/>
        </w:rPr>
        <w:t xml:space="preserve">(d) the description of the Common Stock set forth in the Registrant’s registration statement on </w:t>
      </w:r>
      <w:hyperlink r:id="rId21">
        <w:r>
          <w:rPr>
            <w:rStyle w:val="InternetLink"/>
            <w:rFonts w:ascii="Times New Roman" w:hAnsi="Times New Roman"/>
            <w:sz w:val="20"/>
          </w:rPr>
          <w:t>Form 8-A</w:t>
        </w:r>
      </w:hyperlink>
      <w:r>
        <w:rPr>
          <w:rFonts w:ascii="Times New Roman" w:hAnsi="Times New Roman"/>
          <w:sz w:val="20"/>
        </w:rPr>
        <w:t xml:space="preserve"> (File No. 001-35890), filed with the Commission on April 25, 2013, including any amendments thereto or reports filed for the purposes of updating this description, including </w:t>
      </w:r>
      <w:hyperlink r:id="rId22">
        <w:r>
          <w:rPr>
            <w:rStyle w:val="InternetLink"/>
            <w:rFonts w:ascii="Times New Roman" w:hAnsi="Times New Roman"/>
            <w:sz w:val="20"/>
          </w:rPr>
          <w:t>Exhibit 4.1</w:t>
        </w:r>
      </w:hyperlink>
      <w:r>
        <w:rPr>
          <w:rFonts w:ascii="Times New Roman" w:hAnsi="Times New Roman"/>
          <w:sz w:val="20"/>
        </w:rPr>
        <w:t xml:space="preserve"> to the Registrant’s Annual Report on Form 10-K for the fiscal year ended December 31, 2025 filed with the SEC on March 30, 2026. </w:t>
      </w:r>
    </w:p>
    <w:p>
      <w:pPr>
        <w:pStyle w:val="TextBody"/>
        <w:bidi w:val="0"/>
        <w:spacing w:before="240" w:after="0"/>
        <w:jc w:val="left"/>
        <w:rPr>
          <w:rFonts w:ascii="Times New Roman" w:hAnsi="Times New Roman"/>
          <w:sz w:val="20"/>
        </w:rPr>
      </w:pPr>
      <w:r>
        <w:rPr>
          <w:rFonts w:ascii="Times New Roman" w:hAnsi="Times New Roman"/>
          <w:sz w:val="20"/>
        </w:rPr>
        <w:t xml:space="preserve">All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
        <w:gridCol w:w="262"/>
        <w:gridCol w:w="4689"/>
        <w:gridCol w:w="204"/>
        <w:gridCol w:w="977"/>
        <w:gridCol w:w="204"/>
        <w:gridCol w:w="991"/>
        <w:gridCol w:w="204"/>
        <w:gridCol w:w="798"/>
        <w:gridCol w:w="204"/>
        <w:gridCol w:w="798"/>
      </w:tblGrid>
      <w:tr>
        <w:trPr/>
        <w:tc>
          <w:tcPr>
            <w:tcW w:w="874"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468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874"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468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174" w:type="dxa"/>
            <w:gridSpan w:val="5"/>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pPr>
            <w:r>
              <w:rPr/>
              <w:t> </w:t>
            </w:r>
          </w:p>
        </w:tc>
      </w:tr>
      <w:tr>
        <w:trPr/>
        <w:tc>
          <w:tcPr>
            <w:tcW w:w="874" w:type="dxa"/>
            <w:tcBorders>
              <w:bottom w:val="single" w:sz="8" w:space="0" w:color="000000"/>
            </w:tcBorders>
            <w:tcMar>
              <w:bottom w:w="28" w:type="dxa"/>
            </w:tcMar>
            <w:vAlign w:val="bottom"/>
          </w:tcPr>
          <w:p>
            <w:pPr>
              <w:pStyle w:val="TableContents"/>
              <w:bidi w:val="0"/>
              <w:spacing w:before="0" w:after="283"/>
              <w:jc w:val="center"/>
              <w:rPr>
                <w:b/>
              </w:rPr>
            </w:pPr>
            <w:r>
              <w:rPr>
                <w:b/>
              </w:rPr>
              <w:t xml:space="preserve">Exhibit </w:t>
              <w:br/>
              <w:t>Number</w:t>
            </w:r>
          </w:p>
        </w:tc>
        <w:tc>
          <w:tcPr>
            <w:tcW w:w="262" w:type="dxa"/>
            <w:tcBorders/>
            <w:vAlign w:val="bottom"/>
          </w:tcPr>
          <w:p>
            <w:pPr>
              <w:pStyle w:val="TableContents"/>
              <w:bidi w:val="0"/>
              <w:spacing w:before="0" w:after="283"/>
              <w:jc w:val="left"/>
              <w:rPr/>
            </w:pPr>
            <w:r>
              <w:rPr/>
              <w:t>  </w:t>
            </w:r>
          </w:p>
        </w:tc>
        <w:tc>
          <w:tcPr>
            <w:tcW w:w="468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204" w:type="dxa"/>
            <w:tcBorders/>
            <w:vAlign w:val="bottom"/>
          </w:tcPr>
          <w:p>
            <w:pPr>
              <w:pStyle w:val="TableContents"/>
              <w:bidi w:val="0"/>
              <w:spacing w:before="0" w:after="283"/>
              <w:jc w:val="left"/>
              <w:rPr/>
            </w:pPr>
            <w:r>
              <w:rPr/>
              <w:t>  </w:t>
            </w:r>
          </w:p>
        </w:tc>
        <w:tc>
          <w:tcPr>
            <w:tcW w:w="977" w:type="dxa"/>
            <w:tcBorders>
              <w:bottom w:val="single" w:sz="8" w:space="0" w:color="000000"/>
            </w:tcBorders>
            <w:tcMar>
              <w:bottom w:w="28" w:type="dxa"/>
            </w:tcMar>
            <w:vAlign w:val="bottom"/>
          </w:tcPr>
          <w:p>
            <w:pPr>
              <w:pStyle w:val="TableContents"/>
              <w:bidi w:val="0"/>
              <w:spacing w:before="0" w:after="283"/>
              <w:jc w:val="center"/>
              <w:rPr>
                <w:b/>
              </w:rPr>
            </w:pPr>
            <w:r>
              <w:rPr>
                <w:b/>
              </w:rPr>
              <w:t>Schedule</w:t>
              <w:br/>
              <w:t>Form</w:t>
            </w:r>
          </w:p>
        </w:tc>
        <w:tc>
          <w:tcPr>
            <w:tcW w:w="204" w:type="dxa"/>
            <w:tcBorders/>
            <w:vAlign w:val="bottom"/>
          </w:tcPr>
          <w:p>
            <w:pPr>
              <w:pStyle w:val="TableContents"/>
              <w:bidi w:val="0"/>
              <w:spacing w:before="0" w:after="283"/>
              <w:jc w:val="left"/>
              <w:rPr/>
            </w:pPr>
            <w:r>
              <w:rPr/>
              <w:t>  </w:t>
            </w:r>
          </w:p>
        </w:tc>
        <w:tc>
          <w:tcPr>
            <w:tcW w:w="991" w:type="dxa"/>
            <w:tcBorders>
              <w:bottom w:val="single" w:sz="8" w:space="0" w:color="000000"/>
            </w:tcBorders>
            <w:tcMar>
              <w:bottom w:w="28" w:type="dxa"/>
            </w:tcMar>
            <w:vAlign w:val="bottom"/>
          </w:tcPr>
          <w:p>
            <w:pPr>
              <w:pStyle w:val="TableContents"/>
              <w:bidi w:val="0"/>
              <w:spacing w:before="0" w:after="283"/>
              <w:jc w:val="center"/>
              <w:rPr>
                <w:b/>
              </w:rPr>
            </w:pPr>
            <w:r>
              <w:rPr>
                <w:b/>
              </w:rPr>
              <w:t>File</w:t>
              <w:br/>
              <w:t>Number</w:t>
            </w:r>
          </w:p>
        </w:tc>
        <w:tc>
          <w:tcPr>
            <w:tcW w:w="204" w:type="dxa"/>
            <w:tcBorders/>
            <w:vAlign w:val="bottom"/>
          </w:tcPr>
          <w:p>
            <w:pPr>
              <w:pStyle w:val="TableContents"/>
              <w:bidi w:val="0"/>
              <w:spacing w:before="0" w:after="283"/>
              <w:jc w:val="left"/>
              <w:rPr/>
            </w:pPr>
            <w:r>
              <w:rPr/>
              <w:t>  </w:t>
            </w:r>
          </w:p>
        </w:tc>
        <w:tc>
          <w:tcPr>
            <w:tcW w:w="798"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204" w:type="dxa"/>
            <w:tcBorders/>
            <w:vAlign w:val="bottom"/>
          </w:tcPr>
          <w:p>
            <w:pPr>
              <w:pStyle w:val="TableContents"/>
              <w:bidi w:val="0"/>
              <w:spacing w:before="0" w:after="283"/>
              <w:jc w:val="left"/>
              <w:rPr/>
            </w:pPr>
            <w:r>
              <w:rPr/>
              <w:t>  </w:t>
            </w:r>
          </w:p>
        </w:tc>
        <w:tc>
          <w:tcPr>
            <w:tcW w:w="798" w:type="dxa"/>
            <w:tcBorders>
              <w:bottom w:val="single" w:sz="8" w:space="0" w:color="000000"/>
            </w:tcBorders>
            <w:tcMar>
              <w:bottom w:w="28" w:type="dxa"/>
            </w:tcMar>
            <w:vAlign w:val="bottom"/>
          </w:tcPr>
          <w:p>
            <w:pPr>
              <w:pStyle w:val="TableContents"/>
              <w:bidi w:val="0"/>
              <w:spacing w:before="0" w:after="283"/>
              <w:jc w:val="center"/>
              <w:rPr>
                <w:b/>
              </w:rPr>
            </w:pPr>
            <w:r>
              <w:rPr>
                <w:b/>
              </w:rPr>
              <w:t>Filing</w:t>
              <w:br/>
              <w:t>Date</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4.1</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r:id="rId23">
              <w:r>
                <w:rPr>
                  <w:rStyle w:val="InternetLink"/>
                </w:rPr>
                <w:t>Restated Certificate of Incorporation of the Registrant, as amended</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center"/>
              <w:rPr/>
            </w:pPr>
            <w:r>
              <w:rPr/>
              <w:t>10-Q</w:t>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3.1</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5/15/2019</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4.2</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r:id="rId24">
              <w:r>
                <w:rPr>
                  <w:rStyle w:val="InternetLink"/>
                </w:rPr>
                <w:t>Certificate of Amendment to the Restated Certificate of Incorporation of the Company, as filed with the Secretary of State of the State of Delaware on June 24, 2021</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3.1</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6/28/2021</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4.3</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r:id="rId25">
              <w:r>
                <w:rPr>
                  <w:rStyle w:val="InternetLink"/>
                </w:rPr>
                <w:t>Certificate of Amendment to the Restated Certificate of Incorporation of the Company, as filed with the Secretary of State of the State of Delaware on June 25, 2021</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3.2</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6/28/2021</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4.4</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r:id="rId26">
              <w:r>
                <w:rPr>
                  <w:rStyle w:val="InternetLink"/>
                </w:rPr>
                <w:t>Certificate of Designation of Series A Junior Participating Preferred Stock, as filed with the Secretary of State of the State of Delaware on October 10, 2023</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3.1</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10/11/2023</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4.5</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r:id="rId27">
              <w:r>
                <w:rPr>
                  <w:rStyle w:val="InternetLink"/>
                </w:rPr>
                <w:t>Amended and Restated Bylaws of the Registrant</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3.1</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9/4/2021</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4.6</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r:id="rId28">
              <w:r>
                <w:rPr>
                  <w:rStyle w:val="InternetLink"/>
                </w:rPr>
                <w:t>Rights Agreement, dated as of October  10, 2023, between Tempest Therapeutics, Inc. and Computershare Trust Company, N.A., which includes the form of Certificate of Designation as Exhibit A, the form of Right Certificate as Exhibit B and the Summary of Rights to Purchase Preferred Shares as Exhibit C</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4.1</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10/11/2023</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4.7</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r:id="rId29">
              <w:r>
                <w:rPr>
                  <w:rStyle w:val="InternetLink"/>
                </w:rPr>
                <w:t>Amendment No. 1, dated as of October 9, 2024, to Rights Agreement, dated as of October  10, 2023, by and between Tempest Therapeutics, Inc. and Computershare Trust Company, N.A., as rights agent</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4.1</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10/10/2024</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4.8</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r:id="rId30">
              <w:r>
                <w:rPr>
                  <w:rStyle w:val="InternetLink"/>
                </w:rPr>
                <w:t>Amendment No. 2, dated as of December 5, 2024, to Rights Agreement, dated as of October  10, 2023, as amended, by and between Tempest Therapeutics, Inc. and Computershare Trust Company, N.A., as rights agent</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4.1</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12/06/2024</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5.1*</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w:anchor="d90534dex51.htm">
              <w:r>
                <w:rPr>
                  <w:rStyle w:val="InternetLink"/>
                </w:rPr>
                <w:t xml:space="preserve">Opinion of Cooley LLP </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23.1*</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w:anchor="d90534dex51.htm">
              <w:r>
                <w:rPr>
                  <w:rStyle w:val="InternetLink"/>
                </w:rPr>
                <w:t xml:space="preserve">Consent of Cooley LLP (included in Exhibit 5.1). </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23.2*</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w:anchor="d90534dex232.htm">
              <w:r>
                <w:rPr>
                  <w:rStyle w:val="InternetLink"/>
                </w:rPr>
                <w:t xml:space="preserve">Consent of Ernst &amp; Young LLP, independent registered public accounting firm </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24.1*</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w:anchor="sig">
              <w:r>
                <w:rPr>
                  <w:rStyle w:val="InternetLink"/>
                </w:rPr>
                <w:t xml:space="preserve">Power of Attorney (included on the signature page of this Form S-8) </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99.1</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r:id="rId31">
              <w:r>
                <w:rPr>
                  <w:rStyle w:val="InternetLink"/>
                </w:rPr>
                <w:t>Tempest Therapeutics, Inc. Amended and Restated 2023 Equity Incentive Plan</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center"/>
              <w:rPr/>
            </w:pPr>
            <w:r>
              <w:rPr/>
              <w:t>10-Q</w:t>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10.1</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8/10/2023</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99.2</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r:id="rId32">
              <w:r>
                <w:rPr>
                  <w:rStyle w:val="InternetLink"/>
                </w:rPr>
                <w:t xml:space="preserve">Amendment No. 1 to Tempest Therapeutics, Inc. Amended and Restated 2023 Equity Incentive Plan </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center"/>
              <w:rPr/>
            </w:pPr>
            <w:r>
              <w:rPr/>
              <w:t>10-K</w:t>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10.12</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3/30/2026</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99.3</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r:id="rId33">
              <w:r>
                <w:rPr>
                  <w:rStyle w:val="InternetLink"/>
                </w:rPr>
                <w:t xml:space="preserve">Tempest Therapeutics, Inc. 2019 Employee Stock Purchase Plan </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center"/>
              <w:rPr/>
            </w:pPr>
            <w:r>
              <w:rPr/>
              <w:t>8-K</w:t>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001-35890</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10.2</w:t>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center"/>
              <w:rPr/>
            </w:pPr>
            <w:r>
              <w:rPr/>
              <w:t>6/21/2022</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107*</w:t>
            </w:r>
          </w:p>
        </w:tc>
        <w:tc>
          <w:tcPr>
            <w:tcW w:w="262"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left"/>
              <w:rPr/>
            </w:pPr>
            <w:hyperlink w:anchor="d90534dexfilingfees.htm">
              <w:r>
                <w:rPr>
                  <w:rStyle w:val="InternetLink"/>
                </w:rPr>
                <w:t xml:space="preserve">Filing Fee Table </w:t>
              </w:r>
            </w:hyperlink>
          </w:p>
        </w:tc>
        <w:tc>
          <w:tcPr>
            <w:tcW w:w="20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Brisbane, State of California, on March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Matthew Angel</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Matthew Angel and Nicholas Maestas,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95"/>
        <w:gridCol w:w="120"/>
        <w:gridCol w:w="4344"/>
        <w:gridCol w:w="106"/>
        <w:gridCol w:w="1840"/>
      </w:tblGrid>
      <w:tr>
        <w:trPr/>
        <w:tc>
          <w:tcPr>
            <w:tcW w:w="37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4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37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8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Matthew Angel</w:t>
            </w:r>
          </w:p>
          <w:p>
            <w:pPr>
              <w:pStyle w:val="TableContents"/>
              <w:bidi w:val="0"/>
              <w:spacing w:before="0" w:after="20"/>
              <w:jc w:val="center"/>
              <w:rPr>
                <w:rFonts w:ascii="Times New Roman" w:hAnsi="Times New Roman"/>
                <w:sz w:val="20"/>
              </w:rPr>
            </w:pPr>
            <w:r>
              <w:rPr>
                <w:rFonts w:ascii="Times New Roman" w:hAnsi="Times New Roman"/>
                <w:sz w:val="20"/>
              </w:rPr>
              <w:t>Matthew Angel</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30,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Nicholas Maestas</w:t>
            </w:r>
          </w:p>
          <w:p>
            <w:pPr>
              <w:pStyle w:val="TableContents"/>
              <w:bidi w:val="0"/>
              <w:spacing w:before="0" w:after="20"/>
              <w:jc w:val="center"/>
              <w:rPr>
                <w:rFonts w:ascii="Times New Roman" w:hAnsi="Times New Roman"/>
                <w:sz w:val="20"/>
              </w:rPr>
            </w:pPr>
            <w:r>
              <w:rPr>
                <w:rFonts w:ascii="Times New Roman" w:hAnsi="Times New Roman"/>
                <w:sz w:val="20"/>
              </w:rPr>
              <w:t>Nicholas Maestas</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and Head of Corporate Strategy</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30,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Justin Trojanowski</w:t>
            </w:r>
          </w:p>
          <w:p>
            <w:pPr>
              <w:pStyle w:val="TableContents"/>
              <w:bidi w:val="0"/>
              <w:spacing w:before="0" w:after="20"/>
              <w:jc w:val="center"/>
              <w:rPr>
                <w:rFonts w:ascii="Times New Roman" w:hAnsi="Times New Roman"/>
                <w:sz w:val="20"/>
              </w:rPr>
            </w:pPr>
            <w:r>
              <w:rPr>
                <w:rFonts w:ascii="Times New Roman" w:hAnsi="Times New Roman"/>
                <w:sz w:val="20"/>
              </w:rPr>
              <w:t>Justin Trojanowski</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Controller, Treasurer </w:t>
            </w:r>
          </w:p>
          <w:p>
            <w:pPr>
              <w:pStyle w:val="TableContents"/>
              <w:bidi w:val="0"/>
              <w:spacing w:before="0" w:after="20"/>
              <w:jc w:val="left"/>
              <w:rPr>
                <w:rFonts w:ascii="Times New Roman" w:hAnsi="Times New Roman"/>
                <w:i/>
                <w:sz w:val="20"/>
              </w:rPr>
            </w:pPr>
            <w:r>
              <w:rPr>
                <w:rFonts w:ascii="Times New Roman" w:hAnsi="Times New Roman"/>
                <w:i/>
                <w:sz w:val="20"/>
              </w:rPr>
              <w:t>(Principal Accounting Officer)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30,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Stephen Brady</w:t>
            </w:r>
          </w:p>
          <w:p>
            <w:pPr>
              <w:pStyle w:val="TableContents"/>
              <w:bidi w:val="0"/>
              <w:spacing w:before="0" w:after="20"/>
              <w:jc w:val="center"/>
              <w:rPr>
                <w:rFonts w:ascii="Times New Roman" w:hAnsi="Times New Roman"/>
                <w:sz w:val="20"/>
              </w:rPr>
            </w:pPr>
            <w:r>
              <w:rPr>
                <w:rFonts w:ascii="Times New Roman" w:hAnsi="Times New Roman"/>
                <w:sz w:val="20"/>
              </w:rPr>
              <w:t>Stephen Brady</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283"/>
              <w:jc w:val="left"/>
              <w:rPr/>
            </w:pPr>
            <w:r>
              <w:rPr/>
              <w:t>Chairman of the Board of Directors</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30,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Christine Pellizzari</w:t>
            </w:r>
          </w:p>
          <w:p>
            <w:pPr>
              <w:pStyle w:val="TableContents"/>
              <w:bidi w:val="0"/>
              <w:spacing w:before="0" w:after="20"/>
              <w:jc w:val="center"/>
              <w:rPr>
                <w:rFonts w:ascii="Times New Roman" w:hAnsi="Times New Roman"/>
                <w:sz w:val="20"/>
              </w:rPr>
            </w:pPr>
            <w:r>
              <w:rPr>
                <w:rFonts w:ascii="Times New Roman" w:hAnsi="Times New Roman"/>
                <w:sz w:val="20"/>
              </w:rPr>
              <w:t>Christine Pellizzari</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30,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Raab</w:t>
            </w:r>
          </w:p>
          <w:p>
            <w:pPr>
              <w:pStyle w:val="TableContents"/>
              <w:bidi w:val="0"/>
              <w:spacing w:before="0" w:after="20"/>
              <w:jc w:val="center"/>
              <w:rPr>
                <w:rFonts w:ascii="Times New Roman" w:hAnsi="Times New Roman"/>
                <w:sz w:val="20"/>
              </w:rPr>
            </w:pPr>
            <w:r>
              <w:rPr>
                <w:rFonts w:ascii="Times New Roman" w:hAnsi="Times New Roman"/>
                <w:sz w:val="20"/>
              </w:rPr>
              <w:t>Michael Raab</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30,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Ronit Simantov</w:t>
            </w:r>
          </w:p>
          <w:p>
            <w:pPr>
              <w:pStyle w:val="TableContents"/>
              <w:bidi w:val="0"/>
              <w:spacing w:before="0" w:after="20"/>
              <w:jc w:val="center"/>
              <w:rPr>
                <w:rFonts w:ascii="Times New Roman" w:hAnsi="Times New Roman"/>
                <w:sz w:val="20"/>
              </w:rPr>
            </w:pPr>
            <w:r>
              <w:rPr>
                <w:rFonts w:ascii="Times New Roman" w:hAnsi="Times New Roman"/>
                <w:sz w:val="20"/>
              </w:rPr>
              <w:t>Ronit Simantov</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30, 2026</w:t>
            </w:r>
          </w:p>
        </w:tc>
      </w:tr>
    </w:tbl>
    <w:p>
      <w:pPr>
        <w:pStyle w:val="TextBody"/>
        <w:bidi w:val="0"/>
        <w:spacing w:before="0" w:after="0"/>
        <w:jc w:val="right"/>
        <w:rPr>
          <w:rFonts w:ascii="Arial" w:hAnsi="Arial"/>
          <w:b/>
          <w:sz w:val="20"/>
        </w:rPr>
      </w:pPr>
      <w:bookmarkStart w:id="3" w:name="d90534dex51.htm"/>
      <w:bookmarkStart w:id="4" w:name="ksd90534dex51"/>
      <w:bookmarkEnd w:id="3"/>
      <w:bookmarkEnd w:id="4"/>
      <w:r>
        <w:rPr>
          <w:rFonts w:ascii="Arial" w:hAnsi="Arial"/>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4"/>
                    <a:stretch>
                      <a:fillRect/>
                    </a:stretch>
                  </pic:blipFill>
                  <pic:spPr bwMode="auto">
                    <a:xfrm>
                      <a:off x="0" y="0"/>
                      <a:ext cx="1295400" cy="42862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March 30, 2026 </w:t>
      </w:r>
    </w:p>
    <w:p>
      <w:pPr>
        <w:pStyle w:val="TextBody"/>
        <w:bidi w:val="0"/>
        <w:spacing w:before="240" w:after="0"/>
        <w:jc w:val="left"/>
        <w:rPr>
          <w:rFonts w:ascii="Arial" w:hAnsi="Arial"/>
          <w:sz w:val="20"/>
        </w:rPr>
      </w:pPr>
      <w:r>
        <w:rPr>
          <w:rFonts w:ascii="Arial" w:hAnsi="Arial"/>
          <w:sz w:val="20"/>
        </w:rPr>
        <w:t xml:space="preserve">Jaime L. Chase </w:t>
      </w:r>
    </w:p>
    <w:p>
      <w:pPr>
        <w:pStyle w:val="TextBody"/>
        <w:bidi w:val="0"/>
        <w:spacing w:before="0" w:after="0"/>
        <w:jc w:val="left"/>
        <w:rPr>
          <w:rFonts w:ascii="Arial" w:hAnsi="Arial"/>
          <w:sz w:val="20"/>
        </w:rPr>
      </w:pPr>
      <w:r>
        <w:rPr>
          <w:rFonts w:ascii="Arial" w:hAnsi="Arial"/>
          <w:sz w:val="20"/>
        </w:rPr>
        <w:t xml:space="preserve">+1 202 728-7096 </w:t>
      </w:r>
    </w:p>
    <w:p>
      <w:pPr>
        <w:pStyle w:val="TextBody"/>
        <w:bidi w:val="0"/>
        <w:spacing w:before="0" w:after="0"/>
        <w:jc w:val="left"/>
        <w:rPr>
          <w:rFonts w:ascii="Arial" w:hAnsi="Arial"/>
          <w:sz w:val="20"/>
        </w:rPr>
      </w:pPr>
      <w:r>
        <w:rPr>
          <w:rFonts w:ascii="Arial" w:hAnsi="Arial"/>
          <w:sz w:val="20"/>
        </w:rPr>
        <w:t xml:space="preserve">jchase@cooley.com </w:t>
      </w:r>
    </w:p>
    <w:p>
      <w:pPr>
        <w:pStyle w:val="TextBody"/>
        <w:bidi w:val="0"/>
        <w:spacing w:before="240" w:after="0"/>
        <w:jc w:val="left"/>
        <w:rPr>
          <w:rFonts w:ascii="Arial" w:hAnsi="Arial"/>
          <w:sz w:val="20"/>
        </w:rPr>
      </w:pPr>
      <w:r>
        <w:rPr>
          <w:rFonts w:ascii="Arial" w:hAnsi="Arial"/>
          <w:sz w:val="20"/>
        </w:rPr>
        <w:t xml:space="preserve">Tempest Therapeutics, Inc. </w:t>
      </w:r>
    </w:p>
    <w:p>
      <w:pPr>
        <w:pStyle w:val="TextBody"/>
        <w:bidi w:val="0"/>
        <w:spacing w:before="0" w:after="0"/>
        <w:jc w:val="left"/>
        <w:rPr>
          <w:rFonts w:ascii="Arial" w:hAnsi="Arial"/>
          <w:sz w:val="20"/>
        </w:rPr>
      </w:pPr>
      <w:r>
        <w:rPr>
          <w:rFonts w:ascii="Arial" w:hAnsi="Arial"/>
          <w:sz w:val="20"/>
        </w:rPr>
        <w:t xml:space="preserve">2000 Sierra Point Parkway, Suite 400 </w:t>
      </w:r>
    </w:p>
    <w:p>
      <w:pPr>
        <w:pStyle w:val="TextBody"/>
        <w:bidi w:val="0"/>
        <w:spacing w:before="0" w:after="0"/>
        <w:jc w:val="left"/>
        <w:rPr>
          <w:rFonts w:ascii="Arial" w:hAnsi="Arial"/>
          <w:sz w:val="20"/>
        </w:rPr>
      </w:pPr>
      <w:r>
        <w:rPr>
          <w:rFonts w:ascii="Arial" w:hAnsi="Arial"/>
          <w:sz w:val="20"/>
        </w:rPr>
        <w:t xml:space="preserve">Brisbane, California 94005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120" w:after="0"/>
        <w:jc w:val="both"/>
        <w:rPr>
          <w:rFonts w:ascii="Arial" w:hAnsi="Arial"/>
          <w:sz w:val="20"/>
        </w:rPr>
      </w:pPr>
      <w:r>
        <w:rPr>
          <w:rFonts w:ascii="Arial" w:hAnsi="Arial"/>
          <w:sz w:val="20"/>
        </w:rPr>
        <w:t>We have acted as counsel to Tempest Therapeutics, Inc., a Delaware corporation (the “</w:t>
      </w:r>
      <w:r>
        <w:rPr>
          <w:rFonts w:ascii="Arial" w:hAnsi="Arial"/>
          <w:b/>
          <w:i/>
          <w:sz w:val="20"/>
        </w:rPr>
        <w:t>Company</w:t>
      </w:r>
      <w:r>
        <w:rPr>
          <w:rFonts w:ascii="Arial" w:hAnsi="Arial"/>
          <w:sz w:val="20"/>
        </w:rPr>
        <w:t>”), in connection with the filing by the Company of a Registration Statement on Form S-8 (the “</w:t>
      </w:r>
      <w:r>
        <w:rPr>
          <w:rFonts w:ascii="Arial" w:hAnsi="Arial"/>
          <w:b/>
          <w:i/>
          <w:sz w:val="20"/>
        </w:rPr>
        <w:t>Registration Statement</w:t>
      </w:r>
      <w:r>
        <w:rPr>
          <w:rFonts w:ascii="Arial" w:hAnsi="Arial"/>
          <w:sz w:val="20"/>
        </w:rPr>
        <w:t>”) with the Securities and Exchange Commission (the “</w:t>
      </w:r>
      <w:r>
        <w:rPr>
          <w:rFonts w:ascii="Arial" w:hAnsi="Arial"/>
          <w:b/>
          <w:i/>
          <w:sz w:val="20"/>
        </w:rPr>
        <w:t>Commission</w:t>
      </w:r>
      <w:r>
        <w:rPr>
          <w:rFonts w:ascii="Arial" w:hAnsi="Arial"/>
          <w:sz w:val="20"/>
        </w:rPr>
        <w:t>”) covering the offering of up to 1,645,547 shares (the “</w:t>
      </w:r>
      <w:r>
        <w:rPr>
          <w:rFonts w:ascii="Arial" w:hAnsi="Arial"/>
          <w:b/>
          <w:i/>
          <w:sz w:val="20"/>
        </w:rPr>
        <w:t>Shares</w:t>
      </w:r>
      <w:r>
        <w:rPr>
          <w:rFonts w:ascii="Arial" w:hAnsi="Arial"/>
          <w:sz w:val="20"/>
        </w:rPr>
        <w:t>”) of the Company’s Common Stock, $0.001 par value, consisting of (a) 1,607,086 shares of Common Stock issuable pursuant to the Company’s Amended and Restated 2023 Equity Incentive Plan, as amended (the “</w:t>
      </w:r>
      <w:r>
        <w:rPr>
          <w:rFonts w:ascii="Arial" w:hAnsi="Arial"/>
          <w:b/>
          <w:i/>
          <w:sz w:val="20"/>
        </w:rPr>
        <w:t>2023 EIP</w:t>
      </w:r>
      <w:r>
        <w:rPr>
          <w:rFonts w:ascii="Arial" w:hAnsi="Arial"/>
          <w:sz w:val="20"/>
        </w:rPr>
        <w:t>”), and (b) 38,461 additional shares of Common Stock issuable pursuant to the Company’s Amended and Restated 2019 Employee Stock Purchase Plan (the “</w:t>
      </w:r>
      <w:r>
        <w:rPr>
          <w:rFonts w:ascii="Arial" w:hAnsi="Arial"/>
          <w:b/>
          <w:i/>
          <w:sz w:val="20"/>
        </w:rPr>
        <w:t>2019 ESPP</w:t>
      </w:r>
      <w:r>
        <w:rPr>
          <w:rFonts w:ascii="Arial" w:hAnsi="Arial"/>
          <w:sz w:val="20"/>
        </w:rPr>
        <w:t>” and together with the 2023 EIP, the “</w:t>
      </w:r>
      <w:r>
        <w:rPr>
          <w:rFonts w:ascii="Arial" w:hAnsi="Arial"/>
          <w:b/>
          <w:i/>
          <w:sz w:val="20"/>
        </w:rPr>
        <w:t>Plans</w:t>
      </w:r>
      <w:r>
        <w:rPr>
          <w:rFonts w:ascii="Arial" w:hAnsi="Arial"/>
          <w:sz w:val="20"/>
        </w:rPr>
        <w:t>”). Each share of Common Stock includes a preferred share purchase right (each, a “</w:t>
      </w:r>
      <w:r>
        <w:rPr>
          <w:rFonts w:ascii="Arial" w:hAnsi="Arial"/>
          <w:b/>
          <w:i/>
          <w:sz w:val="20"/>
        </w:rPr>
        <w:t>Right</w:t>
      </w:r>
      <w:r>
        <w:rPr>
          <w:rFonts w:ascii="Arial" w:hAnsi="Arial"/>
          <w:sz w:val="20"/>
        </w:rPr>
        <w:t>,” collectively, the “</w:t>
      </w:r>
      <w:r>
        <w:rPr>
          <w:rFonts w:ascii="Arial" w:hAnsi="Arial"/>
          <w:b/>
          <w:i/>
          <w:sz w:val="20"/>
        </w:rPr>
        <w:t>Rights</w:t>
      </w:r>
      <w:r>
        <w:rPr>
          <w:rFonts w:ascii="Arial" w:hAnsi="Arial"/>
          <w:sz w:val="20"/>
        </w:rPr>
        <w:t>”) as set forth in Rights Agreement (the “</w:t>
      </w:r>
      <w:r>
        <w:rPr>
          <w:rFonts w:ascii="Arial" w:hAnsi="Arial"/>
          <w:b/>
          <w:i/>
          <w:sz w:val="20"/>
        </w:rPr>
        <w:t>Rights Plan</w:t>
      </w:r>
      <w:r>
        <w:rPr>
          <w:rFonts w:ascii="Arial" w:hAnsi="Arial"/>
          <w:sz w:val="20"/>
        </w:rPr>
        <w:t>”), dated as October 10, 2023, as amended, between the Company and Computershare Trust Company, N.A., as rights agent (the “</w:t>
      </w:r>
      <w:r>
        <w:rPr>
          <w:rFonts w:ascii="Arial" w:hAnsi="Arial"/>
          <w:b/>
          <w:i/>
          <w:sz w:val="20"/>
        </w:rPr>
        <w:t>Rights Agent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In connection with this opinion, we have examined and relied upon: (a) the Registration Statement and related prospectuses, (b) the Plans, (c) the Company’s certificate of incorporation and bylaws, each as currently in effect, (d) the Rights Plan and (e)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 </w:t>
      </w:r>
    </w:p>
    <w:p>
      <w:pPr>
        <w:pStyle w:val="TextBody"/>
        <w:bidi w:val="0"/>
        <w:spacing w:before="240" w:after="0"/>
        <w:jc w:val="both"/>
        <w:rPr>
          <w:rFonts w:ascii="Arial" w:hAnsi="Arial"/>
          <w:sz w:val="20"/>
        </w:rPr>
      </w:pPr>
      <w:r>
        <w:rPr>
          <w:rFonts w:ascii="Arial" w:hAnsi="Arial"/>
          <w:sz w:val="20"/>
        </w:rPr>
        <w:t xml:space="preserve">With respect to our opinion concerning the Rights: </w:t>
      </w:r>
    </w:p>
    <w:p>
      <w:pPr>
        <w:pStyle w:val="TextBody"/>
        <w:bidi w:val="0"/>
        <w:spacing w:before="240" w:after="0"/>
        <w:jc w:val="both"/>
        <w:rPr>
          <w:rFonts w:ascii="Arial" w:hAnsi="Arial"/>
          <w:sz w:val="20"/>
        </w:rPr>
      </w:pPr>
      <w:r>
        <w:rPr>
          <w:rFonts w:ascii="Arial" w:hAnsi="Arial"/>
          <w:sz w:val="20"/>
        </w:rPr>
        <w:t>(i) Our opinion does not address the determination a court of competent jurisdiction may make regarding whether the Company’s board of directors (the “</w:t>
      </w:r>
      <w:r>
        <w:rPr>
          <w:rFonts w:ascii="Arial" w:hAnsi="Arial"/>
          <w:b/>
          <w:i/>
          <w:sz w:val="20"/>
        </w:rPr>
        <w:t>Board</w:t>
      </w:r>
      <w:r>
        <w:rPr>
          <w:rFonts w:ascii="Arial" w:hAnsi="Arial"/>
          <w:sz w:val="20"/>
        </w:rPr>
        <w:t xml:space="preserve">”) may be required to redeem or terminate, or take other action with respect to, the Rights or Rights Plan in the future based on the facts and circumstances then existing. </w:t>
      </w:r>
    </w:p>
    <w:p>
      <w:pPr>
        <w:pStyle w:val="TextBody"/>
        <w:bidi w:val="0"/>
        <w:spacing w:before="240" w:after="0"/>
        <w:jc w:val="both"/>
        <w:rPr>
          <w:rFonts w:ascii="Arial" w:hAnsi="Arial"/>
          <w:sz w:val="20"/>
        </w:rPr>
      </w:pPr>
      <w:r>
        <w:rPr>
          <w:rFonts w:ascii="Arial" w:hAnsi="Arial"/>
          <w:sz w:val="20"/>
        </w:rPr>
        <w:t xml:space="preserve">(ii) 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offered in the future under the Registration Statement, our opinion assumes the Rights Plan has not been terminated by the Company or expired by its terms and the Rights have not expired or been redeemed or exchanged by the Company, in each case, prior to the issuance of such Shares. </w:t>
      </w:r>
    </w:p>
    <w:p>
      <w:pPr>
        <w:pStyle w:val="TextBody"/>
        <w:bidi w:val="0"/>
        <w:spacing w:before="240" w:after="0"/>
        <w:jc w:val="both"/>
        <w:rPr>
          <w:rFonts w:ascii="Arial" w:hAnsi="Arial"/>
          <w:sz w:val="20"/>
        </w:rPr>
      </w:pPr>
      <w:r>
        <w:rPr>
          <w:rFonts w:ascii="Arial" w:hAnsi="Arial"/>
          <w:sz w:val="20"/>
        </w:rPr>
        <w:t xml:space="preserve">(iii) Our opinion addresses corporate procedures in connection with the issuance of the Rights associated with the Shares of the Company, and not any particular provision of the Rights or the Rights Plan. It should be understood that it is not settled whether the invalidity of any particular provision of a rights agreement or purchase rights issued thereunder would invalidate such rights in their entirety. </w:t>
      </w:r>
    </w:p>
    <w:p>
      <w:pPr>
        <w:pStyle w:val="TextBody"/>
        <w:bidi w:val="0"/>
        <w:spacing w:before="240" w:after="0"/>
        <w:jc w:val="center"/>
        <w:rPr>
          <w:rFonts w:ascii="Arial" w:hAnsi="Arial"/>
          <w:sz w:val="20"/>
        </w:rPr>
      </w:pPr>
      <w:r>
        <w:rPr>
          <w:rFonts w:ascii="Arial" w:hAnsi="Arial"/>
          <w:sz w:val="20"/>
        </w:rPr>
        <w:t xml:space="preserve">Cooley LLP 1299 Pennsylvania Avenue NW Suite 700 Washington, DC 20004-2400 </w:t>
      </w:r>
    </w:p>
    <w:p>
      <w:pPr>
        <w:pStyle w:val="TextBody"/>
        <w:bidi w:val="0"/>
        <w:spacing w:before="0" w:after="0"/>
        <w:jc w:val="center"/>
        <w:rPr>
          <w:rFonts w:ascii="Arial" w:hAnsi="Arial"/>
          <w:sz w:val="20"/>
        </w:rPr>
      </w:pPr>
      <w:r>
        <w:rPr>
          <w:rFonts w:ascii="Arial" w:hAnsi="Arial"/>
          <w:sz w:val="20"/>
        </w:rPr>
        <w:t xml:space="preserve">t: +1 202 842 7800 f: +1 202 842 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5"/>
                    <a:stretch>
                      <a:fillRect/>
                    </a:stretch>
                  </pic:blipFill>
                  <pic:spPr bwMode="auto">
                    <a:xfrm>
                      <a:off x="0" y="0"/>
                      <a:ext cx="1295400" cy="428625"/>
                    </a:xfrm>
                    <a:prstGeom prst="rect">
                      <a:avLst/>
                    </a:prstGeom>
                  </pic:spPr>
                </pic:pic>
              </a:graphicData>
            </a:graphic>
          </wp:inline>
        </w:drawing>
      </w:r>
      <w:r>
        <w:rPr/>
        <w:t xml:space="preserve"> </w:t>
      </w:r>
    </w:p>
    <w:p>
      <w:pPr>
        <w:pStyle w:val="TextBody"/>
        <w:bidi w:val="0"/>
        <w:spacing w:before="240" w:after="0"/>
        <w:jc w:val="both"/>
        <w:rPr>
          <w:rFonts w:ascii="Arial" w:hAnsi="Arial"/>
          <w:sz w:val="20"/>
        </w:rPr>
      </w:pPr>
      <w:r>
        <w:rPr>
          <w:rFonts w:ascii="Arial" w:hAnsi="Arial"/>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both"/>
        <w:rPr>
          <w:rFonts w:ascii="Arial" w:hAnsi="Arial"/>
          <w:sz w:val="20"/>
        </w:rPr>
      </w:pPr>
      <w:r>
        <w:rPr>
          <w:rFonts w:ascii="Arial" w:hAnsi="Arial"/>
          <w:sz w:val="20"/>
        </w:rPr>
        <w:t xml:space="preserve">On the basis of the foregoing, and in reliance thereon, and subject to the qualifications herein stated, we are of the opinion that the Shares and associated Rights, when sold and issued against payment therefor in accordance with the Plans, the Registration Statement and the related prospectuses, will be validly issued, and the Shares will be fully paid and nonassessable (except as to shares issued pursuant to deferred payment arrangements, which will be fully paid and nonassessable when such deferred payments are made in full). </w:t>
      </w:r>
    </w:p>
    <w:p>
      <w:pPr>
        <w:pStyle w:val="TextBody"/>
        <w:bidi w:val="0"/>
        <w:spacing w:before="240" w:after="0"/>
        <w:jc w:val="both"/>
        <w:rPr>
          <w:rFonts w:ascii="Arial" w:hAnsi="Arial"/>
          <w:sz w:val="20"/>
        </w:rPr>
      </w:pPr>
      <w:r>
        <w:rPr>
          <w:rFonts w:ascii="Arial" w:hAnsi="Arial"/>
          <w:sz w:val="20"/>
        </w:rPr>
        <w:t xml:space="preserve">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both"/>
        <w:rPr>
          <w:rFonts w:ascii="Arial" w:hAnsi="Arial"/>
          <w:sz w:val="20"/>
        </w:rPr>
      </w:pPr>
      <w:r>
        <w:rPr>
          <w:rFonts w:ascii="Arial" w:hAnsi="Arial"/>
          <w:sz w:val="20"/>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240" w:after="0"/>
        <w:jc w:val="left"/>
        <w:rPr>
          <w:rFonts w:ascii="Arial" w:hAnsi="Arial"/>
          <w:sz w:val="20"/>
        </w:rPr>
      </w:pPr>
      <w:r>
        <w:rPr>
          <w:rFonts w:ascii="Arial" w:hAnsi="Arial"/>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rFonts w:ascii="Arial" w:hAnsi="Arial"/>
              </w:rPr>
            </w:pPr>
            <w:r>
              <w:rPr>
                <w:rFonts w:ascii="Arial" w:hAnsi="Arial"/>
              </w:rPr>
              <w:t>C</w:t>
            </w:r>
            <w:r>
              <w:rPr>
                <w:rFonts w:ascii="Arial" w:hAnsi="Arial"/>
                <w:sz w:val="14"/>
              </w:rPr>
              <w:t>OOLEY</w:t>
            </w:r>
            <w:r>
              <w:rPr>
                <w:rFonts w:ascii="Arial" w:hAnsi="Arial"/>
              </w:rPr>
              <w:t xml:space="preserve"> LLP</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Jaime L. Chase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rFonts w:ascii="Arial" w:hAnsi="Arial"/>
              </w:rPr>
            </w:pPr>
            <w:r>
              <w:rPr>
                <w:rFonts w:ascii="Arial" w:hAnsi="Arial"/>
              </w:rPr>
              <w:t>Jaime L. Chase</w:t>
            </w:r>
          </w:p>
        </w:tc>
      </w:tr>
    </w:tbl>
    <w:p>
      <w:pPr>
        <w:pStyle w:val="TextBody"/>
        <w:bidi w:val="0"/>
        <w:spacing w:before="240" w:after="0"/>
        <w:jc w:val="center"/>
        <w:rPr>
          <w:rFonts w:ascii="Arial" w:hAnsi="Arial"/>
          <w:sz w:val="20"/>
        </w:rPr>
      </w:pPr>
      <w:r>
        <w:rPr>
          <w:rFonts w:ascii="Arial" w:hAnsi="Arial"/>
          <w:sz w:val="20"/>
        </w:rPr>
        <w:t xml:space="preserve">Cooley LLP 1299 Pennsylvania Avenue NW Suite 700 Washington, DC 20004-2400 </w:t>
      </w:r>
    </w:p>
    <w:p>
      <w:pPr>
        <w:pStyle w:val="TextBody"/>
        <w:bidi w:val="0"/>
        <w:spacing w:before="0" w:after="0"/>
        <w:jc w:val="center"/>
        <w:rPr>
          <w:rFonts w:ascii="Arial" w:hAnsi="Arial"/>
          <w:sz w:val="20"/>
        </w:rPr>
      </w:pPr>
      <w:r>
        <w:rPr>
          <w:rFonts w:ascii="Arial" w:hAnsi="Arial"/>
          <w:sz w:val="20"/>
        </w:rPr>
        <w:t xml:space="preserve">t: +1 202 842 7800 f: +1 202 842 7899 cooley.com </w:t>
      </w:r>
    </w:p>
    <w:p>
      <w:pPr>
        <w:pStyle w:val="TextBody"/>
        <w:bidi w:val="0"/>
        <w:spacing w:before="0" w:after="0"/>
        <w:jc w:val="right"/>
        <w:rPr>
          <w:rFonts w:ascii="Times New Roman" w:hAnsi="Times New Roman"/>
          <w:b/>
          <w:sz w:val="20"/>
        </w:rPr>
      </w:pPr>
      <w:bookmarkStart w:id="5" w:name="d90534dex232.htm"/>
      <w:bookmarkStart w:id="6" w:name="ksd90534dex232"/>
      <w:bookmarkEnd w:id="5"/>
      <w:bookmarkEnd w:id="6"/>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Tempest Therapeutics, Inc. Amended and Restated 2023 Equity Incentive Plan and the Tempest Therapeutics, Inc. Amended and Restated 2019 Employee Stock Purchase Plan of our report dated March 30, 2025, with respect to the consolidated financial statements of Tempest Therapeutics,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/s/ Ernst &amp; Young LLP</w:t>
      </w:r>
    </w:p>
    <w:p>
      <w:pPr>
        <w:pStyle w:val="TextBody"/>
        <w:bidi w:val="0"/>
        <w:spacing w:before="24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March 30, 2026 </w:t>
      </w:r>
    </w:p>
    <w:p>
      <w:pPr>
        <w:pStyle w:val="Normal"/>
        <w:bidi w:val="0"/>
        <w:spacing w:before="0" w:after="0"/>
        <w:jc w:val="left"/>
        <w:rPr>
          <w:sz w:val="4"/>
          <w:szCs w:val="4"/>
        </w:rPr>
      </w:pPr>
      <w:r>
        <w:rPr>
          <w:sz w:val="4"/>
          <w:szCs w:val="4"/>
        </w:rPr>
      </w:r>
      <w:bookmarkStart w:id="7" w:name="d90534dexfilingfees.htm"/>
      <w:bookmarkStart w:id="8" w:name="ksd90534dexfilingfees"/>
      <w:bookmarkStart w:id="9" w:name="d90534dexfilingfees.htm"/>
      <w:bookmarkStart w:id="10" w:name="ksd90534dexfilingfees"/>
      <w:bookmarkEnd w:id="9"/>
      <w:bookmarkEnd w:id="10"/>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Tempest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7"/>
        <w:gridCol w:w="1315"/>
        <w:gridCol w:w="1277"/>
        <w:gridCol w:w="1187"/>
        <w:gridCol w:w="1161"/>
        <w:gridCol w:w="1549"/>
        <w:gridCol w:w="1126"/>
        <w:gridCol w:w="1402"/>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1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7"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7"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6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9"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0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7" w:type="dxa"/>
            <w:tcBorders/>
            <w:shd w:fill="E7E7E2" w:val="clear"/>
            <w:vAlign w:val="center"/>
          </w:tcPr>
          <w:p>
            <w:pPr>
              <w:pStyle w:val="TableContents"/>
              <w:bidi w:val="0"/>
              <w:spacing w:before="0" w:after="283"/>
              <w:jc w:val="left"/>
              <w:rPr/>
            </w:pPr>
            <w:r>
              <w:rPr/>
              <w:t xml:space="preserve">Equity </w:t>
            </w:r>
          </w:p>
        </w:tc>
        <w:tc>
          <w:tcPr>
            <w:tcW w:w="1315" w:type="dxa"/>
            <w:tcBorders/>
            <w:shd w:fill="E7E7E2" w:val="clear"/>
            <w:vAlign w:val="center"/>
          </w:tcPr>
          <w:p>
            <w:pPr>
              <w:pStyle w:val="TableContents"/>
              <w:bidi w:val="0"/>
              <w:spacing w:before="0" w:after="283"/>
              <w:jc w:val="left"/>
              <w:rPr/>
            </w:pPr>
            <w:r>
              <w:rPr/>
              <w:t xml:space="preserve">Common stock, $0.001 par value per share, 2023 Equity Incentive Plan, together with the associated Series A Junior Participating Preferred Purchase Rights </w:t>
            </w:r>
          </w:p>
        </w:tc>
        <w:tc>
          <w:tcPr>
            <w:tcW w:w="1277" w:type="dxa"/>
            <w:tcBorders/>
            <w:shd w:fill="E7E7E2" w:val="clear"/>
            <w:vAlign w:val="center"/>
          </w:tcPr>
          <w:p>
            <w:pPr>
              <w:pStyle w:val="TableContents"/>
              <w:bidi w:val="0"/>
              <w:spacing w:before="0" w:after="283"/>
              <w:jc w:val="center"/>
              <w:rPr/>
            </w:pPr>
            <w:r>
              <w:rPr/>
              <w:t xml:space="preserve">Other </w:t>
            </w:r>
          </w:p>
        </w:tc>
        <w:tc>
          <w:tcPr>
            <w:tcW w:w="1187" w:type="dxa"/>
            <w:tcBorders/>
            <w:shd w:fill="E7E7E2" w:val="clear"/>
            <w:vAlign w:val="center"/>
          </w:tcPr>
          <w:p>
            <w:pPr>
              <w:pStyle w:val="TableContents"/>
              <w:bidi w:val="0"/>
              <w:spacing w:before="0" w:after="283"/>
              <w:jc w:val="right"/>
              <w:rPr/>
            </w:pPr>
            <w:r>
              <w:rPr/>
              <w:t xml:space="preserve">1,607,086 </w:t>
            </w:r>
          </w:p>
        </w:tc>
        <w:tc>
          <w:tcPr>
            <w:tcW w:w="1161" w:type="dxa"/>
            <w:tcBorders/>
            <w:shd w:fill="E7E7E2" w:val="clear"/>
            <w:vAlign w:val="center"/>
          </w:tcPr>
          <w:p>
            <w:pPr>
              <w:pStyle w:val="TableContents"/>
              <w:bidi w:val="0"/>
              <w:spacing w:before="0" w:after="283"/>
              <w:jc w:val="right"/>
              <w:rPr/>
            </w:pPr>
            <w:r>
              <w:rPr/>
              <w:t xml:space="preserve">$ 1.66 </w:t>
            </w:r>
          </w:p>
        </w:tc>
        <w:tc>
          <w:tcPr>
            <w:tcW w:w="1549" w:type="dxa"/>
            <w:tcBorders/>
            <w:shd w:fill="E7E7E2" w:val="clear"/>
            <w:vAlign w:val="center"/>
          </w:tcPr>
          <w:p>
            <w:pPr>
              <w:pStyle w:val="TableContents"/>
              <w:bidi w:val="0"/>
              <w:spacing w:before="0" w:after="283"/>
              <w:jc w:val="right"/>
              <w:rPr/>
            </w:pPr>
            <w:r>
              <w:rPr/>
              <w:t xml:space="preserve">$ 2,667,762.76 </w:t>
            </w:r>
          </w:p>
        </w:tc>
        <w:tc>
          <w:tcPr>
            <w:tcW w:w="1126" w:type="dxa"/>
            <w:tcBorders/>
            <w:shd w:fill="E7E7E2" w:val="clear"/>
            <w:vAlign w:val="center"/>
          </w:tcPr>
          <w:p>
            <w:pPr>
              <w:pStyle w:val="TableContents"/>
              <w:bidi w:val="0"/>
              <w:spacing w:before="0" w:after="283"/>
              <w:jc w:val="right"/>
              <w:rPr/>
            </w:pPr>
            <w:r>
              <w:rPr/>
              <w:t xml:space="preserve">0.0001381 </w:t>
            </w:r>
          </w:p>
        </w:tc>
        <w:tc>
          <w:tcPr>
            <w:tcW w:w="1402" w:type="dxa"/>
            <w:tcBorders/>
            <w:shd w:fill="E7E7E2" w:val="clear"/>
            <w:vAlign w:val="center"/>
          </w:tcPr>
          <w:p>
            <w:pPr>
              <w:pStyle w:val="TableContents"/>
              <w:bidi w:val="0"/>
              <w:spacing w:before="0" w:after="283"/>
              <w:jc w:val="right"/>
              <w:rPr/>
            </w:pPr>
            <w:r>
              <w:rPr/>
              <w:t xml:space="preserve">$ 368.42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7" w:type="dxa"/>
            <w:tcBorders/>
            <w:shd w:fill="E7E7E2" w:val="clear"/>
            <w:vAlign w:val="center"/>
          </w:tcPr>
          <w:p>
            <w:pPr>
              <w:pStyle w:val="TableContents"/>
              <w:bidi w:val="0"/>
              <w:spacing w:before="0" w:after="283"/>
              <w:jc w:val="left"/>
              <w:rPr/>
            </w:pPr>
            <w:r>
              <w:rPr/>
              <w:t xml:space="preserve">Equity </w:t>
            </w:r>
          </w:p>
        </w:tc>
        <w:tc>
          <w:tcPr>
            <w:tcW w:w="1315" w:type="dxa"/>
            <w:tcBorders/>
            <w:shd w:fill="E7E7E2" w:val="clear"/>
            <w:vAlign w:val="center"/>
          </w:tcPr>
          <w:p>
            <w:pPr>
              <w:pStyle w:val="TableContents"/>
              <w:bidi w:val="0"/>
              <w:spacing w:before="0" w:after="283"/>
              <w:jc w:val="left"/>
              <w:rPr/>
            </w:pPr>
            <w:r>
              <w:rPr/>
              <w:t xml:space="preserve">Common stock, $0.001 par value per share, 2019 Employee Stock Purchase Plan, together with the associated Series A Junior Participating Preferred Purchase Rights </w:t>
            </w:r>
          </w:p>
        </w:tc>
        <w:tc>
          <w:tcPr>
            <w:tcW w:w="1277" w:type="dxa"/>
            <w:tcBorders/>
            <w:shd w:fill="E7E7E2" w:val="clear"/>
            <w:vAlign w:val="center"/>
          </w:tcPr>
          <w:p>
            <w:pPr>
              <w:pStyle w:val="TableContents"/>
              <w:bidi w:val="0"/>
              <w:spacing w:before="0" w:after="283"/>
              <w:jc w:val="center"/>
              <w:rPr/>
            </w:pPr>
            <w:r>
              <w:rPr/>
              <w:t xml:space="preserve">Other </w:t>
            </w:r>
          </w:p>
        </w:tc>
        <w:tc>
          <w:tcPr>
            <w:tcW w:w="1187" w:type="dxa"/>
            <w:tcBorders/>
            <w:shd w:fill="E7E7E2" w:val="clear"/>
            <w:vAlign w:val="center"/>
          </w:tcPr>
          <w:p>
            <w:pPr>
              <w:pStyle w:val="TableContents"/>
              <w:bidi w:val="0"/>
              <w:spacing w:before="0" w:after="283"/>
              <w:jc w:val="right"/>
              <w:rPr/>
            </w:pPr>
            <w:r>
              <w:rPr/>
              <w:t xml:space="preserve">38,461 </w:t>
            </w:r>
          </w:p>
        </w:tc>
        <w:tc>
          <w:tcPr>
            <w:tcW w:w="1161" w:type="dxa"/>
            <w:tcBorders/>
            <w:shd w:fill="E7E7E2" w:val="clear"/>
            <w:vAlign w:val="center"/>
          </w:tcPr>
          <w:p>
            <w:pPr>
              <w:pStyle w:val="TableContents"/>
              <w:bidi w:val="0"/>
              <w:spacing w:before="0" w:after="283"/>
              <w:jc w:val="right"/>
              <w:rPr/>
            </w:pPr>
            <w:r>
              <w:rPr/>
              <w:t xml:space="preserve">$ 1.42 </w:t>
            </w:r>
          </w:p>
        </w:tc>
        <w:tc>
          <w:tcPr>
            <w:tcW w:w="1549" w:type="dxa"/>
            <w:tcBorders/>
            <w:shd w:fill="E7E7E2" w:val="clear"/>
            <w:vAlign w:val="center"/>
          </w:tcPr>
          <w:p>
            <w:pPr>
              <w:pStyle w:val="TableContents"/>
              <w:bidi w:val="0"/>
              <w:spacing w:before="0" w:after="283"/>
              <w:jc w:val="right"/>
              <w:rPr/>
            </w:pPr>
            <w:r>
              <w:rPr/>
              <w:t xml:space="preserve">$ 54,614.62 </w:t>
            </w:r>
          </w:p>
        </w:tc>
        <w:tc>
          <w:tcPr>
            <w:tcW w:w="1126" w:type="dxa"/>
            <w:tcBorders/>
            <w:shd w:fill="E7E7E2" w:val="clear"/>
            <w:vAlign w:val="center"/>
          </w:tcPr>
          <w:p>
            <w:pPr>
              <w:pStyle w:val="TableContents"/>
              <w:bidi w:val="0"/>
              <w:spacing w:before="0" w:after="283"/>
              <w:jc w:val="right"/>
              <w:rPr/>
            </w:pPr>
            <w:r>
              <w:rPr/>
              <w:t xml:space="preserve">0.0001381 </w:t>
            </w:r>
          </w:p>
        </w:tc>
        <w:tc>
          <w:tcPr>
            <w:tcW w:w="1402" w:type="dxa"/>
            <w:tcBorders/>
            <w:shd w:fill="E7E7E2" w:val="clear"/>
            <w:vAlign w:val="center"/>
          </w:tcPr>
          <w:p>
            <w:pPr>
              <w:pStyle w:val="TableContents"/>
              <w:bidi w:val="0"/>
              <w:spacing w:before="0" w:after="283"/>
              <w:jc w:val="right"/>
              <w:rPr/>
            </w:pPr>
            <w:r>
              <w:rPr/>
              <w:t xml:space="preserve">$ 7.54 </w:t>
            </w:r>
          </w:p>
        </w:tc>
      </w:tr>
      <w:tr>
        <w:trPr/>
        <w:tc>
          <w:tcPr>
            <w:tcW w:w="4967" w:type="dxa"/>
            <w:gridSpan w:val="5"/>
            <w:tcBorders/>
            <w:vAlign w:val="center"/>
          </w:tcPr>
          <w:p>
            <w:pPr>
              <w:pStyle w:val="TableContents"/>
              <w:bidi w:val="0"/>
              <w:spacing w:before="0" w:after="0"/>
              <w:ind w:left="0" w:right="0" w:hanging="0"/>
              <w:jc w:val="right"/>
              <w:rPr/>
            </w:pPr>
            <w:r>
              <w:rPr/>
              <w:t>Total Offering Amounts:</w:t>
            </w:r>
          </w:p>
        </w:tc>
        <w:tc>
          <w:tcPr>
            <w:tcW w:w="116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0"/>
              <w:ind w:left="0" w:right="0" w:hanging="0"/>
              <w:jc w:val="right"/>
              <w:rPr/>
            </w:pPr>
            <w:bookmarkStart w:id="11" w:name="MaxAggtOfferingPrice"/>
            <w:bookmarkEnd w:id="11"/>
            <w:r>
              <w:rPr/>
              <w:t xml:space="preserve">$ 2,722,377.38 </w:t>
            </w:r>
          </w:p>
        </w:tc>
        <w:tc>
          <w:tcPr>
            <w:tcW w:w="1126" w:type="dxa"/>
            <w:tcBorders/>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$ 375.96 </w:t>
            </w:r>
          </w:p>
        </w:tc>
      </w:tr>
      <w:tr>
        <w:trPr/>
        <w:tc>
          <w:tcPr>
            <w:tcW w:w="4967" w:type="dxa"/>
            <w:gridSpan w:val="5"/>
            <w:tcBorders/>
            <w:vAlign w:val="center"/>
          </w:tcPr>
          <w:p>
            <w:pPr>
              <w:pStyle w:val="TableContents"/>
              <w:bidi w:val="0"/>
              <w:spacing w:before="0" w:after="0"/>
              <w:ind w:left="0" w:right="0" w:hanging="0"/>
              <w:jc w:val="right"/>
              <w:rPr/>
            </w:pPr>
            <w:r>
              <w:rPr/>
              <w:t xml:space="preserve">Total Fee Offsets: </w:t>
            </w:r>
          </w:p>
        </w:tc>
        <w:tc>
          <w:tcPr>
            <w:tcW w:w="116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967" w:type="dxa"/>
            <w:gridSpan w:val="5"/>
            <w:tcBorders/>
            <w:vAlign w:val="center"/>
          </w:tcPr>
          <w:p>
            <w:pPr>
              <w:pStyle w:val="TableContents"/>
              <w:bidi w:val="0"/>
              <w:spacing w:before="0" w:after="0"/>
              <w:ind w:left="0" w:right="0" w:hanging="0"/>
              <w:jc w:val="right"/>
              <w:rPr/>
            </w:pPr>
            <w:r>
              <w:rPr/>
              <w:t xml:space="preserve">Net Fee Due: </w:t>
            </w:r>
          </w:p>
        </w:tc>
        <w:tc>
          <w:tcPr>
            <w:tcW w:w="116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0"/>
              <w:ind w:left="0" w:right="0" w:hanging="0"/>
              <w:jc w:val="right"/>
              <w:rPr/>
            </w:pPr>
            <w:bookmarkStart w:id="14" w:name="NetFeeAmt"/>
            <w:bookmarkEnd w:id="14"/>
            <w:r>
              <w:rPr/>
              <w:t xml:space="preserve">$ 375.96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8"/>
        <w:gridCol w:w="8709"/>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Pursuant to Rule 416(a) promulgated under the Securities Act of 1933, as amended, this Registration Statement shall also cover any additional shares of common stock of Tempest Therapeutics, Inc. (the "Registrant") that become issuable under the Registrant's 2023 Equity Incentive Plan (the "2023 Plan") by reason of any stock dividend, stock split, recapitalization, or other similar transaction effected that results in an increase to the number of outstanding shares of Registrant's common stock, as applicable. The "Amount Registered" represents 197,086 additional shares of Registrant's common stock that were automatically added to the shares authorized for issuance under the 2023 Plan on January 1, 2026 pursuant to an annual "evergreen" increase provision contained in the 2023 Plan. Pursuant to such provision, the number of shares reserved for issuance under the 2023 Plan will automatically increase on the first day of each calendar year, starting on January 1, 2024 and ending on (and including) January 1, 2033, by the lesser of (a) 4% of the total number of shares of the Registrant's common stock of all classes outstanding on December 31st of the immediately preceding calendar year and (b) a number of shares determined by the Registrant's board of directors prior to the first day of any calendar year. The "Amount Registered" also reflects an increase in the number of shares available for future issuance under the 2023 EIP resulting from the approval by the Registrant's stockholders, on January 27, 2026, of an amendment to the 2023 EIP to increase the number of shares issuable thereunder by 1,410,000 shares of common stock. The "Proposed Maximum Offering Price Per Unit" and "Maximum Aggregate Offering Price" are estimated in accordance with Rule 457(c) and (h) solely for the purpose of calculating the registration fee on the basis of $1.66 per share of common stock, which represents the average of the high and low prices of the Registrant's common stock as reported on The Nasdaq Capital Market on March 27, 2026. Each share of Common Stock registered hereunder includes an associated Series A Junior Participating Preferred Purchase Right. Until the occurrence of certain prescribed events, none of which has occurred, the Series A Junior Participating Preferred Purchase Rights are not exercisable, are evidenced by certificates representing the Common Stock, and may be transferred only with the Common Stock. No separate consideration is payable for the Series A Junior Participating Preferred Stock.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Pursuant to Rule 416(a) promulgated under the Securities Act of 1933, as amended, this Registration Statement shall also cover any additional shares of common stock of the Registrant that become issuable under the Registrant's 2019 Employee Stock Purchase Plan (the "2019 ESPP") by reason of any stock dividend, stock split, recapitalization, or other similar transaction effected that results in an increase to the number of outstanding shares of Registrant's common stock, as applicable. The "Amount Registered" represents 38,461 additional shares of common stock reserved for issuance under, and which annual increase is provided for in, the 2019 ESPP that were automatically added to the shares authorized for issuance under the 2019 ESPP on January 1, 2026 pursuant to the annual "evergreen" increase provision contained in the 2019 ESPP. Pursuant to such provision, the number of shares reserved for issuance under the 2019 ESPP will automatically increase on the first day of each calendar year, starting on January 1, 2023 and ending on (and including) January 1, 2029, by the lesser of (a) 1.5% of the total number of shares of the Registrant's common stock outstanding on December 31st of the immediately preceding calendar year, (b) 38,461 shares of Common Stock or (c) a number of shares determined by the Registrant's board of directors prior to the first day of any calendar year. The "Proposed Maximum Offering Price Per Unit" and "Maximum Aggregate Offering Price" are estimated in accordance with Rule 457(c) and (h) solely for the purpose of calculating the registration fee on the basis of $1.42 per share of common stock, which represents the average of the high and low prices of the Registrant's common stock as reported on The Nasdaq Capital Market on March 27 2026, multiplied by 85%, which is the percentage of the price per share applicable to shares issued under the 2019 ESPP. Each share of Common Stock registered hereunder includes an associated Series A Junior Participating Preferred Purchase Right. Until the occurrence of certain prescribed events, none of which has occurred, the Series A Junior Participating Preferred Purchase Rights are not exercisable, are evidenced by certificates representing the Common Stock, and may be transferred only with the Common Stock. No separate consideration is payable for the Series A Junior Participating Preferred Stock.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44227/000110465919072796/a19-25226_1s8.htm" TargetMode="External"/><Relationship Id="rId3" Type="http://schemas.openxmlformats.org/officeDocument/2006/relationships/hyperlink" Target="http://www.sec.gov/Archives/edgar/data/1544227/000154422720000048/mlnd-202011xsx8.htm" TargetMode="External"/><Relationship Id="rId4" Type="http://schemas.openxmlformats.org/officeDocument/2006/relationships/hyperlink" Target="http://www.sec.gov/Archives/edgar/data/1544227/000154422721000021/mlnd-202104xsx8.htm" TargetMode="External"/><Relationship Id="rId5" Type="http://schemas.openxmlformats.org/officeDocument/2006/relationships/hyperlink" Target="http://www.sec.gov/Archives/edgar/data/1544227/000119312522150094/d312473ds8.htm" TargetMode="External"/><Relationship Id="rId6" Type="http://schemas.openxmlformats.org/officeDocument/2006/relationships/hyperlink" Target="http://www.sec.gov/Archives/edgar/data/1544227/000119312522177081/d307046ds8.htm" TargetMode="External"/><Relationship Id="rId7" Type="http://schemas.openxmlformats.org/officeDocument/2006/relationships/hyperlink" Target="http://www.sec.gov/Archives/edgar/data/1544227/000119312523279845/d599420ds8pos.htm" TargetMode="External"/><Relationship Id="rId8" Type="http://schemas.openxmlformats.org/officeDocument/2006/relationships/hyperlink" Target="http://www.sec.gov/Archives/edgar/data/1544227/000119312523279846/d599420ds8pos.htm" TargetMode="External"/><Relationship Id="rId9" Type="http://schemas.openxmlformats.org/officeDocument/2006/relationships/hyperlink" Target="http://www.sec.gov/Archives/edgar/data/1544227/000119312523279849/d599420ds8pos.htm" TargetMode="External"/><Relationship Id="rId10" Type="http://schemas.openxmlformats.org/officeDocument/2006/relationships/hyperlink" Target="http://www.sec.gov/Archives/edgar/data/1544227/000119312523279851/d599420ds8pos.htm" TargetMode="External"/><Relationship Id="rId11" Type="http://schemas.openxmlformats.org/officeDocument/2006/relationships/hyperlink" Target="http://www.sec.gov/Archives/edgar/data/1544227/000119312523279857/d599420ds8pos.htm" TargetMode="External"/><Relationship Id="rId12" Type="http://schemas.openxmlformats.org/officeDocument/2006/relationships/hyperlink" Target="http://www.sec.gov/Archives/edgar/data/1544227/000119312523279836/d609325ds8.htm" TargetMode="External"/><Relationship Id="rId13" Type="http://schemas.openxmlformats.org/officeDocument/2006/relationships/hyperlink" Target="http://www.sec.gov/Archives/edgar/data/1544227/000119312524071472/d784396ds8.htm" TargetMode="External"/><Relationship Id="rId14" Type="http://schemas.openxmlformats.org/officeDocument/2006/relationships/hyperlink" Target="http://www.sec.gov/Archives/edgar/data/1544227/000119312525065616/d896498ds8.htm" TargetMode="External"/><Relationship Id="rId15" Type="http://schemas.openxmlformats.org/officeDocument/2006/relationships/hyperlink" Target="http://www.sec.gov/Archives/edgar/data/../../../ix?doc=/Archives/edgar/data/1544227/000119312526130490/tpst-20251231.htm" TargetMode="External"/><Relationship Id="rId16" Type="http://schemas.openxmlformats.org/officeDocument/2006/relationships/hyperlink" Target="http://www.sec.gov/Archives/edgar/data/../../../ix?doc=/Archives/edgar/data/1544227/000119312526008938/d30095d8k.htm" TargetMode="External"/><Relationship Id="rId17" Type="http://schemas.openxmlformats.org/officeDocument/2006/relationships/hyperlink" Target="http://www.sec.gov/Archives/edgar/data/../../../ix?doc=/Archives/edgar/data/1544227/000119312526027203/d70064d8k.htm" TargetMode="External"/><Relationship Id="rId18" Type="http://schemas.openxmlformats.org/officeDocument/2006/relationships/hyperlink" Target="http://www.sec.gov/Archives/edgar/data/../../../ix?doc=/Archives/edgar/data/1544227/000119312526041190/d159400d8k.htm" TargetMode="External"/><Relationship Id="rId19" Type="http://schemas.openxmlformats.org/officeDocument/2006/relationships/hyperlink" Target="http://www.sec.gov/Archives/edgar/data/../../../ix?doc=/Archives/edgar/data/1544227/000119312526068614/d22967d8k.htm" TargetMode="External"/><Relationship Id="rId20" Type="http://schemas.openxmlformats.org/officeDocument/2006/relationships/hyperlink" Target="http://www.sec.gov/Archives/edgar/data/../../../ix?doc=/Archives/edgar/data/1544227/000119312526118618/d85035d8k.htm" TargetMode="External"/><Relationship Id="rId21" Type="http://schemas.openxmlformats.org/officeDocument/2006/relationships/hyperlink" Target="http://www.sec.gov/Archives/edgar/data/1544227/000110465913033085/a13-9660_28a12b.htm" TargetMode="External"/><Relationship Id="rId22" Type="http://schemas.openxmlformats.org/officeDocument/2006/relationships/hyperlink" Target="http://www.sec.gov/Archives/edgar/data/1544227/000119312526130490/tpst-ex4_1.htm" TargetMode="External"/><Relationship Id="rId23" Type="http://schemas.openxmlformats.org/officeDocument/2006/relationships/hyperlink" Target="http://www.sec.gov/Archives/edgar/data/1544227/000155837019005038/mlnd-20190331ex31b53fa83.htm" TargetMode="External"/><Relationship Id="rId24" Type="http://schemas.openxmlformats.org/officeDocument/2006/relationships/hyperlink" Target="http://www.sec.gov/Archives/edgar/data/1544227/000119312521201157/d196630dex31.htm" TargetMode="External"/><Relationship Id="rId25" Type="http://schemas.openxmlformats.org/officeDocument/2006/relationships/hyperlink" Target="http://www.sec.gov/Archives/edgar/data/1544227/000119312521201157/d196630dex32.htm" TargetMode="External"/><Relationship Id="rId26" Type="http://schemas.openxmlformats.org/officeDocument/2006/relationships/hyperlink" Target="http://www.sec.gov/Archives/edgar/data/1544227/000119312523253882/d547808dex31.htm" TargetMode="External"/><Relationship Id="rId27" Type="http://schemas.openxmlformats.org/officeDocument/2006/relationships/hyperlink" Target="http://www.sec.gov/Archives/edgar/data/1544227/000119312521281694/d222030dex31.htm" TargetMode="External"/><Relationship Id="rId28" Type="http://schemas.openxmlformats.org/officeDocument/2006/relationships/hyperlink" Target="http://www.sec.gov/Archives/edgar/data/1544227/000119312523253882/d547808dex41.htm" TargetMode="External"/><Relationship Id="rId29" Type="http://schemas.openxmlformats.org/officeDocument/2006/relationships/hyperlink" Target="http://www.sec.gov/Archives/edgar/data/1544227/000119312524235598/d877681dex41.htm" TargetMode="External"/><Relationship Id="rId30" Type="http://schemas.openxmlformats.org/officeDocument/2006/relationships/hyperlink" Target="http://www.sec.gov/Archives/edgar/data/1544227/000119312524272464/d899818dex41.htm" TargetMode="External"/><Relationship Id="rId31" Type="http://schemas.openxmlformats.org/officeDocument/2006/relationships/hyperlink" Target="http://www.sec.gov/Archives/edgar/data/1544227/000095017023041429/tpst-ex10_1.htm" TargetMode="External"/><Relationship Id="rId32" Type="http://schemas.openxmlformats.org/officeDocument/2006/relationships/hyperlink" Target="http://www.sec.gov/Archives/edgar/data/1544227/000119312526130490/tpst-ex10_12.htm" TargetMode="External"/><Relationship Id="rId33" Type="http://schemas.openxmlformats.org/officeDocument/2006/relationships/hyperlink" Target="http://www.sec.gov/Archives/edgar/data/1544227/000119312522177053/d370249dex102.htm" TargetMode="External"/><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3656</Words>
  <Characters>19585</Characters>
  <CharactersWithSpaces>23380</CharactersWithSpaces>
  <Paragraphs>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