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7304d8k.htm"/>
      <w:bookmarkStart w:id="1" w:name="ksd10730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45-1472564</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July 17, 2026, Tempest Therapeutics, Inc., a Delaware corporation (the “</w:t>
      </w:r>
      <w:r>
        <w:rPr>
          <w:rFonts w:ascii="Times New Roman" w:hAnsi="Times New Roman"/>
          <w:sz w:val="20"/>
          <w:u w:val="single"/>
        </w:rPr>
        <w:t>Company</w:t>
      </w:r>
      <w:r>
        <w:rPr>
          <w:rFonts w:ascii="Times New Roman" w:hAnsi="Times New Roman"/>
          <w:sz w:val="20"/>
        </w:rPr>
        <w:t>” or “Tempest”), entered into a product development and investigator-initiated trial (“</w:t>
      </w:r>
      <w:r>
        <w:rPr>
          <w:rFonts w:ascii="Times New Roman" w:hAnsi="Times New Roman"/>
          <w:sz w:val="20"/>
          <w:u w:val="single"/>
        </w:rPr>
        <w:t>IIT</w:t>
      </w:r>
      <w:r>
        <w:rPr>
          <w:rFonts w:ascii="Times New Roman" w:hAnsi="Times New Roman"/>
          <w:sz w:val="20"/>
        </w:rPr>
        <w:t>”) collaboration agreement (“</w:t>
      </w:r>
      <w:r>
        <w:rPr>
          <w:rFonts w:ascii="Times New Roman" w:hAnsi="Times New Roman"/>
          <w:sz w:val="20"/>
          <w:u w:val="single"/>
        </w:rPr>
        <w:t>Collaboration Agreement</w:t>
      </w:r>
      <w:r>
        <w:rPr>
          <w:rFonts w:ascii="Times New Roman" w:hAnsi="Times New Roman"/>
          <w:sz w:val="20"/>
        </w:rPr>
        <w:t>”) with Heibei Senlang Biotechnology Co., Ltd., a company organized under the laws of the People’s Republic of China (“</w:t>
      </w:r>
      <w:r>
        <w:rPr>
          <w:rFonts w:ascii="Times New Roman" w:hAnsi="Times New Roman"/>
          <w:sz w:val="20"/>
          <w:u w:val="single"/>
        </w:rPr>
        <w:t>Senlang</w:t>
      </w:r>
      <w:r>
        <w:rPr>
          <w:rFonts w:ascii="Times New Roman" w:hAnsi="Times New Roman"/>
          <w:sz w:val="20"/>
        </w:rPr>
        <w:t xml:space="preserve">”). Pursuant to the Collaboration Agreement, the Company and Senlang agreed to collaborate with respect to product development activities and investigator-initiated trial activities in China for certain of the Company’s </w:t>
      </w:r>
      <w:r>
        <w:rPr>
          <w:rFonts w:ascii="Times New Roman" w:hAnsi="Times New Roman"/>
          <w:i/>
          <w:sz w:val="20"/>
        </w:rPr>
        <w:t xml:space="preserve">in vivo </w:t>
      </w:r>
      <w:r>
        <w:rPr>
          <w:rFonts w:ascii="Times New Roman" w:hAnsi="Times New Roman"/>
          <w:sz w:val="20"/>
        </w:rPr>
        <w:t>chimeric antigen receptor T cell (“</w:t>
      </w:r>
      <w:r>
        <w:rPr>
          <w:rFonts w:ascii="Times New Roman" w:hAnsi="Times New Roman"/>
          <w:sz w:val="20"/>
          <w:u w:val="single"/>
        </w:rPr>
        <w:t>CAR-T</w:t>
      </w:r>
      <w:r>
        <w:rPr>
          <w:rFonts w:ascii="Times New Roman" w:hAnsi="Times New Roman"/>
          <w:sz w:val="20"/>
        </w:rPr>
        <w:t>”) product candidates (each, a “</w:t>
      </w:r>
      <w:r>
        <w:rPr>
          <w:rFonts w:ascii="Times New Roman" w:hAnsi="Times New Roman"/>
          <w:sz w:val="20"/>
          <w:u w:val="single"/>
        </w:rPr>
        <w:t>Product</w:t>
      </w:r>
      <w:r>
        <w:rPr>
          <w:rFonts w:ascii="Times New Roman" w:hAnsi="Times New Roman"/>
          <w:sz w:val="20"/>
        </w:rPr>
        <w:t>” and, collectively, the “</w:t>
      </w:r>
      <w:r>
        <w:rPr>
          <w:rFonts w:ascii="Times New Roman" w:hAnsi="Times New Roman"/>
          <w:sz w:val="20"/>
          <w:u w:val="single"/>
        </w:rPr>
        <w:t>Products</w:t>
      </w:r>
      <w:r>
        <w:rPr>
          <w:rFonts w:ascii="Times New Roman" w:hAnsi="Times New Roman"/>
          <w:sz w:val="20"/>
        </w:rPr>
        <w:t>”). Under the agreement, Tempest and Senlang will collaborate to develop Tempest’s proprietary TPST-4003 product candidate, beginning with an IIT in China evaluating TPST-4003 in approximately 10 patients with myasthenia gravis (“</w:t>
      </w:r>
      <w:r>
        <w:rPr>
          <w:rFonts w:ascii="Times New Roman" w:hAnsi="Times New Roman"/>
          <w:sz w:val="20"/>
          <w:u w:val="single"/>
        </w:rPr>
        <w:t>MG</w:t>
      </w:r>
      <w:r>
        <w:rPr>
          <w:rFonts w:ascii="Times New Roman" w:hAnsi="Times New Roman"/>
          <w:sz w:val="20"/>
        </w:rPr>
        <w:t>”) or multiple sclerosis (“</w:t>
      </w:r>
      <w:r>
        <w:rPr>
          <w:rFonts w:ascii="Times New Roman" w:hAnsi="Times New Roman"/>
          <w:sz w:val="20"/>
          <w:u w:val="single"/>
        </w:rPr>
        <w:t>MS</w:t>
      </w:r>
      <w:r>
        <w:rPr>
          <w:rFonts w:ascii="Times New Roman" w:hAnsi="Times New Roman"/>
          <w:sz w:val="20"/>
        </w:rPr>
        <w:t xml:space="preserve">”). The Company expects first patient enrollment and dosing to occur in the fourth quarter of 2026. </w:t>
      </w:r>
    </w:p>
    <w:p>
      <w:pPr>
        <w:pStyle w:val="TextBody"/>
        <w:bidi w:val="0"/>
        <w:spacing w:before="240" w:after="0"/>
        <w:jc w:val="left"/>
        <w:rPr>
          <w:rFonts w:ascii="Times New Roman" w:hAnsi="Times New Roman"/>
          <w:sz w:val="20"/>
        </w:rPr>
      </w:pPr>
      <w:r>
        <w:rPr>
          <w:rFonts w:ascii="Times New Roman" w:hAnsi="Times New Roman"/>
          <w:i/>
          <w:sz w:val="20"/>
        </w:rPr>
        <w:t>Collaboration Activities</w:t>
      </w:r>
      <w:r>
        <w:rPr>
          <w:rFonts w:ascii="Times New Roman" w:hAnsi="Times New Roman"/>
          <w:sz w:val="20"/>
        </w:rPr>
        <w:t>. Under the Collaboration Agreement, collaboration activities for each Product will be governed by the Collaboration Agreement and a separate statement of work (“</w:t>
      </w:r>
      <w:r>
        <w:rPr>
          <w:rFonts w:ascii="Times New Roman" w:hAnsi="Times New Roman"/>
          <w:sz w:val="20"/>
          <w:u w:val="single"/>
        </w:rPr>
        <w:t>SOW</w:t>
      </w:r>
      <w:r>
        <w:rPr>
          <w:rFonts w:ascii="Times New Roman" w:hAnsi="Times New Roman"/>
          <w:sz w:val="20"/>
        </w:rPr>
        <w:t xml:space="preserve">”), which is expected to include the applicable product development plan, budget, timeline, and other specified terms related to the development plan. </w:t>
      </w:r>
    </w:p>
    <w:p>
      <w:pPr>
        <w:pStyle w:val="TextBody"/>
        <w:bidi w:val="0"/>
        <w:spacing w:before="240" w:after="0"/>
        <w:jc w:val="left"/>
        <w:rPr>
          <w:rFonts w:ascii="Times New Roman" w:hAnsi="Times New Roman"/>
          <w:sz w:val="20"/>
        </w:rPr>
      </w:pPr>
      <w:r>
        <w:rPr>
          <w:rFonts w:ascii="Times New Roman" w:hAnsi="Times New Roman"/>
          <w:i/>
          <w:sz w:val="20"/>
        </w:rPr>
        <w:t>Development Fees</w:t>
      </w:r>
      <w:r>
        <w:rPr>
          <w:rFonts w:ascii="Times New Roman" w:hAnsi="Times New Roman"/>
          <w:sz w:val="20"/>
        </w:rPr>
        <w:t xml:space="preserve">. The development fee payable by the Company to Senlang for each Product shall be within the range of $1.5 million to $2.0 million, to be determined by the parties. The Collaboration Agreement provides that the Company will not be obligated to pay amounts in excess of $2.0 million for any Product unless the Company expressly approves such additional amount in writing in advance. Unless otherwise specified in an applicable SOW, the development fee for each Product will be payable in installments based on the achievement of agreed milestones. </w:t>
      </w:r>
    </w:p>
    <w:p>
      <w:pPr>
        <w:pStyle w:val="TextBody"/>
        <w:bidi w:val="0"/>
        <w:spacing w:before="240" w:after="0"/>
        <w:jc w:val="left"/>
        <w:rPr>
          <w:rFonts w:ascii="Times New Roman" w:hAnsi="Times New Roman"/>
          <w:sz w:val="20"/>
        </w:rPr>
      </w:pPr>
      <w:r>
        <w:rPr>
          <w:rFonts w:ascii="Times New Roman" w:hAnsi="Times New Roman"/>
          <w:i/>
          <w:sz w:val="20"/>
        </w:rPr>
        <w:t>Data Rights and Deliverables</w:t>
      </w:r>
      <w:r>
        <w:rPr>
          <w:rFonts w:ascii="Times New Roman" w:hAnsi="Times New Roman"/>
          <w:sz w:val="20"/>
        </w:rPr>
        <w:t xml:space="preserve">. Senlang is required to deliver to the Company complete and timely data packages generated from the IIT activities for each Product, and has granted the Company a worldwide, perpetual, irrevocable, royalty-free, fully paid-up right to use all data generated from the Product development activities and IIT activities for research, development, regulatory, financing, partnering, licensing, commercialization, publication, investor communication, due diligence and other business purposes. </w:t>
      </w:r>
    </w:p>
    <w:p>
      <w:pPr>
        <w:pStyle w:val="TextBody"/>
        <w:bidi w:val="0"/>
        <w:spacing w:before="240" w:after="0"/>
        <w:jc w:val="left"/>
        <w:rPr>
          <w:rFonts w:ascii="Times New Roman" w:hAnsi="Times New Roman"/>
          <w:sz w:val="20"/>
        </w:rPr>
      </w:pPr>
      <w:r>
        <w:rPr>
          <w:rFonts w:ascii="Times New Roman" w:hAnsi="Times New Roman"/>
          <w:i/>
          <w:sz w:val="20"/>
        </w:rPr>
        <w:t>China Rights</w:t>
      </w:r>
      <w:r>
        <w:rPr>
          <w:rFonts w:ascii="Times New Roman" w:hAnsi="Times New Roman"/>
          <w:sz w:val="20"/>
        </w:rPr>
        <w:t xml:space="preserve">. Subject to the terms of the Collaboration Agreement and the execution of a definitive license agreement, Senlang may obtain China rights to develop and commercially exploit one or more Products after completion of the agreed IIT data package for the relevant Product. Upon Senlang’s completion of the applicable SOW and delivery of an agreed data package for each Product, and subject to the rights of any third party, Senlang will have an exclusive option, exercisable within 90 days after delivery of such data package, to negotiate and enter into a definitive license agreement for the relevant Product in China on terms mutually agreeable to the parties. </w:t>
      </w:r>
    </w:p>
    <w:p>
      <w:pPr>
        <w:pStyle w:val="TextBody"/>
        <w:bidi w:val="0"/>
        <w:spacing w:before="240" w:after="0"/>
        <w:jc w:val="left"/>
        <w:rPr>
          <w:rFonts w:ascii="Times New Roman" w:hAnsi="Times New Roman"/>
          <w:sz w:val="20"/>
        </w:rPr>
      </w:pPr>
      <w:r>
        <w:rPr>
          <w:rFonts w:ascii="Times New Roman" w:hAnsi="Times New Roman"/>
          <w:i/>
          <w:sz w:val="20"/>
        </w:rPr>
        <w:t>Intellectual Property; Non-Use</w:t>
      </w:r>
      <w:r>
        <w:rPr>
          <w:rFonts w:ascii="Times New Roman" w:hAnsi="Times New Roman"/>
          <w:sz w:val="20"/>
        </w:rPr>
        <w:t xml:space="preserve">. The Company retains all rights, title and interest in and to the Products and related intellectual property owned or controlled by the Company prior to or outside the Collaboration Agreement, and any intellectual property as specified in the Collaboration Agreement that is specific to any Product or derived from the Company’s Product or related information as specified in the Collaboration Agreement will be owned by the Company. </w:t>
      </w:r>
    </w:p>
    <w:p>
      <w:pPr>
        <w:pStyle w:val="TextBody"/>
        <w:bidi w:val="0"/>
        <w:spacing w:before="240" w:after="0"/>
        <w:jc w:val="left"/>
        <w:rPr>
          <w:rFonts w:ascii="Times New Roman" w:hAnsi="Times New Roman"/>
          <w:sz w:val="20"/>
        </w:rPr>
      </w:pPr>
      <w:r>
        <w:rPr>
          <w:rFonts w:ascii="Times New Roman" w:hAnsi="Times New Roman"/>
          <w:i/>
          <w:sz w:val="20"/>
        </w:rPr>
        <w:t>Term and Termination</w:t>
      </w:r>
      <w:r>
        <w:rPr>
          <w:rFonts w:ascii="Times New Roman" w:hAnsi="Times New Roman"/>
          <w:sz w:val="20"/>
        </w:rPr>
        <w:t xml:space="preserve">. Unless earlier terminated, the Collaboration Agreement will remain in effect for an initial term of three years, which may be extended in writing. The Company may terminate the Collaboration Agreement or any SOW for convenience upon 60 days’ prior written notice to Senlang. Either party may terminate the Collaboration Agreement or any SOW upon written notice if the other party materially breaches the Collaboration Agreement and fails to cure such breach within 30 days after receiving written notice of the breach. The Company may also terminate the Collaboration Agreement or any SOW immediately upon written notice upon the occurrence of certain specified events.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foregoing description of the Collaboration Agreement is only a summary and is qualified in its entirety by reference to the full text of the Collaboration Agreement, a copy of which is filed as Exhibit 10.1 to this Current Report on Form 8-K and incorporated by reference herein.</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July 21, 2026, the Company issued a press release with respect to the matters described in Item 1.01 of this Current Report on Form 8-K, a copy of which is furnished as Exhibit 99.1 to this Current Report on Form 8-K and incorporated by reference in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of this Current Report on Form 8-K, including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7304dex101.htm">
              <w:r>
                <w:rPr>
                  <w:rStyle w:val="InternetLink"/>
                </w:rPr>
                <w:t xml:space="preserve">Product Development and Investigator-Initiated Trial (IIT) Collaboration Agreement, dated July 17, 2026, by and between Tempest Therapeutics, Inc. and Heibei Senlang Biotechnology Co., Ltd.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7304dex991.htm">
              <w:r>
                <w:rPr>
                  <w:rStyle w:val="InternetLink"/>
                </w:rPr>
                <w:t>Press Release, dated July 21, 2026</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(formatted in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7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383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b/>
              </w:rPr>
            </w:pPr>
            <w:r>
              <w:rPr>
                <w:b/>
              </w:rPr>
              <w:t>TEMPEST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Matthew Angel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07304dex101.htm"/>
      <w:bookmarkStart w:id="3" w:name="ksd107304dex101"/>
      <w:bookmarkEnd w:id="2"/>
      <w:bookmarkEnd w:id="3"/>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PRODUCT DEVELOPMENT AND INVESTIGATOR-INITIATED TRIAL (IIT)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Product Development and Investigator-Initiated Trial (IIT) Collaboration Agreement (this “Agreement”) is entered into as of July 17, 2026 (the “Effective Date”) by and between: </w:t>
      </w:r>
    </w:p>
    <w:p>
      <w:pPr>
        <w:pStyle w:val="TextBody"/>
        <w:bidi w:val="0"/>
        <w:spacing w:before="240" w:after="0"/>
        <w:jc w:val="left"/>
        <w:rPr>
          <w:rFonts w:ascii="Times New Roman" w:hAnsi="Times New Roman"/>
          <w:sz w:val="20"/>
        </w:rPr>
      </w:pPr>
      <w:r>
        <w:rPr>
          <w:rFonts w:ascii="Times New Roman" w:hAnsi="Times New Roman"/>
          <w:sz w:val="20"/>
        </w:rPr>
        <w:t>TEMPEST THERAPEUTICS, INC., a company organized under the laws of the United States (“</w:t>
      </w:r>
      <w:r>
        <w:rPr>
          <w:rFonts w:ascii="Times New Roman" w:hAnsi="Times New Roman"/>
          <w:i/>
          <w:sz w:val="20"/>
          <w:u w:val="single"/>
        </w:rPr>
        <w:t>Sponsor</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HEIBEI SENLANG BIOTECHNOLOGY CO., LTD., a company organized under the laws of the People’s Republic of China, (“</w:t>
      </w:r>
      <w:r>
        <w:rPr>
          <w:rFonts w:ascii="Times New Roman" w:hAnsi="Times New Roman"/>
          <w:i/>
          <w:sz w:val="20"/>
          <w:u w:val="single"/>
        </w:rPr>
        <w:t>Contractor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Sponsor and Contractor are each referred to herein as a “Party” and collectively as the “Parties”. </w:t>
      </w:r>
    </w:p>
    <w:p>
      <w:pPr>
        <w:pStyle w:val="TextBody"/>
        <w:bidi w:val="0"/>
        <w:spacing w:before="360" w:after="0"/>
        <w:jc w:val="left"/>
        <w:rPr>
          <w:rFonts w:ascii="Times New Roman" w:hAnsi="Times New Roman"/>
          <w:b/>
          <w:sz w:val="20"/>
        </w:rPr>
      </w:pPr>
      <w:r>
        <w:rPr>
          <w:rFonts w:ascii="Times New Roman" w:hAnsi="Times New Roman"/>
          <w:b/>
          <w:sz w:val="20"/>
        </w:rPr>
        <w:t xml:space="preserve">1. Background and Purpose </w:t>
      </w:r>
    </w:p>
    <w:p>
      <w:pPr>
        <w:pStyle w:val="TextBody"/>
        <w:bidi w:val="0"/>
        <w:spacing w:before="120" w:after="0"/>
        <w:jc w:val="left"/>
        <w:rPr>
          <w:rFonts w:ascii="Times New Roman" w:hAnsi="Times New Roman"/>
          <w:sz w:val="20"/>
        </w:rPr>
      </w:pPr>
      <w:r>
        <w:rPr>
          <w:rFonts w:ascii="Times New Roman" w:hAnsi="Times New Roman"/>
          <w:sz w:val="20"/>
        </w:rPr>
        <w:t xml:space="preserve">1.1 Sponsor owns or controls certain in vivo chimeric antigen receptor T cell (CAR-T) product candidates, technologies, know-how, processes, materials, data and intellectual property relating to product candidates (each a “Product” and collectively the “Products”). </w:t>
      </w:r>
    </w:p>
    <w:p>
      <w:pPr>
        <w:pStyle w:val="TextBody"/>
        <w:bidi w:val="0"/>
        <w:spacing w:before="240" w:after="0"/>
        <w:jc w:val="left"/>
        <w:rPr>
          <w:rFonts w:ascii="Times New Roman" w:hAnsi="Times New Roman"/>
          <w:sz w:val="20"/>
        </w:rPr>
      </w:pPr>
      <w:r>
        <w:rPr>
          <w:rFonts w:ascii="Times New Roman" w:hAnsi="Times New Roman"/>
          <w:sz w:val="20"/>
        </w:rPr>
        <w:t xml:space="preserve">1.2 Contractor has capabilities and resources in China relating to product development, process transfer, manufacturing, conjugation or other product processing, quality control, hospital and investigator coordination, and support for investigator-initiated clinical studies. </w:t>
      </w:r>
    </w:p>
    <w:p>
      <w:pPr>
        <w:pStyle w:val="TextBody"/>
        <w:bidi w:val="0"/>
        <w:spacing w:before="240" w:after="0"/>
        <w:jc w:val="left"/>
        <w:rPr>
          <w:rFonts w:ascii="Times New Roman" w:hAnsi="Times New Roman"/>
          <w:sz w:val="20"/>
        </w:rPr>
      </w:pPr>
      <w:r>
        <w:rPr>
          <w:rFonts w:ascii="Times New Roman" w:hAnsi="Times New Roman"/>
          <w:sz w:val="20"/>
        </w:rPr>
        <w:t xml:space="preserve">1.3 The Parties desire to collaborate to conduct product development activities and investigator-initiated trial activities in China for the Products, with the objective of generating approximately ten to twenty evaluable patient datasets for each Product in a timely and cost-efficient manner. </w:t>
      </w:r>
    </w:p>
    <w:p>
      <w:pPr>
        <w:pStyle w:val="TextBody"/>
        <w:bidi w:val="0"/>
        <w:spacing w:before="240" w:after="0"/>
        <w:jc w:val="left"/>
        <w:rPr>
          <w:rFonts w:ascii="Times New Roman" w:hAnsi="Times New Roman"/>
          <w:sz w:val="20"/>
        </w:rPr>
      </w:pPr>
      <w:r>
        <w:rPr>
          <w:rFonts w:ascii="Times New Roman" w:hAnsi="Times New Roman"/>
          <w:sz w:val="20"/>
        </w:rPr>
        <w:t xml:space="preserve">1.4 Subject to the terms of this Agreement and the execution of a definitive license agreement, Contractor may obtain China rights to develop and commercially exploit one or more of the Products after completion of the agreed IIT data package for the relevant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2. Definitions </w:t>
      </w:r>
    </w:p>
    <w:p>
      <w:pPr>
        <w:pStyle w:val="TextBody"/>
        <w:bidi w:val="0"/>
        <w:spacing w:before="120" w:after="0"/>
        <w:jc w:val="left"/>
        <w:rPr>
          <w:rFonts w:ascii="Times New Roman" w:hAnsi="Times New Roman"/>
          <w:sz w:val="20"/>
        </w:rPr>
      </w:pPr>
      <w:r>
        <w:rPr>
          <w:rFonts w:ascii="Times New Roman" w:hAnsi="Times New Roman"/>
          <w:sz w:val="20"/>
        </w:rPr>
        <w:t xml:space="preserve">2.1 “Affiliate” means any entity that directly or indirectly controls, is controlled by, or is under common control with a Party. </w:t>
      </w:r>
    </w:p>
    <w:p>
      <w:pPr>
        <w:pStyle w:val="TextBody"/>
        <w:bidi w:val="0"/>
        <w:spacing w:before="240" w:after="0"/>
        <w:jc w:val="left"/>
        <w:rPr>
          <w:rFonts w:ascii="Times New Roman" w:hAnsi="Times New Roman"/>
          <w:sz w:val="20"/>
        </w:rPr>
      </w:pPr>
      <w:r>
        <w:rPr>
          <w:rFonts w:ascii="Times New Roman" w:hAnsi="Times New Roman"/>
          <w:sz w:val="20"/>
        </w:rPr>
        <w:t xml:space="preserve">2.2 “BD Transaction” means any license, option, collaboration, co-development, co-commercialization, sublicense, assignment, asset sale, merger, acquisition, strategic investment or other business development (BD) transaction involving a Product or material rights to a Product. </w:t>
      </w:r>
    </w:p>
    <w:p>
      <w:pPr>
        <w:pStyle w:val="TextBody"/>
        <w:bidi w:val="0"/>
        <w:spacing w:before="240" w:after="0"/>
        <w:jc w:val="left"/>
        <w:rPr>
          <w:rFonts w:ascii="Times New Roman" w:hAnsi="Times New Roman"/>
          <w:sz w:val="20"/>
        </w:rPr>
      </w:pPr>
      <w:r>
        <w:rPr>
          <w:rFonts w:ascii="Times New Roman" w:hAnsi="Times New Roman"/>
          <w:sz w:val="20"/>
        </w:rPr>
        <w:t xml:space="preserve">2.3 “China” means mainland China, and, if expressly agreed in the relevant license agreement, may include Hong Kong, Macau and Taiwan. </w:t>
      </w:r>
    </w:p>
    <w:p>
      <w:pPr>
        <w:pStyle w:val="TextBody"/>
        <w:bidi w:val="0"/>
        <w:spacing w:before="240" w:after="0"/>
        <w:jc w:val="left"/>
        <w:rPr>
          <w:rFonts w:ascii="Times New Roman" w:hAnsi="Times New Roman"/>
          <w:sz w:val="20"/>
        </w:rPr>
      </w:pPr>
      <w:r>
        <w:rPr>
          <w:rFonts w:ascii="Times New Roman" w:hAnsi="Times New Roman"/>
          <w:sz w:val="20"/>
        </w:rPr>
        <w:t xml:space="preserve">2.4 “Confidential Information” means all non-public information disclosed by or on behalf of a Party to the other Party, including technical information, product information, clinical data, manufacturing information, regulatory information, business information, financial information, samples, materials and know-how. </w:t>
      </w:r>
    </w:p>
    <w:p>
      <w:pPr>
        <w:pStyle w:val="TextBody"/>
        <w:bidi w:val="0"/>
        <w:spacing w:before="240" w:after="0"/>
        <w:jc w:val="left"/>
        <w:rPr>
          <w:rFonts w:ascii="Times New Roman" w:hAnsi="Times New Roman"/>
          <w:sz w:val="20"/>
        </w:rPr>
      </w:pPr>
      <w:r>
        <w:rPr>
          <w:rFonts w:ascii="Times New Roman" w:hAnsi="Times New Roman"/>
          <w:sz w:val="20"/>
        </w:rPr>
        <w:t xml:space="preserve">2.5 “Deliverables” means all items, data, reports, records, documents, materials and results to be delivered by Contractor to Sponsor under this Agreement or any applicable statement of work (“SOW”). </w:t>
      </w:r>
    </w:p>
    <w:p>
      <w:pPr>
        <w:pStyle w:val="TextBody"/>
        <w:bidi w:val="0"/>
        <w:spacing w:before="240" w:after="0"/>
        <w:jc w:val="left"/>
        <w:rPr>
          <w:rFonts w:ascii="Times New Roman" w:hAnsi="Times New Roman"/>
          <w:sz w:val="20"/>
        </w:rPr>
      </w:pPr>
      <w:r>
        <w:rPr>
          <w:rFonts w:ascii="Times New Roman" w:hAnsi="Times New Roman"/>
          <w:sz w:val="20"/>
        </w:rPr>
        <w:t xml:space="preserve">2.6 “IIT” means an investigator-initiated trial or investigator-initiated clinical study conducted or sponsored by a qualified medical institution or investigator in China in accordance with applicable laws, ethical requirements and institutional procedures. </w:t>
      </w:r>
    </w:p>
    <w:p>
      <w:pPr>
        <w:pStyle w:val="TextBody"/>
        <w:bidi w:val="0"/>
        <w:spacing w:before="240" w:after="0"/>
        <w:jc w:val="left"/>
        <w:rPr>
          <w:rFonts w:ascii="Times New Roman" w:hAnsi="Times New Roman"/>
          <w:sz w:val="20"/>
        </w:rPr>
      </w:pPr>
      <w:r>
        <w:rPr>
          <w:rFonts w:ascii="Times New Roman" w:hAnsi="Times New Roman"/>
          <w:sz w:val="20"/>
        </w:rPr>
        <w:t xml:space="preserve">2.8 “Statement of Work” or “SOW” means a product-specific statement of work signed by the Parties for a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 Scope of Collaboration </w:t>
      </w:r>
    </w:p>
    <w:p>
      <w:pPr>
        <w:pStyle w:val="TextBody"/>
        <w:bidi w:val="0"/>
        <w:spacing w:before="120" w:after="0"/>
        <w:jc w:val="left"/>
        <w:rPr>
          <w:rFonts w:ascii="Times New Roman" w:hAnsi="Times New Roman"/>
          <w:sz w:val="20"/>
        </w:rPr>
      </w:pPr>
      <w:r>
        <w:rPr>
          <w:rFonts w:ascii="Times New Roman" w:hAnsi="Times New Roman"/>
          <w:sz w:val="20"/>
        </w:rPr>
        <w:t xml:space="preserve">3.1 Collaboration activities related to each Product shall be governed by this Agreement and a separate SOW, which shall include the applicable product development plan, budget, timeline, technical activities, manufacturing or processing steps, IIT support activities, Deliverables and payment schedule. </w:t>
      </w:r>
    </w:p>
    <w:p>
      <w:pPr>
        <w:pStyle w:val="TextBody"/>
        <w:bidi w:val="0"/>
        <w:spacing w:before="240" w:after="0"/>
        <w:jc w:val="left"/>
        <w:rPr>
          <w:rFonts w:ascii="Times New Roman" w:hAnsi="Times New Roman"/>
          <w:sz w:val="20"/>
        </w:rPr>
      </w:pPr>
      <w:r>
        <w:rPr>
          <w:rFonts w:ascii="Times New Roman" w:hAnsi="Times New Roman"/>
          <w:sz w:val="20"/>
        </w:rPr>
        <w:t xml:space="preserve">3.2 Sponsor shall conduct or complete the initial process development outside China and provide a process transfer package to Contractor. Contractor shall be responsible for process receipt, technology transfer, engineering run or other development run, clinical batch manufacturing or processing, testing, release, IIT supply support, IIT execution support and data delivery in China. </w:t>
      </w:r>
    </w:p>
    <w:p>
      <w:pPr>
        <w:pStyle w:val="TextBody"/>
        <w:bidi w:val="0"/>
        <w:spacing w:before="240" w:after="0"/>
        <w:jc w:val="left"/>
        <w:rPr>
          <w:rFonts w:ascii="Times New Roman" w:hAnsi="Times New Roman"/>
          <w:sz w:val="20"/>
        </w:rPr>
      </w:pPr>
      <w:r>
        <w:rPr>
          <w:rFonts w:ascii="Times New Roman" w:hAnsi="Times New Roman"/>
          <w:sz w:val="20"/>
        </w:rPr>
        <w:t xml:space="preserve">3.3 Unless otherwise agreed in writing, each Product is expected to generate approximately ten to twenty evaluable patient datasets in China. The final number of subjects, indication, dose, schedule, endpoints and data collection plan shall be specified in the applicable SOW and IIT protocol. </w:t>
      </w:r>
    </w:p>
    <w:p>
      <w:pPr>
        <w:pStyle w:val="TextBody"/>
        <w:bidi w:val="0"/>
        <w:spacing w:before="240" w:after="0"/>
        <w:jc w:val="left"/>
        <w:rPr>
          <w:rFonts w:ascii="Times New Roman" w:hAnsi="Times New Roman"/>
          <w:sz w:val="20"/>
        </w:rPr>
      </w:pPr>
      <w:r>
        <w:rPr>
          <w:rFonts w:ascii="Times New Roman" w:hAnsi="Times New Roman"/>
          <w:sz w:val="20"/>
        </w:rPr>
        <w:t xml:space="preserve">3.4 The Parties acknowledge that the IIT shall be conducted by qualified hospitals, investigators and clinical teams in accordance with all applicable Chinese laws, ethical review requirements, institutional requirements and patient protection requirements. Contractor shall coordinate and support such activities but shall not represent that it is the formal clinical sponsor unless permitted under applicable laws and agreed by the relevant institution. </w:t>
      </w:r>
    </w:p>
    <w:p>
      <w:pPr>
        <w:pStyle w:val="TextBody"/>
        <w:bidi w:val="0"/>
        <w:spacing w:before="360" w:after="0"/>
        <w:jc w:val="left"/>
        <w:rPr>
          <w:rFonts w:ascii="Times New Roman" w:hAnsi="Times New Roman"/>
          <w:b/>
          <w:sz w:val="20"/>
        </w:rPr>
      </w:pPr>
      <w:r>
        <w:rPr>
          <w:rFonts w:ascii="Times New Roman" w:hAnsi="Times New Roman"/>
          <w:b/>
          <w:sz w:val="20"/>
        </w:rPr>
        <w:t xml:space="preserve">4. Responsibilities of Sponsor </w:t>
      </w:r>
    </w:p>
    <w:p>
      <w:pPr>
        <w:pStyle w:val="TextBody"/>
        <w:bidi w:val="0"/>
        <w:spacing w:before="120" w:after="0"/>
        <w:jc w:val="left"/>
        <w:rPr>
          <w:rFonts w:ascii="Times New Roman" w:hAnsi="Times New Roman"/>
          <w:sz w:val="20"/>
        </w:rPr>
      </w:pPr>
      <w:r>
        <w:rPr>
          <w:rFonts w:ascii="Times New Roman" w:hAnsi="Times New Roman"/>
          <w:sz w:val="20"/>
        </w:rPr>
        <w:t xml:space="preserve">4.1 Sponsor shall provide process transfer packages, including, as applicable, process descriptions, critical process parameters, critical quality attributes, analytical methods, quality specifications, material lists, process development reports and other information reasonably necessary for Contractor to conduct the agreed technology transfer and manufacturing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4.2 Sponsor shall provide scientific, medical, clinical and chemistry, manufacturing and controls (CMC) support reasonably necessary for the collaboration, including mechanism of action information, nonclinical data, proposed indication strategy, dosing rationale, safety monitoring guidance and data interpretation support, in each case, as available. </w:t>
      </w:r>
    </w:p>
    <w:p>
      <w:pPr>
        <w:pStyle w:val="TextBody"/>
        <w:bidi w:val="0"/>
        <w:spacing w:before="240" w:after="0"/>
        <w:jc w:val="left"/>
        <w:rPr>
          <w:rFonts w:ascii="Times New Roman" w:hAnsi="Times New Roman"/>
          <w:sz w:val="20"/>
        </w:rPr>
      </w:pPr>
      <w:r>
        <w:rPr>
          <w:rFonts w:ascii="Times New Roman" w:hAnsi="Times New Roman"/>
          <w:sz w:val="20"/>
        </w:rPr>
        <w:t xml:space="preserve">4.3 Sponsor shall pay Contractor the development fees set forth in this Agreement and the relevant SOW. </w:t>
      </w:r>
    </w:p>
    <w:p>
      <w:pPr>
        <w:pStyle w:val="TextBody"/>
        <w:bidi w:val="0"/>
        <w:spacing w:before="240" w:after="0"/>
        <w:jc w:val="left"/>
        <w:rPr>
          <w:rFonts w:ascii="Times New Roman" w:hAnsi="Times New Roman"/>
          <w:sz w:val="20"/>
        </w:rPr>
      </w:pPr>
      <w:r>
        <w:rPr>
          <w:rFonts w:ascii="Times New Roman" w:hAnsi="Times New Roman"/>
          <w:sz w:val="20"/>
        </w:rPr>
        <w:t xml:space="preserve">4.4 Sponsor shall retain control over global BD strategy, financing strategy, regulatory communications outside China, ex-China development, and all decisions regarding any BD Transaction involving any Product, subject to any express rights granted to Contractor under this Agreement or a definitive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5. Responsibilities of Contractor </w:t>
      </w:r>
    </w:p>
    <w:p>
      <w:pPr>
        <w:pStyle w:val="TextBody"/>
        <w:bidi w:val="0"/>
        <w:spacing w:before="120" w:after="0"/>
        <w:jc w:val="left"/>
        <w:rPr>
          <w:rFonts w:ascii="Times New Roman" w:hAnsi="Times New Roman"/>
          <w:sz w:val="20"/>
        </w:rPr>
      </w:pPr>
      <w:r>
        <w:rPr>
          <w:rFonts w:ascii="Times New Roman" w:hAnsi="Times New Roman"/>
          <w:sz w:val="20"/>
        </w:rPr>
        <w:t xml:space="preserve">5.1 Contractor shall be responsible for conducting or coordinating the agreed development activities in China for each Product, including receipt, processing, conjugation, manufacturing, technology transfer, testing, release, clinical supply support, hospital coordination, investigator coordination, IIT operational support, data collection and data reporting,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5.2 Contractor shall use commercially reasonable efforts to identify and coordinate qualified hospitals, investigators, ethics committees and clinical research teams for the IIT activities. </w:t>
      </w:r>
    </w:p>
    <w:p>
      <w:pPr>
        <w:pStyle w:val="TextBody"/>
        <w:bidi w:val="0"/>
        <w:spacing w:before="240" w:after="0"/>
        <w:jc w:val="left"/>
        <w:rPr>
          <w:rFonts w:ascii="Times New Roman" w:hAnsi="Times New Roman"/>
          <w:sz w:val="20"/>
        </w:rPr>
      </w:pPr>
      <w:r>
        <w:rPr>
          <w:rFonts w:ascii="Times New Roman" w:hAnsi="Times New Roman"/>
          <w:sz w:val="20"/>
        </w:rPr>
        <w:t xml:space="preserve">5.3 Contractor shall be responsible for coordinating clinical site initiation, ethics review, institutional approvals, IIT registration or filing if applicable, patient enrollment support, follow-up, adverse event (AE) collection, efficacy assessment support, pharmacodynamic or biomarker testing support, and preparation of interim and final results. </w:t>
      </w:r>
    </w:p>
    <w:p>
      <w:pPr>
        <w:pStyle w:val="TextBody"/>
        <w:bidi w:val="0"/>
        <w:spacing w:before="240" w:after="0"/>
        <w:jc w:val="left"/>
        <w:rPr>
          <w:rFonts w:ascii="Times New Roman" w:hAnsi="Times New Roman"/>
          <w:sz w:val="20"/>
        </w:rPr>
      </w:pPr>
      <w:r>
        <w:rPr>
          <w:rFonts w:ascii="Times New Roman" w:hAnsi="Times New Roman"/>
          <w:sz w:val="20"/>
        </w:rPr>
        <w:t xml:space="preserve">5.4 Contractor shall ensure that the activities conducted by it or its subcontractors comply with applicable Chinese laws and regulations, institutional requirements, ethics requirements, human genetic resources requirements, personal information protection requirements, data security requirements, biosafety requirements and applicable quality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Contract shall deliver Deliverables to sponsor as follows: </w:t>
      </w:r>
    </w:p>
    <w:p>
      <w:pPr>
        <w:pStyle w:val="TextBody"/>
        <w:bidi w:val="0"/>
        <w:spacing w:before="120" w:after="0"/>
        <w:jc w:val="left"/>
        <w:rPr>
          <w:rFonts w:ascii="Times New Roman" w:hAnsi="Times New Roman"/>
          <w:sz w:val="20"/>
        </w:rPr>
      </w:pPr>
      <w:r>
        <w:rPr>
          <w:rFonts w:ascii="Times New Roman" w:hAnsi="Times New Roman"/>
          <w:sz w:val="20"/>
        </w:rPr>
        <w:t xml:space="preserve">(a) Contractor shall compile all completed laboratory test results and supplement AE diagnoses and grading in accordance with CTCAE V6.0 criteria; </w:t>
      </w:r>
    </w:p>
    <w:p>
      <w:pPr>
        <w:pStyle w:val="TextBody"/>
        <w:bidi w:val="0"/>
        <w:spacing w:before="120" w:after="0"/>
        <w:jc w:val="left"/>
        <w:rPr>
          <w:rFonts w:ascii="Times New Roman" w:hAnsi="Times New Roman"/>
          <w:sz w:val="20"/>
        </w:rPr>
      </w:pPr>
      <w:r>
        <w:rPr>
          <w:rFonts w:ascii="Times New Roman" w:hAnsi="Times New Roman"/>
          <w:sz w:val="20"/>
        </w:rPr>
        <w:t xml:space="preserve">(b) Contractor shall deliver data summaries suitable for public commercial disclosure (in slide deck format or as otherwise agreed by Contractor and Sponsor) as well as all raw clinical data; </w:t>
      </w:r>
    </w:p>
    <w:p>
      <w:pPr>
        <w:pStyle w:val="TextBody"/>
        <w:bidi w:val="0"/>
        <w:spacing w:before="120" w:after="0"/>
        <w:jc w:val="left"/>
        <w:rPr>
          <w:rFonts w:ascii="Times New Roman" w:hAnsi="Times New Roman"/>
          <w:sz w:val="20"/>
        </w:rPr>
      </w:pPr>
      <w:r>
        <w:rPr>
          <w:rFonts w:ascii="Times New Roman" w:hAnsi="Times New Roman"/>
          <w:sz w:val="20"/>
        </w:rPr>
        <w:t xml:space="preserve">(c) Contractor shall provide product data covering safety, pharmacodynamic (PD) characteristics, and evaluable efficacy endpoints (which data authenticity will be is audit-ready) developed by any IITs and provided to Contractor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Contractor shall secure clinical product data eligible for public commercial disclosure, conference presentations, and peer-reviewed publications, which shall include core efficacy assessment data for M1 and M3, safety data derived from medical records and laboratory testing, as well as PD data used to evaluate in vivo CAR-T production, the durability of CAR-T cells post-administration, and target cell killing activity; and </w:t>
      </w:r>
    </w:p>
    <w:p>
      <w:pPr>
        <w:pStyle w:val="TextBody"/>
        <w:bidi w:val="0"/>
        <w:spacing w:before="120" w:after="0"/>
        <w:jc w:val="left"/>
        <w:rPr>
          <w:rFonts w:ascii="Times New Roman" w:hAnsi="Times New Roman"/>
          <w:sz w:val="20"/>
        </w:rPr>
      </w:pPr>
      <w:r>
        <w:rPr>
          <w:rFonts w:ascii="Times New Roman" w:hAnsi="Times New Roman"/>
          <w:sz w:val="20"/>
        </w:rPr>
        <w:t xml:space="preserve">(e) Contractor shall provide such other Deliverables as set forth in the Project Plan (as defined below) or as otherwise agreed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5.6 Contractor shall not use any Product, Sponsor material, Sponsor Confidential Information, Sponsor data, Sponsor process, Sponsor know-how or Sponsor intellectual property for any purpose other than the collaboration expressly authorized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5.7 Contractor and Sponsor shall enter a detailed project-level plan (the “Project Plan”), which shall include, among other things, an agreed upon structure for conducting periodic analyses of patient baseline, safety, PD and efficacy data. </w:t>
      </w:r>
    </w:p>
    <w:p>
      <w:pPr>
        <w:pStyle w:val="TextBody"/>
        <w:bidi w:val="0"/>
        <w:spacing w:before="360" w:after="0"/>
        <w:jc w:val="left"/>
        <w:rPr>
          <w:rFonts w:ascii="Times New Roman" w:hAnsi="Times New Roman"/>
          <w:b/>
          <w:sz w:val="20"/>
        </w:rPr>
      </w:pPr>
      <w:r>
        <w:rPr>
          <w:rFonts w:ascii="Times New Roman" w:hAnsi="Times New Roman"/>
          <w:b/>
          <w:sz w:val="20"/>
        </w:rPr>
        <w:t xml:space="preserve">6. Development Fees and Payment </w:t>
      </w:r>
    </w:p>
    <w:p>
      <w:pPr>
        <w:pStyle w:val="TextBody"/>
        <w:bidi w:val="0"/>
        <w:spacing w:before="120" w:after="0"/>
        <w:jc w:val="left"/>
        <w:rPr>
          <w:rFonts w:ascii="Times New Roman" w:hAnsi="Times New Roman"/>
          <w:sz w:val="20"/>
        </w:rPr>
      </w:pPr>
      <w:r>
        <w:rPr>
          <w:rFonts w:ascii="Times New Roman" w:hAnsi="Times New Roman"/>
          <w:sz w:val="20"/>
        </w:rPr>
        <w:t xml:space="preserve">6.1 The development fee payable by Sponsor to Contractor for each Product shall be within the range of US$1,500,000 to US$2,000,000, the specific amount of which shall be determined by the Parties in writing. </w:t>
      </w:r>
    </w:p>
    <w:p>
      <w:pPr>
        <w:pStyle w:val="TextBody"/>
        <w:bidi w:val="0"/>
        <w:spacing w:before="240" w:after="0"/>
        <w:jc w:val="left"/>
        <w:rPr>
          <w:rFonts w:ascii="Times New Roman" w:hAnsi="Times New Roman"/>
          <w:sz w:val="20"/>
        </w:rPr>
      </w:pPr>
      <w:r>
        <w:rPr>
          <w:rFonts w:ascii="Times New Roman" w:hAnsi="Times New Roman"/>
          <w:sz w:val="20"/>
        </w:rPr>
        <w:t xml:space="preserve">6.2 The fee for each Product shall cover the product development, process receipt, conjugation or manufacturing, testing, release, IIT operational support, hospital and investigator coordination, data package preparation and related Deliverables described in the applicable SOW. </w:t>
      </w:r>
    </w:p>
    <w:p>
      <w:pPr>
        <w:pStyle w:val="TextBody"/>
        <w:bidi w:val="0"/>
        <w:spacing w:before="240" w:after="0"/>
        <w:jc w:val="left"/>
        <w:rPr>
          <w:rFonts w:ascii="Times New Roman" w:hAnsi="Times New Roman"/>
          <w:sz w:val="20"/>
        </w:rPr>
      </w:pPr>
      <w:r>
        <w:rPr>
          <w:rFonts w:ascii="Times New Roman" w:hAnsi="Times New Roman"/>
          <w:sz w:val="20"/>
        </w:rPr>
        <w:t xml:space="preserve">6.3 Unless otherwise specified in the applicable SOW, the development fee for each Product shall be payable in installments based on the achievement of agreed milestones. A typical payment schedule may include payment upon SOW execution, completion of material receipt or technology transfer initiation, completion of processing or manufacturing and release, first patient dosing, completion of initial safety data, and delivery of the agreed IIT data package. </w:t>
      </w:r>
    </w:p>
    <w:p>
      <w:pPr>
        <w:pStyle w:val="TextBody"/>
        <w:bidi w:val="0"/>
        <w:spacing w:before="240" w:after="0"/>
        <w:jc w:val="left"/>
        <w:rPr>
          <w:rFonts w:ascii="Times New Roman" w:hAnsi="Times New Roman"/>
          <w:sz w:val="20"/>
        </w:rPr>
      </w:pPr>
      <w:r>
        <w:rPr>
          <w:rFonts w:ascii="Times New Roman" w:hAnsi="Times New Roman"/>
          <w:sz w:val="20"/>
        </w:rPr>
        <w:t xml:space="preserve">6.4 Notwithstanding anything to the contrary contained herein, Sponsor shall not be obligated to pay amounts in excess of US$2,000,000 for any Product unless Sponsor expressly approves such additional amount in writing in advance. </w:t>
      </w:r>
    </w:p>
    <w:p>
      <w:pPr>
        <w:pStyle w:val="TextBody"/>
        <w:bidi w:val="0"/>
        <w:spacing w:before="240" w:after="0"/>
        <w:jc w:val="left"/>
        <w:rPr>
          <w:rFonts w:ascii="Times New Roman" w:hAnsi="Times New Roman"/>
          <w:sz w:val="20"/>
        </w:rPr>
      </w:pPr>
      <w:r>
        <w:rPr>
          <w:rFonts w:ascii="Times New Roman" w:hAnsi="Times New Roman"/>
          <w:sz w:val="20"/>
        </w:rPr>
        <w:t xml:space="preserve">6.5 If any cost overrun is caused by Contractor’s delay, execution failure, quality issue, compliance issue or failure to follow the approved SOW, such cost overrun shall be borne by Contractor. If any cost overrun is caused by a material change requested by Sponsor, the Parties shall negotiate in good faith a written amendment to the relevant SOW.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6.6 All invoices shall be payable within thirty days after receipt of a valid invoice, less any disputed amounts, unless otherwise specified in the applicable SOW. </w:t>
      </w:r>
    </w:p>
    <w:p>
      <w:pPr>
        <w:pStyle w:val="TextBody"/>
        <w:bidi w:val="0"/>
        <w:spacing w:before="360" w:after="0"/>
        <w:jc w:val="left"/>
        <w:rPr>
          <w:rFonts w:ascii="Times New Roman" w:hAnsi="Times New Roman"/>
          <w:b/>
          <w:sz w:val="20"/>
        </w:rPr>
      </w:pPr>
      <w:r>
        <w:rPr>
          <w:rFonts w:ascii="Times New Roman" w:hAnsi="Times New Roman"/>
          <w:b/>
          <w:sz w:val="20"/>
        </w:rPr>
        <w:t xml:space="preserve">7. Product China Rights </w:t>
      </w:r>
    </w:p>
    <w:p>
      <w:pPr>
        <w:pStyle w:val="TextBody"/>
        <w:bidi w:val="0"/>
        <w:spacing w:before="120" w:after="0"/>
        <w:jc w:val="left"/>
        <w:rPr>
          <w:rFonts w:ascii="Times New Roman" w:hAnsi="Times New Roman"/>
          <w:sz w:val="20"/>
        </w:rPr>
      </w:pPr>
      <w:r>
        <w:rPr>
          <w:rFonts w:ascii="Times New Roman" w:hAnsi="Times New Roman"/>
          <w:sz w:val="20"/>
        </w:rPr>
        <w:t xml:space="preserve">7.1 Subject to the terms of this Agreement and the execution of a definitive license agreement, Contractor may obtain China rights to develop and commercially exploit the Products after completion of the agreed IIT data package for the relevant Product. </w:t>
      </w:r>
    </w:p>
    <w:p>
      <w:pPr>
        <w:pStyle w:val="TextBody"/>
        <w:bidi w:val="0"/>
        <w:spacing w:before="240" w:after="0"/>
        <w:jc w:val="left"/>
        <w:rPr>
          <w:rFonts w:ascii="Times New Roman" w:hAnsi="Times New Roman"/>
          <w:sz w:val="20"/>
        </w:rPr>
      </w:pPr>
      <w:r>
        <w:rPr>
          <w:rFonts w:ascii="Times New Roman" w:hAnsi="Times New Roman"/>
          <w:sz w:val="20"/>
        </w:rPr>
        <w:t xml:space="preserve">7.2 Upon Contractor’s completion of the agreed SOW and delivery of an agreed IIT data package for each Product, and subject to the rights of any third party, Contractor shall have an exclusive option, exercisable within ninety days after delivery of such data package, to negotiate and enter into a definitive license agreement for the relevant Product in China, on terms mutually agreeable to both Parties. </w:t>
      </w:r>
    </w:p>
    <w:p>
      <w:pPr>
        <w:pStyle w:val="TextBody"/>
        <w:bidi w:val="0"/>
        <w:spacing w:before="240" w:after="0"/>
        <w:jc w:val="left"/>
        <w:rPr>
          <w:rFonts w:ascii="Times New Roman" w:hAnsi="Times New Roman"/>
          <w:sz w:val="20"/>
        </w:rPr>
      </w:pPr>
      <w:r>
        <w:rPr>
          <w:rFonts w:ascii="Times New Roman" w:hAnsi="Times New Roman"/>
          <w:sz w:val="20"/>
        </w:rPr>
        <w:t xml:space="preserve">7.3 If Contractor exercises such option within the option period, the Parties shall negotiate in good faith the definitive license agreement. Unless otherwise agreed, such license agreement may provide that Contractor will receive exclusive development, registration, manufacturing and commercialization rights in China for the relevant Product, while Sponsor will retain all ex-China rights and global ownership of the relevant Product and related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7.4 The economic terms of any license agreement shall be mutually agreeable to both Paries and may include upfront payments, development milestones, regulatory milestones, commercial milestones, royalties, profit share, supply arrangements, manufacturing commitments and other customary terms. </w:t>
      </w:r>
    </w:p>
    <w:p>
      <w:pPr>
        <w:pStyle w:val="TextBody"/>
        <w:bidi w:val="0"/>
        <w:spacing w:before="240" w:after="0"/>
        <w:jc w:val="left"/>
        <w:rPr>
          <w:rFonts w:ascii="Times New Roman" w:hAnsi="Times New Roman"/>
          <w:sz w:val="20"/>
        </w:rPr>
      </w:pPr>
      <w:r>
        <w:rPr>
          <w:rFonts w:ascii="Times New Roman" w:hAnsi="Times New Roman"/>
          <w:sz w:val="20"/>
        </w:rPr>
        <w:t xml:space="preserve">7.5 Contractor shall have no right to develop and commercially exploit the Products unless and until a definitive license agreement for the relevant Product has been executed by the Parties. This Agreement alone does not constitute a commercial license for the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8. Data Rights and Data Delivery </w:t>
      </w:r>
    </w:p>
    <w:p>
      <w:pPr>
        <w:pStyle w:val="TextBody"/>
        <w:bidi w:val="0"/>
        <w:spacing w:before="120" w:after="0"/>
        <w:jc w:val="left"/>
        <w:rPr>
          <w:rFonts w:ascii="Times New Roman" w:hAnsi="Times New Roman"/>
          <w:sz w:val="20"/>
        </w:rPr>
      </w:pPr>
      <w:r>
        <w:rPr>
          <w:rFonts w:ascii="Times New Roman" w:hAnsi="Times New Roman"/>
          <w:sz w:val="20"/>
        </w:rPr>
        <w:t xml:space="preserve">8.1 Contractor shall ensure that Sponsor receives complete and timely data packages generated from the IIT activities for each Product, including safety data, efficacy data, patient-level de-identified data where permitted, pharmacodynamic data, biomarker data, clinical assessment data, quality data, batch data, testing data, release data, adverse event information, interim and final study results. </w:t>
      </w:r>
    </w:p>
    <w:p>
      <w:pPr>
        <w:pStyle w:val="TextBody"/>
        <w:bidi w:val="0"/>
        <w:spacing w:before="240" w:after="0"/>
        <w:jc w:val="left"/>
        <w:rPr>
          <w:rFonts w:ascii="Times New Roman" w:hAnsi="Times New Roman"/>
          <w:sz w:val="20"/>
        </w:rPr>
      </w:pPr>
      <w:r>
        <w:rPr>
          <w:rFonts w:ascii="Times New Roman" w:hAnsi="Times New Roman"/>
          <w:sz w:val="20"/>
        </w:rPr>
        <w:t xml:space="preserve">8.2 Contractor shall grant to Sponsor, and hereby grants, a worldwide, perpetual, irrevocable, royalty-free, fully paid-up right to use all data generated from the Product development activities and IIT activities for research, development, regulatory, financing, partnering, licensing, commercialization, publication, investor communication, due diligence and other business purposes. </w:t>
      </w:r>
    </w:p>
    <w:p>
      <w:pPr>
        <w:pStyle w:val="TextBody"/>
        <w:bidi w:val="0"/>
        <w:spacing w:before="240" w:after="0"/>
        <w:jc w:val="left"/>
        <w:rPr>
          <w:rFonts w:ascii="Times New Roman" w:hAnsi="Times New Roman"/>
          <w:sz w:val="20"/>
        </w:rPr>
      </w:pPr>
      <w:r>
        <w:rPr>
          <w:rFonts w:ascii="Times New Roman" w:hAnsi="Times New Roman"/>
          <w:sz w:val="20"/>
        </w:rPr>
        <w:t xml:space="preserve">8.3 Contractor may use the data solely for the purposes of performing this Agreement and for China development activities if and to the extent permitted under a definitive license agreement, and Contractor shall not use any data contrary to the preceding clause. </w:t>
      </w:r>
    </w:p>
    <w:p>
      <w:pPr>
        <w:pStyle w:val="TextBody"/>
        <w:bidi w:val="0"/>
        <w:spacing w:before="240" w:after="0"/>
        <w:jc w:val="left"/>
        <w:rPr>
          <w:rFonts w:ascii="Times New Roman" w:hAnsi="Times New Roman"/>
          <w:sz w:val="20"/>
        </w:rPr>
      </w:pPr>
      <w:r>
        <w:rPr>
          <w:rFonts w:ascii="Times New Roman" w:hAnsi="Times New Roman"/>
          <w:sz w:val="20"/>
        </w:rPr>
        <w:t xml:space="preserve">8.4 Contractor shall not use the data for any third-party product, competing product, independent development program, publication, financing activity, investor communication or external communication without Sponsor’s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8.5 To the extent any human genetic resources, patient samples, personal information, sensitive personal information, genomic data, clinical data or other regulated data are involved, Contractor shall be responsible for ensuring compliance with applicable Chinese laws and institutional requirements before any transfer, sharing, export or external use of such data or samples.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9.1 Sponsor shall retain all rights, title and interest in and to the Products, including all CAR constructs, sequences, targets, target combinations, LNP or mRNA designs, processes, formulas, specifications, analytical methods, quality standards, patents, patent applications, know-how, materials, data, regulatory materials and other intellectual property owned or controlled by Sponsor prior to or outside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9.2 Contractor shall retain all rights, title and interest in and to its pre-existing manufacturing facilities, general quality systems, general clinical operation capabilities, general know-how and other intellectual property owned or controlled by Contractor prior to or outside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9.3 Any invention, improvement, discovery, know-how, data, process improvement, quality method, clinical use, dosing regimen, biomarker finding, formulation improvement or other result that is specific to any Product or derived from Sponsor’s Product, material, process, construct, data or Confidential Information shall be owned by Sponsor as a Deliverable, unless otherwise expressly agreed in writing. </w:t>
      </w:r>
    </w:p>
    <w:p>
      <w:pPr>
        <w:pStyle w:val="TextBody"/>
        <w:bidi w:val="0"/>
        <w:spacing w:before="240" w:after="0"/>
        <w:jc w:val="left"/>
        <w:rPr>
          <w:rFonts w:ascii="Times New Roman" w:hAnsi="Times New Roman"/>
          <w:sz w:val="20"/>
        </w:rPr>
      </w:pPr>
      <w:r>
        <w:rPr>
          <w:rFonts w:ascii="Times New Roman" w:hAnsi="Times New Roman"/>
          <w:sz w:val="20"/>
        </w:rPr>
        <w:t xml:space="preserve">9.4 Any general, non-Product-specific manufacturing or operational improvement developed by Contractor without use of Sponsor Confidential Information and not specific to any Product may be owned by Contractor, provided that Sponsor shall have a perpetual, worldwide, royalty-free right to use such improvement for the Products and related development, regulatory and commercialization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9.5 Contractor shall not reverse engineer, deconstruct, modify, reproduce, sequence, analyze for replication, develop, manufacture, commercialize, license or otherwise exploit any Product or any substantially similar product by using Sponsor materials, Confidential Information, data, process, know-how or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9.6 With the authorization and permission of Sponsor, which must be obtained in writing on a case-by-case basis, and which consent may be withheld at the discretion of Sponsor, the investigator may use clinical research data confirmed by the sponsor for academic activities such as literature publication and conference presentations. </w:t>
      </w:r>
    </w:p>
    <w:p>
      <w:pPr>
        <w:pStyle w:val="TextBody"/>
        <w:bidi w:val="0"/>
        <w:spacing w:before="360" w:after="0"/>
        <w:jc w:val="left"/>
        <w:rPr>
          <w:rFonts w:ascii="Times New Roman" w:hAnsi="Times New Roman"/>
          <w:b/>
          <w:sz w:val="20"/>
        </w:rPr>
      </w:pPr>
      <w:r>
        <w:rPr>
          <w:rFonts w:ascii="Times New Roman" w:hAnsi="Times New Roman"/>
          <w:b/>
          <w:sz w:val="20"/>
        </w:rPr>
        <w:t xml:space="preserve">10. Manufacturing and Quality </w:t>
      </w:r>
    </w:p>
    <w:p>
      <w:pPr>
        <w:pStyle w:val="TextBody"/>
        <w:bidi w:val="0"/>
        <w:spacing w:before="120" w:after="0"/>
        <w:jc w:val="left"/>
        <w:rPr>
          <w:rFonts w:ascii="Times New Roman" w:hAnsi="Times New Roman"/>
          <w:sz w:val="20"/>
        </w:rPr>
      </w:pPr>
      <w:r>
        <w:rPr>
          <w:rFonts w:ascii="Times New Roman" w:hAnsi="Times New Roman"/>
          <w:sz w:val="20"/>
        </w:rPr>
        <w:t xml:space="preserve">10.1 Contractor shall perform all manufacturing, conjugation, processing, testing, release and quality activities in accordance with the applicable SOW, agreed quality requirements, applicable laws, institutional requirements and generally accepted quality standards for investigational product use. </w:t>
      </w:r>
    </w:p>
    <w:p>
      <w:pPr>
        <w:pStyle w:val="TextBody"/>
        <w:bidi w:val="0"/>
        <w:spacing w:before="240" w:after="0"/>
        <w:jc w:val="left"/>
        <w:rPr>
          <w:rFonts w:ascii="Times New Roman" w:hAnsi="Times New Roman"/>
          <w:sz w:val="20"/>
        </w:rPr>
      </w:pPr>
      <w:r>
        <w:rPr>
          <w:rFonts w:ascii="Times New Roman" w:hAnsi="Times New Roman"/>
          <w:sz w:val="20"/>
        </w:rPr>
        <w:t xml:space="preserve">10.2 Contractor shall maintain complete and accurate records for all material receipt, processing, manufacturing, testing, release, storage, shipping, deviation, out-of-specification event, corrective and preventive action, and change control activities. </w:t>
      </w:r>
    </w:p>
    <w:p>
      <w:pPr>
        <w:pStyle w:val="TextBody"/>
        <w:bidi w:val="0"/>
        <w:spacing w:before="240" w:after="0"/>
        <w:jc w:val="left"/>
        <w:rPr>
          <w:rFonts w:ascii="Times New Roman" w:hAnsi="Times New Roman"/>
          <w:sz w:val="20"/>
        </w:rPr>
      </w:pPr>
      <w:r>
        <w:rPr>
          <w:rFonts w:ascii="Times New Roman" w:hAnsi="Times New Roman"/>
          <w:sz w:val="20"/>
        </w:rPr>
        <w:t xml:space="preserve">10.3 Contractor shall not make any material change to the Product process, critical raw materials, critical process parameters, critical quality attributes, analytical methods, release specifications, storage conditions or shipping conditions without Sponsor’s prior written approval. </w:t>
      </w:r>
    </w:p>
    <w:p>
      <w:pPr>
        <w:pStyle w:val="TextBody"/>
        <w:bidi w:val="0"/>
        <w:spacing w:before="240" w:after="0"/>
        <w:jc w:val="left"/>
        <w:rPr>
          <w:rFonts w:ascii="Times New Roman" w:hAnsi="Times New Roman"/>
          <w:sz w:val="20"/>
        </w:rPr>
      </w:pPr>
      <w:r>
        <w:rPr>
          <w:rFonts w:ascii="Times New Roman" w:hAnsi="Times New Roman"/>
          <w:sz w:val="20"/>
        </w:rPr>
        <w:t xml:space="preserve">10.4 Contractor shall promptly notify Sponsor of any quality issue, deviation, out-of-specification result, safety concern, regulatory concern, product complaint, contamination event, batch failure or other event that may affect Product quality, patient safety, data integrity or the collaboration timeline. </w:t>
      </w:r>
    </w:p>
    <w:p>
      <w:pPr>
        <w:pStyle w:val="TextBody"/>
        <w:bidi w:val="0"/>
        <w:spacing w:before="240" w:after="0"/>
        <w:jc w:val="left"/>
        <w:rPr>
          <w:rFonts w:ascii="Times New Roman" w:hAnsi="Times New Roman"/>
          <w:sz w:val="20"/>
        </w:rPr>
      </w:pPr>
      <w:r>
        <w:rPr>
          <w:rFonts w:ascii="Times New Roman" w:hAnsi="Times New Roman"/>
          <w:sz w:val="20"/>
        </w:rPr>
        <w:t xml:space="preserve">10.5 The Parties may enter into a separate quality agreement for each Product. In the event of conflict between this Agreement and a quality agreement on a technical quality matter, the quality agreement shall control with respect to that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 Compliance </w:t>
      </w:r>
    </w:p>
    <w:p>
      <w:pPr>
        <w:pStyle w:val="TextBody"/>
        <w:bidi w:val="0"/>
        <w:spacing w:before="120" w:after="0"/>
        <w:jc w:val="left"/>
        <w:rPr>
          <w:rFonts w:ascii="Times New Roman" w:hAnsi="Times New Roman"/>
          <w:sz w:val="20"/>
        </w:rPr>
      </w:pPr>
      <w:r>
        <w:rPr>
          <w:rFonts w:ascii="Times New Roman" w:hAnsi="Times New Roman"/>
          <w:sz w:val="20"/>
        </w:rPr>
        <w:t xml:space="preserve">11.1 Contractor shall be responsible for compliance with all applicable Chinese laws, regulations, ethical requirements and institutional requirements relating to the activities conducted in China, including requirements relating to IIT conduct, ethics review, patient informed consent, hospital approvals, human genetic resources, biosafety, data security, personal information protection, sample management, clinical research management and product quality. </w:t>
      </w:r>
    </w:p>
    <w:p>
      <w:pPr>
        <w:pStyle w:val="TextBody"/>
        <w:bidi w:val="0"/>
        <w:spacing w:before="240" w:after="0"/>
        <w:jc w:val="left"/>
        <w:rPr>
          <w:rFonts w:ascii="Times New Roman" w:hAnsi="Times New Roman"/>
          <w:sz w:val="20"/>
        </w:rPr>
      </w:pPr>
      <w:r>
        <w:rPr>
          <w:rFonts w:ascii="Times New Roman" w:hAnsi="Times New Roman"/>
          <w:sz w:val="20"/>
        </w:rPr>
        <w:t xml:space="preserve">11.2 Sponsor shall be responsible for compliance with applicable laws relating to its own use of the data outside China, its global BD activities, financing activities, regulatory communications and ex-China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11.3 Each Party shall comply with applicable anti-bribery, anti-corruption, sanctions, export control and healthcare compliance laws. Neither Party shall make or offer any improper payment, benefit or inducement to any government official, healthcare professional, hospital, investigator, patient or third party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11.4 Contractor shall ensure that all subcontractors, hospitals, investigators, vendors and service providers engaged by or through Contractor comply with applicable requirements and do not compromise patient safety, data integrity, confidentiality or Sponsor’s intellectual property rights. </w:t>
      </w:r>
    </w:p>
    <w:p>
      <w:pPr>
        <w:pStyle w:val="TextBody"/>
        <w:bidi w:val="0"/>
        <w:spacing w:before="360" w:after="0"/>
        <w:jc w:val="left"/>
        <w:rPr>
          <w:rFonts w:ascii="Times New Roman" w:hAnsi="Times New Roman"/>
          <w:b/>
          <w:sz w:val="20"/>
        </w:rPr>
      </w:pPr>
      <w:r>
        <w:rPr>
          <w:rFonts w:ascii="Times New Roman" w:hAnsi="Times New Roman"/>
          <w:b/>
          <w:sz w:val="20"/>
        </w:rPr>
        <w:t xml:space="preserve">12. Confidentiality and Public Disclosure </w:t>
      </w:r>
    </w:p>
    <w:p>
      <w:pPr>
        <w:pStyle w:val="TextBody"/>
        <w:bidi w:val="0"/>
        <w:spacing w:before="120" w:after="0"/>
        <w:jc w:val="left"/>
        <w:rPr>
          <w:rFonts w:ascii="Times New Roman" w:hAnsi="Times New Roman"/>
          <w:sz w:val="20"/>
        </w:rPr>
      </w:pPr>
      <w:r>
        <w:rPr>
          <w:rFonts w:ascii="Times New Roman" w:hAnsi="Times New Roman"/>
          <w:sz w:val="20"/>
        </w:rPr>
        <w:t xml:space="preserve">12.1 Each Party shall keep the other Party’s Confidential Information strictly confidential and shall not disclose such Confidential Information to any third party except as expressly permitted under this Agreement or with the disclosing Party’s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12.2 Each Party may disclose Confidential Information to its Affiliates, employees, consultants, advisors, subcontractors, hospitals, investigators, potential investors, potential licensees, potential acquirers and professional advisors who have a need to know such information and are bound by confidentiality obligations no less protective than those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12.3 Contractor shall not issue any press release, publication, presentation, abstract, poster, investor material, website disclosure, social media post or other external communication relating to any Product, IIT data, Sponsor technology or this collaboration without Sponsor’s prior written approval. </w:t>
      </w:r>
    </w:p>
    <w:p>
      <w:pPr>
        <w:pStyle w:val="TextBody"/>
        <w:bidi w:val="0"/>
        <w:spacing w:before="240" w:after="0"/>
        <w:jc w:val="left"/>
        <w:rPr>
          <w:rFonts w:ascii="Times New Roman" w:hAnsi="Times New Roman"/>
          <w:sz w:val="20"/>
        </w:rPr>
      </w:pPr>
      <w:r>
        <w:rPr>
          <w:rFonts w:ascii="Times New Roman" w:hAnsi="Times New Roman"/>
          <w:sz w:val="20"/>
        </w:rPr>
        <w:t xml:space="preserve">12.4 Any academic publication by a hospital or investigator shall be subject to prior review by Sponsor and Contractor. Sponsor may require removal of Confidential Information and may require reasonable delay to allow patent filing or protection of trade secrets. </w:t>
      </w:r>
    </w:p>
    <w:p>
      <w:pPr>
        <w:pStyle w:val="TextBody"/>
        <w:bidi w:val="0"/>
        <w:spacing w:before="240" w:after="0"/>
        <w:jc w:val="left"/>
        <w:rPr>
          <w:rFonts w:ascii="Times New Roman" w:hAnsi="Times New Roman"/>
          <w:sz w:val="20"/>
        </w:rPr>
      </w:pPr>
      <w:r>
        <w:rPr>
          <w:rFonts w:ascii="Times New Roman" w:hAnsi="Times New Roman"/>
          <w:sz w:val="20"/>
        </w:rPr>
        <w:t xml:space="preserve">12.5 The confidentiality obligations shall survive for five years after termination of this Agreement, and with respect to trade secrets, for so long as such information remains a trade secret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13. Subcontracting </w:t>
      </w:r>
    </w:p>
    <w:p>
      <w:pPr>
        <w:pStyle w:val="TextBody"/>
        <w:bidi w:val="0"/>
        <w:spacing w:before="120" w:after="0"/>
        <w:jc w:val="left"/>
        <w:rPr>
          <w:rFonts w:ascii="Times New Roman" w:hAnsi="Times New Roman"/>
          <w:sz w:val="20"/>
        </w:rPr>
      </w:pPr>
      <w:r>
        <w:rPr>
          <w:rFonts w:ascii="Times New Roman" w:hAnsi="Times New Roman"/>
          <w:sz w:val="20"/>
        </w:rPr>
        <w:t xml:space="preserve">13.1 Contractor shall not subcontract any material activity involving Product manufacturing, processing, testing, data management, sample testing, hospital coordination or IIT execution without Sponsor’s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13.2 Contractor shall remain fully responsible for all acts and omissions of its subcontractors, vendors, hospitals and service providers engaged by or through Contractor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13.3 Contractor shall ensure that all subcontractors are bound by written obligations relating to confidentiality, intellectual property, data protection, compliance, quality and non-use obligations sufficient to protect Sponsor’s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14. Governance </w:t>
      </w:r>
    </w:p>
    <w:p>
      <w:pPr>
        <w:pStyle w:val="TextBody"/>
        <w:bidi w:val="0"/>
        <w:spacing w:before="120" w:after="0"/>
        <w:jc w:val="left"/>
        <w:rPr>
          <w:rFonts w:ascii="Times New Roman" w:hAnsi="Times New Roman"/>
          <w:sz w:val="20"/>
        </w:rPr>
      </w:pPr>
      <w:r>
        <w:rPr>
          <w:rFonts w:ascii="Times New Roman" w:hAnsi="Times New Roman"/>
          <w:sz w:val="20"/>
        </w:rPr>
        <w:t xml:space="preserve">14.1 The Parties shall establish a joint steering committee to oversee the collaboration. The committee shall include representatives from Sponsor and Contractor with relevant scientific, CMC, clinical, quality and business expertise. </w:t>
      </w:r>
    </w:p>
    <w:p>
      <w:pPr>
        <w:pStyle w:val="TextBody"/>
        <w:bidi w:val="0"/>
        <w:spacing w:before="240" w:after="0"/>
        <w:jc w:val="left"/>
        <w:rPr>
          <w:rFonts w:ascii="Times New Roman" w:hAnsi="Times New Roman"/>
          <w:sz w:val="20"/>
        </w:rPr>
      </w:pPr>
      <w:r>
        <w:rPr>
          <w:rFonts w:ascii="Times New Roman" w:hAnsi="Times New Roman"/>
          <w:sz w:val="20"/>
        </w:rPr>
        <w:t xml:space="preserve">14.2 The joint steering committee shall discuss product priority, SOW execution, IIT design, hospital and investigator selection, manufacturing and release progress, patient enrollment, safety monitoring, data review, BD support and decisions regarding initiation of additional Product activities. </w:t>
      </w:r>
    </w:p>
    <w:p>
      <w:pPr>
        <w:pStyle w:val="TextBody"/>
        <w:bidi w:val="0"/>
        <w:spacing w:before="240" w:after="0"/>
        <w:jc w:val="left"/>
        <w:rPr>
          <w:rFonts w:ascii="Times New Roman" w:hAnsi="Times New Roman"/>
          <w:sz w:val="20"/>
        </w:rPr>
      </w:pPr>
      <w:r>
        <w:rPr>
          <w:rFonts w:ascii="Times New Roman" w:hAnsi="Times New Roman"/>
          <w:sz w:val="20"/>
        </w:rPr>
        <w:t xml:space="preserve">14.3 Sponsor shall have final decision-making authority over Product design, core process matters, intellectual property, global BD, ex-China development, public disclosure and use of the data. Contractor shall lead China operational execution, hospital coordination and local compliance matters, subject to this Agreement and Sponsor’s rights. </w:t>
      </w:r>
    </w:p>
    <w:p>
      <w:pPr>
        <w:pStyle w:val="TextBody"/>
        <w:bidi w:val="0"/>
        <w:spacing w:before="240" w:after="0"/>
        <w:jc w:val="left"/>
        <w:rPr>
          <w:rFonts w:ascii="Times New Roman" w:hAnsi="Times New Roman"/>
          <w:sz w:val="20"/>
        </w:rPr>
      </w:pPr>
      <w:r>
        <w:rPr>
          <w:rFonts w:ascii="Times New Roman" w:hAnsi="Times New Roman"/>
          <w:sz w:val="20"/>
        </w:rPr>
        <w:t xml:space="preserve">14.4 Any material change to a Product, SOW, budget, timeline, process, quality standard, IIT protocol, data package or external disclosure shall require written approval by both Parties. </w:t>
      </w:r>
    </w:p>
    <w:p>
      <w:pPr>
        <w:pStyle w:val="TextBody"/>
        <w:bidi w:val="0"/>
        <w:spacing w:before="360" w:after="0"/>
        <w:jc w:val="left"/>
        <w:rPr>
          <w:rFonts w:ascii="Times New Roman" w:hAnsi="Times New Roman"/>
          <w:b/>
          <w:sz w:val="20"/>
        </w:rPr>
      </w:pPr>
      <w:r>
        <w:rPr>
          <w:rFonts w:ascii="Times New Roman" w:hAnsi="Times New Roman"/>
          <w:b/>
          <w:sz w:val="20"/>
        </w:rPr>
        <w:t xml:space="preserve">15.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15.1 Each Party represents and warrants that it is duly organized, validly existing and in good standing under the laws of its jurisdiction of organization, and that it has the power and authority to enter into and perform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15.2 Sponsor represents that, to its knowledge, it owns or controls the rights necessary to provide the Products and related information to Contractor for the limited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15.3 Contractor represents that it has or will obtain the personnel, facilities, capabilities, permits, approvals and resources reasonably necessary to perform the activities assigned to it under this Agreement and each SOW. </w:t>
      </w:r>
    </w:p>
    <w:p>
      <w:pPr>
        <w:pStyle w:val="TextBody"/>
        <w:bidi w:val="0"/>
        <w:spacing w:before="240" w:after="0"/>
        <w:jc w:val="left"/>
        <w:rPr>
          <w:rFonts w:ascii="Times New Roman" w:hAnsi="Times New Roman"/>
          <w:sz w:val="20"/>
        </w:rPr>
      </w:pPr>
      <w:r>
        <w:rPr>
          <w:rFonts w:ascii="Times New Roman" w:hAnsi="Times New Roman"/>
          <w:sz w:val="20"/>
        </w:rPr>
        <w:t xml:space="preserve">15.4 Contractor represents that all data, records, reports and Deliverables provided to Sponsor shall be true, accurate, complete and not misleading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15.5 Except as expressly set forth herein, neither Party makes any other warranties, whether express, implied, statutory or otherwise, including any warranty of merchantability, fitness for a particular purpose or non-infringement. </w:t>
      </w:r>
    </w:p>
    <w:p>
      <w:pPr>
        <w:pStyle w:val="TextBody"/>
        <w:bidi w:val="0"/>
        <w:spacing w:before="360" w:after="0"/>
        <w:jc w:val="left"/>
        <w:rPr>
          <w:rFonts w:ascii="Times New Roman" w:hAnsi="Times New Roman"/>
          <w:b/>
          <w:sz w:val="20"/>
        </w:rPr>
      </w:pPr>
      <w:r>
        <w:rPr>
          <w:rFonts w:ascii="Times New Roman" w:hAnsi="Times New Roman"/>
          <w:b/>
          <w:sz w:val="20"/>
        </w:rPr>
        <w:t xml:space="preserve">16.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16.1 Contractor shall indemnify, defend and hold harmless Sponsor, its Affiliates and their respective directors, officers, employees, agents and representatives from and against any losses, claims, damages, liabilities, costs and expenses arising out of or relating to Contractor’s breach of this Agreement, negligence, willful misconduct, violation of law, quality failure, data integrity failure, unauthorized use of Sponsor materials or Confidential Information, or activities conducted by Contractor or its subcontractors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16.2 Sponsor shall indemnify, defend and hold harmless Contractor, its Affiliates and their respective directors, officers, employees, agents and representatives from and against any losses, claims, damages, liabilities, costs and expenses arising out of or relating to Sponsor’s breach of this Agreement, negligence, willful misconduct, violation of law, or use of the data outside the scope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16.3 The indemnified Party shall promptly notify the indemnifying Party of any claim, provide reasonable cooperation, and allow the indemnifying Party to control the defense and settlement of such claim, provided that no settlement may impose obligations on the indemnified Party or admit fault on behalf of the indemnified Party without its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17. Term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17.1 This Agreement shall commence on the Effective Date and remain in effect for three years, unless earlier terminated in accordance with this Section. The Parties may extend the term by written agreement. </w:t>
      </w:r>
    </w:p>
    <w:p>
      <w:pPr>
        <w:pStyle w:val="TextBody"/>
        <w:bidi w:val="0"/>
        <w:spacing w:before="240" w:after="0"/>
        <w:jc w:val="left"/>
        <w:rPr>
          <w:rFonts w:ascii="Times New Roman" w:hAnsi="Times New Roman"/>
          <w:sz w:val="20"/>
        </w:rPr>
      </w:pPr>
      <w:r>
        <w:rPr>
          <w:rFonts w:ascii="Times New Roman" w:hAnsi="Times New Roman"/>
          <w:sz w:val="20"/>
        </w:rPr>
        <w:t xml:space="preserve">17.2 Sponsor may terminate this Agreement or any SOW for convenience upon sixty days’ prior written notice to Contractor. In such event, Sponsor shall pay Contractor for undisputed work properly completed through the effective date of termination, subject to the applicable Product fee cap. </w:t>
      </w:r>
    </w:p>
    <w:p>
      <w:pPr>
        <w:pStyle w:val="TextBody"/>
        <w:bidi w:val="0"/>
        <w:spacing w:before="240" w:after="0"/>
        <w:jc w:val="left"/>
        <w:rPr>
          <w:rFonts w:ascii="Times New Roman" w:hAnsi="Times New Roman"/>
          <w:sz w:val="20"/>
        </w:rPr>
      </w:pPr>
      <w:r>
        <w:rPr>
          <w:rFonts w:ascii="Times New Roman" w:hAnsi="Times New Roman"/>
          <w:sz w:val="20"/>
        </w:rPr>
        <w:t xml:space="preserve">17.3 Either Party may terminate this Agreement or any SOW upon written notice if the other Party materially breaches this Agreement and fails to cure such breach within thirty days after receiving written notice of the breach. </w:t>
      </w:r>
    </w:p>
    <w:p>
      <w:pPr>
        <w:pStyle w:val="TextBody"/>
        <w:bidi w:val="0"/>
        <w:spacing w:before="240" w:after="0"/>
        <w:jc w:val="left"/>
        <w:rPr>
          <w:rFonts w:ascii="Times New Roman" w:hAnsi="Times New Roman"/>
          <w:sz w:val="20"/>
        </w:rPr>
      </w:pPr>
      <w:r>
        <w:rPr>
          <w:rFonts w:ascii="Times New Roman" w:hAnsi="Times New Roman"/>
          <w:sz w:val="20"/>
        </w:rPr>
        <w:t xml:space="preserve">17.4 Sponsor may immediately terminate this Agreement or any SOW upon written notice if Contractor engages in unauthorized use of Sponsor materials or Confidential Information, reverse engineering, development of competing products using Sponsor information, data falsification, material compliance violation, material quality failure, unauthorized disclosure, or any action that materially jeopardizes patient safety, data integrity or Sponsor’s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17.5 Upon termination, Contractor shall cease using Sponsor materials, Products, Confidential Information, data and intellectual property; return or destroy Sponsor materials and Confidential Information as instructed by Sponsor; deliver all completed and in-process data and Deliverables to Sponsor; and stop all Product-related activities except as necessary for patient safety follow-up or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17.6 Sections relating to confidentiality, data rights, intellectual property, non-use, non-compete, compliance, indemnification, limitation of liability, dispute resolution and any accrued payment obligations shall survive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18. 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18.1 Except for breach of confidentiality, infringement or misappropriation of intellectual property, unauthorized use of materials or data, fraud, willful misconduct, gross negligence, breach of compliance obligations, indemnification obligations, or payment obligations, neither Party shall be liable for indirect, incidental, consequential, special, punitive or exemplary damages arising out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18.2 Nothing in this Agreement shall limit either Party’s liability for fraud, willful misconduct, gross negligence, breach of confidentiality, breach of intellectual property obligations, unauthorized use of the other Party’s materials or data, or violation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19. Non-Use and Non-Compete </w:t>
      </w:r>
    </w:p>
    <w:p>
      <w:pPr>
        <w:pStyle w:val="TextBody"/>
        <w:bidi w:val="0"/>
        <w:spacing w:before="120" w:after="0"/>
        <w:jc w:val="left"/>
        <w:rPr>
          <w:rFonts w:ascii="Times New Roman" w:hAnsi="Times New Roman"/>
          <w:sz w:val="20"/>
        </w:rPr>
      </w:pPr>
      <w:r>
        <w:rPr>
          <w:rFonts w:ascii="Times New Roman" w:hAnsi="Times New Roman"/>
          <w:sz w:val="20"/>
        </w:rPr>
        <w:t xml:space="preserve">19.1 During the term of this Agreement and for five years after the termination or expiration of this Agreement, Contractor shall not use Sponsor materials, Products, Confidential Information, data, process, know-how or intellectual property to develop, manufacture, license, commercialize or support any product that is identical or substantially similar to any Product. </w:t>
      </w:r>
    </w:p>
    <w:p>
      <w:pPr>
        <w:pStyle w:val="TextBody"/>
        <w:bidi w:val="0"/>
        <w:spacing w:before="240" w:after="0"/>
        <w:jc w:val="left"/>
        <w:rPr>
          <w:rFonts w:ascii="Times New Roman" w:hAnsi="Times New Roman"/>
          <w:sz w:val="20"/>
        </w:rPr>
      </w:pPr>
      <w:r>
        <w:rPr>
          <w:rFonts w:ascii="Times New Roman" w:hAnsi="Times New Roman"/>
          <w:sz w:val="20"/>
        </w:rPr>
        <w:t xml:space="preserve">19.2 If Contractor has any pre-existing program that may be similar to any Product, Contractor shall disclose such program in writing before the execution of the relevant SOW, and the Parties shall agree on appropriate ring-fencing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20. Governing Law and Dispute Resolution </w:t>
      </w:r>
    </w:p>
    <w:p>
      <w:pPr>
        <w:pStyle w:val="TextBody"/>
        <w:bidi w:val="0"/>
        <w:spacing w:before="120" w:after="0"/>
        <w:jc w:val="left"/>
        <w:rPr>
          <w:rFonts w:ascii="Times New Roman" w:hAnsi="Times New Roman"/>
          <w:sz w:val="20"/>
        </w:rPr>
      </w:pPr>
      <w:r>
        <w:rPr>
          <w:rFonts w:ascii="Times New Roman" w:hAnsi="Times New Roman"/>
          <w:sz w:val="20"/>
        </w:rPr>
        <w:t xml:space="preserve">20.1 This Agreement shall be governed by and construed in accordance with the laws of New York, without regard to conflict of law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 Any dispute arising out of or relating to this Agreement shall first be referred to senior executives of the Parties for good faith negotiation. If the dispute is not resolved within thirty days, either Party may submit the dispute to arbitration. </w:t>
      </w:r>
    </w:p>
    <w:p>
      <w:pPr>
        <w:pStyle w:val="TextBody"/>
        <w:bidi w:val="0"/>
        <w:spacing w:before="240" w:after="0"/>
        <w:jc w:val="left"/>
        <w:rPr>
          <w:rFonts w:ascii="Times New Roman" w:hAnsi="Times New Roman"/>
          <w:sz w:val="20"/>
        </w:rPr>
      </w:pPr>
      <w:r>
        <w:rPr>
          <w:rFonts w:ascii="Times New Roman" w:hAnsi="Times New Roman"/>
          <w:sz w:val="20"/>
        </w:rPr>
        <w:t xml:space="preserve">20.3 Unless otherwise agreed, arbitration shall be administered by the Hong Kong International Arbitration Centre (HKIAC) in Hong Kong in English. The arbitral tribunal shall consist of three arbitrators. The arbitration award shall be final and binding on the Parties. </w:t>
      </w:r>
    </w:p>
    <w:p>
      <w:pPr>
        <w:pStyle w:val="TextBody"/>
        <w:bidi w:val="0"/>
        <w:spacing w:before="240" w:after="0"/>
        <w:jc w:val="left"/>
        <w:rPr>
          <w:rFonts w:ascii="Times New Roman" w:hAnsi="Times New Roman"/>
          <w:sz w:val="20"/>
        </w:rPr>
      </w:pPr>
      <w:r>
        <w:rPr>
          <w:rFonts w:ascii="Times New Roman" w:hAnsi="Times New Roman"/>
          <w:sz w:val="20"/>
        </w:rPr>
        <w:t xml:space="preserve">20.4 Nothing in this Section shall prevent either Party from seeking injunctive or equitable relief from a court of competent jurisdiction to protect its Confidential Information, intellectual property, data rights or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21. Miscellaneous </w:t>
      </w:r>
    </w:p>
    <w:p>
      <w:pPr>
        <w:pStyle w:val="TextBody"/>
        <w:bidi w:val="0"/>
        <w:spacing w:before="120" w:after="0"/>
        <w:jc w:val="left"/>
        <w:rPr>
          <w:rFonts w:ascii="Times New Roman" w:hAnsi="Times New Roman"/>
          <w:sz w:val="20"/>
        </w:rPr>
      </w:pPr>
      <w:r>
        <w:rPr>
          <w:rFonts w:ascii="Times New Roman" w:hAnsi="Times New Roman"/>
          <w:sz w:val="20"/>
        </w:rPr>
        <w:t xml:space="preserve">21.1 Assignment. Neither Party may assign this Agreement without the prior written consent of the other Party, except that Sponsor may assign this Agreement to an Affiliate or in connection with a merger, acquisition, corporate reorganization, financing, sale of assets, license transaction or BD Transaction involving any Product. </w:t>
      </w:r>
    </w:p>
    <w:p>
      <w:pPr>
        <w:pStyle w:val="TextBody"/>
        <w:bidi w:val="0"/>
        <w:spacing w:before="240" w:after="0"/>
        <w:jc w:val="left"/>
        <w:rPr>
          <w:rFonts w:ascii="Times New Roman" w:hAnsi="Times New Roman"/>
          <w:sz w:val="20"/>
        </w:rPr>
      </w:pPr>
      <w:r>
        <w:rPr>
          <w:rFonts w:ascii="Times New Roman" w:hAnsi="Times New Roman"/>
          <w:sz w:val="20"/>
        </w:rPr>
        <w:t xml:space="preserve">21.2 Independent Contractors. The Parties are independent contractors. Nothing in this Agreement creates a partnership, joint venture, agency, employment or fiduciary relationship between the Parties. </w:t>
      </w:r>
    </w:p>
    <w:p>
      <w:pPr>
        <w:pStyle w:val="TextBody"/>
        <w:bidi w:val="0"/>
        <w:spacing w:before="240" w:after="0"/>
        <w:jc w:val="left"/>
        <w:rPr>
          <w:rFonts w:ascii="Times New Roman" w:hAnsi="Times New Roman"/>
          <w:sz w:val="20"/>
        </w:rPr>
      </w:pPr>
      <w:r>
        <w:rPr>
          <w:rFonts w:ascii="Times New Roman" w:hAnsi="Times New Roman"/>
          <w:sz w:val="20"/>
        </w:rPr>
        <w:t xml:space="preserve">21.3 Notices. All notices under this Agreement shall be in writing and delivered to the addresses set forth above or such other address as a Party may designate in writing. </w:t>
      </w:r>
    </w:p>
    <w:p>
      <w:pPr>
        <w:pStyle w:val="TextBody"/>
        <w:bidi w:val="0"/>
        <w:spacing w:before="240" w:after="0"/>
        <w:jc w:val="left"/>
        <w:rPr>
          <w:rFonts w:ascii="Times New Roman" w:hAnsi="Times New Roman"/>
          <w:sz w:val="20"/>
        </w:rPr>
      </w:pPr>
      <w:r>
        <w:rPr>
          <w:rFonts w:ascii="Times New Roman" w:hAnsi="Times New Roman"/>
          <w:sz w:val="20"/>
        </w:rPr>
        <w:t xml:space="preserve">21.4 Entire Agreement. This Agreement, together with all SOWs and any quality agreements, constitutes the entire agreement between the Parties with respect to the subject matter hereof and supersedes all prior discussions, term sheets and understandings relating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21.5 Amendments. Any amendment or waiver of this Agreement must be in writing and signed by authorized representatives of both Parties. </w:t>
      </w:r>
    </w:p>
    <w:p>
      <w:pPr>
        <w:pStyle w:val="TextBody"/>
        <w:bidi w:val="0"/>
        <w:spacing w:before="240" w:after="0"/>
        <w:jc w:val="left"/>
        <w:rPr>
          <w:rFonts w:ascii="Times New Roman" w:hAnsi="Times New Roman"/>
          <w:sz w:val="20"/>
        </w:rPr>
      </w:pPr>
      <w:r>
        <w:rPr>
          <w:rFonts w:ascii="Times New Roman" w:hAnsi="Times New Roman"/>
          <w:sz w:val="20"/>
        </w:rPr>
        <w:t xml:space="preserve">21.6 Severability. If any provision of this Agreement is held invalid or unenforceable, the remaining provisions shall remain in full force and effect, and the Parties shall replace the invalid provision with a valid provision that most closely reflects the original intent. </w:t>
      </w:r>
    </w:p>
    <w:p>
      <w:pPr>
        <w:pStyle w:val="TextBody"/>
        <w:bidi w:val="0"/>
        <w:spacing w:before="240" w:after="0"/>
        <w:jc w:val="left"/>
        <w:rPr>
          <w:rFonts w:ascii="Times New Roman" w:hAnsi="Times New Roman"/>
          <w:sz w:val="20"/>
        </w:rPr>
      </w:pPr>
      <w:r>
        <w:rPr>
          <w:rFonts w:ascii="Times New Roman" w:hAnsi="Times New Roman"/>
          <w:sz w:val="20"/>
        </w:rPr>
        <w:t xml:space="preserve">21.7 Counterparts. This Agreement may be executed in counterparts and by electronic signature, each of which shall be deemed an original and all of which together shall constitute one instrument. </w:t>
      </w:r>
    </w:p>
    <w:p>
      <w:pPr>
        <w:pStyle w:val="TextBody"/>
        <w:bidi w:val="0"/>
        <w:spacing w:before="360" w:after="0"/>
        <w:jc w:val="left"/>
        <w:rPr>
          <w:rFonts w:ascii="Times New Roman" w:hAnsi="Times New Roman"/>
          <w:b/>
          <w:sz w:val="20"/>
        </w:rPr>
      </w:pPr>
      <w:r>
        <w:rPr>
          <w:rFonts w:ascii="Times New Roman" w:hAnsi="Times New Roman"/>
          <w:b/>
          <w:sz w:val="20"/>
        </w:rPr>
        <w:t xml:space="preserve">22. Product-Specific SOW Framework </w:t>
      </w:r>
    </w:p>
    <w:p>
      <w:pPr>
        <w:pStyle w:val="TextBody"/>
        <w:bidi w:val="0"/>
        <w:spacing w:before="120" w:after="0"/>
        <w:jc w:val="left"/>
        <w:rPr>
          <w:rFonts w:ascii="Times New Roman" w:hAnsi="Times New Roman"/>
          <w:sz w:val="20"/>
        </w:rPr>
      </w:pPr>
      <w:r>
        <w:rPr>
          <w:rFonts w:ascii="Times New Roman" w:hAnsi="Times New Roman"/>
          <w:sz w:val="20"/>
        </w:rPr>
        <w:t xml:space="preserve">22.1 Product SOW. Each Product SOW shall describe the process transfer package, technology transfer activities, engineering or development runs, clinical batch manufacturing or processing, testing and release, IIT plan, data package requirements, payment milestones and timeline. The Product SOW may include the conditions for Contractor’s option to negotiate China rights for the subject Product. </w:t>
      </w:r>
    </w:p>
    <w:p>
      <w:pPr>
        <w:pStyle w:val="TextBody"/>
        <w:bidi w:val="0"/>
        <w:spacing w:before="240" w:after="0"/>
        <w:jc w:val="left"/>
        <w:rPr>
          <w:rFonts w:ascii="Times New Roman" w:hAnsi="Times New Roman"/>
          <w:sz w:val="20"/>
        </w:rPr>
      </w:pPr>
      <w:r>
        <w:rPr>
          <w:rFonts w:ascii="Times New Roman" w:hAnsi="Times New Roman"/>
          <w:sz w:val="20"/>
        </w:rPr>
        <w:t xml:space="preserve">22.2 Each SOW shall be deemed incorporated into this Agreement upon execution by both Parties. In the event of conflict between this Agreement and an SOW, this Agreement shall control unless the SOW expressly states that it is intended to override a specified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caused this Agreement to be executed by their duly authorized representatives as of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Sponsor: TEMPEST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Matthew Angel</w:t>
            </w:r>
          </w:p>
        </w:tc>
      </w:tr>
      <w:tr>
        <w:trPr/>
        <w:tc>
          <w:tcPr>
            <w:tcW w:w="4082" w:type="dxa"/>
            <w:gridSpan w:val="3"/>
            <w:tcBorders/>
          </w:tcPr>
          <w:p>
            <w:pPr>
              <w:pStyle w:val="TableContents"/>
              <w:bidi w:val="0"/>
              <w:spacing w:before="0" w:after="283"/>
              <w:jc w:val="left"/>
              <w:rPr>
                <w:sz w:val="20"/>
              </w:rPr>
            </w:pPr>
            <w:r>
              <w:rPr>
                <w:sz w:val="20"/>
              </w:rPr>
              <w:t>Name: Matthew Angel</w:t>
            </w:r>
          </w:p>
        </w:tc>
      </w:tr>
      <w:tr>
        <w:trPr/>
        <w:tc>
          <w:tcPr>
            <w:tcW w:w="4082" w:type="dxa"/>
            <w:gridSpan w:val="3"/>
            <w:tcBorders/>
          </w:tcPr>
          <w:p>
            <w:pPr>
              <w:pStyle w:val="TableContents"/>
              <w:bidi w:val="0"/>
              <w:spacing w:before="0" w:after="283"/>
              <w:jc w:val="left"/>
              <w:rPr>
                <w:sz w:val="20"/>
              </w:rPr>
            </w:pPr>
            <w:r>
              <w:rPr>
                <w:sz w:val="20"/>
              </w:rPr>
              <w:t>Title: President and Chief Executive Officer</w:t>
            </w:r>
          </w:p>
        </w:tc>
      </w:tr>
      <w:tr>
        <w:trPr/>
        <w:tc>
          <w:tcPr>
            <w:tcW w:w="4082" w:type="dxa"/>
            <w:gridSpan w:val="3"/>
            <w:tcBorders/>
          </w:tcPr>
          <w:p>
            <w:pPr>
              <w:pStyle w:val="TableContents"/>
              <w:bidi w:val="0"/>
              <w:spacing w:before="0" w:after="283"/>
              <w:jc w:val="left"/>
              <w:rPr>
                <w:sz w:val="20"/>
              </w:rPr>
            </w:pPr>
            <w:r>
              <w:rPr>
                <w:sz w:val="20"/>
              </w:rPr>
              <w:t>Date: July 17,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34"/>
        <w:gridCol w:w="175"/>
        <w:gridCol w:w="2973"/>
      </w:tblGrid>
      <w:tr>
        <w:trPr/>
        <w:tc>
          <w:tcPr>
            <w:tcW w:w="93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Contractor: HEIBEI SENLANG BIOTECHNOLOGY CO., LTD.</w:t>
            </w:r>
          </w:p>
        </w:tc>
      </w:tr>
      <w:tr>
        <w:trPr>
          <w:trHeight w:val="240" w:hRule="atLeast"/>
        </w:trPr>
        <w:tc>
          <w:tcPr>
            <w:tcW w:w="934" w:type="dxa"/>
            <w:tcBorders/>
            <w:vAlign w:val="center"/>
          </w:tcPr>
          <w:p>
            <w:pPr>
              <w:pStyle w:val="TableContents"/>
              <w:bidi w:val="0"/>
              <w:spacing w:before="0" w:after="283"/>
              <w:jc w:val="left"/>
              <w:rPr>
                <w:sz w:val="4"/>
                <w:szCs w:val="4"/>
              </w:rPr>
            </w:pPr>
            <w:r>
              <w:rPr>
                <w:sz w:val="4"/>
                <w:szCs w:val="4"/>
              </w:rPr>
            </w:r>
          </w:p>
        </w:tc>
        <w:tc>
          <w:tcPr>
            <w:tcW w:w="3148" w:type="dxa"/>
            <w:gridSpan w:val="2"/>
            <w:tcBorders/>
            <w:vAlign w:val="center"/>
          </w:tcPr>
          <w:p>
            <w:pPr>
              <w:pStyle w:val="TableContents"/>
              <w:bidi w:val="0"/>
              <w:spacing w:before="0" w:after="283"/>
              <w:jc w:val="left"/>
              <w:rPr>
                <w:sz w:val="4"/>
                <w:szCs w:val="4"/>
              </w:rPr>
            </w:pPr>
            <w:r>
              <w:rPr>
                <w:sz w:val="4"/>
                <w:szCs w:val="4"/>
              </w:rPr>
            </w:r>
          </w:p>
        </w:tc>
      </w:tr>
      <w:tr>
        <w:trPr/>
        <w:tc>
          <w:tcPr>
            <w:tcW w:w="934" w:type="dxa"/>
            <w:tcBorders/>
          </w:tcPr>
          <w:p>
            <w:pPr>
              <w:pStyle w:val="TableContents"/>
              <w:bidi w:val="0"/>
              <w:spacing w:before="0" w:after="283"/>
              <w:jc w:val="left"/>
              <w:rPr/>
            </w:pPr>
            <w:r>
              <w:rPr/>
              <w:t>By:</w:t>
            </w:r>
          </w:p>
        </w:tc>
        <w:tc>
          <w:tcPr>
            <w:tcW w:w="175" w:type="dxa"/>
            <w:tcBorders/>
            <w:vAlign w:val="bottom"/>
          </w:tcPr>
          <w:p>
            <w:pPr>
              <w:pStyle w:val="TableContents"/>
              <w:bidi w:val="0"/>
              <w:spacing w:before="0" w:after="283"/>
              <w:jc w:val="left"/>
              <w:rPr/>
            </w:pPr>
            <w:r>
              <w:rPr/>
              <w:t> </w:t>
            </w:r>
          </w:p>
        </w:tc>
        <w:tc>
          <w:tcPr>
            <w:tcW w:w="29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Shengmin Guo</w:t>
            </w:r>
          </w:p>
        </w:tc>
      </w:tr>
      <w:tr>
        <w:trPr/>
        <w:tc>
          <w:tcPr>
            <w:tcW w:w="4082" w:type="dxa"/>
            <w:gridSpan w:val="3"/>
            <w:tcBorders/>
          </w:tcPr>
          <w:p>
            <w:pPr>
              <w:pStyle w:val="TableContents"/>
              <w:bidi w:val="0"/>
              <w:spacing w:before="0" w:after="283"/>
              <w:jc w:val="left"/>
              <w:rPr/>
            </w:pPr>
            <w:r>
              <w:rPr/>
              <w:t>Name: Shengmin Guo</w:t>
            </w:r>
          </w:p>
        </w:tc>
      </w:tr>
      <w:tr>
        <w:trPr/>
        <w:tc>
          <w:tcPr>
            <w:tcW w:w="4082" w:type="dxa"/>
            <w:gridSpan w:val="3"/>
            <w:tcBorders/>
          </w:tcPr>
          <w:p>
            <w:pPr>
              <w:pStyle w:val="TableContents"/>
              <w:bidi w:val="0"/>
              <w:spacing w:before="0" w:after="283"/>
              <w:jc w:val="left"/>
              <w:rPr/>
            </w:pPr>
            <w:r>
              <w:rPr/>
              <w:t>Title: CEO</w:t>
            </w:r>
          </w:p>
        </w:tc>
      </w:tr>
      <w:tr>
        <w:trPr/>
        <w:tc>
          <w:tcPr>
            <w:tcW w:w="4082" w:type="dxa"/>
            <w:gridSpan w:val="3"/>
            <w:tcBorders/>
          </w:tcPr>
          <w:p>
            <w:pPr>
              <w:pStyle w:val="TableContents"/>
              <w:bidi w:val="0"/>
              <w:spacing w:before="0" w:after="283"/>
              <w:jc w:val="left"/>
              <w:rPr/>
            </w:pPr>
            <w:r>
              <w:rPr/>
              <w:t>Date: 17-July-2026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4" w:name="d107304dex991.htm"/>
      <w:bookmarkStart w:id="5" w:name="ksd107304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15277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52775" cy="1190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Announces Development Collaboration with Senlang Biotechnology for TPST-4003, a CD7-Targeted Next-Generation In Vivo CAR-T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Tempest’s TPST-4003 is a next-generation in vivo CAR-T candidate combining proprietary CD7-targeted mRNA/LNP delivery with a dual-target CD19/BCMA CAR construct designed to enable broad B-cell lineage depletion and immune reset for autoimmune and oncology indications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Senlang Biotechnology, a clinical-stage cell therapy company with established expertise in CD7-targeted CAR-T development, will conduct a first-in-human investigator-initiated trial of TPST-4003 in approximately 10 patients with neurological autoimmune diseases, initially including myasthenia gravis and multiple sclerosis, with first patient dosing expected in the fourth quarter of 2026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Brisbane, CA</w:t>
      </w:r>
      <w:r>
        <w:rPr>
          <w:rFonts w:ascii="Times New Roman" w:hAnsi="Times New Roman"/>
          <w:sz w:val="20"/>
        </w:rPr>
        <w:t xml:space="preserve">, July 21, 2026 – Tempest Therapeutics, Inc. (Nasdaq: TPST) (“Tempest”), a clinical-stage biotechnology company developing a pipeline of advanced chimeric antigen receptor T-cell (“CAR-T”) product candidates, today announced a strategic partnership with Hebei Senlang Biotechnology Co., Ltd. (“Senlang”), a clinical-stage cell therapy company with extensive expertise in CD7-targeted CAR-T development and clinical translation. Under the agreement, Tempest and Senlang will collaborate to develop Tempest’s proprietary TPST-4003 product candidate, beginning with an investigator-initiated trial (“IIT”) in China evaluating TPST-4003 in approximately 10 patients with myasthenia gravis (“MG”) or multiple sclerosis (“MS”). The company expects first patient enrollment and dosing to occur in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The initial study is designed to generate clinical evidence of safety, pharmacodynamic (“PD”) activity, and therapeutic potential of TPST-4003, building on promising findings from related pipeline preclinical and clinical research. Under the agreement, Senlang will coordinate and support trial execution in China, leveraging its extensive experience in clinical development of advanced CAR-T therapies. Additionally, the agreement grants Senlang an exclusive option to negotiate and enter into a definitive license agreement for TPST-4003 in China.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This collaboration represents an important step in developing TPST-4003,” said Matt Angel, Ph.D., President and Chief Executive Officer of Tempest. “Through this partnership, we plan to rapidly and efficiently advance into first-in-human studies to generate clinical evidence in support of our next generation </w:t>
      </w:r>
      <w:r>
        <w:rPr>
          <w:rFonts w:ascii="Times New Roman" w:hAnsi="Times New Roman"/>
          <w:i/>
          <w:sz w:val="20"/>
        </w:rPr>
        <w:t>in vivo</w:t>
      </w:r>
      <w:r>
        <w:rPr>
          <w:rFonts w:ascii="Times New Roman" w:hAnsi="Times New Roman"/>
          <w:sz w:val="20"/>
        </w:rPr>
        <w:t xml:space="preserve"> CAR-T pipeline and platform technologies. We expect to begin dosing patients in the fourth quarter of this year with initial safety and PD data from the first patients expected as early as the first half of 2027.” </w:t>
      </w:r>
    </w:p>
    <w:p>
      <w:pPr>
        <w:pStyle w:val="TextBody"/>
        <w:bidi w:val="0"/>
        <w:spacing w:before="240" w:after="0"/>
        <w:jc w:val="left"/>
        <w:rPr/>
      </w:pPr>
      <w:r>
        <w:rPr/>
        <w:t>“</w:t>
      </w:r>
      <w:r>
        <w:rPr>
          <w:rFonts w:ascii="Times New Roman" w:hAnsi="Times New Roman"/>
          <w:sz w:val="20"/>
        </w:rPr>
        <w:t xml:space="preserve">Based on our extensive clinical-stage experience in CD7-targeted CAR-T therapies, we believe CD7 represents a highly attractive target for next-generation cell therapies,” said Shengmin Guo, Founder and Chief Executive Officer of Senlang Biotechnology. “We are excited to partner with Tempest to combine our CD7 expertise with Tempest’s innovative CD7-targeted mRNA/LNP delivery platform and clinically validated CD19/BCMA CAR architecture to advance TPST-4003 into first-in-human studies.” </w:t>
      </w:r>
    </w:p>
    <w:p>
      <w:pPr>
        <w:pStyle w:val="TextBody"/>
        <w:bidi w:val="0"/>
        <w:spacing w:before="240" w:after="0"/>
        <w:jc w:val="left"/>
        <w:rPr>
          <w:rFonts w:ascii="Times New Roman" w:hAnsi="Times New Roman"/>
          <w:sz w:val="20"/>
        </w:rPr>
      </w:pPr>
      <w:r>
        <w:rPr>
          <w:rFonts w:ascii="Times New Roman" w:hAnsi="Times New Roman"/>
          <w:sz w:val="20"/>
        </w:rPr>
        <w:t xml:space="preserve">The initial trial is expected to assess the safety, cellular kinetics and pharmacodynamic activity of TPST-4003 in patients with MG or MS. Key assessments are expected to include treatment-emergent adverse events; the generation and expansion of peripheral blood CD4+ and CD8+ CAR-T cells and CD56+ CAR-NK cells; CAR transgene copy number; and the depth and kinetics of CD19+ B-cell depletion and B-cell subset reconstitution. Where clinically appropriate, exploratory assessments may also include the detection of CAR-positive immune cells in cerebrospinal fluid and the evaluation of B-cell depletion in lymphoid tissue. Disease-specific clinical activity will be evaluated using established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About TPST-4003 </w:t>
      </w:r>
    </w:p>
    <w:p>
      <w:pPr>
        <w:pStyle w:val="TextBody"/>
        <w:bidi w:val="0"/>
        <w:spacing w:before="120" w:after="0"/>
        <w:jc w:val="left"/>
        <w:rPr>
          <w:rFonts w:ascii="Times New Roman" w:hAnsi="Times New Roman"/>
          <w:sz w:val="20"/>
        </w:rPr>
      </w:pPr>
      <w:r>
        <w:rPr>
          <w:rFonts w:ascii="Times New Roman" w:hAnsi="Times New Roman"/>
          <w:sz w:val="20"/>
        </w:rPr>
        <w:t xml:space="preserve">TPST-4003 is an </w:t>
      </w:r>
      <w:r>
        <w:rPr>
          <w:rFonts w:ascii="Times New Roman" w:hAnsi="Times New Roman"/>
          <w:i/>
          <w:sz w:val="20"/>
        </w:rPr>
        <w:t>in vivo</w:t>
      </w:r>
      <w:r>
        <w:rPr>
          <w:rFonts w:ascii="Times New Roman" w:hAnsi="Times New Roman"/>
          <w:sz w:val="20"/>
        </w:rPr>
        <w:t xml:space="preserve"> dual-targeting CD19/BCMA CAR-T product candidate that combines proprietary CD7-targeted mRNA/LNP delivery with a clinically validated dual-target CAR architecture utilized in the company’s TPST-2003 CAR-T program. Targeting broad B-cell lineage depletion and reset, TPST-4003 is being designed to address a range of autoimmune and oncology indications, initially including myasthenia gravis and multiple sclerosis. TPST-4003 differentiates from other </w:t>
      </w:r>
      <w:r>
        <w:rPr>
          <w:rFonts w:ascii="Times New Roman" w:hAnsi="Times New Roman"/>
          <w:i/>
          <w:sz w:val="20"/>
        </w:rPr>
        <w:t>in vivo</w:t>
      </w:r>
      <w:r>
        <w:rPr>
          <w:rFonts w:ascii="Times New Roman" w:hAnsi="Times New Roman"/>
          <w:sz w:val="20"/>
        </w:rPr>
        <w:t xml:space="preserve"> CAR-T approaches through its CD7-targeted mRNA/LNP delivery strategy, which is designed to enable direct engagement of endogenous CD4+ and CD8+ T-cell populations for CAR generation </w:t>
      </w:r>
      <w:r>
        <w:rPr>
          <w:rFonts w:ascii="Times New Roman" w:hAnsi="Times New Roman"/>
          <w:i/>
          <w:sz w:val="20"/>
        </w:rPr>
        <w:t>in vivo</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Tempest Therapeutics </w:t>
      </w:r>
    </w:p>
    <w:p>
      <w:pPr>
        <w:pStyle w:val="TextBody"/>
        <w:bidi w:val="0"/>
        <w:spacing w:before="120" w:after="0"/>
        <w:jc w:val="left"/>
        <w:rPr>
          <w:rFonts w:ascii="Times New Roman" w:hAnsi="Times New Roman"/>
          <w:sz w:val="20"/>
        </w:rPr>
      </w:pPr>
      <w:r>
        <w:rPr>
          <w:rFonts w:ascii="Times New Roman" w:hAnsi="Times New Roman"/>
          <w:sz w:val="20"/>
        </w:rPr>
        <w:t xml:space="preserve">Tempest is a clinical-stage biotechnology company pioneering a pipeline of next generation </w:t>
      </w:r>
      <w:r>
        <w:rPr>
          <w:rFonts w:ascii="Times New Roman" w:hAnsi="Times New Roman"/>
          <w:i/>
          <w:sz w:val="20"/>
        </w:rPr>
        <w:t>in vivo</w:t>
      </w:r>
      <w:r>
        <w:rPr>
          <w:rFonts w:ascii="Times New Roman" w:hAnsi="Times New Roman"/>
          <w:sz w:val="20"/>
        </w:rPr>
        <w:t xml:space="preserve"> CAR-T cell therapies for autoimmune and oncology indications. Tempest’s immune reset technology is embodied in TPST-4003, the company’s lead </w:t>
      </w:r>
      <w:r>
        <w:rPr>
          <w:rFonts w:ascii="Times New Roman" w:hAnsi="Times New Roman"/>
          <w:i/>
          <w:sz w:val="20"/>
        </w:rPr>
        <w:t>in vivo</w:t>
      </w:r>
      <w:r>
        <w:rPr>
          <w:rFonts w:ascii="Times New Roman" w:hAnsi="Times New Roman"/>
          <w:sz w:val="20"/>
        </w:rPr>
        <w:t xml:space="preserve"> CAR-T product candidate, which combines a dual-target CD19/BCMA CAR structure with the company’s proprietary CAR-T delivery platform to support broad B-cell lineage reset across multiple indications. The company’s additional preclinical programs leverage advanced payloads to create a modular </w:t>
      </w:r>
      <w:r>
        <w:rPr>
          <w:rFonts w:ascii="Times New Roman" w:hAnsi="Times New Roman"/>
          <w:i/>
          <w:sz w:val="20"/>
        </w:rPr>
        <w:t>in vivo</w:t>
      </w:r>
      <w:r>
        <w:rPr>
          <w:rFonts w:ascii="Times New Roman" w:hAnsi="Times New Roman"/>
          <w:sz w:val="20"/>
        </w:rPr>
        <w:t xml:space="preserve"> CAR-T portfolio. Tempest envisions a world in which immune reset therapies bring safe, effective, and broadly accessible therapeutic options to patients in need. For additional information, visit Tempest’s website at </w:t>
      </w:r>
      <w:r>
        <w:rPr>
          <w:rFonts w:ascii="Times New Roman" w:hAnsi="Times New Roman"/>
          <w:sz w:val="20"/>
          <w:u w:val="single"/>
        </w:rPr>
        <w:t>https://www.tempesttx.com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Hebei Senlang Biotechnology </w:t>
      </w:r>
    </w:p>
    <w:p>
      <w:pPr>
        <w:pStyle w:val="TextBody"/>
        <w:bidi w:val="0"/>
        <w:spacing w:before="120" w:after="0"/>
        <w:jc w:val="left"/>
        <w:rPr>
          <w:rFonts w:ascii="Times New Roman" w:hAnsi="Times New Roman"/>
          <w:sz w:val="20"/>
        </w:rPr>
      </w:pPr>
      <w:r>
        <w:rPr>
          <w:rFonts w:ascii="Times New Roman" w:hAnsi="Times New Roman"/>
          <w:sz w:val="20"/>
        </w:rPr>
        <w:t xml:space="preserve">Hebei Senlang Biotechnology Co., Ltd., is a clinical-stage cell therapy company focused on next-generation CAR-T technologies, with specialized expertise in CD7-targeted CAR-T development. Senlang has established end-to-end capabilities spanning CAR design, vector and plasmid development, GMP manufacturing and clinical trial execution, and is currently advancing multiple CD7 CAR-T programs, including a pivotal CD7 CAR-T clinical trial for relapsed or refractory T-cell lymphoblastic lymphoma/leukemia (“T-LBL/ALL”).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(including within the meaning of Section 21E of the Securities Exchange Act of 1934, as amended, and Section 27A of the Securities Act of 1933, as amended, concerning Tempest. These statements may discuss goals, intentions, and expectations as to future plans, trends, events, results of operations or financial condition, or otherwise, based on current beliefs of the management of Tempest, as well as assumptions made by, and information currently available to, management of Tempest.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Tempest’s collaboration with Senlang and the advancement, development, design and potential benefits of TPST-4003; the planned investigator-initiated trial of TPST-4003, including the expected patient population, indications, number of patients, timing of first patient enrollment and dosing, expected assessments and anticipated timing and nature of initial and interim clinical data; Senlang’s ability to conduct, coordinate and support the IIT and related development activities in China; the potential negotiation and entry into a definitive license agreement with Senlang for TPST-4003 in China, including the timing, terms and outcome of any such negotiations; the potential ability of TPST-4003 to enable broad B-cell lineage depletion and reset; the potential applicability of Tempest’s platform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product candidates across autoimmune and oncology indications; and Tempest’s ability to achieve its operational plans. All forward-looking statements in this press release are based on Tempest’s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Tempest’s Annual Report on Form 10-K for the year ended December 31, 2025, filed with the Securities and Exchange Commission (“SEC”) on March 30, 2026, and in other documents filed by Tempest from time to time with the SEC. Except as required by applicable law, Tempest undertakes no obligation to revise or update any forward-looking statement, or to make any other forward-looking statements, whether as a result of new information, future events or otherwise. These forward-looking statements should not be relied upon as representing Tempest’s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Contacts: </w:t>
      </w:r>
    </w:p>
    <w:p>
      <w:pPr>
        <w:pStyle w:val="TextBody"/>
        <w:bidi w:val="0"/>
        <w:spacing w:before="120" w:after="0"/>
        <w:jc w:val="left"/>
        <w:rPr>
          <w:rFonts w:ascii="Times New Roman" w:hAnsi="Times New Roman"/>
          <w:sz w:val="20"/>
        </w:rPr>
      </w:pPr>
      <w:r>
        <w:rPr>
          <w:rFonts w:ascii="Times New Roman" w:hAnsi="Times New Roman"/>
          <w:sz w:val="20"/>
        </w:rPr>
        <w:t xml:space="preserve">Sylvia Wheeler </w:t>
      </w:r>
    </w:p>
    <w:p>
      <w:pPr>
        <w:pStyle w:val="TextBody"/>
        <w:bidi w:val="0"/>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swheeler@wheelhouselsa.com </w:t>
      </w:r>
    </w:p>
    <w:p>
      <w:pPr>
        <w:pStyle w:val="TextBody"/>
        <w:bidi w:val="0"/>
        <w:spacing w:before="120" w:after="0"/>
        <w:jc w:val="left"/>
        <w:rPr>
          <w:rFonts w:ascii="Times New Roman" w:hAnsi="Times New Roman"/>
          <w:sz w:val="20"/>
        </w:rPr>
      </w:pPr>
      <w:r>
        <w:rPr>
          <w:rFonts w:ascii="Times New Roman" w:hAnsi="Times New Roman"/>
          <w:sz w:val="20"/>
        </w:rPr>
        <w:t xml:space="preserve">Aljanae Reynolds </w:t>
      </w:r>
    </w:p>
    <w:p>
      <w:pPr>
        <w:pStyle w:val="TextBody"/>
        <w:bidi w:val="0"/>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areynolds@wheelhouselsa.com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7037</Words>
  <Characters>43235</Characters>
  <CharactersWithSpaces>50276</CharactersWithSpaces>
  <Paragraphs>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