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July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18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9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Section and Risk Factors of the Company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previously disclosed, on June 25, 2021, the Company completed a merger with TempestTx, Inc. (formerly Tempest Therapeutics, Inc.) (“Tempest”) in accordance with the terms of the Agreement and Plan of Merger, dated as of March 29, 2021 (the “Merger Agreement”), by and among the Company, Tempest and Mars Merger Corp., a Delaware corporation and a wholly owned subsidiary of the Company (“Merger Sub”), pursuant to which, among other matters, Merger Sub merged with and into Tempest, with Tempest continuing as a wholly owned subsidiary of the Company and the surviving corporation of the merger (the “Merger”).</w:t>
      </w:r>
    </w:p>
    <w:p>
      <w:pPr>
        <w:spacing w:after="0" w:line="18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filing this Current Report on Form 8-K to provide (1) an updated business description of the Company, which is attached hereto as Exhibit 99.1 and incorporated herein by reference and (2) updated risk factors, which are attached hereto as Exhibit 99.2 and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Tempest and Certain Financial Information of Tempest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is also providing Tempest’s management’s discussion and analysis for the quarter ended March 31, 2021, which is attached hereto as Exhibit 99.3 and incorporated herein by reference. Tempest’s corresponding unaudited condensed interim financial statements as of March 31, 2021 and for the three months ended March 31, 2021, were included our Current Report on Form 8-K/A filed on July 1, 2021.</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is also filing this Current Report on Form 8-K to provide Tempest’s historical audited financial statements for the year ended December 31, 2020 and 2019 (the “Tempest Financial Statements”), and the unaudited pro forma combined financial information for Millendo and Tempest for the year ended December 31, 2020 (Unaudited Pro Forma Condensed Combined Financial Information), which were both originally reflected in the Registration Statement on Form S-4/A filed on May 10, 2021 (which Registration Statement is not incorporated by reference in or a part of this Current Report on Form 8-K). The Tempest Financial Statements and the Unaudited Pro Forma Condensed Combined Financial Information are attached hereto as Exhibit 99.4 and Exhibit 99.5, respectively, and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Current Report on Form 8-K contains forward-looking statements (including within the meaning of Section 21E of the Exchange Act and Section 27A of the Securities Act of 1933, as amended (the “Securities Act”)) concerning us, Tempest and the Merger.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140" w:type="dxa"/>
            <w:vAlign w:val="bottom"/>
            <w:gridSpan w:val="6"/>
          </w:tcPr>
          <w:p>
            <w:pPr>
              <w:spacing w:after="0"/>
              <w:rPr>
                <w:sz w:val="20"/>
                <w:szCs w:val="20"/>
                <w:color w:val="auto"/>
              </w:rPr>
            </w:pPr>
            <w:r>
              <w:rPr>
                <w:rFonts w:ascii="Arial" w:cs="Arial" w:eastAsia="Arial" w:hAnsi="Arial"/>
                <w:sz w:val="14"/>
                <w:szCs w:val="14"/>
                <w:b w:val="1"/>
                <w:bCs w:val="1"/>
                <w:color w:val="auto"/>
              </w:rPr>
              <w:t>Exhibit Description</w:t>
            </w: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4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Consent of Deloitte &amp; Touche LLP for Tempest</w:t>
              </w:r>
            </w:hyperlink>
          </w:p>
        </w:tc>
        <w:tc>
          <w:tcPr>
            <w:tcW w:w="3700" w:type="dxa"/>
            <w:vAlign w:val="bottom"/>
            <w:gridSpan w:val="3"/>
          </w:tcPr>
          <w:p>
            <w:pPr>
              <w:spacing w:after="0"/>
              <w:rPr>
                <w:sz w:val="23"/>
                <w:szCs w:val="23"/>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714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Company Business Section</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960" w:type="dxa"/>
            <w:vAlign w:val="bottom"/>
            <w:tcBorders>
              <w:top w:val="single" w:sz="8" w:color="0000EE"/>
            </w:tcBorders>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Company Risk Factors</w:t>
              </w:r>
            </w:hyperlink>
          </w:p>
        </w:tc>
        <w:tc>
          <w:tcPr>
            <w:tcW w:w="5180" w:type="dxa"/>
            <w:vAlign w:val="bottom"/>
            <w:gridSpan w:val="4"/>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71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Management’s Discussion and Analysis of Tempest for the Quarterly Period ended March 31, 2021</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99.4</w:t>
            </w:r>
          </w:p>
        </w:tc>
        <w:tc>
          <w:tcPr>
            <w:tcW w:w="714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Audited Financial Statements of Tempest as of December 31, 2020 and 2019</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99.5</w:t>
            </w:r>
          </w:p>
        </w:tc>
        <w:tc>
          <w:tcPr>
            <w:tcW w:w="48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Unaudited Pro Forma Condensed Combined Financial Information</w:t>
              </w:r>
            </w:hyperlink>
          </w:p>
        </w:tc>
        <w:tc>
          <w:tcPr>
            <w:tcW w:w="7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July 16, 2021</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46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Nos. 333-228209 and 333-230749 on Form S-3 and Registration Statement Nos. 333-182040, 333-187897, 333-195780, 333-202793, 333-209775, 333-214414, 333-216405, 333-221292, 333-226750, 333-230749, 333-230750,</w:t>
      </w:r>
    </w:p>
    <w:p>
      <w:pPr>
        <w:ind w:right="160"/>
        <w:spacing w:after="0" w:line="260" w:lineRule="auto"/>
        <w:rPr>
          <w:sz w:val="20"/>
          <w:szCs w:val="20"/>
          <w:color w:val="auto"/>
        </w:rPr>
      </w:pPr>
      <w:r>
        <w:rPr>
          <w:rFonts w:ascii="Arial" w:cs="Arial" w:eastAsia="Arial" w:hAnsi="Arial"/>
          <w:sz w:val="18"/>
          <w:szCs w:val="18"/>
          <w:color w:val="auto"/>
        </w:rPr>
        <w:t>333-235515, 333-249993, 333-255261, and 333-257727 on Form S-8 of our report dated May 10, 2021, relating to the financial statements of Tempest Therapeutics, Inc. appearing in this Current Report on Form 8-K dated July 16,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Tempest is a clinical-stage oncology company focused on leveraging its deep scientific understanding of cancer biology and medicinal chemistry to develop and advance novel, orally available therapies for the treatment of solid tumors. Tempest’s philosophy is to build a company based upon not only creative science and thoughtful management, but also upon the efficient translation of those ideas into therapies that will improve patient’s lives. To this end, Tempest is advancing TPST-1495 and TPST-1120, two product candidates in clinical trials that it believes are the first clinical-stage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Tempest’s second program, TPST-1120, is a selective antagonist of peroxisome proliferator-activated receptor alpha, or PPARα, and is also in a Phase 1 trial in solid tumors. Tempest expects to report initial data from both these programs in the first half of 2022. Additionally, Tempest is advancing a third program targeting the three prime repair exonuclease, or TREX-1, for which Tempest expects to select a development candidate in the first half of 2022. Beyond these three ongoing programs, Tempest plans to leverage its drug development and company-building experience, along with academic relationships, to identify promising new targets that may feed new programs into Tempest’s pipeline.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Tempest’s Pipeline</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Tempest has developed a diversified pipeline of small molecule product candidates that Tempest believes are innovative and target scientifically validated pathways. These product candidates are designed to target tumor cells directly, modulate the immune system to kill cancer cells, or a combination of both. Tempest selected targets that are expressed in a diverse set of tumor types, with the intention to address unmet medical needs or improve existing standards of care. Tempest’s product development programs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134620</wp:posOffset>
            </wp:positionV>
            <wp:extent cx="5332095" cy="2665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209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Definitions: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HCC: hepatocellular carcinoma; RCC: renal cell carcinoma; CCA: cholangiocarcinoma; CRC: colorectal cancer; FPI: First Patient In; RP2D: Recommended Phase 2 Dose; DC: Development Candidate; ORR: Objective Response Rate. Note that the primary anti-tumor activity readout is ORR by RECIST v. 1.1 criteria, and time on study treatment; additional endpoints include duration of response and progression free survival, which may be reported at a later timepoint.</w:t>
      </w:r>
    </w:p>
    <w:p>
      <w:pPr>
        <w:sectPr>
          <w:pgSz w:w="11900" w:h="16838" w:orient="portrait"/>
          <w:cols w:equalWidth="0" w:num="1">
            <w:col w:w="11020"/>
          </w:cols>
          <w:pgMar w:left="440" w:top="121" w:right="439" w:bottom="1440" w:gutter="0" w:footer="0" w:header="0"/>
        </w:sectPr>
      </w:pPr>
    </w:p>
    <w:bookmarkStart w:id="5" w:name="page6"/>
    <w:bookmarkEnd w:id="5"/>
    <w:p>
      <w:pPr>
        <w:ind w:left="424" w:right="60" w:hanging="424"/>
        <w:spacing w:after="0" w:line="259"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Timing is an estimate is based on projections for internal receipt of data (not necessarily external release); an event may not result in a change in company value. </w:t>
      </w:r>
      <w:r>
        <w:rPr>
          <w:rFonts w:ascii="Arial" w:cs="Arial" w:eastAsia="Arial" w:hAnsi="Arial"/>
          <w:sz w:val="15"/>
          <w:szCs w:val="15"/>
          <w:color w:val="auto"/>
        </w:rPr>
        <w:t>2</w:t>
      </w:r>
      <w:r>
        <w:rPr>
          <w:rFonts w:ascii="Arial" w:cs="Arial" w:eastAsia="Arial" w:hAnsi="Arial"/>
          <w:sz w:val="18"/>
          <w:szCs w:val="18"/>
          <w:color w:val="auto"/>
        </w:rPr>
        <w:t xml:space="preserve">The company is evaluating both patient-targeted and histology-based arms, for which a </w:t>
      </w:r>
      <w:r>
        <w:rPr>
          <w:rFonts w:ascii="Arial" w:cs="Arial" w:eastAsia="Arial" w:hAnsi="Arial"/>
          <w:sz w:val="18"/>
          <w:szCs w:val="18"/>
          <w:u w:val="single" w:color="auto"/>
          <w:color w:val="auto"/>
        </w:rPr>
        <w:t>subset</w:t>
      </w:r>
      <w:r>
        <w:rPr>
          <w:rFonts w:ascii="Arial" w:cs="Arial" w:eastAsia="Arial" w:hAnsi="Arial"/>
          <w:sz w:val="18"/>
          <w:szCs w:val="18"/>
          <w:color w:val="auto"/>
        </w:rPr>
        <w:t xml:space="preserve"> of the data could be available as early as 2H22, with additional data in 2023. </w:t>
      </w:r>
      <w:r>
        <w:rPr>
          <w:rFonts w:ascii="Arial" w:cs="Arial" w:eastAsia="Arial" w:hAnsi="Arial"/>
          <w:sz w:val="15"/>
          <w:szCs w:val="15"/>
          <w:color w:val="auto"/>
        </w:rPr>
        <w:t>3</w:t>
      </w:r>
      <w:r>
        <w:rPr>
          <w:rFonts w:ascii="Arial" w:cs="Arial" w:eastAsia="Arial" w:hAnsi="Arial"/>
          <w:sz w:val="18"/>
          <w:szCs w:val="18"/>
          <w:color w:val="auto"/>
        </w:rPr>
        <w:t xml:space="preserve">The company is evaluating if the combination expansion will focus on CRC or a set of targeted solid tumors. </w:t>
      </w:r>
      <w:r>
        <w:rPr>
          <w:rFonts w:ascii="Arial" w:cs="Arial" w:eastAsia="Arial" w:hAnsi="Arial"/>
          <w:sz w:val="15"/>
          <w:szCs w:val="15"/>
          <w:color w:val="auto"/>
        </w:rPr>
        <w:t>4</w:t>
      </w:r>
      <w:r>
        <w:rPr>
          <w:rFonts w:ascii="Arial" w:cs="Arial" w:eastAsia="Arial" w:hAnsi="Arial"/>
          <w:sz w:val="18"/>
          <w:szCs w:val="18"/>
          <w:color w:val="auto"/>
        </w:rPr>
        <w:t xml:space="preserve"> Pursuant to a collaboration with Roche; TPST retains all product rights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Tempest’s Program Summaries</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Tempest’s first product candidate is TPST-1495, a novel, oral, small molecule designed to be a dual antagonist of only two of the four prostaglandin E2 (PGE2) receptors, EP2 and EP4, sparing the homologous—but differentially active—EP1 and EP3 receptors. To our knowledge, TPST-1495 is the first dual EP2/EP4 PGE2 receptor antagonist in the clinic. PGE2 is well understood from the scientific literature to be an important stimulator of tumor growth in diverse cancer types of high need, and to be inhibitory to anti-tumor immune function in the tumor microenvironment. PGE2 signaling through EP2 and EP4 has been observed both to enhance tumor progression and promote immune suppression. Tempest conducted head-to-head preclinical studies comparing TPST-1495 to single antagonists of EP4 being developed by other companies. In these studies, Tempest observed significantly enhanced activity of TPST-1495 in both overcoming PGE2-mediated suppression of human immune cells in vitro as well as significantly increased anti-tumor activity in mouse models of human colorectal cancer, as compared to single antagonists of EP4. Tempest is currently evaluating the safety, tolerability, pharmacokinetics (PK), pharmacodynamics (PD), and possible anti-tumor activity of TPST-1495 in a multicenter Phase 1a/1b dose and schedule optimization study in subjects with advanced solid tumors, with a focus on prostaglandin-driven tumor types, such as colorectal cancer, or CRC. Tempest is observing dose-proportional exposure, and Tempest is encouraged by early signs of activity of TPST-1495 monotherapy, as shown by on-target pharmacodynamic changes, disease control, and reduction of tumor-specific biomarkers in the ongoing dose optimization clinical study. The TPST-1495 Phase 1 clinical trial is ongoing in the schedule and dose optimization stage and Tempest expects to establish the RP2D for expansion and the preliminary safety profile and ORR in first half of 2022. Tempest also expects to initiate monotherapy combination studies with an anti-PD-1/L1 immune check point inhibitor, prior to the end of 2021.</w:t>
      </w:r>
    </w:p>
    <w:p>
      <w:pPr>
        <w:spacing w:after="0" w:line="16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Tempest’s second product candidate is TPST-1120, an oral, small molecule designed to be a selective antagonist of PPARα and is the first PPARα antagonist in the clinic. PPARα is a key transcription factor controlling fatty acid oxidation, or FAO. It is clear from the scientific literature that FAO can serve as a source of energy for tumor cell growth and that the PPARα transcriptome is upregulated in many tumor types. It also is published that FAO is a preferred energy source for so-called immune suppressor cells such as regulatory T-cells (Treg), myeloid derived suppressor cells, or MDSCs, and M2 macrophages. Tempest’s preclinical data suggest that TPST-1120 can directly kill tumor cells that are dependent upon FAO, alter the tumor microenvironment immune cell infiltrate away from a suppressor immune phenotype, and synergize with immune checkpoint inhibitor therapy in animal models. Tempest is evaluating TPST-1120 in a Phase 1a/b clinical study that has both monotherapy and combination therapy arms in patients with advanced solid tumors that Tempest’s PPARα-dependent transcriptome analysis of diverse human cancers revealed favor the usage of FAO. Tempest has been observing dose-dependent exposure and on-target pharmacodynamic changes in both monotherapy and combination TPST-1120 therapy arms. The monotherapy dose escalation phase of the clinical study has been completed, and Tempest observed clinical benefit in 10 of 20 of patients enrolled in this arm in the form of disease stabilization. Three patients with advanced cholangiocarcinoma experienced prolonged stable disease (³21 weeks) and some reduction of tumor burden, although not to the extent of a RECIST response. In the TPST-1120 combination arm with nivolumab, Tempest observed a deep and durable RECIST response in a patient with 4</w:t>
      </w:r>
      <w:r>
        <w:rPr>
          <w:rFonts w:ascii="Arial" w:cs="Arial" w:eastAsia="Arial" w:hAnsi="Arial"/>
          <w:sz w:val="13"/>
          <w:szCs w:val="13"/>
          <w:color w:val="auto"/>
        </w:rPr>
        <w:t>th</w:t>
      </w:r>
      <w:r>
        <w:rPr>
          <w:rFonts w:ascii="Arial" w:cs="Arial" w:eastAsia="Arial" w:hAnsi="Arial"/>
          <w:sz w:val="16"/>
          <w:szCs w:val="16"/>
          <w:color w:val="auto"/>
        </w:rPr>
        <w:t xml:space="preserve"> line kidney cancer that had previously failed to respond to, and then progressed on, the combination immune-oncology, or IO, regimen of nivolumab with ipilimumab. This patient experienced a rapid tumor reduction to -54% by RECIST criteria on TPST-1120 + nivolumab at the first on-treatment assessment at eight weeks, which has subsequently deepened to -61% after six months of treatment and is ongoing. Tempest is encouraged by this response as a signal of synergy between TPST-1120 and anti-PD-1 therapy in IO-resistant disease. In March 2021, Tempest announced a clinical collaboration with Hoffman-La Roche Ltd., or Roche, to accelerate the development of TPST-1120 into a frontline, randomized study. Pursuant to the terms of Tempest’s collaboration, Roche will evaluate TPST-1120 in a global randomized phase 1b/2 clinical study in combination with the standard-of-care first-line regimen of atezolizumab and bevacizumab in patients with advanced or metastatic hepatocellular carcinoma, or HCC, not previously treated with systemic therapy. The study will include at least 40 and up to 60 patients who will receive the TPST-1120 combination and will be compared to the standard-of-care atezolizumab and bevacizumab regimen with primary objectives of anti-tumor activity and safety. Under the terms of the collaboration agreement, Roche will manage the study operations for this global multicenter trial. Tempest will retain global development and commercialization rights to TPST-1120. Tempest expects the first patient in the frontline HCC study to be enrolled in mid-2021, and for ORR results of the TPST-1120 Phase 1a/1b dose finding trials to be available by early 2022.</w:t>
      </w:r>
    </w:p>
    <w:p>
      <w:pPr>
        <w:sectPr>
          <w:pgSz w:w="11900" w:h="16838" w:orient="portrait"/>
          <w:cols w:equalWidth="0" w:num="1">
            <w:col w:w="11004"/>
          </w:cols>
          <w:pgMar w:left="436" w:top="274" w:right="459" w:bottom="1440" w:gutter="0" w:footer="0" w:header="0"/>
        </w:sectPr>
      </w:pPr>
    </w:p>
    <w:bookmarkStart w:id="6" w:name="page7"/>
    <w:bookmarkEnd w:id="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Tempest has a third program in its pipeline against TREX-1, a target Tempest believes may be an effective approach to modulate STING, which stands for </w:t>
      </w:r>
      <w:r>
        <w:rPr>
          <w:rFonts w:ascii="Arial" w:cs="Arial" w:eastAsia="Arial" w:hAnsi="Arial"/>
          <w:sz w:val="17"/>
          <w:szCs w:val="17"/>
          <w:b w:val="1"/>
          <w:bCs w:val="1"/>
          <w:color w:val="auto"/>
        </w:rPr>
        <w:t>ST</w:t>
      </w:r>
      <w:r>
        <w:rPr>
          <w:rFonts w:ascii="Arial" w:cs="Arial" w:eastAsia="Arial" w:hAnsi="Arial"/>
          <w:sz w:val="17"/>
          <w:szCs w:val="17"/>
          <w:color w:val="auto"/>
        </w:rPr>
        <w:t xml:space="preserve">imulator of </w:t>
      </w:r>
      <w:r>
        <w:rPr>
          <w:rFonts w:ascii="Arial" w:cs="Arial" w:eastAsia="Arial" w:hAnsi="Arial"/>
          <w:sz w:val="17"/>
          <w:szCs w:val="17"/>
          <w:b w:val="1"/>
          <w:bCs w:val="1"/>
          <w:color w:val="auto"/>
        </w:rPr>
        <w:t>IN</w:t>
      </w:r>
      <w:r>
        <w:rPr>
          <w:rFonts w:ascii="Arial" w:cs="Arial" w:eastAsia="Arial" w:hAnsi="Arial"/>
          <w:sz w:val="17"/>
          <w:szCs w:val="17"/>
          <w:color w:val="auto"/>
        </w:rPr>
        <w:t xml:space="preserve">terferon </w:t>
      </w:r>
      <w:r>
        <w:rPr>
          <w:rFonts w:ascii="Arial" w:cs="Arial" w:eastAsia="Arial" w:hAnsi="Arial"/>
          <w:sz w:val="17"/>
          <w:szCs w:val="17"/>
          <w:b w:val="1"/>
          <w:bCs w:val="1"/>
          <w:color w:val="auto"/>
        </w:rPr>
        <w:t>G</w:t>
      </w:r>
      <w:r>
        <w:rPr>
          <w:rFonts w:ascii="Arial" w:cs="Arial" w:eastAsia="Arial" w:hAnsi="Arial"/>
          <w:sz w:val="17"/>
          <w:szCs w:val="17"/>
          <w:color w:val="auto"/>
        </w:rPr>
        <w:t>enes, with a systemic therapy. The STING pathway is the focus of clinical and pre-clinical programs at multiple pharmaceutical and biotechnology companies. TREX-1 is a double-stranded DNA exonuclease that controls activation of the cGAS/STING pathway, which is an innate immune response pathway that induces the production of IFN-ß, a cytokine that is well-established to be a key factor in triggering the development of anti-tumor immunity. The expression of TREX-1 is enhanced in tumors and inhibits activation of cGAS/STING to evade immune recognition. Because STING is expressed ubiquitously, but TREX-1 expression is increased in tumors, Tempest believes that TREX-1 may be the optimal approach to target STING with an orally available small molecule inhibitor to selectively activate this pathway in tumors. Tempest has demonstrated proof of concept of this approach in a mouse tumor model with a TREX-1 inhibitor tool compound and expects to select a TREX-1 inhibitor development candidate for IND-enabling studies in the first half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Discovery Capability and Team</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Tempest built an internal discovery team at Tempest to create and advance small-molecule product candidates with the ideal pharmacological properties to target the tumor micro-environment and/or leverage the immune system. This discovery capability has enabled what Tempest believes is the rapid and efficient generation of a broad pipeline of innovative, orally available therapies, that if approved by the FDA, will be first-in-class. Tempest’s small molecule product candidates target pathways that have been validated in the scientific literature to play key roles in promoting tumor growth and suppressing anti-tumor immunity across a diverse set of cancers.</w:t>
      </w:r>
    </w:p>
    <w:p>
      <w:pPr>
        <w:spacing w:after="0" w:line="18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Tempest leveraged its deep scientific knowledge, long-term established relationships with key opinion leaders, and extensive medicinal chemistry and drug development expertise to develop its current portfolio. Dr. Peppi Prasit, a Tempest founder, serves a continuing role in the design of Tempest’s small molecule therapeutics. Dr. Prasit (see also under Scientific Advisors) has direct involvement in both Tempest’s medicinal chemistry activities and synthetic chemistry activities conducted by contract research organizations. Dr. Prasit has played a pivotal role in the discovery of multiple marketed drugs, including Vioxx</w:t>
      </w:r>
      <w:r>
        <w:rPr>
          <w:rFonts w:ascii="Arial" w:cs="Arial" w:eastAsia="Arial" w:hAnsi="Arial"/>
          <w:sz w:val="14"/>
          <w:szCs w:val="14"/>
          <w:color w:val="auto"/>
        </w:rPr>
        <w:t>®</w:t>
      </w:r>
      <w:r>
        <w:rPr>
          <w:rFonts w:ascii="Arial" w:cs="Arial" w:eastAsia="Arial" w:hAnsi="Arial"/>
          <w:sz w:val="17"/>
          <w:szCs w:val="17"/>
          <w:color w:val="auto"/>
        </w:rPr>
        <w:t xml:space="preserve"> and Arcoxia</w:t>
      </w:r>
      <w:r>
        <w:rPr>
          <w:rFonts w:ascii="Arial" w:cs="Arial" w:eastAsia="Arial" w:hAnsi="Arial"/>
          <w:sz w:val="14"/>
          <w:szCs w:val="14"/>
          <w:color w:val="auto"/>
        </w:rPr>
        <w:t>®</w:t>
      </w:r>
      <w:r>
        <w:rPr>
          <w:rFonts w:ascii="Arial" w:cs="Arial" w:eastAsia="Arial" w:hAnsi="Arial"/>
          <w:sz w:val="17"/>
          <w:szCs w:val="17"/>
          <w:color w:val="auto"/>
        </w:rPr>
        <w:t xml:space="preserve"> while at Merck Frosst, and led the medicinal chemistry of several drugs still under clinical development. Tempest believes that the expertise that Dr. Prasit imparts on the development of its small molecule drugs is a differentiating factor of the potential activity of its product candidates. Tempest designs its molecules to have the ideal pharmacological properties for the targeted pathway and the desired clinical effect. Small-molecule drugs against the same biological target can be highly differentiated from each other based on their respective pharmacokinetic, pharmacodynamic and biophysical properties. For example, many small-molecule drugs are potent when tested in buffer solution but lose a significant amount of potency in physiologically relevant media, such as blood or tumor tissue. Tempest rigorously tests its molecules in whole blood or other physiologically relevant systems and only advances molecules that retain a high degree of activity when tested under such “real world” conditions.</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instance, the Tempest team leveraged Dr. Prasit’s scientific insights gained from developing approved prostaglandin signaling pathway targeted drugs, together with the published literature, to hypothesize that optimal anti-tumor inhibition and immune activation might result from blocking both EP2 and EP4 receptor signaling pathways. Tempest designed TPST-1495 to be a first-in-class dual selective inhibitor of prostaglandin receptors EP2 and EP4 based on this scientific hypothesis. Tempest established the scientific rationale for developing TPST-1120 after discussions with several academic investigators, including Dr. David Spaner, MD, PhD (Sunnybrook Research Institute, Toronto), who found that patients with selected advanced cancers had comparatively elevated levels of long-chain fatty acid amides in peripheral blood that were reduced after responding to approved therapies. These findings, along with the published literature demonstrating the role of lipid metabolism on metastasis, angiogenesis and immune evasion, led Tempest to establish an internal program to develop selective antagonists of PPARα, a transcription factor that regulates lipid metabolism. This pathway is known to be druggable, with the decades-long clinical use of fenofibrates, a class of small molecule PPARα agonists, in patients with dyslipidemia. In addition, several members of the team at Tempest developed the first-in-human small molecule STING agonists at a prior company. The Tempest president,</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Dr. Tom Dubensky, is recognized as a thought leader in drugging the STING pathway. The insights and experience of the Tempest team, together with the rapidly expanding scientific understanding of the role of innate immunity in developing effective tumor-specific immunity, led Tempest to the scientific hypothesis that the optimal approach to localize activation of the STING pathway to the tumor microenvironment in metastatic disease with an orally available small molecule is through a specific inhibitor of TREX-1, a dsDNA exonuclease known to have elevated expression in tumors. The Tempest team is actively considering other innovative oncology targets that it believes have strong scientific rationale and would address specific unmet medical needs.</w:t>
      </w:r>
    </w:p>
    <w:p>
      <w:pPr>
        <w:sectPr>
          <w:pgSz w:w="11900" w:h="16838" w:orient="portrait"/>
          <w:cols w:equalWidth="0" w:num="1">
            <w:col w:w="11000"/>
          </w:cols>
          <w:pgMar w:left="440" w:top="274" w:right="45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Tempest senior management team, comprised of Steve Brady, CEO, Tom Dubensky, PhD, President, and Sam Whiting, MD, PhD, CMO, possess extensive experience gained over many years in both private and public biotechnology companies in the selection of new targets, discovery of molecules to modulate pathways of interest, and the evolution of program candidates through the full range of clinical development. The team also has substantial financing and strategic transaction experience, including private and public equity and debt financings, product and licensing collaborations, and both private and public M&amp;A. Tempest believes the collective and diverse experience of the team, along with Tempest’s view that a company should be run in accordance with a foundational set of guiding principles, positions the company for success in developing therapies to benefit patients living with cancer. While Tempest believes that its experienced management team represents an important competitive advantage, the historical results, past performance and/or acquisition of companies with which members of its management team have been affiliated do not necessarily predict or guarantee similar results for its company.</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scientific and clinical advisors includes thought leaders in oncology, immunology and clinical development, including: Toni K. Choueiri, MD, Director, Lank Center for Genitourinary Oncology, Department of Medical Oncology, Dana-Farber Cancer Institute and Co-Leader, Kidney Cancer Program, Dana-Farber/Harvard Cancer Center; Drew M. Pardoll, MD, PhD, Abeloff Professor of Oncology, Director, Bloomberg–Kimmel Institute for Cancer Immunotherapy, Director, Cancer Immunology Program, Johns Hopkins University School of Medicine; Jason Luke, MD, FACP, Associate Professor of Medicine, Hematology/Oncology, and Director of the Cancer Immunotherapeutics Center within the UPMC Hillman Cancer Immunology and Immunotherapy Program; Raymond N. Dubois, MD, PhD, Dean of the College of Medicine at the Medical University of South Carolina; Peppi Prasit, PhD, CEO Emeritus Inception Sciences; Russell Vance, PhD, Professor and HHMI Investigator, University of California, Berkeley; and, Benjamin F. Cravatt, PhD, Professor and Gilula Chair of Chemical Biology, Department of Chemistry, The Scripps Research Institute. Tempest additionally has extensive established relationships with key opinion leaders, or KOLs, with whom Tempest has sponsored research agreements and/or frequently consult to both gain insights on Tempest’s existing pipeline and clinical development strategy and to discuss potential new target opportunities.</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July 9, 2021, Tempest had 15 employees, including nine holding Ph.D., M.D., JD, LL.M., and/or MBA degrees, and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An important element of Tempest’s strategy to date has been to utilize consultants with whom Tempest has established relationships over several companies and in the development of multiple innovative oncology therapies, including those skilled in medicinal chemistry, pharmacology and toxicology, translational sciences, clinical operations and medical affairs. Tempest will continue to maintain internal capabilities in R&amp;D and clinical development areas as noted and add experienced and talented scientists in areas, such as medicinal chemistry, that Tempest believes are critical for the discovery of highly differentiated small-molecule compounds. Additionally, while Tempest’s current pipeline consists of orally-available small molecules, the Tempest team is also experienced in the conception, translation and clinical development of simple and complex biologics.</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Tempest’s Strategy</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Tempest team has come together to build an integrated company that delivers meaningful therapies to cancer patients, through leveraging its team’s capabilities and research and development engine. Tempest expects to build value for the Tempest shareholders with the following over-arching strategy:</w:t>
      </w:r>
    </w:p>
    <w:p>
      <w:pPr>
        <w:spacing w:after="0" w:line="151" w:lineRule="exact"/>
        <w:rPr>
          <w:sz w:val="20"/>
          <w:szCs w:val="20"/>
          <w:color w:val="auto"/>
        </w:rPr>
      </w:pPr>
    </w:p>
    <w:p>
      <w:pPr>
        <w:ind w:left="960" w:right="120" w:hanging="424"/>
        <w:spacing w:after="0" w:line="27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Effectively advance TPST-1495, its dual EP2/4 antagonist, through clinical development to meaningful data</w:t>
      </w:r>
      <w:r>
        <w:rPr>
          <w:rFonts w:ascii="Arial" w:cs="Arial" w:eastAsia="Arial" w:hAnsi="Arial"/>
          <w:sz w:val="17"/>
          <w:szCs w:val="17"/>
          <w:color w:val="auto"/>
        </w:rPr>
        <w:t>. Tempest plans to complete</w:t>
      </w:r>
      <w:r>
        <w:rPr>
          <w:rFonts w:ascii="Arial" w:cs="Arial" w:eastAsia="Arial" w:hAnsi="Arial"/>
          <w:sz w:val="17"/>
          <w:szCs w:val="17"/>
          <w:i w:val="1"/>
          <w:iCs w:val="1"/>
          <w:color w:val="auto"/>
        </w:rPr>
        <w:t xml:space="preserve"> </w:t>
      </w:r>
      <w:r>
        <w:rPr>
          <w:rFonts w:ascii="Arial" w:cs="Arial" w:eastAsia="Arial" w:hAnsi="Arial"/>
          <w:sz w:val="17"/>
          <w:szCs w:val="17"/>
          <w:color w:val="auto"/>
        </w:rPr>
        <w:t>the TPST-1495 monotherapy dose and optimization stage of the ongoing Phase 1 study in the second of half of 2021, followed by the initiation of monotherapy dose expansion in targeted patient populations, as well as the combination of TPST-1495 with an immune checkpoint inhibitor. Tempest expects to have ORR data from the monotherapy dose and optimization cohort beginning in the first half of 2022, followed by data from the other cohorts beginning in the second half of 2022.</w:t>
      </w:r>
    </w:p>
    <w:p>
      <w:pPr>
        <w:spacing w:after="0" w:line="81" w:lineRule="exact"/>
        <w:rPr>
          <w:rFonts w:ascii="Arial" w:cs="Arial" w:eastAsia="Arial" w:hAnsi="Arial"/>
          <w:sz w:val="17"/>
          <w:szCs w:val="17"/>
          <w:color w:val="auto"/>
        </w:rPr>
      </w:pPr>
    </w:p>
    <w:p>
      <w:pPr>
        <w:ind w:left="960" w:right="40" w:hanging="424"/>
        <w:spacing w:after="0" w:line="279"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Facilitate Tempest’s Roche collaboration evaluating TPST-1120 in a randomized, frontline HCC study</w:t>
      </w:r>
      <w:r>
        <w:rPr>
          <w:rFonts w:ascii="Arial" w:cs="Arial" w:eastAsia="Arial" w:hAnsi="Arial"/>
          <w:sz w:val="17"/>
          <w:szCs w:val="17"/>
          <w:color w:val="auto"/>
        </w:rPr>
        <w:t>. Pursuant to the terms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Roche, Tempest expects Roche to commence enrollment of patients in mid-2021, and for enrollment to be complete by the end of 2022. Because TPST-1120 is being combined with a standard-of-care first line treatment and randomized against that same standard-of-care, Tempest believes that positive study results may provide multiple strategic opportunities.</w:t>
      </w:r>
    </w:p>
    <w:p>
      <w:pPr>
        <w:spacing w:after="0" w:line="76" w:lineRule="exact"/>
        <w:rPr>
          <w:rFonts w:ascii="Arial" w:cs="Arial" w:eastAsia="Arial" w:hAnsi="Arial"/>
          <w:sz w:val="17"/>
          <w:szCs w:val="17"/>
          <w:color w:val="auto"/>
        </w:rPr>
      </w:pPr>
    </w:p>
    <w:p>
      <w:pPr>
        <w:ind w:left="960" w:right="280" w:hanging="424"/>
        <w:spacing w:after="0" w:line="29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Advance its TREX-1 inhibitor into clinical studies</w:t>
      </w:r>
      <w:r>
        <w:rPr>
          <w:rFonts w:ascii="Arial" w:cs="Arial" w:eastAsia="Arial" w:hAnsi="Arial"/>
          <w:sz w:val="16"/>
          <w:szCs w:val="16"/>
          <w:color w:val="auto"/>
        </w:rPr>
        <w:t>. The Tempest team developed the first-in-human STING agonists in a prior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widely acknowledged to be leaders in this pathway. Tempest believes that a selective TREX-1 inhibitor given orally will be an effective approach to engage the STING pathway broadly in the tumor microenvironment of metastatic disease. Tempest’s medicinal chemists have developed a series of compounds with low nanomolar potency against human TREX-1, which Tempest is actively optimizing towards selecting a development candidate for IND enabling activities in the first half of 2022.</w:t>
      </w:r>
    </w:p>
    <w:p>
      <w:pPr>
        <w:spacing w:after="0" w:line="66" w:lineRule="exact"/>
        <w:rPr>
          <w:rFonts w:ascii="Arial" w:cs="Arial" w:eastAsia="Arial" w:hAnsi="Arial"/>
          <w:sz w:val="16"/>
          <w:szCs w:val="16"/>
          <w:color w:val="auto"/>
        </w:rPr>
      </w:pPr>
    </w:p>
    <w:p>
      <w:pPr>
        <w:ind w:left="960" w:right="20" w:hanging="424"/>
        <w:spacing w:after="0" w:line="29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Explore business development opportunities to maximize the potential of its pipeline and extend financial resources</w:t>
      </w:r>
      <w:r>
        <w:rPr>
          <w:rFonts w:ascii="Arial" w:cs="Arial" w:eastAsia="Arial" w:hAnsi="Arial"/>
          <w:sz w:val="16"/>
          <w:szCs w:val="16"/>
          <w:color w:val="auto"/>
        </w:rPr>
        <w:t>. Tempest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its pipeline has broad potential, and partnerships that bring additional expertise and/or geographic presence could be important aspects of its progress. Tempest established a clinical collaboration with Roche to evaluate TPST-1120 in a global frontline randomized study in HCC patients, which Tempest believes accelerated the program by years without the risk of the associated global infrastructure build, while retaining global development and commercialization rights. Tempest intends to become a fully integrated biopharmaceutical company and build a targeted sales force in the United States to support the commercialization of its drug candidates, if approved.</w:t>
      </w:r>
    </w:p>
    <w:p>
      <w:pPr>
        <w:spacing w:after="0" w:line="69" w:lineRule="exact"/>
        <w:rPr>
          <w:rFonts w:ascii="Arial" w:cs="Arial" w:eastAsia="Arial" w:hAnsi="Arial"/>
          <w:sz w:val="16"/>
          <w:szCs w:val="16"/>
          <w:color w:val="auto"/>
        </w:rPr>
      </w:pPr>
    </w:p>
    <w:p>
      <w:pPr>
        <w:ind w:left="960" w:right="120" w:hanging="424"/>
        <w:spacing w:after="0" w:line="25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Enhance Tempest’s pipeline by identifying novel oncology targets and in-licensing promising product candidates for oncology. </w:t>
      </w:r>
      <w:r>
        <w:rPr>
          <w:rFonts w:ascii="Arial" w:cs="Arial" w:eastAsia="Arial" w:hAnsi="Arial"/>
          <w:sz w:val="18"/>
          <w:szCs w:val="18"/>
          <w:color w:val="auto"/>
        </w:rPr>
        <w:t>Tempest is</w:t>
      </w:r>
      <w:r>
        <w:rPr>
          <w:rFonts w:ascii="Arial" w:cs="Arial" w:eastAsia="Arial" w:hAnsi="Arial"/>
          <w:sz w:val="18"/>
          <w:szCs w:val="18"/>
          <w:i w:val="1"/>
          <w:iCs w:val="1"/>
          <w:color w:val="auto"/>
        </w:rPr>
        <w:t xml:space="preserve"> </w:t>
      </w:r>
      <w:r>
        <w:rPr>
          <w:rFonts w:ascii="Arial" w:cs="Arial" w:eastAsia="Arial" w:hAnsi="Arial"/>
          <w:sz w:val="18"/>
          <w:szCs w:val="18"/>
          <w:color w:val="auto"/>
        </w:rPr>
        <w:t>actively evaluating and pursuing novel targets, intellectual property and product candidates for acquisition and in-licensing to supplement Tempest’s internal research efforts and continue to build its pipeline of targeted molecules for oncology. Through the team’s focus and expertise in oncology and immunology, as well as established relationships with oncology and immunology thought leaders, Tempest is positioning itself as a partner of choice for innovative oncology drug candidate development. Tempest believes continued advances in the biological understanding of diseases will provide opportunities to further expand its portfolio with preclinical and/or clinical product candidates.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TPST-1495: Dual EP2/EP4 Prostaglandin Receptor Antagonist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Program Summary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first clinical molecule is TPST-1495, a potentially first-in-class, oral, small molecule dual antagonist of the PGE2 receptors, EP2 and EP4. TPST-1495 is engineered to inhibit only the EP2 and EP4 receptors while sparing the homologous—but differentially active—EP1 and EP3 receptors. There is extensive literature demonstrating that PGE2 both enhances tumor proliferation and inhibits anti-cancer immune function; it is known from the scientific literature that many tumors express elevated levels of the cyclooxygenase enzymes that produce PGE2. The literature supports that PGE2 predominantly drives tumor proliferation by autocrine signaling through EP2 and EP4 receptors on tumor cells and immune suppression through EP2 and EP4 receptors on lymphoid and myeloid immune cells in the tumor microenvironment. Tempest has conducted extensive preclinical studies to test and compare the anti-tumor activities and immune activation of EP2- and EP4-specific inhibition by TPST-1495 to alternative mechanisms of PGE2 inhibition, supporting the improved activity of the TPST-1495 approach. Tempest additionally conducted IND-enabling pharmacology and toxicology studies to support initiation of its ongoing first-in-human Phase 1/1b study of TPST-1495 monotherapy in patients with advanced solid tumors. The company is currently evaluating the safety, tolerability, pharmacokinetics (or PK), pharmacodynamics (or PD) and preliminary anti-tumor activity of TPST-1495 in this multicenter study conducted at Phase 1 units in the United States. Tempest has observed dose-dependent TPST-1495 exposure, on-target pharmacodynamic changes and reduction of tumor-specific biomarkers in the ongoing dose optimization stage of the clinical study. Tempest expects to initiate dose-finding combination studies with anti-PD-(L1) immune checkpoint inhibitor therapy in the second half of 2021 and initiate dose expansion studies with TPST-1495 as monotherapy in targeted patient populations in the first half of 2022.</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Prostaglandin E2 enhances tumor progression of diverse cancers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or NK cells, T cells, and M1 macrophages, while promoting the activity of suppressive immune cell populations, including myeloid-derived suppressor cells, or MDSCs, M2 macrophages, and regulatory T cells. Additionally, recent studies have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How PGE2 signals through each of its four homologous E-prostanoid G-protein coupled receptor targets, known as EP1, EP2, EP3 and EP4, informed the development of TPST-1495. PGE2 signaling through each of these receptors activates distinct signal transduction pathways. In general, signaling through EP2 and EP4 receptors increases the activity of suppressive immune cell populations found in the tumor microenvironment of metastatic tumors, including myeloid derived suppressor cells, M2 macrophages, regulatory T cells, and exhausted CD8+ T cells. In contrast, EP3 signaling is generally pro-inflammatory and inhibits the activity of EP2 and EP4 receptor signaling. Decreased EP1 and EP3 receptor expression levels has been associated with numerous progressing malignancies. The differential modulation of anti-tumor immune responses by the four individual EP receptors provides the scientific rationale that selective antagonism of only the EP2 and EP4 receptors provides enhanced anti-tumor immunity and improved therapeutic effect, as compared to selective EP4 antagonists or COX-1 or COX-2 inhibitors. Tempest does not believe that preventing signaling through all four EP receptors by inhibiting the production of PGE2 (e.g., with nonsteroidal anti-inflammatory drugs, or NSAIDs, which target both COX-1 and COX-2 or with drugs that target only COX-2) is an optimal therapeutic approach for cancer treatment for two reasons. First, these agents have multiple effects beyond just inhibiting PGE2 production and are associated with renal and cardio toxicities with long-term use, particularly at high doses. Second, and perhaps more importantly, by preventing PGE2 production, these agents prevent PGE2-mediated signaling through EP1 and EP3. Tempest has demonstrated in human immune cell culture systems in vitro that signaling through EP1 and EP3 is required for optimal functional activation of critical immune cell populations required for mounting anti-tumor immunity, such as dendritic cells.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Rationale for Clinical Evaluation of TPST-1495 in Solid Tumors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is strong evidence in the literature that indicates a role of both EP2 and EP4 in regulating PGE2-mediated immune suppression in the tumor microenvironment, or TME, indicating that effective anti-tumor immunity might be best achieved with a dual EP2/EP4 antagonist. Overall, as a dual antagonist targeting both EP2 and EP4, TPST-1495 offers the potential for unique therapeutic properties as compared to either broad inhibition of PGE2 signaling via COX inhibitors or EP4-specific single antagonists that are currently in clinical development. The Figure below provides a schematic representation for selectively antagonizing both EP2 and EP4 receptors with TPST-1495 and preserving PGE2 signaling through EP1 and EP3 to maintain functional immunity. Increased levels of EP2 and EP4 receptor expression is correlated with tumor progression, most notably in colorectal carcinoma; EP2 and EP4 receptor signaling has also been associated with enhanced tumorigenesis. Subjects with all histologic types of solid tumors are eligible for Tempest’s ongoing Phase 1/1b study of TPST-1495. However, enrollment of subjects with colorectal cancer, non-small cell lung cancer, squamous cell carcinoma of the head and neck, urothelial cancer, endometrial cancer, and gastroesophageal junction or gastric cancer are specified in the protocol as being preferred histologies, as the data from preclinical studies evaluating EP2 and EP4 antagonists in vivo as well as gene expression profiling from primary human tumors (data from the Cancer Genome Atlas) indicate that these tumor types may be particularly susceptible to an anti-EP2 and anti-EP4 dual antagonist.</w:t>
      </w:r>
    </w:p>
    <w:p>
      <w:pPr>
        <w:sectPr>
          <w:pgSz w:w="11900" w:h="16838" w:orient="portrait"/>
          <w:cols w:equalWidth="0" w:num="1">
            <w:col w:w="11000"/>
          </w:cols>
          <w:pgMar w:left="440" w:top="274"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TPST-1495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171450</wp:posOffset>
            </wp:positionV>
            <wp:extent cx="3206115" cy="2168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TPST-1495 Antagonist Activity is Selective and Specific to EP2 and EP4</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Tempest evaluated TPST-1495 as a competitive antagonist to PGE2 signaling in a calcium flux assay against human EP1, EP2, EP3 and EP4 using commercially available cell lines that individually express a single designated EP receptor. PGE2 binding to the four related EP receptors leads to distinct downstream signaling events due to the different G protein coupling status of each receptor. EP1 and EP3 signaling activates calcium flux and EP2 and EP4 signaling stimulates the production of immune suppressive cAMP. In order to use calcium flux as a consistent readout for the binding of all four EP receptors to PGE2, cell lines stably expressing EP2 or EP4 were also transfected with a promiscuous G protein. This enabled the activation of the calcium signaling pathway in response to binding of PGE2 to EP2 and EP4. TPST-1495 did not achieve 50% inhibition of EP1 or EP3 at concentrations up to 30 µM, and the IC50 values in two independent experiments were calculated to be 134,200 nM and 108,800 nM for EP1 and EP3, respectively. In contrast, the calculated IC50 for EP2 was 17.21 nM in 14 independent experiments and 3.24 nM for EP4 in15 independent experiments. Tempest believes that these experimental results indicate that TPST-1495 is a highly selective and specific dual antagonist of EP2 and EP4 PGE2 receptors.</w:t>
      </w:r>
    </w:p>
    <w:p>
      <w:pPr>
        <w:spacing w:after="0" w:line="19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Tempest evaluated TPST-1495 selectivity in vitro in a broad Eurofins Cerep screen of 75 targets, supplemented by additional adenosine transporter binding and uptake assays. In the presence of 10 µM TPST-1495, mean inhibition of specific binding for all binding targets was less than 50% with the exception of the adenosine transporter assay. Tempest believes that these results suggest that TPST-1495 is highly selective and does not significantly bind or affect the activity of a broad range of targets. Tempest subsequently determined that the IC50 for inhibition of adenosine uptake was 0.26 µM, which is approximately 16-fold higher than the observed maximum unbound concentration of 0.016 µM TPST-1495 at a clinical dose of 25 mg.</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of TPST-1495 Preclinical Results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Tempest conducted an extensive series of in vitro and in vivo experiments to assess the activity of TPST-1495 to support the rationale for its clinical evaluation. In this section Tempest shows some of its experimental results which Tempest believes collectively indicate that dual antagonism of the EP2 and EP4 PGE2 receptors is an innovative approach to overcome PGE2 immune suppression in human immune cell culture systems in vitro and inhibits tumor development in several mouse tumor models. Additionally, Tempest believes that these results demonstrate that TPST-1495 has significantly increased anti-tumor activity in these experimental systems as compared to single EP4 antagonist molecules.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TPST-1495 Reverses PGE2-Mediated Suppression of Monocyte to Dendritic Cell Differentiation and Activation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Tempest conducted experiments to evaluate the ability of TPST-1495 to reverse PGE2-mediated suppression of primary human monocyte to dendritic cell differentiation and activation in vitro. Shown in the Figure below, TPST-1495 induced a dose-dependent reversal of PGE2-mediated inhibition of CD1a+/CD16- DC differentiation, with a composite IC50 value for the restoration of DC differentiation under PGE2 suppression of 332 nM (calculated from pooled normalized data from 21 independent experiments; 95% confidence interval 251-439 nM) (Panel A). Cells differentiated in the presence of TPST-1495 also exhibited a dose-dependent increase in expression of CD86+, a co-stimulatory marker known to be expressed on mature activated DCs (Panel B), and a converse effect on expression of CD163+, a marker for immunosuppressive M2 macrophages (Panel C). TPST-1495 also demonstrated a dose-dependent reversal of PGE2-mediated inhibition of the proinflammatory cytokines interleukin (IL)-12p70 and TNFα (see second Figure below). This series of experiments indicates that TPST-1495 targeting both EP2 and EP4 receptors is more potent at overcoming PGE2 immune suppression compared to a single EP4 receptor antagonist.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TPST-1495 Appears to Reverse PGE2-Mediated Immune Suppression in Human Monocytes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17145</wp:posOffset>
            </wp:positionV>
            <wp:extent cx="4311650" cy="1139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165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Tempest also evaluated the comparative capacity for TPST-1495 and the single EP4 antagonist E7046 (TPST-7317) to reverse prostaglandin-mediated immune suppression in conditions of both high and low PGE2 concentrations in human monocyte cultures in vitro. The literature indicates that plasma PGE2 levels in healthy individuals range from 30 to 336 pM; importantly, PGE2 levels in the TME can be elevated up to 3 nM. However, the actual level in the TME is likely much higher than reported due to the short half-life of PGE2. The rationale for conducting this experiment was to test the capacity of TPST-1495 to reverse immune suppression in a broad range of PGE2 levels that may encompass the range in the TME. Shown in the figure below, in the presence of 500nM PGE2 (blue curves), the observed concentration of TNFα was significantly lower than with 10nM PGE2 (green curves) which is likely due to increased suppression of PGE2 signaling through EP receptors. In both low and high PGE2 conditions, TPST-1495 rescued the production of TNFα by monocytes. In contrast, the single EP4 antagonist E7046 was only able to partially rescue TNFα production when PGE2 concentrations were below the Kd for EP2 (green curve, right graph). When PGE2 concentrations were above the EP2 Kd (blue curve, right graph), the single EP4 antagonist was unable to rescue TNFα production due to the redundancy of inhibition by PGE2 signaling through the EP2 receptor. These results suggest that at appropriate dose levels, TPST-1495 may completely block signaling through both EP2 and EP4 pathways in the TME and that this dual blockade is more effective than EP4 blockade alone to reverse PGE2-mediated immune suppression.</w:t>
      </w:r>
    </w:p>
    <w:p>
      <w:pPr>
        <w:sectPr>
          <w:pgSz w:w="11900" w:h="16838" w:orient="portrait"/>
          <w:cols w:equalWidth="0" w:num="1">
            <w:col w:w="11000"/>
          </w:cols>
          <w:pgMar w:left="440" w:top="274" w:right="459" w:bottom="1440" w:gutter="0" w:footer="0" w:header="0"/>
        </w:sectPr>
      </w:pPr>
    </w:p>
    <w:bookmarkStart w:id="12" w:name="page13"/>
    <w:bookmarkEnd w:id="12"/>
    <w:p>
      <w:pPr>
        <w:jc w:val="center"/>
        <w:ind w:left="480"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Antagonism of Both EP2 and EP4 Receptors with TPST-1495 is Required to Reverse Immune Suppression in Human Monocytes at High and Low Prostaglandin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131445</wp:posOffset>
            </wp:positionV>
            <wp:extent cx="3797300" cy="2065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973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TPST-1495 Activity in Mouse Tumor Models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Tempest conducted extensive experiments in several tumor mouse models to evaluate the anti-tumor activity of TPST-1495 and to compare its potency to a single EP4 antagonist E7046, developed by Eisai Co. Ltd., or Eisai. Tempest believes that these experimental results demonstrate that TPST-1495 has increased therapeutic activity in tumor-bearing mouse models and has significantly improved anti-tumor activity compared to single EP4 antagonists. As shown in the figure below, TPST-1495 demonstrated significant efficacy as monotherapy when given to Balb/c mice bearing established flank CT26 colon tumors. In these experiments, Tempest analyzed immune compartments in the TME using flow analysis and immunohistochemistry, or IHC, to evaluate whether the anti-tumor effects observed in this model correlated with changes in tumor-infiltrating lymphocytes, or TILs. Administration of TPST-1495 at 100 mg/kg BID significantly increased the total T cell number and percentage of CD4+ and CD8+ T cells within the tumor compared to vehicle control. Specifically, immunodominant AH1 tumor antigen specific CD8+ T cells (AH1 tetramer+) were significantly elevated (p = 0.035). Mice treated with TPST-1495 demonstrated immune activation, with increased effector to Treg cell ratio (p=0.0001). Consistent with increased T cells in the TME, the absolute number and frequency of AH1 tetramer+ T cells was also significantly elevated in the tumor draining lymph node.</w:t>
      </w:r>
    </w:p>
    <w:p>
      <w:pPr>
        <w:sectPr>
          <w:pgSz w:w="11900" w:h="16838" w:orient="portrait"/>
          <w:cols w:equalWidth="0" w:num="1">
            <w:col w:w="10960"/>
          </w:cols>
          <w:pgMar w:left="440" w:top="270" w:right="49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TPST-1495 Anti-Tumor Response in Mice Correlates with Increased CD8+ T cells and Reduced Tregs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5177790" cy="2597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77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shown in the figure below, TPST-1495 anti-tumor efficacy in the CT26 colon tumor model was significantly diminished when CD8+ T cells were depleted from the mouse with anti-CD8 antibodies. Additionally, treatment with anti-CD8 antibody reversed the effects of TPST-1495 on tumor infiltration, with a large reduction of CD8+ T cells and AH1 rejection antigen specific CD8+ T cells (data not shown).</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CD8+ T cells are Required for the TPST-1495 Mediated Anti-Tumor Response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CT26 Colon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5715</wp:posOffset>
            </wp:positionV>
            <wp:extent cx="2802890" cy="1945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0289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published literature indicates that blockade of the prostaglandin pathway in mice bearing non-inflamed or “cold” tumors leads to the recruitment of IFNg expressing NK cells, the development of tumor-specific CD8+ T cell immunity and tumor reduction. To support the rationale for combination of TPST-1495 with anti-PD-1 immune checkpoint inhibitors in patients, Tempest tested the possible increased anti-tumor activity in the CT26 model by combining TPST-1495 and anti-PD-1 monoclonal antibody therapies. Shown in the figure below, TPST-1495 alone exhibited a 35% reduction in tumor growth compared to vehicle-treated animals (n = 10 per group). A 31% reduction in tumor growth was observed in mice given anti-PD-1 monotherapy. When combined, TPST-1495 and anti-PD-1 decreased tumor growth by 73%, a significant reduction when compared to either the TPST-1495 (p = 0.036) or anti-PD-1 monotherapy cohorts (p = 0.004).</w:t>
      </w:r>
    </w:p>
    <w:p>
      <w:pPr>
        <w:sectPr>
          <w:pgSz w:w="11900" w:h="16838" w:orient="portrait"/>
          <w:cols w:equalWidth="0" w:num="1">
            <w:col w:w="10920"/>
          </w:cols>
          <w:pgMar w:left="440" w:top="270" w:right="539" w:bottom="1440" w:gutter="0" w:footer="0" w:header="0"/>
        </w:sectPr>
      </w:pPr>
    </w:p>
    <w:bookmarkStart w:id="14" w:name="page15"/>
    <w:bookmarkEnd w:id="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TPST-1495 Synergistic Activity with anti-PD1 Combination in CT26 Tumor Bearing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171450</wp:posOffset>
            </wp:positionV>
            <wp:extent cx="3240405" cy="2014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040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Tempest also evaluated the anti-tumor activity of TPST 1495 in a spontaneous mouse model which recapitulates many aspects of human CRC. The so-named Apc</w:t>
      </w:r>
      <w:r>
        <w:rPr>
          <w:rFonts w:ascii="Arial" w:cs="Arial" w:eastAsia="Arial" w:hAnsi="Arial"/>
          <w:sz w:val="13"/>
          <w:szCs w:val="13"/>
          <w:color w:val="auto"/>
        </w:rPr>
        <w:t>Min/+</w:t>
      </w:r>
      <w:r>
        <w:rPr>
          <w:rFonts w:ascii="Arial" w:cs="Arial" w:eastAsia="Arial" w:hAnsi="Arial"/>
          <w:sz w:val="16"/>
          <w:szCs w:val="16"/>
          <w:color w:val="auto"/>
        </w:rPr>
        <w:t xml:space="preserve"> mice harbor one copy of the multiple intestinal neoplasia (Min) mutant allele of the adenomatous polyposis coli, or(APC, locus and spontaneously develop multiple tumors primarily in the small intestine. Both humans and mice bearing APC mutations are predisposed to the spontaneous formation of adenomas and adenocarcinomas; humans with APC mutations typically develop tumors throughout the small and large intestine. To test the impact of TPST-1495 therapy on small intestine tumor development in the ApcMin/+ model, mice were treated, starting at the age of six weeks, with 100 mg/kg TPST-1495 (n = 12) or methylcellulose (MC) vehicle (n = 12) by twice daily gavage for the duration of eight weeks. The anti-tumor efficacy of dual antagonism of EP2 and EP4 receptors by TPST-1495 was compared to a single EP4-specific receptor antagonist, TPST-7317, which corresponds to E7046, the molecule developed by Eisai and is in clinical development by Adlai Nortye Biopharma. 24, six-week-old ApcMin/+ mice were randomly divided into three groups and treated with methylcellulose vehicle control, or MC, MC-containing TPST-1495 (100 mg/kg) or TPST-7317 (100 mg/kg) by twice-daily gavage for eight weeks. The EP4 antagonist IC50 was comparable for both compounds. As shown in the figure below, TPST-7317 did not significantly inhibit the number and/or size of small intestine tumors (33.83 ± 3.95 tumors in control mice compared to 30.67</w:t>
      </w:r>
    </w:p>
    <w:p>
      <w:pPr>
        <w:spacing w:after="0" w:line="4" w:lineRule="exact"/>
        <w:rPr>
          <w:sz w:val="20"/>
          <w:szCs w:val="20"/>
          <w:color w:val="auto"/>
        </w:rPr>
      </w:pPr>
    </w:p>
    <w:p>
      <w:pPr>
        <w:ind w:left="4" w:right="80" w:hanging="4"/>
        <w:spacing w:after="0" w:line="253" w:lineRule="auto"/>
        <w:tabs>
          <w:tab w:leader="none" w:pos="148" w:val="left"/>
        </w:tabs>
        <w:numPr>
          <w:ilvl w:val="0"/>
          <w:numId w:val="4"/>
        </w:numPr>
        <w:rPr>
          <w:rFonts w:ascii="Arial" w:cs="Arial" w:eastAsia="Arial" w:hAnsi="Arial"/>
          <w:sz w:val="18"/>
          <w:szCs w:val="18"/>
          <w:color w:val="auto"/>
        </w:rPr>
      </w:pPr>
      <w:r>
        <w:rPr>
          <w:rFonts w:ascii="Arial" w:cs="Arial" w:eastAsia="Arial" w:hAnsi="Arial"/>
          <w:sz w:val="18"/>
          <w:szCs w:val="18"/>
          <w:color w:val="auto"/>
        </w:rPr>
        <w:t>3.63 tumors in TPST-7317 treated mice, p = 0.5683). In contrast, treatment of mice with TPST-1495 resulted in an approximately five-fold reduction in tumors compared to control mice (6.33 ± 1.65 tumors per small intestine; p &lt; 0.0001). Tempest believes that these results demonstrate that TPST-1495 has potent anti-tumor activity as monotherapy and that antagonizing both EP2 and EP4 is significantly more effective at reducing tumor lesions in ApcMin/+ mice compared to single EP4 antagonists.</w:t>
      </w:r>
    </w:p>
    <w:p>
      <w:pPr>
        <w:sectPr>
          <w:pgSz w:w="11900" w:h="16838" w:orient="portrait"/>
          <w:cols w:equalWidth="0" w:num="1">
            <w:col w:w="11004"/>
          </w:cols>
          <w:pgMar w:left="436" w:top="270" w:right="459" w:bottom="1440" w:gutter="0" w:footer="0" w:header="0"/>
        </w:sectPr>
      </w:pPr>
    </w:p>
    <w:bookmarkStart w:id="15" w:name="page16"/>
    <w:bookmarkEnd w:id="15"/>
    <w:p>
      <w:pPr>
        <w:jc w:val="center"/>
        <w:ind w:left="460"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Dual EP2 and EP4 Antagonism with TPST-1495 has Significantly Increased Anti-Tumor Potency Compared to a Single EP4 Antagonist in the APC Mouse Model of Human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131445</wp:posOffset>
            </wp:positionV>
            <wp:extent cx="2459990" cy="1611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Significance: * p &lt; 0.05, *** = p &lt; 0.001, **** = p &lt; 0.0001; TPST-7317 is E7046 single EP4 antagonist developed by Eisai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IND-Enabling Toxicology Studies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toxicology program for TPST-1495 was designed to evaluate its toxicity profile, enable selection of an appropriate clinical starting dose, and support the oral administration of TPST-1495 to advanced cancer patients. Potential toxicity was characterized in 28-day repeated-dose good-laboratory-practice, or GLP, studies conducted in two relevant species, rats and monkeys.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primary microscopic target organ in the TPST-1495 toxicology program, common to both species, was the gastrointestinal, or GI, tract. In monkeys, liquid or nonformed feces was noted. Microscopic findings of erosion/ulceration and inflammation in the GI tract were the main observations, which were reversible after a 28-day recovery period. In the rat, the locations of the findings were primarily in the stomach and duodenum, while in the monkey, the locations of findings were the stomach, cecum, and colon.</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28-day GLP repeat-dose study conducted in rats, since GI tract microscopic findings were adverse at all doses tested, a no-observed-adverse-effect-level, or NOAEL, was not established. However, the highest non-severely toxic dose, or HNSTD, was 300 mg/kg/day. Clinical pathology findings were limited to animals given ³ 30 mg/kg/day and were consistent with inflammation and blood loss with a regenerative response. Glandular stomach ulcers and/or erosions were observed microscopically in animals at all doses and were associated with inflammatory infiltrates and/or hemorrhage, but the findings were of low incidence and lacked a dose response. Stomach ulcers and erosions were considered adverse at all TPST-1495 doses. At the end of the 28-day drug-free recovery period, there were no ulcers or erosions apparent in animals in any dose group.</w:t>
      </w:r>
    </w:p>
    <w:p>
      <w:pPr>
        <w:spacing w:after="0" w:line="16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In the 28-day GLP repeat-dose study conducted in monkeys, the NOAEL was 100 mg/kg/day. In addition to the GI tract, target organs identified in the monkey included the kidney and liver. Findings in these two organs were only observed at higher doses in initial non-GLP monkey repeat-dose studies. At high doses, moderate to marked increases in urea nitrogen and creatinine were noted, with increased inorganic phosphorus concentrations.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Microscopically, kidney findings were characterized as renal tubular degeneration/necrosis, with associated mixed cell inflammation in two animals given 500 mg/kg/day. Clinical chemistry parameters that were increased included total bilirubin, alkaline phosphatase (ALP), alanine aminotransferase (ALT) and aspartate aminotransferase (AST). Histologic liver findings consisted of hepatocellular hypertrophy, hepatocyte vacuolation, periportal inflammation, and/or Kupffer cell hyperplasia of animals administered ³ 150 mg/kg/day.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TPST-1495 was not mutagenic in a non-GLP bacterial mutation assay, and was found to be not phototoxic in a GLP study conducted in rats.</w:t>
      </w:r>
    </w:p>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Ongoing TPST-1495 Phase 1a/1b Clinical study: Overview</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Tempest initiated a first-in-human Phase 1 study in May 2020 to evaluate the safety, tolerability, PK, PD and preliminary anti-tumor activity of TPST-1495 in a multicenter, open-label, dose-escalation, dose and schedule optimization, and expansion study in subjects with advanced solid tumors. Subjects with all histologic types of solid tumors are eligible for the dose-escalation and schedule and dose optimization stages, and to be eligible for study, subjects must have no remaining standard therapy known to confer clinical benefit. The study is composed of three stages. First, the dose-escalation stage will determine the maximum tolerated dose, or MTD, and/or RP2D of single-agent TPST-1495 administered twice daily, or BID. Second, the schedule and dose optimization stage will evaluate alternative TPST-1495 administration schedules and determine a RP2D for the selected schedule. Third, an expansion stage will evaluate the activity of TPST-1495 in targeted patient populations.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dose escalation stage of the Phase 1a/1b clinical trial was completed in Q1 2021 and patients currently are enrolling in the schedule and dose optimization stage. During the dose escalation stage, TPST-1495 was initially administered on a BID schedule. However, higher than predicted exposure, i.e., greater than IC90 of the EP2 and EP4 receptors at trough exposure, was associated with reduced GI tolerability that limited chronic dosing by subjects on the BID schedule. On the current schedule and dose optimization stage of the trial, TPST-1495 is administered once daily, or QD, and is being evaluated on a continuous dosing and an intermittent dosing schedule of days 1-5, every 7 days. Tempest’s hypothesis is that the trough exposure levels achieved with QD dosing will improve gut homeostasis and tolerability for chronic dosing while maintaining the Cmax drug levels that Tempest believes block EP2/EP4 receptor signaling in the TME, thereby providing clinical benefit to subjects during chronic dosing. Both the QD continuous and intermittent administration schedules will be tested at the 25 mg dose level, and possibly higher and lower dose levels.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Clinical Pharmacology</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Pharmacokinetic, or PK, analyses revealed that the drug exposure at steady state in subjects who received the BID dosing schedule remained well above the human whole blood IC50 values for the EP2 and EP4 receptors at 50 mg and 25 mg dose levels. The figure below shows the TPST-1495 concentration-time profiles following a single dose on Day 1 and steady state drug concentrations on Day 8 for the QD or BID dosing schedules. The PK profiles on Days 1 and 8 of study subjects treated at 25 mg on the QD schedule demonstrated that once daily dosing of TPST-1495 reduced the minimum observed plasma concentration, or Cmin, and the steady state exposure levels of drug compared to the BID schedule. Tempest believes that improved exposure on the QD schedule facilitates intestinal mucosal homeostasis and is associated with improved drug tolerability compared to the BID schedule. Based upon the improved drug exposure and tolerability on the QD schedule, we have selected the QD schedule as the preferred schedule for TPST-1495 administration.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Concentration-Time Profiles by Dose Level for TPST-1495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25 mg and 50 mg BID and QD Dosing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5715</wp:posOffset>
            </wp:positionV>
            <wp:extent cx="3660140" cy="2185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60140" cy="218567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 BID = twice a day; D = day; h = hour; IC50 = half maximal inhibitory concentration.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BID administration, Day 1 PK is following a single dose, Day 8 is BID, and Day 22 is BID.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Error bars are standard deviations around the mean.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pharmacodynamic, or PD, assessment in subjects treated with TPST-1495 includes both the PGE2 whole blood immune suppression assay conducted with patient blood discussed in the nonclinical section and measurements of a stable metabolite of PGE2 known as PGEM in the urine. Shown in the figure below, the first PD results indicate target engagement in subjects dosed with 25 mg TPST-1495, as indicated by the reversal of PGE2 immune suppression in the whole blood assay, as shown by the increase of TNFα production in whole blood monocytes due to TPST-1495 exposure. Tempest has also observed increased levels of PGEM in the urine, resulting from TPST-1495 antagonism of EP2 and EP4 receptors (inferred through measurement of the PGEM metabolite).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Recovery of TNF-a Production in Whole Blood on the First Day Following Dosing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25 mg and 50 mg TPST-1495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160020</wp:posOffset>
            </wp:positionV>
            <wp:extent cx="3557270" cy="1440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Percent increase of TNF-</w:t>
      </w:r>
      <w:r>
        <w:rPr>
          <w:rFonts w:ascii="Arial" w:cs="Arial" w:eastAsia="Arial" w:hAnsi="Arial"/>
          <w:sz w:val="18"/>
          <w:szCs w:val="18"/>
          <w:color w:val="auto"/>
        </w:rPr>
        <w:t>α</w:t>
      </w:r>
      <w:r>
        <w:rPr>
          <w:rFonts w:ascii="Arial" w:cs="Arial" w:eastAsia="Arial" w:hAnsi="Arial"/>
          <w:sz w:val="18"/>
          <w:szCs w:val="18"/>
          <w:i w:val="1"/>
          <w:iCs w:val="1"/>
          <w:color w:val="auto"/>
        </w:rPr>
        <w:t xml:space="preserve"> measured in subjects’ whole blood as indicated by ELISA following stimulation with LPS alone with and without exogenously added PGE2 sampled at the times indicated in the legend post dosing. The values expressed reflect the percent recovery of TNF-</w:t>
      </w:r>
      <w:r>
        <w:rPr>
          <w:rFonts w:ascii="Arial" w:cs="Arial" w:eastAsia="Arial" w:hAnsi="Arial"/>
          <w:sz w:val="18"/>
          <w:szCs w:val="18"/>
          <w:color w:val="auto"/>
        </w:rPr>
        <w:t>α</w:t>
      </w:r>
      <w:r>
        <w:rPr>
          <w:rFonts w:ascii="Arial" w:cs="Arial" w:eastAsia="Arial" w:hAnsi="Arial"/>
          <w:sz w:val="18"/>
          <w:szCs w:val="18"/>
          <w:i w:val="1"/>
          <w:iCs w:val="1"/>
          <w:color w:val="auto"/>
        </w:rPr>
        <w:t xml:space="preserve"> production observed in the presence of PGE2 and TPST-1495 in subject plasma as compared to the level TNF-</w:t>
      </w:r>
      <w:r>
        <w:rPr>
          <w:rFonts w:ascii="Arial" w:cs="Arial" w:eastAsia="Arial" w:hAnsi="Arial"/>
          <w:sz w:val="18"/>
          <w:szCs w:val="18"/>
          <w:color w:val="auto"/>
        </w:rPr>
        <w:t>α</w:t>
      </w:r>
      <w:r>
        <w:rPr>
          <w:rFonts w:ascii="Arial" w:cs="Arial" w:eastAsia="Arial" w:hAnsi="Arial"/>
          <w:sz w:val="18"/>
          <w:szCs w:val="18"/>
          <w:i w:val="1"/>
          <w:iCs w:val="1"/>
          <w:color w:val="auto"/>
        </w:rPr>
        <w:t xml:space="preserve"> production in subject plasma stimulated with LPS alone (without PGE2).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Preliminary Clinical Safety</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As of June 28, 2021, 27 subjects have enrolled into the ongoing TPST-1495-001 study and received at least one dose of TPST-1495 as monotherapy. Enrollment is ongoing and the MTD and/or RP2D are not yet identified. The safety profile of TPST-1495 has been characterized by predominantly (70%) low and moderate Grade 1-2 treatment related adverse events, or TRAE, with 30% of the 27 safety subjects experiencing a Grade 3 TRAE. The most common TRAEs of any grade have been diarrhea (26%), abdominal pain (26%), dyspepsia (22%), anemia (19%), fatigue (19%), and nausea (15%). The only Grade 3 TRAE reported in more than one study subject is anemia (11%). There have been no reported Grade 4 or Grade 5 AEs.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TPST-1495 Treatment-Related Adverse Events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Preferred Term (PT)</w:t>
            </w:r>
          </w:p>
        </w:tc>
        <w:tc>
          <w:tcPr>
            <w:tcW w:w="1720" w:type="dxa"/>
            <w:vAlign w:val="bottom"/>
            <w:gridSpan w:val="2"/>
          </w:tcPr>
          <w:p>
            <w:pPr>
              <w:jc w:val="right"/>
              <w:ind w:right="950"/>
              <w:spacing w:after="0"/>
              <w:rPr>
                <w:sz w:val="20"/>
                <w:szCs w:val="20"/>
                <w:color w:val="auto"/>
              </w:rPr>
            </w:pPr>
            <w:r>
              <w:rPr>
                <w:rFonts w:ascii="Arial" w:cs="Arial" w:eastAsia="Arial" w:hAnsi="Arial"/>
                <w:sz w:val="14"/>
                <w:szCs w:val="14"/>
                <w:b w:val="1"/>
                <w:bCs w:val="1"/>
                <w:color w:val="auto"/>
                <w:w w:val="94"/>
              </w:rPr>
              <w:t>All Grades</w:t>
            </w: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Grade 3</w:t>
            </w:r>
          </w:p>
        </w:tc>
        <w:tc>
          <w:tcPr>
            <w:tcW w:w="0" w:type="dxa"/>
            <w:vAlign w:val="bottom"/>
          </w:tcPr>
          <w:p>
            <w:pPr>
              <w:spacing w:after="0"/>
              <w:rPr>
                <w:sz w:val="1"/>
                <w:szCs w:val="1"/>
                <w:color w:val="auto"/>
              </w:rPr>
            </w:pPr>
          </w:p>
        </w:tc>
      </w:tr>
      <w:tr>
        <w:trPr>
          <w:trHeight w:val="178"/>
        </w:trPr>
        <w:tc>
          <w:tcPr>
            <w:tcW w:w="5640" w:type="dxa"/>
            <w:vAlign w:val="bottom"/>
            <w:gridSpan w:val="2"/>
            <w:vMerge w:val="continue"/>
          </w:tcPr>
          <w:p>
            <w:pPr>
              <w:spacing w:after="0"/>
              <w:rPr>
                <w:sz w:val="15"/>
                <w:szCs w:val="15"/>
                <w:color w:val="auto"/>
              </w:rPr>
            </w:pPr>
          </w:p>
        </w:tc>
        <w:tc>
          <w:tcPr>
            <w:tcW w:w="1720" w:type="dxa"/>
            <w:vAlign w:val="bottom"/>
            <w:gridSpan w:val="2"/>
          </w:tcPr>
          <w:p>
            <w:pPr>
              <w:jc w:val="right"/>
              <w:ind w:right="1130"/>
              <w:spacing w:after="0" w:line="158" w:lineRule="exact"/>
              <w:rPr>
                <w:sz w:val="20"/>
                <w:szCs w:val="20"/>
                <w:color w:val="auto"/>
              </w:rPr>
            </w:pPr>
            <w:r>
              <w:rPr>
                <w:rFonts w:ascii="Arial" w:cs="Arial" w:eastAsia="Arial" w:hAnsi="Arial"/>
                <w:sz w:val="14"/>
                <w:szCs w:val="14"/>
                <w:b w:val="1"/>
                <w:bCs w:val="1"/>
                <w:color w:val="auto"/>
              </w:rPr>
              <w:t>N=27</w:t>
            </w:r>
          </w:p>
        </w:tc>
        <w:tc>
          <w:tcPr>
            <w:tcW w:w="9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N=27</w:t>
            </w:r>
          </w:p>
        </w:tc>
        <w:tc>
          <w:tcPr>
            <w:tcW w:w="0" w:type="dxa"/>
            <w:vAlign w:val="bottom"/>
          </w:tcPr>
          <w:p>
            <w:pPr>
              <w:spacing w:after="0"/>
              <w:rPr>
                <w:sz w:val="1"/>
                <w:szCs w:val="1"/>
                <w:color w:val="auto"/>
              </w:rPr>
            </w:pPr>
          </w:p>
        </w:tc>
      </w:tr>
      <w:tr>
        <w:trPr>
          <w:trHeight w:val="189"/>
        </w:trPr>
        <w:tc>
          <w:tcPr>
            <w:tcW w:w="1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Abdominal pain</w:t>
            </w:r>
          </w:p>
        </w:tc>
        <w:tc>
          <w:tcPr>
            <w:tcW w:w="436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w:t>
            </w:r>
          </w:p>
        </w:tc>
        <w:tc>
          <w:tcPr>
            <w:tcW w:w="1040" w:type="dxa"/>
            <w:vAlign w:val="bottom"/>
          </w:tcPr>
          <w:p>
            <w:pPr>
              <w:jc w:val="right"/>
              <w:ind w:right="510"/>
              <w:spacing w:after="0" w:line="189" w:lineRule="exact"/>
              <w:rPr>
                <w:sz w:val="20"/>
                <w:szCs w:val="20"/>
                <w:color w:val="auto"/>
              </w:rPr>
            </w:pPr>
            <w:r>
              <w:rPr>
                <w:rFonts w:ascii="Arial" w:cs="Arial" w:eastAsia="Arial" w:hAnsi="Arial"/>
                <w:sz w:val="18"/>
                <w:szCs w:val="18"/>
                <w:color w:val="auto"/>
                <w:w w:val="87"/>
              </w:rPr>
              <w:t>(26%)</w:t>
            </w:r>
          </w:p>
        </w:tc>
        <w:tc>
          <w:tcPr>
            <w:tcW w:w="5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Diarrhea</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7 (26%)</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1 (4%)</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Dyspepsia</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6 (22%)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Anemia</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5 (19%)</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w w:val="88"/>
              </w:rPr>
              <w:t>3 (11%)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Fatigue</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5 (19%)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Nausea</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4 (15%)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Oedema peripheral</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3 (11%)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Vomiting</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3 (11%)</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Gastrointestinal hemorrhage</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ind w:left="20"/>
              <w:spacing w:after="0"/>
              <w:rPr>
                <w:sz w:val="20"/>
                <w:szCs w:val="20"/>
                <w:color w:val="auto"/>
              </w:rPr>
            </w:pPr>
            <w:r>
              <w:rPr>
                <w:rFonts w:ascii="Arial" w:cs="Arial" w:eastAsia="Arial" w:hAnsi="Arial"/>
                <w:sz w:val="18"/>
                <w:szCs w:val="18"/>
                <w:color w:val="auto"/>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1 (4%)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Abdominal distension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ind w:left="2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Dizziness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ind w:left="2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Hematochezia</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ind w:left="2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Lymphopenia</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ind w:left="20"/>
              <w:spacing w:after="0"/>
              <w:rPr>
                <w:sz w:val="20"/>
                <w:szCs w:val="20"/>
                <w:color w:val="auto"/>
              </w:rPr>
            </w:pPr>
            <w:r>
              <w:rPr>
                <w:rFonts w:ascii="Arial" w:cs="Arial" w:eastAsia="Arial" w:hAnsi="Arial"/>
                <w:sz w:val="18"/>
                <w:szCs w:val="18"/>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1 (4%)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Esophageal hemorrhage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jc w:val="right"/>
              <w:spacing w:after="0"/>
              <w:rPr>
                <w:sz w:val="20"/>
                <w:szCs w:val="20"/>
                <w:color w:val="auto"/>
              </w:rPr>
            </w:pPr>
            <w:r>
              <w:rPr>
                <w:rFonts w:ascii="Arial" w:cs="Arial" w:eastAsia="Arial" w:hAnsi="Arial"/>
                <w:sz w:val="18"/>
                <w:szCs w:val="18"/>
                <w:color w:val="auto"/>
              </w:rPr>
              <w:t>1 (4%)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Abdominal discomfort</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Abdominal pain upper</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Alanine aminotransferase increased</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Aspartate aminotransferase increased</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Blood alkaline phosphatase increased</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jc w:val="right"/>
              <w:spacing w:after="0"/>
              <w:rPr>
                <w:sz w:val="20"/>
                <w:szCs w:val="20"/>
                <w:color w:val="auto"/>
              </w:rPr>
            </w:pPr>
            <w:r>
              <w:rPr>
                <w:rFonts w:ascii="Arial" w:cs="Arial" w:eastAsia="Arial" w:hAnsi="Arial"/>
                <w:sz w:val="18"/>
                <w:szCs w:val="18"/>
                <w:color w:val="auto"/>
              </w:rPr>
              <w:t>1 (4%)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Blood creatinine increased</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Chest pain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Chills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Colitis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Constipation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Decreased appetite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Dehydration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Diverticulitis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Duodenal ulcer</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Dyspnoea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Steatorrhea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Flatulence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Gastric ulcer</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Gastrointestinal pain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Gastrooesophageal reflux disease</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Hemoglobin decreased</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Melaena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Mucosal Inflammation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Neutropenia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Pruritus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Pyrexia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Rash maculo-papular</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Rash pruritic</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Renal pain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Thrombocytopenia</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Tumor pain</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ind w:lef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Preliminary Clinical Activity</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June 28, 2021, 27 subjects have enrolled into the study and received at least one dose of TPST-1495 as monotherapy treatment. The Swimmer’s plot shown below summarizes the TPST-1495 treatment duration (in some cases ongoing) of all dosed patients in this intent-to-treat population and is annotated with the Best Overall Response, or BOR, for subjects who achieved 0% tumor growth or reduction of target lesions on treatment. Of note, these emerging data indicate that subjects starting on (or reduced to) the QD schedule at the current 25 mg dose have a generally increased duration of treatment and improved objective tumor response compared to the BID schedule, consistent with improved tolerability and more prolonged dosing with the QD schedule. In addition, four patients on the 25 mg QD dose schedule experienced a reduction in disease specific tumor marker, i.e., PSA and CEA in prostate and colon cancer subjects respectively. With 1 subject ongoing before first tumor assessment, a best response of stable disease, or SD, has been observed in 35% (9/26) of study subjects treated to date, including shrinkage of measurable disease up to -13%. Enrollment into the dose and schedule optimization cohorts continues with identification of the monotherapy RP2D anticipated by the end of 2021 or in early 2022.</w:t>
      </w:r>
    </w:p>
    <w:p>
      <w:pPr>
        <w:sectPr>
          <w:pgSz w:w="11900" w:h="16838" w:orient="portrait"/>
          <w:cols w:equalWidth="0" w:num="1">
            <w:col w:w="10980"/>
          </w:cols>
          <w:pgMar w:left="440" w:top="274" w:right="47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TPST-1495 Treatment Duration and Best Overall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171450</wp:posOffset>
            </wp:positionV>
            <wp:extent cx="5332095" cy="3308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209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4" w:hanging="424"/>
        <w:spacing w:after="0" w:line="259" w:lineRule="auto"/>
        <w:tabs>
          <w:tab w:leader="none" w:pos="42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Asterisk denotes a dose reduction during course of study; asterisked 25mg BID patients changed schedule to 25mg QD. Data source are electronic data capture and site clinical site communications and are preliminary partially-unmonitored data. For ongoing patients, last dose of TPST-1495 assumed to be June 28, 2021. Subjects shown in the Figure were enrolled into the Dose Escalation or the schedule and dose optimization arms of the Phase 1a/1b clinical study.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Overview of TPST-1495 Next Steps</w:t>
      </w:r>
    </w:p>
    <w:p>
      <w:pPr>
        <w:spacing w:after="0" w:line="117"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 xml:space="preserve">Once the TPST-1495 monotherapy RP2D and schedule are identified, Tempest plans to initiate focused expansion cohorts to evaluate monotherapy TPST-1495 in (i) specific patient populations that are strongly associated with prostaglandin signaling and high expression of EP2 and EP4 receptors, and (ii) a biomarker-defined basket cohort limited to patients with an activating mutation in a gene associated with anti-tumor benefit from inhibition of prostaglandin signaling in both preclinical and clinical studies. Additionally, in the second half of 2021, Tempest plans to initiate the evaluation of TPST-1495 in combination with anti-PD-1 therapy based upon the strong preclinical evidence generated by Tempest that TPST-1495 reduces the immune suppressor cell population and increases immune effector cells in the tumor microenvironment, as well as the strong combinatorial activity of TPST-1495 and anti-PD-1 therapy in immune competent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models.</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TPST-1120: PPAR</w:t>
      </w:r>
      <w:r>
        <w:rPr>
          <w:rFonts w:ascii="Arial" w:cs="Arial" w:eastAsia="Arial" w:hAnsi="Arial"/>
          <w:sz w:val="18"/>
          <w:szCs w:val="18"/>
          <w:color w:val="auto"/>
        </w:rPr>
        <w:t>α</w:t>
      </w:r>
      <w:r>
        <w:rPr>
          <w:rFonts w:ascii="Arial" w:cs="Arial" w:eastAsia="Arial" w:hAnsi="Arial"/>
          <w:sz w:val="18"/>
          <w:szCs w:val="18"/>
          <w:b w:val="1"/>
          <w:bCs w:val="1"/>
          <w:color w:val="auto"/>
        </w:rPr>
        <w:t xml:space="preserve"> Transcription Factor Antagonist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Overall Program Summary</w:t>
      </w:r>
    </w:p>
    <w:p>
      <w:pPr>
        <w:spacing w:after="0" w:line="117"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TPST-1120 is potentially a first-in-class oral, small molecule antagonist of Peroxisome Proliferator-Activated Receptor-alpha, or PPARα, currently in multicenter, open-label, dose-escalation, Phase 1a/1b clinical studies as both monotherapy and in combination with nivolumab in patients with advanced solid tumors. The dose escalation phase of the clinical study has been completed, and the combination arm is ongoing. Tempest has observed evidence of TPST-1120 clinical activity in the dose escalation arms, and plans to disclose the results of the monotherapy and combination therapy dose escalation studies in the first half of 2021. Tempest expects to initiate a multicenter global randomized Phase 1b/2 clinical study in collaboration with Hoffman-La Roche Ltd. in the mid 2021 that will evaluate TPST-1120 in combination with atezolizumab (Tecentriq</w:t>
      </w:r>
      <w:r>
        <w:rPr>
          <w:rFonts w:ascii="Arial" w:cs="Arial" w:eastAsia="Arial" w:hAnsi="Arial"/>
          <w:sz w:val="14"/>
          <w:szCs w:val="14"/>
          <w:color w:val="auto"/>
        </w:rPr>
        <w:t>®</w:t>
      </w:r>
      <w:r>
        <w:rPr>
          <w:rFonts w:ascii="Arial" w:cs="Arial" w:eastAsia="Arial" w:hAnsi="Arial"/>
          <w:sz w:val="17"/>
          <w:szCs w:val="17"/>
          <w:color w:val="auto"/>
        </w:rPr>
        <w:t>) and bevacizumab (Avastin</w:t>
      </w:r>
      <w:r>
        <w:rPr>
          <w:rFonts w:ascii="Arial" w:cs="Arial" w:eastAsia="Arial" w:hAnsi="Arial"/>
          <w:sz w:val="14"/>
          <w:szCs w:val="14"/>
          <w:color w:val="auto"/>
        </w:rPr>
        <w:t>®</w:t>
      </w:r>
      <w:r>
        <w:rPr>
          <w:rFonts w:ascii="Arial" w:cs="Arial" w:eastAsia="Arial" w:hAnsi="Arial"/>
          <w:sz w:val="17"/>
          <w:szCs w:val="17"/>
          <w:color w:val="auto"/>
        </w:rPr>
        <w:t>) in previously untreated patients with advanced hepatocellular carcinoma, or HCC.</w:t>
      </w:r>
    </w:p>
    <w:p>
      <w:pPr>
        <w:sectPr>
          <w:pgSz w:w="11900" w:h="16838" w:orient="portrait"/>
          <w:cols w:equalWidth="0" w:num="1">
            <w:col w:w="11004"/>
          </w:cols>
          <w:pgMar w:left="436" w:top="270" w:right="459" w:bottom="1440" w:gutter="0" w:footer="0" w:header="0"/>
        </w:sectPr>
      </w:pPr>
    </w:p>
    <w:bookmarkStart w:id="20" w:name="page21"/>
    <w:bookmarkEnd w:id="2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illustrated in the figure below, tumors evolve to modulate metabolism to promote their own survival, promote angiogenesis and to evade immune recognition. PPARα is a transcription factor that is activated through binding of long-chain fatty acid ligands, which in turn regulates the expression of &gt;100 genes that control glucose and lipid homeostasis, inflammation, proliferation, differentiation and cell death. Included among these regulated genes are those that enable FAO and b-oxidation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TCGA public database reveal a metabolic gene expression profile characterized by increased PPARα, FAO genes and lipogenesis associated with increased metastatic potential and reduced survival enrichment among multiple cancers, including HCC, cholangiocarcinoma, breast carcinoma, colorectal adenocarcinoma, RCC, lung adenocarcinoma, and prostate adenocarcinoma. TPST-1120 is designed to collectively block the pathways that support tumor cell proliferation, angiogenesis and immune suppression, resulting in reduced disease and patient benefit.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TPST-1120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171450</wp:posOffset>
            </wp:positionV>
            <wp:extent cx="3591560" cy="1594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9156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Rationale for Clinical Evaluation of TPST-1120 in Solid Tumors: The Role of PPAR</w:t>
      </w:r>
      <w:r>
        <w:rPr>
          <w:rFonts w:ascii="Arial" w:cs="Arial" w:eastAsia="Arial" w:hAnsi="Arial"/>
          <w:sz w:val="18"/>
          <w:szCs w:val="18"/>
          <w:color w:val="auto"/>
        </w:rPr>
        <w:t>α</w:t>
      </w:r>
      <w:r>
        <w:rPr>
          <w:rFonts w:ascii="Arial" w:cs="Arial" w:eastAsia="Arial" w:hAnsi="Arial"/>
          <w:sz w:val="18"/>
          <w:szCs w:val="18"/>
          <w:i w:val="1"/>
          <w:iCs w:val="1"/>
          <w:color w:val="auto"/>
        </w:rPr>
        <w:t xml:space="preserve"> in Cancer</w:t>
      </w:r>
    </w:p>
    <w:p>
      <w:pPr>
        <w:spacing w:after="0" w:line="11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Peroxisome Proliferator-Activated Receptors, or PPARs, are ligand-activated transcription factors involved in the regulation of glucose and lipid metabolism homeostasis, inflammation, proliferation, differentiation and cell death. The three PPAR subtypes, PPARα, PPARg and PPARb/d, are activated in tumors, where they appear to modulate cell proliferation, differentiation and survival, supporting an important role of PPARs in cancer biology. PPARα regulates the expression of about 100 genes, including those that produce enzymes that enable metabolic processes in cellular peroxisomes and mitochondria known as fatty acid oxidation, or FAO, or ß-oxidation. PPARα expression levels and FAO metabolism is increased in selected healthy, including liver, heart, skeletal muscle, brown adipose tissue, and kidney.</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It has been published that multiple human hematologic and solid tumor malignancies demonstrate comparatively increased expression levels of the PPARα transcription factor, its activating ligands including long-chain fatty acids, and PPARα induced genes. This metabolic profile has been observed in hypoxic metastases and extends to immune suppressor cell populations that include myeloid- and lymphoid-derived effector cell populations in the tumor microenvironment, such as dendritic cells and CD8+ T cells which are rendered non-functional, or exhausted, by virtue of utilizing FAO. These published findings indicate that the FAO metabolic pathway enables both tumor cell proliferation and evasion of tumor-specific immune recognition. Tempest interrogated the TCGA public data base to determine which human cancers expressed the highest levels of PPARα and 30 of its targeted genes. Interestingly, Tempest found that FAO is a favored metabolic pathway in HCC, cholangiocarcinoma, breast carcinoma, colorectal adenocarcinoma, RCC, lung adenocarcinoma, and prostate adenocarcinoma. This analysis has served as a primary rationale along with the published literature to guide Tempest’s TPST-1120 initial clinical strategy.</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support of Tempest’s clinical strategy to evaluate TPST-1120 in patients with HCC, it has been shown in published preclinical studies that therapeutic benefit is observed in mice bearing activated b-catenin pathway liver tumors—also common in human HCC—given a small molecule drug known as etomoxir which targets an FAO pathway protein known as CPT1. In a separate line of investigations, PPARα-deficient mice have been shown to be refractory to the liver carcinogenic effects of an activated ß-catenin pathway or by treatment with the PPARα fibrate agonist WY14643, which is carcinogenic in wild-type mice. The foundational scientific rationale for targeting PPARα with an antagonist was demonstrated in a published study describing a series of experiments conducted in PPARα deficient mice. When these mice were implanted with tumors—which also lacked a functional PPARα gene—the tumors initially established, grew, but then spontaneously completely regressed, due to an inability to convert to FAO metabolism to support continued tumor proliferation. These reports and others support the scientific rationale for targeting the PPARα for the treatment of cancer. Although there have been a few PPARα antagonists that have exerted beneficial effects in preclinical cancer models, to date, no selective PPARα antagonists have been tested in human trials.</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of TPST-1120 Preclinical Results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Tempest has conducted pre-clinical pharmacology studies along with PK and toxicology studies with TPST-1120 to support its ongoing evaluation for the treatment of patients with advanced solid tumors. The combined results of the preclinical studies that Tempest has performed indicate that the TPST-1120 anti-tumor response mechanism of action involves both directly inhibiting tumor proliferation and targeting suppressive immune response pathways to promote effective tumor-specific immunity. Tempest’s preclinical results support the large body of published literature that the PPARα target genes play an integral role in tumor growth, angiogenesis and evasion of immune recognition and provide the scientific rationale for targeting this pathway with TPST-1120.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Specifically, TPST-1120 has shown the following properties in nonclinical studies:</w:t>
      </w:r>
    </w:p>
    <w:p>
      <w:pPr>
        <w:spacing w:after="0" w:line="131" w:lineRule="exact"/>
        <w:rPr>
          <w:sz w:val="20"/>
          <w:szCs w:val="20"/>
          <w:color w:val="auto"/>
        </w:rPr>
      </w:pPr>
    </w:p>
    <w:p>
      <w:pPr>
        <w:ind w:left="1420" w:hanging="331"/>
        <w:spacing w:after="0"/>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 human PPARα binding (time-resolved fluorescence resonance energy transfer [TR-Fret] reporter EC50 = 0.011 µM)</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 human PPARα inhibition (luciferase reporter IC50 = 0.052 µM)</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and dose-dependent inhibition of cultured primary tumor cells from 14 patients with chronic lymphocytic leukemia</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Promotion of macrophage repolarization (increase in M1/M2 ratio) in PancOH7 syngeneic tumor model</w:t>
      </w:r>
    </w:p>
    <w:p>
      <w:pPr>
        <w:spacing w:after="0" w:line="130" w:lineRule="exact"/>
        <w:rPr>
          <w:rFonts w:ascii="Arial" w:cs="Arial" w:eastAsia="Arial" w:hAnsi="Arial"/>
          <w:sz w:val="18"/>
          <w:szCs w:val="18"/>
          <w:color w:val="auto"/>
        </w:rPr>
      </w:pPr>
    </w:p>
    <w:p>
      <w:pPr>
        <w:jc w:val="both"/>
        <w:ind w:left="1420" w:right="660" w:hanging="331"/>
        <w:spacing w:after="0" w:line="263"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Therapeutic benefit of TPST-1120 in syngeneic mouse MC38 colorectal cancer model in parental C57BL/6 mice, but not in Goldenticket (STING-/-) or in BatF3 gene knockout mice, indicating an immunomodulatory mechanism, operating through Stimulator of INterferon Genes (STING) and CD8α dendritic cells</w:t>
      </w:r>
    </w:p>
    <w:p>
      <w:pPr>
        <w:spacing w:after="0" w:line="89" w:lineRule="exact"/>
        <w:rPr>
          <w:rFonts w:ascii="Arial" w:cs="Arial" w:eastAsia="Arial" w:hAnsi="Arial"/>
          <w:sz w:val="18"/>
          <w:szCs w:val="18"/>
          <w:color w:val="auto"/>
        </w:rPr>
      </w:pPr>
    </w:p>
    <w:p>
      <w:pPr>
        <w:ind w:left="1420" w:right="120" w:hanging="331"/>
        <w:spacing w:after="0" w:line="308"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Restoration of thrombospondin-1 (TSP-1) to homeostatic levels in B16F10 and PancOH7 models, suggesting TSP-1 plays a role in TPST-1120 anti-tumor activity. TSP-1 has been shown to be a potent endogenous inhibitor of angiogenesis</w:t>
      </w:r>
    </w:p>
    <w:p>
      <w:pPr>
        <w:spacing w:after="0" w:line="51" w:lineRule="exact"/>
        <w:rPr>
          <w:rFonts w:ascii="Arial" w:cs="Arial" w:eastAsia="Arial" w:hAnsi="Arial"/>
          <w:sz w:val="17"/>
          <w:szCs w:val="17"/>
          <w:color w:val="auto"/>
        </w:rPr>
      </w:pPr>
    </w:p>
    <w:p>
      <w:pPr>
        <w:ind w:left="1420" w:right="740" w:hanging="331"/>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Inhibition of growth of melanoma (B16F10), colon (MC38) and Lewis lung syngeneic carcinoma models with TPST-1120 monotherapy at a dose of 30 mg/kg twice daily</w:t>
      </w:r>
    </w:p>
    <w:p>
      <w:pPr>
        <w:spacing w:after="0" w:line="75" w:lineRule="exact"/>
        <w:rPr>
          <w:rFonts w:ascii="Arial" w:cs="Arial" w:eastAsia="Arial" w:hAnsi="Arial"/>
          <w:sz w:val="18"/>
          <w:szCs w:val="18"/>
          <w:color w:val="auto"/>
        </w:rPr>
      </w:pPr>
    </w:p>
    <w:p>
      <w:pPr>
        <w:ind w:left="1420" w:right="280" w:hanging="331"/>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synergistic inhibition of growth of syngeneic mouse MC38 colorectal and ID8 ovarian cancer models in combination with anti-programmed cell death protein 1 (PD-1)</w:t>
      </w:r>
    </w:p>
    <w:p>
      <w:pPr>
        <w:spacing w:after="0" w:line="75" w:lineRule="exact"/>
        <w:rPr>
          <w:rFonts w:ascii="Arial" w:cs="Arial" w:eastAsia="Arial" w:hAnsi="Arial"/>
          <w:sz w:val="18"/>
          <w:szCs w:val="18"/>
          <w:color w:val="auto"/>
        </w:rPr>
      </w:pPr>
    </w:p>
    <w:p>
      <w:pPr>
        <w:ind w:left="1420" w:right="640" w:hanging="331"/>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Induction of anti-tumor immune memory in an orthotopic ID8 ovarian and syngeneic MC38 colorectal cancer models when combined with anti-PD-1</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Synergistic response with chemotherapies including gemcitabine in PancOH7 model and paclitaxel in Lewis lung carcinoma</w:t>
      </w:r>
    </w:p>
    <w:p>
      <w:pPr>
        <w:sectPr>
          <w:pgSz w:w="11900" w:h="16838" w:orient="portrait"/>
          <w:cols w:equalWidth="0" w:num="1">
            <w:col w:w="10960"/>
          </w:cols>
          <w:pgMar w:left="440" w:top="274" w:right="49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figure below shows experimental results that are illustrative of the TPST-1120 dual mechanism of action, or MOA, targeting both tumor cells and suppressive immune cell populations. The left upper panel demonstrates that TPST-1120 can directly kill three different HCC human tumor cell lines in vitro in a dose-dependent fashion, consistent with Tempest’s findings from the Human Cancer Genome, or TCGA, database that HCC had the highest level of PPARα-induced genes of all malignancies. Tempest’s TCGA analysis also demonstrated that renal cell cancer, or RCC, is an FAO-reliant malignancy. Shown in the lower left panel in the figure below, TPST-1120 monotherapy inhibited tumor growth in immune deficient mice implanted with Caki-1 human RCC tumor cells. The experimental results shown in the right panel below were conducted in C57BL/6 mice bearing syngeneic MC38 colon tumors and treated TPST-1120. Tempest analyzed two immune cell populations in the MC38 TME to test whether TPST-1120 therapy inhibited suppressive or non-functional immune cell populations. Using BODIPY flow cytometry, which is a method to measure cellular uptake of long chain fatty acids, Tempest found that TPST-1120 therapy inhibited uptake of the PPARα transcription factor activating ligand in toleragenic dendritic cells, thus inhibiting the preferred metabolic pathway of this suppressive immune cell population. Shown in the right panel of the Figure, TPST-1120 treatment of MC38 tumor-bearing mice also reduced the expression of PD-1, LAG-3 and TIM-3 exhaustion markers on tumor infiltrating CD8+ T cells.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TPST-1120 Directly Inhibits Tumor Cell Proliferation and Immune Suppression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171450</wp:posOffset>
            </wp:positionV>
            <wp:extent cx="3857625" cy="2151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5762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Upon ligation between PD-1 on tumor-infiltrating T cells with PD-L1 expressed on tumor cells, metabolic T-cell re-programming occurs, which is characterized by a shift from glycolysis to FAO, thereby restricting T-effector cell differentiation and promoting suppressive T-regulatory cells. The rationale for targeting PPARα is to inhibit suppressive immune cells in the tumor microenvironment and promote the function and/or recruitment of cytotoxic T effector cells, thus enhancing the efficacy of anti-PD-L1 blockade. In this context, inhibiting FAO metabolism has the combined effect of inhibiting tumor cell growth directly and also the metabolism of suppressive immune cell populations, markedly improving the success of immunotherapies. These observations support both the scientific rationale and provide insights into clinical evaluation of combining TPST-1120 with PD-(L)-1 immune checkpoint inhibitor antibodies. Shown in panel A in the figure below, while both TPST-1120 or anti-PD-1 monotherapy inhibited outgrowth of established flank MC38 tumors, the combination of these two agents resulted in synergistic anti-tumor activity. Shown in panel B, MC38 tumor-bearing mice cured by the combination therapy, unlike age-matched naïve control mice, were completely refractory to tumor growth when rechallenged with autologous MC38 tumor cells. These results demonstrate that TPST-1120 in combination with anti-PD-1 induced lasting tumor-specific immune memory.</w:t>
      </w:r>
    </w:p>
    <w:p>
      <w:pPr>
        <w:sectPr>
          <w:pgSz w:w="11900" w:h="16838" w:orient="portrait"/>
          <w:cols w:equalWidth="0" w:num="1">
            <w:col w:w="10960"/>
          </w:cols>
          <w:pgMar w:left="440" w:top="274" w:right="499" w:bottom="1440" w:gutter="0" w:footer="0" w:header="0"/>
        </w:sectPr>
      </w:pPr>
    </w:p>
    <w:bookmarkStart w:id="23" w:name="page24"/>
    <w:bookmarkEnd w:id="23"/>
    <w:p>
      <w:pPr>
        <w:jc w:val="center"/>
        <w:ind w:left="480"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Significant Anti-Tumor Activity and Induction of Tumor-Specific Immune Memory is Observed in MC38 Colon Tumor Bearing Mice Given with TPST-1120 + anti-PD-1 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131445</wp:posOffset>
            </wp:positionV>
            <wp:extent cx="4705985" cy="1791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0598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PPARα orchestrates the metabolic re-programming to utilize FAO as the main energy source in mice with ß-catenin-activated HCC. PPARα deficient mice are refractory to the liver carcinogenic effects of the activated ß-catenin pathway and the PPARα fenofibrate agonist WY14643. Since a significant proportion (up to 50%) of HCC cancers have Wnt-ß-catenin pathway activation, Tempest tested the activity of TPST-1120 in the Hepa 1-6 tumor cells, which are a syngeneic ß-catenin driven HCC tumor. Shown in panel A of the figure below, Tempest observed a synergistic reduction in established tumor volume and long-term durable cures when TPST-1120 therapy was combined with an anti-PD-1 antibody. Additionally, tumor resistance to anti-angiogenic drugs is associated with elevated lipogenesis and FAO, primarily through the vascular regression and hypoxic environment that this class of therapies engenders. In response, tumor cells can switch to FAO as a mechanism of resistance against anti-angiogenic therapy. The published literature indicates that in the MC38 CRC model, inhibiting FAO is highly effective in overcoming this resistance when administered in combination with anti-VEGF therapy. Tempest confirmed that combination of TPST-1120 with anti-angiogenesis therapy confers potent anti-tumor activity. Shown in panel B of the Figure below, Tempest’s preliminary results show complete reduction of established MC38 tumors in mice given a combined therapy of TPST-1120 with the approved VEGF receptor tyrosine kinase inhibitor cabozantinib. Taken together, the experimental results shown in this Figure provide the scientific rationale for the planned clinical evaluation of TPST-1120 therapy in front-line HCC in combination with atezolizumab and bevacizumab, and evaluation of TPST-1120 in combination with cabozantinib in FAO-reliant malignancies such as HCC and RCC.</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Anti-Tumor Activity of TPST-1120 Combination Therapy with Immune Checkpoint or Angiogenesis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171450</wp:posOffset>
            </wp:positionV>
            <wp:extent cx="4380230" cy="1825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80230" cy="182562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IND-Enabling Toxicology Studies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toxicology program for TPST-1120 was designed to evaluate its toxicity profile, enable selection of an appropriate clinical starting dose, and support the oral administration of TPST-1120 to advanced cancer patients. Potential toxicity was characterized in 28-day repeated-dose good-laboratory-practice (GLP) studies conducted in two relevant species, rats and dogs. In the GLP study conducted in rats, audible respiration with labored respiration caused the early sacrifice of one rat at 1000 mg/kg/day. A similar finding had been noted in a non-GLP 14-day repeated-dose study, where there were five deaths and wheezing was reported as a clinical sign at 1000 mg/kg/day. There was no pathologic cause of death for this finding. In the GLP study, a dose of 750 mg/kg/day was considered to be the severely toxic dose in 10% of animals (STD10), while the no-observed-adverse-effect level (NOAEL) was 250 mg/kg/day</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28-day GLP repeat-dose toxicity study conducted in dogs, the highest non-severely toxic dose (HNSTD) was 1000 mg/kg/day due to the lack of severely toxic findings at that dose. The NOAEL in dogs was 300 mg/kg/day. The two primary microscopic target organs identified in both species were the liver and kidney. The findings were different in the two species and were adverse in dogs at the high dose of 1000 mg/kg/day. Conversely, microscopic findings were not found to be adverse in rats. The third target organ based on clinical signs, which was also common to both species, was the GI tract.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TPST-1120 was not mutagenic in a non-GLP bacterial mutation assay and was not found to be phototoxic in a GLP study conducted in rats.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Ongoing TPST-1120 Phase 1a/1b Clinical study: Overview, Status &amp; Safety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Tempest is sponsoring an ongoing, first-in-human, open-label, dose-escalation and dose-expansion Phase 1/1b study evaluating the safety, pharmacokinetics, pharmacodynamics, and preliminary efficacy of TPST-1120 alone and in combination with systemic anti-cancer therapies in patients with advanced solid tumors. Part 1 of the study is designed to determine the MTD and/or RP2D of TPST-1120 monotherapy. Part 2 is designed to determine the MTD and/or RP2D of TPST-1120 in combination with the anti-PD-1 monoclonal antibody, nivolumab. Parts 3 and 4 (not open) are designed to evaluate the anti-tumor activity of TPST-1120 monotherapy and in combination with nivolumab at the MTD or RP2D in tumor-specific expansion cohorts, respectively.</w:t>
      </w:r>
    </w:p>
    <w:p>
      <w:pPr>
        <w:spacing w:after="0" w:line="19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a data cutoff date of June 28, 2021, 20 subjects have been dosed on the Phase 1 study with TPST-1120 at escalating doses from 100 mg BID to 600 mg BID. No DLTs have been reported and the MTD not reached at the highest dose level tested. The RP2D of monotherapy TPST-1120 for further development is 600 mg BID. The majority of TPST-1120 related adverse events, including at the 600 mg BID dose, have been Grade 1-2 in severity and manageable without requiring dose hold or dose reduction. The most common related adverse events reported have been nausea, fatigue, and diarrhea, all £ Grade 2 in severity. Only one Grade 3 related adverse event (Grade 3 hypertension) considered by the investigator to be possibly/probably related to TPST-1120 has been reported, and no &gt; Grade 3 AEs have been reported. No subjects have had TPST-1120 discontinued due to a drug-related toxicity. In the preliminary combination cohorts with nivolumab, 11 subjects have been dosed with escalating doses of TPST-1120 from 100 mg BID to 400 mg BID and the dose escalation continues with the highest dose to be tested being the monotherapy RP2D of 600 mg BID. No DLTs have been reported for the combination regimen to the data cut-off date, and the safety profile of the combination appears consistent with the individual profiles of the two drugs. Pharmacokinetic analysis of TPST-1120 in study subjects has demonstrated dose-proportional exposure with increasing dose up to the highest dosed level tested. Additionally, pharmacodynamic (PD) assessment of on-target activity in patients has demonstrated modulation of triglycerides and PPARα controlled gene expression in TPST-1120 treated subjects.</w:t>
      </w:r>
    </w:p>
    <w:p>
      <w:pPr>
        <w:spacing w:after="0" w:line="16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the primary objective of the dose escalation is to characterize the TPST-1120 safety profile and determine the recommended dose for development, Tempest is encouraged by the observations of prolonged disease control in some patients as well as RECIST stable disease with tumor shrinkage (up to -15%) achieved with monotherapy TPST-1120 during the dose escalation stage. Extended time on study has occurred in subjects with late-line treatment refractory cancers, including cholangiocarcinoma which is known to have particularly short time-to-progression with standard-of-care in the late-line treatment setting. Shown below, one subject with late line cholangiocarcinoma had a 15% tumor shrinkage and was on study for over nine months of treatment while also demonstrating on-target inhibition of expression of PPARα target genes on PD assessment.</w:t>
      </w:r>
    </w:p>
    <w:p>
      <w:pPr>
        <w:sectPr>
          <w:pgSz w:w="11900" w:h="16838" w:orient="portrait"/>
          <w:cols w:equalWidth="0" w:num="1">
            <w:col w:w="11000"/>
          </w:cols>
          <w:pgMar w:left="440" w:top="274" w:right="4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TPST-1120 Monotherapy Treatment Duration and Best Overall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171450</wp:posOffset>
            </wp:positionV>
            <wp:extent cx="4551680" cy="2872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5168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500" w:right="360"/>
        <w:spacing w:after="0" w:line="282" w:lineRule="auto"/>
        <w:rPr>
          <w:sz w:val="20"/>
          <w:szCs w:val="20"/>
          <w:color w:val="auto"/>
        </w:rPr>
      </w:pPr>
      <w:r>
        <w:rPr>
          <w:rFonts w:ascii="Arial" w:cs="Arial" w:eastAsia="Arial" w:hAnsi="Arial"/>
          <w:sz w:val="18"/>
          <w:szCs w:val="18"/>
          <w:b w:val="1"/>
          <w:bCs w:val="1"/>
          <w:color w:val="auto"/>
        </w:rPr>
        <w:t>Long-Term Tumor Control and PPAR</w:t>
      </w:r>
      <w:r>
        <w:rPr>
          <w:rFonts w:ascii="Arial" w:cs="Arial" w:eastAsia="Arial" w:hAnsi="Arial"/>
          <w:sz w:val="18"/>
          <w:szCs w:val="18"/>
          <w:color w:val="auto"/>
        </w:rPr>
        <w:t>α</w:t>
      </w:r>
      <w:r>
        <w:rPr>
          <w:rFonts w:ascii="Arial" w:cs="Arial" w:eastAsia="Arial" w:hAnsi="Arial"/>
          <w:sz w:val="18"/>
          <w:szCs w:val="18"/>
          <w:b w:val="1"/>
          <w:bCs w:val="1"/>
          <w:color w:val="auto"/>
        </w:rPr>
        <w:t xml:space="preserve"> Target Gene Modulation in Late-Line Cholangiocarcinoma Patients Treated with TPST-1120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131445</wp:posOffset>
            </wp:positionV>
            <wp:extent cx="4551680" cy="2614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168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dose escalation of TPST-1120 in combination with nivolumab is continuing and has not reached a MTD or RP2D. However, Tempest is encouraged by preliminary signs of activity with a deep RECIST partial response (PR) with an overall reduction of -61% in tumor burden observed in a subject with 4th line RCC who had already progressed on the combination of nivolumab and ipilimumab. Shown below, this subject had extensive metastatic disease at study entry including large-burden pulmonary metastases, multiple soft tissue metastases and bone metastases. Her prior therapies included (best response and reason for discontinuation):</w:t>
      </w:r>
    </w:p>
    <w:p>
      <w:pPr>
        <w:spacing w:after="0" w:line="93" w:lineRule="exact"/>
        <w:rPr>
          <w:sz w:val="20"/>
          <w:szCs w:val="20"/>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First-line: ipilimumab + nivolumab (SD, PD)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Second-line: cabozantinib (SD, PD)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Third-line: everolimus (SD, PD)</w:t>
      </w:r>
    </w:p>
    <w:p>
      <w:pPr>
        <w:sectPr>
          <w:pgSz w:w="11900" w:h="16838" w:orient="portrait"/>
          <w:cols w:equalWidth="0" w:num="1">
            <w:col w:w="10960"/>
          </w:cols>
          <w:pgMar w:left="440" w:top="270" w:right="49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Notably, this subject had been treated with the combination of nivolumab and ipilimumab without experiencing an objective response and then had experienced progression of cancer on this IO doublet, followed by progression of cancer on both cabozantinib and everolimus before initiating treatment with TPST-1120 and nivolumab. The initial RECIST PR (-54%) was seen at the first on-study assessment at eight weeks and included a response in all target lesions as well as complete radiographic resolution of multiple sites of metastatic disease (see CT scan), and was confirmed in second and third on-study assessments at 16 and 24 weeks, respectively, and had deepened to a 61% reduction. Tempest feels that induction of an objective response despite resistance to nivolumab could reflect either monotherapy activity of TPST-1120 on an FAO-dependent tumor or, based upon the mechanism of action and the extensive supporting pre-clinical data, reduction of immune suppressive cells and release of the subject’s own anti-cancer immune response.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Partial Response in Late-Line RCC Patient Treated with TPST-1120 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171450</wp:posOffset>
            </wp:positionV>
            <wp:extent cx="4046220" cy="1457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4622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TPST-1120 Monotherapy and Nivolumab Combination Therapy Waterfall Plot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5186045" cy="2245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86045" cy="224599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26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Planned TPST-1120 Phase 1b/2 Clinical study in Front Line HCC</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upon the TPST-1120 mechanism of action, preclinical data demonstrating synergy with both anti-PD-1 and anti-angiogenesis agents, together with the encouraging safety profile and early signs of anti-tumor activity, Tempest and Roche entered into a clinical collaboration with Roche to evaluate TPST-1120 in combination with atezolizumab and bevacizumab in patients with advanced/metastatic HCC not-previously treated with systemic therapy. This global, randomized, open-label, Phase 1b/2 trial will be operationalized by Roche and will evaluate the triplet regimen of TPST-1120 + atezolizumab + bevacizumab randomized against the standard-of-care doublet of atezolizumab + bevacizumab in the first-line systemic treatment of patients with HCC. The primary objective of this study is to evaluate the anti-tumor efficacy of the combination as determined by confirmed ORR by RECIST 1.1. Additional efficacy endpoints include progression free survival, or PFS, overall survival. or OS, and duration of response, or DOR, while a key exploratory objective is to identify biomarkers that are predictive of response to the experimental treatment, including an assessment activation of the ß-catenin pathway, which is predicted to be present in approximately 50% of patients with HCC. Tempest anticipates that enrollment to this clinical collaboration will initiate in mid-2021.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TREX-1 Inhibitor Program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Tempest believes that the exonuclease TREX-1 may be the optimal approach to drug the STING pathway (</w:t>
      </w:r>
      <w:r>
        <w:rPr>
          <w:rFonts w:ascii="Arial" w:cs="Arial" w:eastAsia="Arial" w:hAnsi="Arial"/>
          <w:sz w:val="17"/>
          <w:szCs w:val="17"/>
          <w:b w:val="1"/>
          <w:bCs w:val="1"/>
          <w:color w:val="auto"/>
        </w:rPr>
        <w:t>ST</w:t>
      </w:r>
      <w:r>
        <w:rPr>
          <w:rFonts w:ascii="Arial" w:cs="Arial" w:eastAsia="Arial" w:hAnsi="Arial"/>
          <w:sz w:val="17"/>
          <w:szCs w:val="17"/>
          <w:color w:val="auto"/>
        </w:rPr>
        <w:t xml:space="preserve">imulator of </w:t>
      </w:r>
      <w:r>
        <w:rPr>
          <w:rFonts w:ascii="Arial" w:cs="Arial" w:eastAsia="Arial" w:hAnsi="Arial"/>
          <w:sz w:val="17"/>
          <w:szCs w:val="17"/>
          <w:b w:val="1"/>
          <w:bCs w:val="1"/>
          <w:color w:val="auto"/>
        </w:rPr>
        <w:t>IN</w:t>
      </w:r>
      <w:r>
        <w:rPr>
          <w:rFonts w:ascii="Arial" w:cs="Arial" w:eastAsia="Arial" w:hAnsi="Arial"/>
          <w:sz w:val="17"/>
          <w:szCs w:val="17"/>
          <w:color w:val="auto"/>
        </w:rPr>
        <w:t xml:space="preserve">terferon </w:t>
      </w:r>
      <w:r>
        <w:rPr>
          <w:rFonts w:ascii="Arial" w:cs="Arial" w:eastAsia="Arial" w:hAnsi="Arial"/>
          <w:sz w:val="17"/>
          <w:szCs w:val="17"/>
          <w:b w:val="1"/>
          <w:bCs w:val="1"/>
          <w:color w:val="auto"/>
        </w:rPr>
        <w:t>G</w:t>
      </w:r>
      <w:r>
        <w:rPr>
          <w:rFonts w:ascii="Arial" w:cs="Arial" w:eastAsia="Arial" w:hAnsi="Arial"/>
          <w:sz w:val="17"/>
          <w:szCs w:val="17"/>
          <w:color w:val="auto"/>
        </w:rPr>
        <w:t>enes) with an orally available small molecule inhibitor. Extensive genetic evidence from human disease that has been confirmed in numerous mouse genetic knock-out investigations point to the STING pathway as a critical innate immune sensor for the development of immunity. Although the STING pathway has significant scientific validation, the clinical trials sponsored by several groups utilizing intratumoral delivery of synthetic cyclic dinucleotide STING agonists have been somewhat disappointing. The underlying scientific hypothesis for these clinical trials was that localized T cell priming in the lymph nodes draining from the injected tumor would have activity against non-injected distal tumors, sometimes referred to as the abscopal effect. It is well-known that metastatic tumors have unique antigenic repertoires, indicating a need for global innate activation in the TME of all metastases in order to prime T cells that can recognize and broadly eradicate distinct tumors. However, it may be difficult to achieve a therapeutic index with systemically delivered STING agonists due to the ubiquitous expression of this central innate immune receptor.</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Shown in the Figure below, TREX-1 is a cytosolic exonuclease that inhibits activation of the cGAS/STING pathway by degrading double-stranded (ds) DNA. Genetic instability, DNA repair mutation, and selected therapeutic interventions such as DNA-modifying chemotherapeutic agents or radiation cause TREX-1 expression to increase across diverse malignancies. The increased expression of TREX-1 in tumors serves as the foundational scientific evidence that tumors can hijack this pathway to prevent activation of the STING pathway and avoid immune recognition. The underlying scientific hypothesis for the program is that systemic oral dosing with a potent and specific inhibitor will activate the STING pathway selectively in the TME and prime cytolytic CD8+ T cells broadly in tumor draining lymph nodes serving distinct metastatic lesions having unique antigenic repertoires.</w:t>
      </w:r>
    </w:p>
    <w:p>
      <w:pPr>
        <w:sectPr>
          <w:pgSz w:w="11900" w:h="16838" w:orient="portrait"/>
          <w:cols w:equalWidth="0" w:num="1">
            <w:col w:w="11000"/>
          </w:cols>
          <w:pgMar w:left="440" w:top="1440" w:right="45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TREX-1 DNA Exonuclease Modulates cGAS/STING Pathway and Innate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171450</wp:posOffset>
            </wp:positionV>
            <wp:extent cx="2048510" cy="2254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851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Tempest is currently advancing a lead series with a &gt;1000-fold increase in structure-activity-relationship, or SAR, with an IC50 inhibitory value as low as 8 nM in human TREX-1 inhibitor biochemical assays. As shown by the figure below, the lead series is also active against mouse TREX-1, which we believe will facilitate development and IND-enabling studies once we select a development candidate.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Lead Series Compound-Mediated Inhibition of TREX1 Activity in Biochemical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171450</wp:posOffset>
            </wp:positionV>
            <wp:extent cx="1928495" cy="2451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28495" cy="245173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29" w:name="page30"/>
    <w:bookmarkEnd w:id="2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foundational scientific rationale for targeting TREX-1 as an approach to selectively activate STING in the TME is predicated upon findings that TREX-1 expression itself is increased in tumor cells due to elevated levels of cytosolic DNA resulting from genetic instability, DNA repair mutation or particular therapeutic interventions such as DNA-modifying chemotherapeutic agents or radiation. Increased TREX-1 expression results in reduction of cytosolic DNA, diminished activation of the cGAS/STING pathway and reduced anti-tumor immunity. To demonstrate proof-of-concept for our novel approach, we initiated a once daily regimen of intraperitoneal injection (to achieve systemic delivery) of Balb/C mice with a TREX-1 inhibitor compound from our lead compound series. On the same day of initiating therapy, mice were given a subcutaneous flank injection of syngeneic CT26 tumor cells. Subtherapeutic doses of doxorubicin, or dox, were given by intratumoral injection on days 7 and 14 post tumor cell implantation as a mechanism to induce DNA damage and induce TREX-1 expression. As shown in the figure below, CT26 tumor outgrowth was significantly (p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0.5) diminished only in mice (n = 7) that were given both dox and the TREX-1 inhibitor. We believe these results provide proof-of concept evidence for TREX-1 inhibitor-dependent anti-tumor efficacy.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Lead Series TREX-1 Inhibitor Reduces Tumor Outgrowth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171450</wp:posOffset>
            </wp:positionV>
            <wp:extent cx="4834890" cy="3274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3489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2021, Tempest entered into a collaboration agreement with Roche to accelerate the development of TPST-1120 into a frontline, randomized study. Under the terms of the collaboration agreement, Roche will evaluate TPST-1120 in a global randomized phase 1b/2 clinical study in combination with the standard-of-care first-line regimen of atezolizumab and bevacizumab in patients with advanced or metastatic HCCnot previously treated with systemic therapy. Pursuant to the terms of the collaboration agreement, Roche will manage the study operations for the trial and Tempest will supply TPST-1120 for the study and will retain global development and commercialization rights to TPST-1120. All rights to invention and discoveries relating solely to TPST-1120 or biomarkers solely related to TPST-1120 made during any study will be the exclusive property of Tempest. All data generated in the performance of any study under the collaboration agreement will be the property of Roche, but Tempest is entitled to use the data for any lawful purpose.</w:t>
      </w:r>
    </w:p>
    <w:p>
      <w:pPr>
        <w:sectPr>
          <w:pgSz w:w="11900" w:h="16838" w:orient="portrait"/>
          <w:cols w:equalWidth="0" w:num="1">
            <w:col w:w="10940"/>
          </w:cols>
          <w:pgMar w:left="440" w:top="274" w:right="519" w:bottom="1440" w:gutter="0" w:footer="0" w:header="0"/>
        </w:sectPr>
      </w:pPr>
    </w:p>
    <w:bookmarkStart w:id="30" w:name="page31"/>
    <w:bookmarkEnd w:id="30"/>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collaboration agreement is effective from February 23, 2021 and continues to be in force on a study-by-study basis until the last treatment of the last patient in a study receiving TPST-1120 in accordance with the protocol for such study or until the termination of the collaboration agreement by either party. Upon any termination of the agreement, neither Tempest nor Roche will be entitled to any compensation, damages or other payment.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Tempest intends to retain significant development and commercial rights to its product candidates and, if marketing approval is obtained, to commercialize its product candidates on its own, or potentially with a partner, in the United States and other regions. Tempest currently has no sales, marketing or commercial product distribution capabilities. Tempest intends to build the necessary infrastructure and capabilities over time for the United States, and potentially other regions, following further advancement of its product candidates. Clinical data, the size of the addressable patient population, the size of the commercial infrastructure and manufacturing needs may all influence or alter its commercialization plans. If Tempest builds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Tempest would have to invest financial and management resources, some of which would have to be deployed prior to any confirmation that one of its product candidate will be approved.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Tempest does not own or operate, and currently has no plans to establish, any manufacturing facilities. Tempest relies and expects to continue to rely, on third parties for the manufacture of its product candidates for preclinical and clinical testing, as well as for commercial manufacture if any of its product candidates obtain marketing approval. Tempest also relies, and expects to continue to rely, on third parties to package, label, store and distribute its investigational product candidates, as well as for its commercial products if marketing approval is obtained. Tempest has internal personnel and utilizes consultants with extensive technical, manufacturing, analytical and quality experience to oversee contract manufacturing and testing activities. Tempest will continue to expand and strengthen its network of third-party providers but may also consider investing in internal manufacturing capabilities in the future if there is a technical need, or a strategic or financial benefit.</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Manufacturing is subject to extensive regulations that impose procedural and documentation requirements. At a minimum these regulations govern record keeping, manufacturing processes and controls, personnel, quality control and quality assurance. Tempest’s systems, procedures and contractors are required to be in compliance with these regulations and are assessed through regular monitoring and formal audits.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biopharmaceutical and immune-oncology industries are characterized by intense competition and rapid innovation. Any product candidates that Tempest successfully develops and commercializes will have to compete with existing and future new therapies. While Tempest believes that its technology, development experience and scientific knowledge provide it with competitive advantages, Tempest faces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TPST-1495, TPST-1120, or its other product candidates are approved for the treatment of tumors, they may compete with other products used to treat such diseases.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 the treatment of HCC, RCC, cholangiocarcinoma, CRC and other indications that Tempest may be targeting with TPST-1495 and TPST-1120, including companies such as Agios, Ikena, Ono, Adlai Nortye, Merck, Roche, Exelixis, and AstraZeneca.</w:t>
      </w:r>
    </w:p>
    <w:p>
      <w:pPr>
        <w:sectPr>
          <w:pgSz w:w="11900" w:h="16838" w:orient="portrait"/>
          <w:cols w:equalWidth="0" w:num="1">
            <w:col w:w="11000"/>
          </w:cols>
          <w:pgMar w:left="440" w:top="274" w:right="459" w:bottom="1440" w:gutter="0" w:footer="0" w:header="0"/>
        </w:sectPr>
      </w:pPr>
    </w:p>
    <w:bookmarkStart w:id="31" w:name="page32"/>
    <w:bookmarkEnd w:id="31"/>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TPST-1495, Tempest’s small molecule designed to be a dual antagonist of the EP2 and EP4 receptor, Tempest is aware of other clinical-stage EP-4-only antagonists being developed by Adlai Nortye, Ikena, and Ono. TPST-1120, Tempest’s small molecule designed to be a selective antagonist of PPARα, is the first PPARα antagonist in the clinic. Tempest is not aware of other companies developing such an antagonist.</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Many of Tempest’s competitors, either alone or with strategic partners, have substantially greater financial, technical and human resources than Tempest does. Accordingly, Tempest’s competitors may be more successful than it in research and development, manufacturing, preclinical testing, conducting clinical trials, obtaining approval for treatments and achieving widespread market acceptance, rendering Tempest’s treatments obsolete or non-competitive. Merger and acquisition activity in the biotechnology and biopharmaceutical industries may result in even more resources being concentrated among a smaller number of Tempest’s competitors. These companies also compete with Tempest in recruiting and retaining qualified scientific and management personnel, establishing clinical trial sites and patient registration for clinical trials and acquiring technologies complementary to, or necessary for, Tempest’s programs. Smaller or early-stage companies may also prove to be significant competitors, particularly through collaborative arrangements with large and established companies. Tempest’s commercial opportunity could be substantially limited if Tempest’s competitors develop and commercialize products that are more effective, safer, less toxic, more convenient or less expensive than Tempest’s comparable products. In geographies that are critical to Tempest’s commercial success, competitors may also obtain regulatory approvals before it, resulting in Tempest’s competitors building a strong market position in advance of the entry of its products. The key competitive factors affecting the success of all of Tempest’s programs are likely to be their efficacy, safety, convenience and availability of reimbursement. In addition, Tempest’s ability to compete may be affected in many cases by insurers or other third-party payors seeking to encourage the use of generic drugs.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Tempest strives to protect and enhance the proprietary technology, inventions and improvements that are commercially important to its business, including obtaining, maintaining and defending its patent rights. Tempest’s policy is to seek to protect its proprietary position by, among other methods, filing patent applications and obtaining issued patents in the United States and in markets outside of the United States directed to its proprietary technology, inventions, improvements and product candidates that are important to the development and implementation of its business. Tempest also relies on trade secrets and know-how relating to its proprietary technology and product candidates and continuing innovation to develop, strengthen and maintain its proprietary position in the field of oncology. Tempest also plans to rely on data exclusivity, market exclusivity and patent term extensions when available. Tempest’s commercial success will depend in part on its ability to obtain and maintain patent and other proprietary protection for its technology, inventions, improvements, and product candidates; to preserve the confidentiality of its trade secrets; to defend and enforce its proprietary rights, including any patents that Tempest may own or license in the future; and to operate without infringing on the valid and enforceable patents and other proprietary rights of third parties.</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July 9, 2021, Tempest’s patent portfolio consisted of issued patents and pending patent applications that Tempest owns related to TPST-1120, TPST-1495 and various other compounds and programs. In total, as of that date, Tempest owned three issued United States patents, five pending United States patent applications, one pending international patent application filed under the Patent Cooperation Treaty (PCT application), and 24 issued patents and 29 pending patent applications in various markets outside of the United States, including Europe, China and Japan.</w:t>
      </w:r>
    </w:p>
    <w:p>
      <w:pPr>
        <w:spacing w:after="0" w:line="1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With respect to TPST-1120, Tempest owns issued patents and pending patent applications in the United States, Europe, China, Japan and other markets outside of the United States. The issued United States patents covering TPST-1120 as composition of matter, pharmaceutical compositions, and related methods of use are expected to expire in December 2033, absent any patent term extensions for regulatory delay. Any patents that may issue from its pending patent applications are expected to expire in December 2033, absent any patent term adjustments or patent term extensions for regulatory delay.</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TPST-1495, Tempest owns an issued United States patent and pending patent applications in the United States, Europe, China, Japan and other markets outside of the United States. The issued United States patent covering TPST-1495 as composition of matter and pharmaceutical compositions is expected to expire in April 2039, absent any patent term extensions for regulatory delay.. Any patents that may issue from its pending patent applications are expected to expire between April 2038 and April 2039, absent any patent term adjustments or patent term extensions for regulatory delay.</w:t>
      </w:r>
    </w:p>
    <w:p>
      <w:pPr>
        <w:sectPr>
          <w:pgSz w:w="11900" w:h="16838" w:orient="portrait"/>
          <w:cols w:equalWidth="0" w:num="1">
            <w:col w:w="11000"/>
          </w:cols>
          <w:pgMar w:left="440" w:top="274" w:right="45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also possesses substantial know-how and trade secrets relating to the development and commercialization of its product candidates, including related manufacturing processes and technology.</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With respect to Tempest’s product candidates and processes that Tempest intends to develop and commercialize in the normal course of business, Tempest intends to pursue patent protection covering, when possible, compositions, methods of use, dosing and formulations. Tempest may also pursue patent protection with respect to manufacturing and drug development processes and technologies.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Tempest’s ability to protect its technology or product candidates and could affect the value of such intellectual property. In particular, Tempest’s ability to stop third parties from making, using, selling, offering to sell or importing products that infringe Tempest’s intellectual property will depend in part on Tempest’s success in obtaining and enforcing patent claims that cover its technology, inventions and improvements. Tempest cannot guarantee that patents will be granted with respect to any of its pending patent applications or with respect to any patent applications Tempest may file in the future, nor can Tempest be sure that any patents that may be granted to Tempest in the future will be commercially useful in protecting its products, the methods of use or manufacture of those products.</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Moreover, even its issued patents may not guarantee Tempest the right to practice its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Tempest from commercializing its product candidates and practicing its proprietary technology, and its issued patents may be challenged, invalidated or circumvented, which could limit Tempest’s ability to stop competitors from marketing related products or could limit the term of patent protection that otherwise may exist for its product candidates. In addition, the scope of the rights granted under any issued patents may not provide Tempest with protection or competitive advantages against competitors with similar technology. Furthermore, Tempest’s competitors may independently develop similar technologies that are outside the scope of the rights granted under any issued patents. For these reasons, Tempest may face competition with respect to its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ectPr>
          <w:pgSz w:w="11900" w:h="16838" w:orient="portrait"/>
          <w:cols w:equalWidth="0" w:num="1">
            <w:col w:w="11000"/>
          </w:cols>
          <w:pgMar w:left="440" w:top="274"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regulation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Tempest’s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United States, pharmaceutical products are subject to extensive regulation by the Food and Drug Administration, or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New Drug Applications, or NDAs, warning or untitled letters, product recalls, product seizures, total or partial suspension of production or distribution, injunctions, fines, civil penalties and criminal prosecution.</w:t>
      </w:r>
    </w:p>
    <w:p>
      <w:pPr>
        <w:spacing w:after="0" w:line="1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Tempest’s investigational medicines and any future investigational medicines must be approved by the FDA pursuant to a NDA before they may be legally marketed in the United States. The process generally involves the following:</w:t>
      </w:r>
    </w:p>
    <w:p>
      <w:pPr>
        <w:spacing w:after="0" w:line="76" w:lineRule="exact"/>
        <w:rPr>
          <w:sz w:val="20"/>
          <w:szCs w:val="20"/>
          <w:color w:val="auto"/>
        </w:rPr>
      </w:pPr>
    </w:p>
    <w:p>
      <w:pPr>
        <w:ind w:left="960" w:right="1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extensive preclinical laboratory and animal studies in accordance with applicable regulations, including studies conducted in accordance with Good Laboratory Practice, or GLP, requirements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Institutional Review Board (IRB) or independent ethics committee at each clinical trial site before each clinical trial may be commenced;</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any user fees for FDA review of the NDA;</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NDA to accept the filing for review;</w:t>
      </w:r>
    </w:p>
    <w:p>
      <w:pPr>
        <w:spacing w:after="0" w:line="130" w:lineRule="exact"/>
        <w:rPr>
          <w:rFonts w:ascii="Arial" w:cs="Arial" w:eastAsia="Arial" w:hAnsi="Arial"/>
          <w:sz w:val="18"/>
          <w:szCs w:val="18"/>
          <w:color w:val="auto"/>
        </w:rPr>
      </w:pPr>
    </w:p>
    <w:p>
      <w:pPr>
        <w:ind w:left="960" w:right="8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or components thereof, will be produced to assess compliance with cGMP requirements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any potential FDA audits of the clinical trial sites that generated the data in support of the NDA to assure compliance with GCPs and integrity of the clinical data;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and</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REMS, where applicable, and post- approval studies required by the FDA as a condition of approval.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Tempest cannot be certain that any approvals for its product candidates will be granted on a timely basis, or at all.</w:t>
      </w:r>
    </w:p>
    <w:p>
      <w:pPr>
        <w:sectPr>
          <w:pgSz w:w="11900" w:h="16838" w:orient="portrait"/>
          <w:cols w:equalWidth="0" w:num="1">
            <w:col w:w="11000"/>
          </w:cols>
          <w:pgMar w:left="440" w:top="270"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Preclinical Studies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good laboratory practices.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88"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are generally conducted in three sequential phases, known as Phase 1, Phase 2 and Phase 3:</w:t>
      </w:r>
    </w:p>
    <w:p>
      <w:pPr>
        <w:spacing w:after="0" w:line="131" w:lineRule="exact"/>
        <w:rPr>
          <w:sz w:val="20"/>
          <w:szCs w:val="20"/>
          <w:color w:val="auto"/>
        </w:rPr>
      </w:pPr>
    </w:p>
    <w:p>
      <w:pPr>
        <w:ind w:left="960" w:right="32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92" w:lineRule="exact"/>
        <w:rPr>
          <w:rFonts w:ascii="Arial" w:cs="Arial" w:eastAsia="Arial" w:hAnsi="Arial"/>
          <w:sz w:val="18"/>
          <w:szCs w:val="18"/>
          <w:color w:val="auto"/>
        </w:rPr>
      </w:pPr>
    </w:p>
    <w:p>
      <w:pPr>
        <w:ind w:left="960" w:right="460" w:hanging="424"/>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ectPr>
          <w:pgSz w:w="11900" w:h="16838" w:orient="portrait"/>
          <w:cols w:equalWidth="0" w:num="1">
            <w:col w:w="11000"/>
          </w:cols>
          <w:pgMar w:left="440" w:top="274" w:right="459" w:bottom="1440" w:gutter="0" w:footer="0" w:header="0"/>
        </w:sectPr>
      </w:pPr>
    </w:p>
    <w:bookmarkStart w:id="35" w:name="page36"/>
    <w:bookmarkEnd w:id="35"/>
    <w:p>
      <w:pPr>
        <w:ind w:left="960" w:right="40" w:hanging="424"/>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Process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After completion of the required clinical testing, an NDA is prepared and submitted to the FDA. FDA approval of the NDA is required before marketing of the product may begin in the U.S. The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 NDA must be obtained before a drug may be marketed in the United States. The cost of preparing and submitting an NDA is substantial. Under the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the NDA. The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ectPr>
          <w:pgSz w:w="11900" w:h="16838" w:orient="portrait"/>
          <w:cols w:equalWidth="0" w:num="1">
            <w:col w:w="11000"/>
          </w:cols>
          <w:pgMar w:left="440" w:top="274" w:right="459" w:bottom="1440" w:gutter="0" w:footer="0" w:header="0"/>
        </w:sectPr>
      </w:pPr>
    </w:p>
    <w:bookmarkStart w:id="36" w:name="page37"/>
    <w:bookmarkEnd w:id="36"/>
    <w:p>
      <w:pPr>
        <w:jc w:val="both"/>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spacing w:after="0" w:line="17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a potential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ectPr>
          <w:pgSz w:w="11900" w:h="16838" w:orient="portrait"/>
          <w:cols w:equalWidth="0" w:num="1">
            <w:col w:w="11000"/>
          </w:cols>
          <w:pgMar w:left="440" w:top="274" w:right="459" w:bottom="1440" w:gutter="0" w:footer="0" w:header="0"/>
        </w:sectPr>
      </w:pPr>
    </w:p>
    <w:bookmarkStart w:id="37" w:name="page38"/>
    <w:bookmarkEnd w:id="3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the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ectPr>
          <w:pgSz w:w="11900" w:h="16838" w:orient="portrait"/>
          <w:cols w:equalWidth="0" w:num="1">
            <w:col w:w="10980"/>
          </w:cols>
          <w:pgMar w:left="440" w:top="274"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Accelerated Approval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The FDA also may require post-marketing testing, known as phase 4 testing, risk evaluation and mitigation strategies, or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ectPr>
          <w:pgSz w:w="11900" w:h="16838" w:orient="portrait"/>
          <w:cols w:equalWidth="0" w:num="1">
            <w:col w:w="11000"/>
          </w:cols>
          <w:pgMar w:left="440" w:top="274" w:right="459" w:bottom="1440" w:gutter="0" w:footer="0" w:header="0"/>
        </w:sectPr>
      </w:pPr>
    </w:p>
    <w:bookmarkStart w:id="39" w:name="page40"/>
    <w:bookmarkEnd w:id="39"/>
    <w:p>
      <w:pPr>
        <w:ind w:right="2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82" w:lineRule="exact"/>
        <w:rPr>
          <w:sz w:val="20"/>
          <w:szCs w:val="20"/>
          <w:color w:val="auto"/>
        </w:rPr>
      </w:pPr>
    </w:p>
    <w:p>
      <w:pPr>
        <w:ind w:left="960" w:right="24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or other enforcement-related letters or holds on post-approval clinical studies;</w:t>
      </w:r>
    </w:p>
    <w:p>
      <w:pPr>
        <w:spacing w:after="0" w:line="130"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ectPr>
          <w:pgSz w:w="11900" w:h="16838" w:orient="portrait"/>
          <w:cols w:equalWidth="0" w:num="1">
            <w:col w:w="11000"/>
          </w:cols>
          <w:pgMar w:left="440" w:top="274" w:right="459" w:bottom="1440" w:gutter="0" w:footer="0" w:header="0"/>
        </w:sectPr>
      </w:pPr>
    </w:p>
    <w:bookmarkStart w:id="40" w:name="page41"/>
    <w:bookmarkEnd w:id="4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the FDA determines that the applicant did not pursue approval with due diligence.</w:t>
      </w:r>
    </w:p>
    <w:p>
      <w:pPr>
        <w:spacing w:after="0" w:line="16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Healthcare Laws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FDA restrictions on marketing of pharmaceutical products, several other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federal Anti-Kickback Statute is a criminal law that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for the product, such as Medicare and Medicaid, as well as programs where the federal government is a direct purchaser, such as when it purchases off the Federal Supply Schedule.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 Further, as promulgated under the Patient Protection and Affordable Care Act (“ACA”), the federal Physician Payment Sunshine Act requires manufacturers of covered drugs, devices, biologics, and medical supplies for which payment is available under Medicare, Medicaid or the Children’s Health Insurance Program to collect and report information on certain payments or transfers of value to physicians and teaching hospitals, as well as investment interests held by physicians (defined to include doctors, dentists, optometrists, podiatrists and chiropractors) and their immediate family members. The first reports were due in 2014 and must be submitted on an annual basis thereafter. The reported data is made available in searchable form on a public website on an annual basis. Failure to submit required information may result in civil monetary penalties. Effective January 1, 2022, reporting on payments or transfers of value to physician assistants, nurse practitioners or clinical nurse specialists, certified registered nurse anesthetists, and certified nurse-midwives will also be required.</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sectPr>
          <w:pgSz w:w="11900" w:h="16838" w:orient="portrait"/>
          <w:cols w:equalWidth="0" w:num="1">
            <w:col w:w="10980"/>
          </w:cols>
          <w:pgMar w:left="440" w:top="274" w:right="47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Trump administration and former Congress sought to modify, repeal, or otherwise invalidate all, or certain provisions of, the ACA. By way of example, the Tax Cuts and Jobs Act of 2017, or the Tax Act, was enacted and included, among other things, a provision that repealed, effective January 1, 2019, the tax-based shared responsibility payment imposed by the ACA on certain individuals who fail to maintain qualifying health coverage for all or part of a year that is commonly referred to as the “individual mandate”. There have been subsequent challenges to the constitutionality of the ACA following the repeal of the individual mandate. On June 17, 2021, the U.S. Supreme Court dismissed the most recent judicial challenge to the Affordable Care Act brought by several states without specifically ruling on the constitutionality of the law. It is also unclear how future efforts to repeal, replace or challenge the ACA will impact the ACA. Tempest cannot predict the ultimate content, timing or effect of any healthcare reform legislation or the impact of potential legislation on its business.</w:t>
      </w:r>
    </w:p>
    <w:p>
      <w:pPr>
        <w:sectPr>
          <w:pgSz w:w="11900" w:h="16838" w:orient="portrait"/>
          <w:cols w:equalWidth="0" w:num="1">
            <w:col w:w="11000"/>
          </w:cols>
          <w:pgMar w:left="440" w:top="274" w:right="459" w:bottom="1440" w:gutter="0" w:footer="0" w:header="0"/>
        </w:sectPr>
      </w:pPr>
    </w:p>
    <w:bookmarkStart w:id="43" w:name="page44"/>
    <w:bookmarkEnd w:id="4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into 2031, with the exception of a temporary suspension from May 1, 2020 through December 31, 2021,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Medicare Prescription Drug, Improvement, and Modernization Act of 2003, or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Biden administration has begun taking executive actions to address drug pricing and other healthcare policy changes, though it remains unclear whether the Biden administration will work to reverse the measures taken by the Trump administration or pursue similar policy initiatives. On July 9, 2021, President Biden signed an executive order to promote competition in the U.S. economy that included several initiatives aimed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ectPr>
          <w:pgSz w:w="11900" w:h="16838" w:orient="portrait"/>
          <w:cols w:equalWidth="0" w:num="1">
            <w:col w:w="11000"/>
          </w:cols>
          <w:pgMar w:left="440" w:top="274"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Facilities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Tempest’s corporate headquarters are located at 7000 Shoreline Court, Suite 275, South San Francisco, California 94080 where it occupies approximately 9,780 square feet of research and development laboratory and related office space under a lease that ends in February 2024. Tempest believes that its existing facilities meet its current needs. Tempest may need additional office space in the future as it continues to build its development, commercial and support teams. Tempest believes that it can find suitable additional space in the future on commercially reasonable terms.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July 9, 2021, Tempest had 15 employees, including nine holding Ph.D., M.D., JD, LL.M., and/or MBA degrees. Tempest’s employees have established expertise in chemistry, biochemistry, molecular biology, immunology, pharmacology, toxicology, pre-clinical development, regulatory and quality, translational medicine, and early-to-late-stage clinical development, as well as finance, business development and strategic transactions. None of Tempest’s employees are represented by a labor union or covered by collective bargaining agreements. Tempest will continue to add experienced and talented scientists in areas, such as medicinal chemistry, that Tempest believes are critical for the discovery of highly differentiated small-molecule compounds.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For information on our existing legal proceedings, see the information set forth under the heading “Litigation” in Note 6, Commitments and Contingencies, in Notes to Unaudited Interim Consolidated Financial Statements in Item 1 of Part I of our Quarterly Report on Form 10-Q, filed on May 13, 2021.</w:t>
      </w:r>
    </w:p>
    <w:p>
      <w:pPr>
        <w:spacing w:after="0" w:line="1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Furthermore, since May 13, 2021, the following updates have occurred in relation to the Dahhan Action: on May 28, 2021, the court denied the motion to strike the second amended complaint and motions to dismiss by the other defendants; on June 7, 2021, the court lifted the stay and established a revised case schedule; on June 29, 2021, after the parties agreed that the seal was no longer necessary, the lead plaintiff publicly filed its second amended complaint; and defendants filed their answers and affirmative defenses to the second amended complaint on July 13,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addition, from time to time, we are involved in litigation or other legal proceedings as part of our ordinary course of business.</w:t>
      </w:r>
    </w:p>
    <w:p>
      <w:pPr>
        <w:sectPr>
          <w:pgSz w:w="11900" w:h="16838" w:orient="portrait"/>
          <w:cols w:equalWidth="0" w:num="1">
            <w:col w:w="11000"/>
          </w:cols>
          <w:pgMar w:left="440" w:top="270"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You should carefully consider the risks described below.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In these circumstances, the market price of our common stock could decline, and you may lose all or part of your investment. We cannot assure you that any of the events discussed below will not occur. Such risks may be amplified by the COVID-19 pandemic and its potential impact on our business and the global economy.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stated in these risk factors or the context otherwise requires, references in these risk factors to:</w:t>
      </w:r>
    </w:p>
    <w:p>
      <w:pPr>
        <w:spacing w:after="0" w:line="131"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“Tempest” refers to Tempest Therapeutics, Inc., a Delaware corporation, known before June 25, 2021 as Millendo Therapeutics, Inc.</w:t>
      </w:r>
    </w:p>
    <w:p>
      <w:pPr>
        <w:spacing w:after="0" w:line="142" w:lineRule="exact"/>
        <w:rPr>
          <w:rFonts w:ascii="Arial" w:cs="Arial" w:eastAsia="Arial" w:hAnsi="Arial"/>
          <w:sz w:val="17"/>
          <w:szCs w:val="17"/>
          <w:color w:val="auto"/>
        </w:rPr>
      </w:pPr>
    </w:p>
    <w:p>
      <w:pPr>
        <w:ind w:left="960" w:right="460" w:hanging="424"/>
        <w:spacing w:after="0" w:line="342"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“Millendo” refers to Millendo Therapeutics, Inc., a Delaware corporation, prior to the Merger. On June 25, 2021, Millendo effected a 1-for-15 reverse stock split of its common stock, completed the Merger and changed its name to “Tempest Therapeutics, Inc.”</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 Tempest” refers to TempestTx, Inc., previously known as “Tempest Therapeutics, Inc.”</w:t>
      </w:r>
    </w:p>
    <w:p>
      <w:pPr>
        <w:spacing w:after="0" w:line="130" w:lineRule="exact"/>
        <w:rPr>
          <w:rFonts w:ascii="Arial" w:cs="Arial" w:eastAsia="Arial" w:hAnsi="Arial"/>
          <w:sz w:val="18"/>
          <w:szCs w:val="18"/>
          <w:color w:val="auto"/>
        </w:rPr>
      </w:pPr>
    </w:p>
    <w:p>
      <w:pPr>
        <w:ind w:left="960" w:right="240" w:hanging="424"/>
        <w:spacing w:after="0" w:line="25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“Merger” refers to the series of transaction, completed on June 25, 2021, on which, among other things, Mars Merger Corp., a Delaware corporation and subsidiary of Millendo, merged with and into Private Tempest, with Private Tempest continuing as the wholly owned subsidiary of Millendo and the surviving corporation of the merger. Following the completion of the Merger, the business conducted by Tempest became the business conducted by Private Tempest.</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References to “we,” “our,” “us” and the “company” in this document refer to Tempest.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5" w:lineRule="exact"/>
        <w:rPr>
          <w:sz w:val="20"/>
          <w:szCs w:val="20"/>
          <w:color w:val="auto"/>
        </w:rPr>
      </w:pPr>
    </w:p>
    <w:p>
      <w:pPr>
        <w:ind w:left="960" w:right="100" w:hanging="424"/>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Tempest has a history of operating losses, and Tempest may not achieve or sustain profitability. Tempest anticipates that it will continue to incur losses for the foreseeable future. If Tempest fails to obtain additional funding to conduct its planned research and development efforts, Tempest could be forced to delay, reduce or eliminate Tempest’s product development programs or commercial development efforts.</w:t>
      </w:r>
    </w:p>
    <w:p>
      <w:pPr>
        <w:spacing w:after="0" w:line="92" w:lineRule="exact"/>
        <w:rPr>
          <w:rFonts w:ascii="Arial" w:cs="Arial" w:eastAsia="Arial" w:hAnsi="Arial"/>
          <w:sz w:val="18"/>
          <w:szCs w:val="18"/>
          <w:color w:val="auto"/>
        </w:rPr>
      </w:pPr>
    </w:p>
    <w:p>
      <w:pPr>
        <w:ind w:left="960" w:hanging="424"/>
        <w:spacing w:after="0" w:line="31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Tempest expects that it will need to raise additional funding before Tempest can expect to become profitable from any potential future sales of Tempest’s product candidates. This additional financing may not be available on acceptable terms or at all. Failure to obtain this necessary capital when needed may force Tempest to delay, limit or terminate its product development efforts or other operations.</w:t>
      </w:r>
    </w:p>
    <w:p>
      <w:pPr>
        <w:spacing w:after="0" w:line="54" w:lineRule="exact"/>
        <w:rPr>
          <w:rFonts w:ascii="Arial" w:cs="Arial" w:eastAsia="Arial" w:hAnsi="Arial"/>
          <w:sz w:val="16"/>
          <w:szCs w:val="16"/>
          <w:color w:val="auto"/>
        </w:rPr>
      </w:pPr>
    </w:p>
    <w:p>
      <w:pPr>
        <w:ind w:left="960" w:right="500" w:hanging="424"/>
        <w:spacing w:after="0" w:line="308"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Tempest is unable to develop, obtain regulatory approval for and commercialize TPST-1495 and TPST-1120 and its future product candidates, or if Tempest experiences significant delays in doing so, Tempest’s business will be materially harmed.</w:t>
      </w:r>
    </w:p>
    <w:p>
      <w:pPr>
        <w:spacing w:after="0" w:line="51" w:lineRule="exact"/>
        <w:rPr>
          <w:rFonts w:ascii="Arial" w:cs="Arial" w:eastAsia="Arial" w:hAnsi="Arial"/>
          <w:sz w:val="17"/>
          <w:szCs w:val="17"/>
          <w:color w:val="auto"/>
        </w:rPr>
      </w:pPr>
    </w:p>
    <w:p>
      <w:pPr>
        <w:ind w:left="960" w:right="28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in preclinical studies and earlier clinical trials for Tempest’s product candidates may not be indicative of the results that may be obtained in later clinical trials, which may delay or prevent obtaining regulatory approval.</w:t>
      </w:r>
    </w:p>
    <w:p>
      <w:pPr>
        <w:sectPr>
          <w:pgSz w:w="11900" w:h="16838" w:orient="portrait"/>
          <w:cols w:equalWidth="0" w:num="1">
            <w:col w:w="11020"/>
          </w:cols>
          <w:pgMar w:left="440" w:top="121" w:right="439" w:bottom="1440" w:gutter="0" w:footer="0" w:header="0"/>
        </w:sectPr>
      </w:pPr>
    </w:p>
    <w:bookmarkStart w:id="46" w:name="page47"/>
    <w:bookmarkEnd w:id="46"/>
    <w:p>
      <w:pPr>
        <w:ind w:left="960" w:right="120" w:hanging="424"/>
        <w:spacing w:after="0" w:line="308"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commercial success of Tempest’s product candidates, including TPST-1495 and TPST-1120, will depend upon their degree of market acceptance by providers, patients, patient advocacy groups, third-party payors and the general medical community.</w:t>
      </w:r>
    </w:p>
    <w:p>
      <w:pPr>
        <w:spacing w:after="0" w:line="51" w:lineRule="exact"/>
        <w:rPr>
          <w:rFonts w:ascii="Arial" w:cs="Arial" w:eastAsia="Arial" w:hAnsi="Arial"/>
          <w:sz w:val="17"/>
          <w:szCs w:val="17"/>
          <w:color w:val="auto"/>
        </w:rPr>
      </w:pPr>
    </w:p>
    <w:p>
      <w:pPr>
        <w:ind w:left="960" w:right="140" w:hanging="424"/>
        <w:spacing w:after="0" w:line="25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Tempest faces significant competition in an environment of rapid technological change, and it is possible that Tempest’s competitors may achieve regulatory approval before Tempest or develop therapies that are more advanced or effective than Tempest’s, which may harm Tempest’s business, financial condition and Tempest’s ability to successfully market or commercialize TPST-1495, TPST-1120, and Tempest’s other product candidates.</w:t>
      </w:r>
    </w:p>
    <w:p>
      <w:pPr>
        <w:spacing w:after="0" w:line="92"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Tempest is unable to establish sales and marketing capabilities or enter into agreements with third parties to market and sell Tempest’s product candidates, Tempest may be unable to generate any revenues.</w:t>
      </w:r>
    </w:p>
    <w:p>
      <w:pPr>
        <w:spacing w:after="0" w:line="75"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Tempest may experience significant delays in the clinical development and regulatory approval of Tempest’s product candidates.</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Tempest expects to expand its development and regulatory capabilities, and as a result, Tempest may encounter difficulties in managing its growth, which could disrupt Tempest’s operations.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 Tempest and Millendo may be unable to integrate successfully and realize the anticipated benefits of the Merger.</w:t>
      </w:r>
    </w:p>
    <w:p>
      <w:pPr>
        <w:spacing w:after="0" w:line="33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Private Tempest has incurred net losses in each year since its inception.</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Private Tempest incurred net losses of $14.4 million and $19.2 million for the year ended December 31, 2019 and the year ended December 31, 2020, respectively. As of December 31, 2020, Private Tempest had an accumulated deficit of $71.8 million. Substantially all of Private Tempest’s operating losses have resulted from costs incurred in connection with Private Tempest’s research and development programs and from general and administrative costs associated with Private Tempest’s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general and administrative expenses, will likely result in Tempest incurring significant losses for the foreseeable future. Privat Tempest’s prior losses, combined with our expected future losses, have had and will continue to have an adverse effect on our stockholders’ equity and working capital.</w:t>
      </w:r>
    </w:p>
    <w:p>
      <w:pPr>
        <w:sectPr>
          <w:pgSz w:w="11900" w:h="16838" w:orient="portrait"/>
          <w:cols w:equalWidth="0" w:num="1">
            <w:col w:w="11000"/>
          </w:cols>
          <w:pgMar w:left="440" w:top="274" w:right="45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Millendo’s net loss was $36.4 million and $44.6 million and for the years ended December 31, 2020 and 2019, respectively. As of December 31, 2020, Millendo had an accumulated deficit of $245.1 million.</w:t>
      </w:r>
    </w:p>
    <w:p>
      <w:pPr>
        <w:spacing w:after="0" w:line="2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expect that it will need to raise additional funding before we can expect to become profitable from any potential future sales of our product candidates. This additional financing may not be available on acceptable terms or at all. Failure to obtain this necessary capital when needed may force us to delay, limit or terminate our product development efforts or other operations.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will require substantial future capital in order to complete planned and future preclinical and clinical development for our product candidates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potentially commercialize these product candidates. Based upon our current operating plan, we believe that our cash and cash equivalents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2021 of $27.4 million, will enable us to fund our operating expenses and capital expenditure requirements through into early 2023. We expect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spending levels to increase in connection with our preclinical studies and clinical trials of our product candidates. In addition, if we obtain marketing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approval for any of our product candidates, we expect to incur significant expenses related to commercial launch, product sales, medical affairs,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marketing, manufacturing and distribution. Furthermore, we expect to incur additional costs associated with operating as a public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will need to obtain substantial additional funding in connection with its continuing operations before any commercial revenue may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Additional capital might not be available when we need it and our actual cash requirements might be greater than anticipated. If we require additional capital at a time when investment in its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Tempest’s operations have consumed significant amounts of cash since inception. Tempest’s future capital requirements will depend on many factors, including:</w:t>
      </w:r>
    </w:p>
    <w:p>
      <w:pPr>
        <w:spacing w:after="0" w:line="1" w:lineRule="exact"/>
        <w:rPr>
          <w:sz w:val="20"/>
          <w:szCs w:val="20"/>
          <w:color w:val="auto"/>
        </w:rPr>
      </w:pPr>
    </w:p>
    <w:p>
      <w:pPr>
        <w:ind w:left="960" w:right="380" w:hanging="424"/>
        <w:spacing w:after="0" w:line="260"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scope, progress and results of discovery, preclinical development, laboratory testing and clinical trials for Tempest’s product candidates;</w:t>
      </w:r>
    </w:p>
    <w:p>
      <w:pPr>
        <w:spacing w:after="0" w:line="9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manufacturing of Tempest’s product candidates;</w:t>
      </w:r>
    </w:p>
    <w:p>
      <w:pPr>
        <w:spacing w:after="0" w:line="130"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related to the extent to which Tempest enters into partnerships or other arrangements with third parties to further develop Tempest’s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product candidates or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Tempest’s ability to establish collaborations on favorable terms, if at all;</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product sales, marketing, manufacturing and distribution, for any of Tempest’s product candidates for which Tempest receives marketing approval;</w:t>
      </w:r>
    </w:p>
    <w:p>
      <w:pPr>
        <w:spacing w:after="0" w:line="75"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if any, received from commercial sales of Tempest’s product candidates, should any of Tempest’s product candidates receive marketing approval; and</w:t>
      </w:r>
    </w:p>
    <w:p>
      <w:pPr>
        <w:spacing w:after="0" w:line="75"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Tempest’s intellectual property rights and defending intellectual property-related claims.</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Tempest’s product candidates, if approved, may not achieve commercial success. Tempest’s commercial revenues, if any, will be derived from sales of product candidates that Tempest does not expect to be commercially available for many years, if at all. Accordingly, Tempest will need to continue to rely on additional financing to achieve Tempest’s business objectives, which may not be available to Tempest on acceptable terms, or at all.</w:t>
      </w:r>
    </w:p>
    <w:p>
      <w:pPr>
        <w:sectPr>
          <w:pgSz w:w="11900" w:h="16838" w:orient="portrait"/>
          <w:cols w:equalWidth="0" w:num="1">
            <w:col w:w="11000"/>
          </w:cols>
          <w:pgMar w:left="440" w:top="274" w:right="45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we fail to maintain proper and effective internal controls, our ability to produce accurate financial statements on a timely basis could be impaired.</w:t>
      </w:r>
    </w:p>
    <w:p>
      <w:pPr>
        <w:spacing w:after="0" w:line="15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 rules related to smaller reporting companies, Millendo was not required to have its auditors formally attest to the effectiveness of its internal control over financial reporting in connection with this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or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(“SEC”), or other regulatory authorities.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Additionally, as a privately held company, Private Tempest was not required to evaluate its internal control over financial reporting in a manner that meets the standards of publicly traded companies required by Section 404. In preparing Private Tempest’s financial statements as of and for the year ended December 31, 2020, management of Private Tempest identified material weaknesses in its internal control over financial reporting. We cannot assure you that the material weaknesses identified at Private Tempest will be remediated by Tempest on the timelines currently anticipated, or at all, and/or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the company’s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Private Tempest had identified material weaknesses in its internal control over financial reporting. Failure to achieve and maintain effective internal control over financial reporting could harm our business and negatively impact the value of our common stock.</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Private Tempest had identified material weaknesses in its internal control over financial reporting. A material weakness is a deficiency, or a combination of deficiencies, in internal control over financial reporting, such that there is a reasonable possibility that a material misstatement of Private Tempest’s annual or interim financial statements will not be prevented or detected on a timely basis. In preparing Private Tempest’s financial statements as of and for the year ended December 31, 2020, management of Private Tempest identified the following material weaknesses in its internal control over financial reporting:</w:t>
      </w:r>
    </w:p>
    <w:p>
      <w:pPr>
        <w:spacing w:after="0" w:line="215" w:lineRule="exact"/>
        <w:rPr>
          <w:sz w:val="20"/>
          <w:szCs w:val="20"/>
          <w:color w:val="auto"/>
        </w:rPr>
      </w:pPr>
    </w:p>
    <w:p>
      <w:pPr>
        <w:ind w:left="960" w:right="20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 Tempest did not have sufficient resources with appropriate knowledge and expertise to design, implement, document and operate effective internal controls over financial reporting.</w:t>
      </w:r>
    </w:p>
    <w:p>
      <w:pPr>
        <w:spacing w:after="0" w:line="75"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 Tempest did not design and implement controls surrounding review of clinical trial expenses, including the evaluation of the terms of its clinical trial contracts. Specifically, Private Tempest failed to properly review and evaluate the progress of expenses incurred in its clinical trial contracts that resulted in the inaccurate accrual of clinical trial expenses.</w:t>
      </w:r>
    </w:p>
    <w:p>
      <w:pPr>
        <w:sectPr>
          <w:pgSz w:w="11900" w:h="16838" w:orient="portrait"/>
          <w:cols w:equalWidth="0" w:num="1">
            <w:col w:w="11020"/>
          </w:cols>
          <w:pgMar w:left="440" w:top="274" w:right="439" w:bottom="1440" w:gutter="0" w:footer="0" w:header="0"/>
        </w:sectPr>
      </w:pPr>
    </w:p>
    <w:bookmarkStart w:id="49" w:name="page50"/>
    <w:bookmarkEnd w:id="49"/>
    <w:p>
      <w:pPr>
        <w:jc w:val="both"/>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material weaknesses resulted in adjustments to Private Tempest’s financial statements. Additionally, these material weaknesses could result in a misstatement of Private Tempest’s accounts or disclosures that would result in a material misstatement of its annual or interim financial statements that would not be prevented or detected, and accordingly, Private Tempest determined that these control deficiencies constitute material weaknesses.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Tempest is actively recruiting additional accounting personnel with appropriate experience, certification, education and training as a component of its plans to remediate the material weaknesses. Tempest also plans to design and implement controls related to review of clinical trial expenses to properly evaluate progress of expense incurred in clinical trial contracts. To the extent that Tempest is not able to hire and retain such individuals, or is unable to successfully design and implement such controls, the material weaknesses identified may not be remediated and management may be required to record additional adjustments to its financial statements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Tempest’s operations to date have been limited to organizing and staffing Tempest, business planning, raising capital, acquiring Tempest’s technology, identifying potential product candidates, undertaking research and preclinical studies of Tempest’s product candidates, manufacturing, and establishing licensing arrangements. Tempest has not yet demonstrated the ability to complete clinical trials of Tempest’s product candidates, obtain marketing approvals, manufacture a commercial scale product or conduct sales and marketing activities necessary for successful commercialization. Consequently, any predictions you make about Tempest’s future success or viability may not be as accurate as they could be if Tempest had a longer operating history.</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 a new business, Tempest may encounter unforeseen expenses, difficulties, complications, delays and other known and unknown factors. Tempest will need to transition from a company with a licensing and research focus to a company that is also capable of supporting clinical development and commercial activities. Tempest may not be successful in such a transition.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Tempest’s Product Development and Regulatory Approval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Tempest is unable to develop, obtain regulatory approval for and commercialize TPST-1495 and TPST-1120 and its future product candidates, or if Tempest experiences significant delays in doing so, Tempest’s business will be materially harmed.</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Tempest plans to invest a substantial amount of its efforts and financial resources in its current lead product candidates, TPST-1495, a dual EP2/EP4 prostaglandin (PGE2) receptor antagonist, and TPST-1120, a peroxisome proliferator-activated receptor alpha (PPARα) antagonism for the treatment of various cancers. Tempest has initiated phase 1 clinical trials of TPST-1495 and TPST-1120 for the treatment of advanced solid tumors. In addition, Tempest plans to advance its TREX-1 inhibitor program and select a development candidate for this program by the end of 2021. Tempest’s ability to generate product revenue will depend heavily on the successful development and eventual commercialization of TPST-1495 and TPST-1120 and Tempest’s other product candidates, which may never occur. Tempest currently generates no revenue from sales of any product and Tempest may never be able to develop or commercialize a marketable product.</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Tempest’s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Tempest generates any revenue from product sales. TPST-1495 and TPST-1120 and Tempest’s other product candidates must be authorized for marketing by the U.S. Food and Drug Administration, or FDA, the Health Products and Food Branch of Health Canada, or HPFB, the European Medicines Agency, or EMA, and certain other foreign regulatory agencies before Tempest may commercialize any of its product candidates in the United States, Canada, EU, or other jurisdictions.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TPST-1495 and TPST-1120 and Tempest’s other product candidates depends on multiple factors, including:</w:t>
      </w:r>
    </w:p>
    <w:p>
      <w:pPr>
        <w:sectPr>
          <w:pgSz w:w="11900" w:h="16838" w:orient="portrait"/>
          <w:cols w:equalWidth="0" w:num="1">
            <w:col w:w="11000"/>
          </w:cols>
          <w:pgMar w:left="440" w:top="274" w:right="459" w:bottom="1440" w:gutter="0" w:footer="0" w:header="0"/>
        </w:sectPr>
      </w:pPr>
    </w:p>
    <w:bookmarkStart w:id="50" w:name="page51"/>
    <w:bookmarkEnd w:id="50"/>
    <w:p>
      <w:pPr>
        <w:ind w:left="960" w:right="120" w:hanging="424"/>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successful completion of preclinical studies, including those compliant with Good Laboratory Practices, or GLP, or GLP toxicology studies, biodistribution studies and minimum effective dose studies in animals, and successful enrollment and completion of clinical trials compliant with current Good Clinical Practices, or GCPs;</w:t>
      </w:r>
    </w:p>
    <w:p>
      <w:pPr>
        <w:spacing w:after="0" w:line="89"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INDs or other regulatory applications, that allow commencement of Tempest’s planned clinical trials or future clinical trials for Tempest’s product candidates in relevant territories;</w:t>
      </w:r>
    </w:p>
    <w:p>
      <w:pPr>
        <w:spacing w:after="0" w:line="75"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Tempest’s product candidates, both in the United States and internationally;</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arrangements with third-party contract manufacturing organizations, or CMOs, for key materials used in Tempest’s manufacturing processes and to establish backup sources for clinical and large-scale commercial supply;</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results from Tempest’s clinical programs that are supportive of safety and efficacy and provide an acceptable risk-benefit profile for Tempest’s product candidates in the intended patient populations;</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those necessary for pricing and reimbursement of its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establishment and maintenance of patent and trade secret protection and regulatory exclusivity for Tempest’s product candidates;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launch of Tempest’s product candidates, if and when approved, whether alone or in collaboration with others;</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Tempest’s product candidates, if and when approved, by patients, patient advocacy groups, third-party payors and the general medical community;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Tempest’s effective competition against other therapies available in the market;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and maintenance of adequate reimbursement from third-party payors for Tempest’s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Tempest’s ability to acquire or in-license additional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prosecution, maintenance, enforcement and defense of intellectual property rights and claims;</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Tempest’s product candidates following approval, including meeting any post-marketing commitments or requirements imposed by or agreed to with applicable regulatory authorities;</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political instability or global pandemics such as the outbreak of the novel strain of coronavirus, COVID-19;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in enrollment of Tempest’s clinical trials due to the COVID-19 pandemic.</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Tempest does not succeed in one or more of these factors in a timely manner or at all, Tempest could experience significant delays or an inability to successfully commercialize its product candidates, which would materially harm Tempest’s business. If Tempest does not receive regulatory approvals for Tempest’s product candidates, Tempest may not be able to continue its operations.</w:t>
      </w:r>
    </w:p>
    <w:p>
      <w:pPr>
        <w:spacing w:after="0" w:line="2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Success in preclinical studies and earlier clinical trials for Tempest’s product candidates may not be indicative of the results that may be obtained in later clinical trials, which may delay or prevent obtaining regulatory approval.</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Tempest will be required to demonstrate through adequate and well-controlled clinical trials that Tempest’s product candidates are safe and effective for their intended uses before Tempest can seek regulatory approvals for their commercial sale. The conduct of phase 3 trials and the submission of an NDA is a complicated process. Tempest has not previously completed any clinical trials, has limited experience in preparing, submitting and supporting regulatory filings, and has not previously submitted an NDA. Consequently, Tempest may be unable to successfully and efficiently execute and complete necessary clinical trials and other requirements in a way that leads to NDA submission and approval of any product candidate Tempest is developing.</w:t>
      </w:r>
    </w:p>
    <w:p>
      <w:pPr>
        <w:sectPr>
          <w:pgSz w:w="11900" w:h="16838" w:orient="portrait"/>
          <w:cols w:equalWidth="0" w:num="1">
            <w:col w:w="11000"/>
          </w:cols>
          <w:pgMar w:left="440" w:top="274" w:right="45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TPST-1495 and TPST-1120 are being evaluated in clinical trials, Tempest’s other product candidates, such as TREX-1, have not been evaluated in human clinical trials, and Tempest may experience unexpected or negative results in the future if and when TREX-1 or Tempest’s other product candidates are evaluated in clinical trials. Any positive results Tempest observes for TREX-1 in preclinical animal models may not be predictive of Tempest’s future clinical trials in humans, as animal models carry inherent limitations relevant to all preclinical studies. Tempest’s product candidates, including TREX-1, may also fail to show the desired safety and efficacy in later stages of clinical development even if they successfully advance through initial clinical trials. Even if Tempest’s clinical trials demonstrate acceptable safety and efficacy of TPST-1495, TPST-1120 or TREX-1 or any other product candidates and such product candidates receive regulatory approval, the labeling Tempest obtains through negotiations with the FDA or foreign regulatory authorities may not include data on secondary endpoints and may not provide Tempest with a competitive advantage over other products approved for the same or similar indications.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Tempest utilizes to assess particular safety or efficacy parameters may yield different statistical results. Even if Tempest believes the data collected from clinical trials of Tempest’s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Tempest or Tempest’s partners, which could delay, limit or prevent regulatory approval. If Tempest’s study data do not consistently or sufficiently demonstrate the safety or efficacy of any of Tempest’s product candidates, including TPST-1495 and TPST-1120, to the satisfaction of the FDA or foreign regulatory authorities, then the regulatory approvals for such product candidates could be significantly delayed as Tempest works to meet approval requirements, or, if Tempest is not able to meet these requirements, such approvals could be withheld or withdrawn.</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Tempest encounters difficulties enrolling patients in Tempest’s clinical trials, Tempest’s clinical development activities could be delayed or otherwise adversely affected.</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Tempest may experience difficulties in patient enrollment in Tempest’s clinical trials for a variety of reasons, including, without limitation, the impact of the COVID-19 pandemic. The timely completion of clinical trials in accordance with their protocols depends, among other things, on Tempest’s ability to enroll a sufficient number of patients who remain in the study until its conclusion. The enrollment of patients depends on many factors, including:</w:t>
      </w:r>
    </w:p>
    <w:p>
      <w:pPr>
        <w:spacing w:after="0" w:line="54" w:lineRule="exact"/>
        <w:rPr>
          <w:sz w:val="20"/>
          <w:szCs w:val="20"/>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Tempest’s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Tempest’s ability to obtain and maintain patient consents; and</w:t>
      </w:r>
    </w:p>
    <w:p>
      <w:pPr>
        <w:spacing w:after="0" w:line="130"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the infusion of Tempest’s product candidates or trial completion.</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Tempest intends to conduct a number of clinical trials for product candidates in the fields of cancer in geographies which are affected by COVID-19 pandemic. Tempest believes that the coronavirus pandemic could have an impact on various aspects of its future clinical trials. For example, investigators may not want to take the risk of exposing cancer patients to COVID-19 since the dosing of patients is conducted within an in-patient setting. Other potential impacts of the COVID-19 pandemic on Tempest’s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Tempest’s clinical trial investigators and reduced availability of site staff supporting the conduct of its clinical trials, interruption or delays in the operations of the government regulators, or other reasons related to the COVID-19 pandemic. It is unknown how long these pauses or disruptions could continue.</w:t>
      </w:r>
    </w:p>
    <w:p>
      <w:pPr>
        <w:sectPr>
          <w:pgSz w:w="11900" w:h="16838" w:orient="portrait"/>
          <w:cols w:equalWidth="0" w:num="1">
            <w:col w:w="11000"/>
          </w:cols>
          <w:pgMar w:left="440" w:top="274" w:right="459" w:bottom="1440" w:gutter="0" w:footer="0" w:header="0"/>
        </w:sectPr>
      </w:pPr>
    </w:p>
    <w:bookmarkStart w:id="52" w:name="page53"/>
    <w:bookmarkEnd w:id="52"/>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Tempest’s clinical trials will compete with other clinical trials for product candidates that are in the same therapeutic areas as Tempest’s product candidates, and this competition will reduce the number and types of patients available to Tempest because some patients who might have opted to enroll in Tempest trials may instead opt to enroll in a trial being conducted by one of Tempest’s competitors. Since the number of qualified clinical investigators is limited, some of Tempest’s clinical trial sites are also being used by some of Tempest’s competitors, which may reduce the number of patients who are available for Tempest’s clinical trials in that clinical trial site.</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Moreover, because Tempest’s product candidates represent unproven methods for cancer treatment, potential patients and their doctors may be inclined to use existing therapies rather than enroll patients in Tempest’s clinical trials.</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Tempest’s ongoing clinical trial and planned clinical trials, which could prevent completion of these trials and adversely affect Tempest’s ability to advance the development of Tempest’s product candidates.</w:t>
      </w:r>
    </w:p>
    <w:p>
      <w:pPr>
        <w:spacing w:after="0" w:line="2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Interim “top line” and preliminary data from Tempest’s clinical trials that Tempest may announce or publish from time to time may change as more patient data becomes available and are subject to audit and verification procedures that could result in material changes in the final data.</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From time to time, Tempest may publish interim “top line” or preliminary data from Tempest’s clinical studies. Interim data from clinical trials that Tempest may complete are subject to the risk that one or more of the clinical outcomes may materially change as patient enrollment continues and more patient data become available.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Preliminary or “top line” data also remain subject to audit and verification procedures that may result in the final data being materially different from the preliminary data Tempest previously published. As a result, interim and preliminary data should be viewed with caution until the final data are available. Adverse differences between preliminary or interim data and final data could significantly harm Tempest’s business prospects.</w:t>
      </w:r>
    </w:p>
    <w:p>
      <w:pPr>
        <w:spacing w:after="0" w:line="2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Even if Tempest completes the necessary preclinical studies and clinical trials, Tempest cannot predict when, or if, Tempest will obtain regulatory approval to commercialize a product candidate and the approval may be for a narrower indication than Tempest seeks.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commercialization, TPST-1495, TPST-1120 and Tempest’s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Tempest from commercializing the product candidate. Tempest has not received approval to market TPST-1495, TPST-1120 or any of Tempest’s other product candidates from regulatory authorities in any jurisdiction. Tempest has no experience in submitting and supporting the applications necessary to gain marketing approvals, and, in the event regulatory authorities indicate that Tempest may submit such applications, Tempest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Tempest’s product candidates may not be effective, may be only moderately effective or may prove to have undesirable or unintended side effects, toxicities or other characteristics that may preclude Tempest’s obtaining marketing approval or prevent or limit commercial use. Regulatory authorities have substantial discretion in the approval process and may refuse to accept or file any application or may decide that Tempest’s data are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Approval of TPST-1495 and TPST-1120 and Tempest’s other product candidates may be delayed or refused for many reasons, including:</w:t>
      </w:r>
    </w:p>
    <w:p>
      <w:pPr>
        <w:sectPr>
          <w:pgSz w:w="11900" w:h="16838" w:orient="portrait"/>
          <w:cols w:equalWidth="0" w:num="1">
            <w:col w:w="11000"/>
          </w:cols>
          <w:pgMar w:left="440" w:top="274" w:right="459" w:bottom="1440" w:gutter="0" w:footer="0" w:header="0"/>
        </w:sectPr>
      </w:pPr>
    </w:p>
    <w:bookmarkStart w:id="53" w:name="page54"/>
    <w:bookmarkEnd w:id="53"/>
    <w:p>
      <w:pPr>
        <w:ind w:left="960" w:hanging="424"/>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FDA or comparable foreign regulatory authorities may disagree with the design or implementation of Tempest’s clinical trials;</w:t>
      </w:r>
    </w:p>
    <w:p>
      <w:pPr>
        <w:spacing w:after="0" w:line="142" w:lineRule="exact"/>
        <w:rPr>
          <w:rFonts w:ascii="Arial" w:cs="Arial" w:eastAsia="Arial" w:hAnsi="Arial"/>
          <w:sz w:val="17"/>
          <w:szCs w:val="17"/>
          <w:color w:val="auto"/>
        </w:rPr>
      </w:pPr>
    </w:p>
    <w:p>
      <w:pPr>
        <w:ind w:left="960" w:right="4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Tempest may be unable to demonstrate, to the satisfaction of the FDA or comparable foreign regulatory authorities, that Tempest’s product candidates are safe and effective for any of their proposed indications;</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populations studied in clinical trials may not be sufficiently broad or representative to assure efficacy and safety in the populations for which Tempest seeks approval;</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Tempest may be unable to demonstrate that Tempest’s product candidates’ clinical and other benefits outweigh their safety risks;</w:t>
      </w:r>
    </w:p>
    <w:p>
      <w:pPr>
        <w:spacing w:after="0" w:line="142" w:lineRule="exact"/>
        <w:rPr>
          <w:rFonts w:ascii="Arial" w:cs="Arial" w:eastAsia="Arial" w:hAnsi="Arial"/>
          <w:sz w:val="17"/>
          <w:szCs w:val="17"/>
          <w:color w:val="auto"/>
        </w:rPr>
      </w:pPr>
    </w:p>
    <w:p>
      <w:pPr>
        <w:ind w:left="960" w:right="120" w:hanging="424"/>
        <w:spacing w:after="0" w:line="308"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data collected from clinical trials of Tempest’s product candidates may not be sufficient to support the submission of an NDA or other comparable submission in foreign jurisdictions or to obtain regulatory approval in the United States or elsewhere;</w:t>
      </w:r>
    </w:p>
    <w:p>
      <w:pPr>
        <w:spacing w:after="0" w:line="51" w:lineRule="exact"/>
        <w:rPr>
          <w:rFonts w:ascii="Arial" w:cs="Arial" w:eastAsia="Arial" w:hAnsi="Arial"/>
          <w:sz w:val="17"/>
          <w:szCs w:val="17"/>
          <w:color w:val="auto"/>
        </w:rPr>
      </w:pPr>
    </w:p>
    <w:p>
      <w:pPr>
        <w:ind w:left="960" w:right="14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facilities of third-party manufacturers with which Tempest contracts or procures certain service or raw materials, may not be adequate to support approval of Tempest’s product candidates; and</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Tempest’s clinical data insufficient for approval.</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Even if Tempest’s product candidates meet their pre-specified safety and efficacy endpoints in clinical trials, the regulatory authorities may not complete their review processes in a timely manner and may not consider such the clinical trial results sufficient to grant, or Tempest may not be able to obtain, regulatory approval. Additional delays may result if an FDA Advisory Committee or other regulatory authority recommends non-approval or restrictions on approval. In addition, Tempest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or REMS. These regulatory authorities may also grant approval subject to the performance of costly post-marketing clinical trials. In addition, regulatory authorities may not approve the labeling claims that are necessary or desirable for the successful commercialization of Tempest’s product candidates. Any of the foregoing scenarios could materially harm the commercial prospects for Tempest’s product candidates and adversely affect Tempest’s business, financial condition, results of operations and prospects.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outbreak of COVID-19, or similar public health crises, could have a material adverse impact on Tempest’s business, financial condition and results of operations, including the execution of Tempest’s planned clinical trials.</w:t>
      </w:r>
    </w:p>
    <w:p>
      <w:pPr>
        <w:spacing w:after="0" w:line="6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December 2019, a novel strain of coronavirus, SARS-CoV-2, was identified. This virus has since spread globally, including within the United States and while cases and hospitalization are currently on the decline in the US, there can be no assurances they will not continue at the current rate or increase in the future especially in light of the number of variants that are emerging across the world. Governments in the United States and elsewhere have taken and are continuing to take severe measures to slow the spread of COVID-19, including requiring that certain businesses close or conduct only the minimum necessary operations.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extent to which COVID-19 will continue to impact Tempest’s business and operating results will depend on future developments that are highly uncertain and cannot be accurately predicted, including new information that may emerge concerning COVID-19 and government measures taken in response.</w:t>
      </w:r>
    </w:p>
    <w:p>
      <w:pPr>
        <w:sectPr>
          <w:pgSz w:w="11900" w:h="16838" w:orient="portrait"/>
          <w:cols w:equalWidth="0" w:num="1">
            <w:col w:w="11000"/>
          </w:cols>
          <w:pgMar w:left="440" w:top="274" w:right="459" w:bottom="1440" w:gutter="0" w:footer="0" w:header="0"/>
        </w:sectPr>
      </w:pPr>
    </w:p>
    <w:bookmarkStart w:id="54" w:name="page55"/>
    <w:bookmarkEnd w:id="54"/>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Site initiation, participant recruitment and enrollment, participant dosing, distribution of clinical trial materials, study monitoring and data analysis for Tempest’s planned clinical trials may be delayed due to changes in hospital or university policies, federal, state or local regulations, prioritization of hospital resources toward pandemic efforts, or other reasons related to the pandemic. Additionally, some participants and clinical investigators may not be able to comply with clinical trial protocols. For example, quarantines or other travel limitations (whether voluntary or required) may impede participant movement, affect sponsor access to study sites, or interrupt healthcare services, and Tempest may be unable to conduct its planned clinical trials. If the global effort to control the spread of COVID-19 and treat COVID-19 patients continues for an extended period of time, Tempest risks a delay in activating sites and enrolling subjects as previously projected. Any such delays to Tempest’s planned clinical trials for TPST-1495 and TPST-1120 and the planned clinical trials for its other product candidates could impact the use and sufficiency of its existing cash reserves, and it may be required to raise additional capital earlier than it had previously planned. Tempest may be unable to raise additional capital if and when needed, which may result in further delays or suspension of its development plans.</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Tempest’s clinical trials or delay in regulatory review resulting from such disruptions could materially adversely affect the development and study of its product candidates.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Tempest currently utilizes third parties to, among other things, manufacture raw materials and its product candidates, components, parts, and consumables, and to perform quality testing. If either Tempest or any third-party in the supply chain for materials used in the production of its product candidates are adversely impacted by restrictions resulting from the COVID-19 pandemic, its supply chain may be disrupted, limiting Tempest’s ability to manufacture product candidates for its clinical trials.</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response to the COVID-19 pandemic, Tempest complied with applicable regulation and limited required on-site staff to essential workers, with the balance of its employees continuing their work primarily outside of Tempest’s offices. Due to shelter-in-place orders or other mandated local travel restrictions, third parties conducting clinical or manufacturing activities may not be able to access laboratory or manufacturing space, and Tempest’s core activities may be significantly limited or curtailed, possibly for an extended period of time.</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While the potential economic impact brought by and the duration of the pandemic may be difficult to assess or predict, it has already caused, and is likely to result in further, significant disruption of global financial markets and the trading prices of biopharmaceutical companies have been highly volatile as a result of the COVID-19 pandemic, which may reduce Tempest’s ability to access capital either at all or on favorable terms. In addition, a recession, depression or other sustained adverse market event resulting from the global effort to control COVID-19 infections could materially and adversely affect Tempest’s business.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ultimate impact of the current pandemic, or any other health epidemic, is highly uncertain and subject to change. Tempest does not yet know the full extent of potential delays or impacts on its business, its planned clinical trials, healthcare systems or the global economy as a whole. However, these effects could have a material adverse impact on Tempest’s business, financial condition and results of operations.</w:t>
      </w:r>
    </w:p>
    <w:p>
      <w:pPr>
        <w:sectPr>
          <w:pgSz w:w="11900" w:h="16838" w:orient="portrait"/>
          <w:cols w:equalWidth="0" w:num="1">
            <w:col w:w="11000"/>
          </w:cols>
          <w:pgMar w:left="440" w:top="274" w:right="459" w:bottom="1440" w:gutter="0" w:footer="0" w:header="0"/>
        </w:sectPr>
      </w:pPr>
    </w:p>
    <w:bookmarkStart w:id="55" w:name="page56"/>
    <w:bookmarkEnd w:id="55"/>
    <w:p>
      <w:pPr>
        <w:ind w:right="12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TPST-1495, TPST-1120 and Tempest’s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is the case with pharmaceuticals generally, it is likely that there may be side effects and adverse events associated with Tempest’s product candidates’ use. Results of Tempest’s clinical trials could reveal a high and unacceptable severity and prevalence of side effects or unexpected characteristics. As Tempest continues developing its product candidates and initiate clinical trials of its additional product candidates, serious adverse events (SAEs), undesirable side effects, relapse of disease or unexpected characteristics may emerge causing Tempest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any such adverse events occur, Tempest’s clinical trials could be suspended or terminated and the FDA, the HPFB, the European Commission, the EMA or other regulatory authorities could order Tempest to cease further development of, or deny approval of, Tempest’s product candidates for any or all targeted indications. Even if Tempest can demonstrate that all future serious adverse events are not product-related, such occurrences could affect patient recruitment or the ability of enrolled patients to complete the trial. Moreover, if Tempest elects, or is required, to not initiate, delay, suspend or terminate any future clinical trial of any of Tempest’s product candidates, the commercial prospects of such product candidates may be harmed and Tempest’s ability to generate product revenues from any of these product candidates may be delayed or eliminated. Any of these occurrences may harm Tempest’s ability to develop other product candidates, and may adversely affect Tempest’s business, financial condition, results of operations and prospects significantly. Other treatments for cancers that utilize a dual EP2/EP4 antagonist or a PPARα antagonist or similar mechanism of action could also generate data that could adversely affect the clinical, regulatory or commercial perception of TPST-1495 and TPST-1120 and Tempest’s other product candidates.</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Additionally, if any of Tempest’s product candidates receives marketing approval, the FDA could require Tempest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Tempest or others later identify undesirable side effects caused by Tempest’s product candidates, several potentially significant negative consequences could result, including:</w:t>
      </w:r>
    </w:p>
    <w:p>
      <w:pPr>
        <w:spacing w:after="0" w:line="93" w:lineRule="exact"/>
        <w:rPr>
          <w:sz w:val="20"/>
          <w:szCs w:val="20"/>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in the labeling;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Tempest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Tempest could be sued and held liable for harm caused to patients;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Tempest’s reputation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these occurrences may harm Tempest’s business, financial condition, results of operations and prospects significantly.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Tempest may not be successful in its efforts to expand its pipeline of product candidates and develop marketable products.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Because Tempest has limited financial and managerial resources, Tempest focuses on research programs and product candidates that Tempest identifies for specific indications. Tempest’s business depends on its successful development and commercialization of the limited number of internal product candidates Tempest is researching or has in preclinical development. Even if Tempest is successful in continuing to build its pipeline, development of the potential product candidates that Tempest identifies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Tempest generates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Tempest cannot develop further product candidates, Tempest may not be able to obtain product revenue in future periods, which would adversely affect Tempest’s business, prospects, financial condition and results of operations.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Tempest’s pipeline includes multiple programs, Tempest is primarily focused on its lead product candidates, TPST-1495 and TPST-1120, and Tempest may forego or delay pursuit of opportunities with other product candidates or for other indications that later prove to have greater commercial potential. Tempest’s resource allocation decisions may cause Tempest to fail to capitalize on viable commercial products or profitable market opportunities. Tempest’s spending on current and future research and development programs and product candidates for specific indications may not yield any commercially viable products. Tempest’s understanding and evaluation of biological targets for the discovery and development of new product candidates may fail to identify challenges encountered in subsequent preclinical and clinical development. If Tempest does not accurately evaluate the commercial potential or target market for a particular product candidate, Tempest may relinquish valuable rights to that product candidate through collaboration, licensing or other royalty arrangements in cases in which it would have been more advantageous for Tempest to retain sole development and commercialization rights.</w:t>
      </w:r>
    </w:p>
    <w:p>
      <w:pPr>
        <w:sectPr>
          <w:pgSz w:w="11900" w:h="16838" w:orient="portrait"/>
          <w:cols w:equalWidth="0" w:num="1">
            <w:col w:w="11000"/>
          </w:cols>
          <w:pgMar w:left="440" w:top="274" w:right="459" w:bottom="1440" w:gutter="0" w:footer="0" w:header="0"/>
        </w:sectPr>
      </w:pPr>
    </w:p>
    <w:bookmarkStart w:id="56" w:name="page57"/>
    <w:bookmarkEnd w:id="56"/>
    <w:p>
      <w:pPr>
        <w:jc w:val="both"/>
        <w:spacing w:after="0" w:line="31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product candidate for which Tempest obtains marketing approval will be subject to extensive post-marketing regulatory requirements and could be subject to post-marketing restrictions or withdrawal from the market, and Tempest may be subject to penalties if it fails to comply with regulatory requirements or if it experiences unanticipated problems with its product candidates, when and if any of them are approved.</w:t>
      </w:r>
    </w:p>
    <w:p>
      <w:pPr>
        <w:spacing w:after="0" w:line="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Tempest’s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or cGMPs,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cGMPs.</w:t>
      </w:r>
    </w:p>
    <w:p>
      <w:pPr>
        <w:spacing w:after="0" w:line="19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Tempest promotes its product candidates in a manner inconsistent with FDA-approved labeling or otherwise not in compliance with FDA regulations, Tempest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77" w:lineRule="exact"/>
        <w:rPr>
          <w:sz w:val="20"/>
          <w:szCs w:val="20"/>
          <w:color w:val="auto"/>
        </w:rPr>
      </w:pPr>
    </w:p>
    <w:p>
      <w:pPr>
        <w:ind w:right="104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Tempest’s product candidates, manufacturers or manufacturing processes, or failure to comply with regulatory requirements, may yield various results, including:</w:t>
      </w:r>
    </w:p>
    <w:p>
      <w:pPr>
        <w:spacing w:after="0" w:line="52" w:lineRule="exact"/>
        <w:rPr>
          <w:sz w:val="20"/>
          <w:szCs w:val="20"/>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such product candidates, manufacturers or manufacturing processes;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any approved product from the market;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Tempest submits;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Tempest’s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occurrence of any event or penalty described above may inhibit Tempest’s ability to commercialize its product candidates and generate revenue and could require Tempest to expend significant time and resources in response and could generate negative publicity. The FDA’s and other regulatory authorities’ policies may change, and additional government regulations may be enacted that could prevent, limit or delay regulatory approval of Tempest’s product candidates. If Tempest is slow or unable to adapt to changes in existing requirements or the adoption of new requirements or policies, or if Tempest is not able to maintain regulatory compliance, it may lose any marketing approval that it has obtained, and Tempest may not achieve or sustain profitability.</w:t>
      </w:r>
    </w:p>
    <w:p>
      <w:pPr>
        <w:spacing w:after="0" w:line="19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ectPr>
          <w:pgSz w:w="11900" w:h="16838" w:orient="portrait"/>
          <w:cols w:equalWidth="0" w:num="1">
            <w:col w:w="10960"/>
          </w:cols>
          <w:pgMar w:left="440" w:top="274" w:right="499" w:bottom="1440" w:gutter="0" w:footer="0" w:header="0"/>
        </w:sectPr>
      </w:pPr>
    </w:p>
    <w:bookmarkStart w:id="57" w:name="page58"/>
    <w:bookmarkEnd w:id="57"/>
    <w:p>
      <w:pPr>
        <w:ind w:right="1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Tempest’s failure to obtain regulatory approval in international jurisdictions would prevent Tempest from marketing its product candidates outside the United States.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market and sell TPST-1495, TPST-1120 and Tempest’s other product candidates in other jurisdictions, Tempest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Tempest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Tempest and could delay or prevent the introduction of Tempest’s product candidates in certain countries.</w:t>
      </w:r>
    </w:p>
    <w:p>
      <w:pPr>
        <w:spacing w:after="0" w:line="1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If Tempest fails to comply with the regulatory requirements in international markets and receive applicable marketing approvals, Tempest’s target market will be reduced and its ability to realize the full market potential of its product candidates will be harmed and its business will be adversely affected. Tempest may not obtain foreign regulatory approvals on a timely basis, if at all. Tempest’s failure to obtain approval of any of its product candidates by regulatory authorities in another country may significantly diminish the commercial prospects of that product candidate and Tempest’s business prospects could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and Manufacturing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commercial success of Tempest’s product candidates, including TPST-1495 and TPST-1120, will depend upon their degree of market acceptance by providers, patients, patient advocacy groups, third-party payors and the general medical community.</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Even if the requisite approvals from the FDA, the HPFB, the EMA and other regulatory authorities internationally are obtained, the commercial success of Tempest’s product candidates will depend, in part, on the acceptance of providers, patients and third-party payors of drugs designed to act as a dual antagonist of EP2 and EP4 and PPARα antagonists in general, and Tempest’s product candidates in particular, as medically necessary, cost-effective and safe. In addition, Tempest may face challenges in seeking to establish and grow sales of TPST-1495 and TPST-1120 or its other product candidates. Any product that Tempest commercializes may not gain acceptance by providers, patients, patient advocacy groups, third-party payors and the general medical community. If these products do not achieve an adequate level of acceptance, Tempest may not generate significant product revenue and may not become profitable. The degree of market acceptance of TPST-1495, TPST-1120 and Tempest’s other product candidates, if approved for commercial sale, will depend on several factors, including:</w:t>
      </w:r>
    </w:p>
    <w:p>
      <w:pPr>
        <w:spacing w:after="0" w:line="84" w:lineRule="exact"/>
        <w:rPr>
          <w:sz w:val="20"/>
          <w:szCs w:val="20"/>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durability and safety of such product candidates as demonstrated in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HPFB or the European Commission;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providers to prescribe new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HPFB,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of Tempest’s relationships with patient advocacy groups;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Tempest’s product candidates or competing products and treatments;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third-party payor coverage and adequate reimbursement.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ectPr>
          <w:pgSz w:w="11900" w:h="16838" w:orient="portrait"/>
          <w:cols w:equalWidth="0" w:num="1">
            <w:col w:w="10980"/>
          </w:cols>
          <w:pgMar w:left="440" w:top="274" w:right="479" w:bottom="1440" w:gutter="0" w:footer="0" w:header="0"/>
        </w:sectPr>
      </w:pPr>
    </w:p>
    <w:bookmarkStart w:id="58" w:name="page59"/>
    <w:bookmarkEnd w:id="58"/>
    <w:p>
      <w:pPr>
        <w:ind w:right="42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pricing, insurance coverage and reimbursement status of newly approved products is uncertain. Failure to obtain or maintain adequate coverage and reimbursement for Tempest’s product candidates, if approved, could limit Tempest’s ability to market those products and decrease Tempest’s ability to generate product revenue.</w:t>
      </w:r>
    </w:p>
    <w:p>
      <w:pPr>
        <w:spacing w:after="0" w:line="7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Successful sales of Tempest’s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Tempest obtains regulatory approval. In addition, because Tempest’s product candidates represent new approaches to the treatment of cancer, Tempest cannot accurately estimate the potential revenue from Tempest’s product candidates.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Tempest expects that coverage and reimbursement by third-party payors will be essential for most patients to be able to afford these treatments. Accordingly, sales of Tempest’s product candidates will depend substantially, both domestically and internationally, on the extent to which the costs of Tempest’s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Tempest to establish or maintain pricing sufficient to realize a sufficient return on Tempest’s investment.</w:t>
      </w:r>
    </w:p>
    <w:p>
      <w:pPr>
        <w:spacing w:after="0" w:line="19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to government and private payors, professional organizations such as the American Medical Association, or the AMA,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Tempest’s product candidates, if approved. Even if favorable coverage and reimbursement status is attained for one or more product candidates for which Tempest’s collaborators receive regulatory approval, less favorable coverage policies and reimbursement rates may be implemented in the future.</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Tempest believes the increasing emphasis on cost-containment initiatives in Europe, Canada and other countries has and will continue to put pressure on the pricing and usage of therapeutics such as Tempest’s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Tempest may be required to conduct a clinical trial that compares the cost-effectiveness of Tempest’s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Tempest is able to charge for its product candidates. Accordingly, in markets outside the United States, the reimbursement for Tempest’s product candidates may be reduced compared with the United States and may be insufficient to generate commercially reasonable revenues and profits.</w:t>
      </w:r>
    </w:p>
    <w:p>
      <w:pPr>
        <w:sectPr>
          <w:pgSz w:w="11900" w:h="16838" w:orient="portrait"/>
          <w:cols w:equalWidth="0" w:num="1">
            <w:col w:w="11000"/>
          </w:cols>
          <w:pgMar w:left="440" w:top="274" w:right="459" w:bottom="1440" w:gutter="0" w:footer="0" w:header="0"/>
        </w:sectPr>
      </w:pPr>
    </w:p>
    <w:bookmarkStart w:id="59" w:name="page60"/>
    <w:bookmarkEnd w:id="59"/>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Tempest’s product candidates. Tempest expects to experience pricing pressures in connection with the sale of any of Tempest’s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Tempest is successful in obtaining FDA approval to commercialize Tempest’s product candidates, Tempest cannot guarantee that Tempest will be able to secure reimbursement for all patients for whom treatment with Tempest’s product candidates is indicated.</w:t>
      </w:r>
    </w:p>
    <w:p>
      <w:pPr>
        <w:spacing w:after="0" w:line="29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third parties on which Tempest depends to conduct its planned preclinical studies or clinical trials do not perform as contractually required, fail to satisfy regulatory or legal requirements or miss expected deadlines, Tempest’s development program could be delayed with adverse effects on Tempest’s business, financial condition, results of operations and prospects.</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Tempest relies on third party CROs, CMOs, consultants and others to design, conduct, supervise and monitor key activities relating to, discovery, manufacturing, preclinical studies and clinical trials of Tempest’s product candidates, and Tempest intends to do the same for future activities relating to existing and future programs. Because Tempest relies on third parties and does not have the ability to conduct all required testing, discovery, manufacturing, preclinical studies or clinical trials independently, Tempest has less control over the timing, quality and other aspects of discovery, manufacturing, preclinical studies and clinical trials than Tempest would if Tempest conducted them on its own. These investigators, CROs, CMOs and consultants are not Tempest’s employees, and Tempest has limited control over the amount of time and resources that they dedicate to Tempest’s programs. These third parties may have contractual relationships with other entities, some of which may be Tempest’s competitors, which may draw time and resources from Tempest’s programs. The third parties Tempest contracts with might not be diligent, careful or timely in conducting Tempest’s discovery, manufacturing, preclinical studies or clinical trials, resulting in testing, discovery, manufacturing, preclinical studies or clinical trials being delayed or unsuccessful, in whole or in part.</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Tempest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Tempest’s clinical development programs could be delayed and otherwise adversely affected. In all events, Tempest is responsible for ensuring that each of Tempest’s preclinical studies and clinical trials is conducted in accordance with the general investigational plan and protocols for the trial, as well as in accordance with GLP, GCP and other applicable laws, regulations and standards. Tempest’s reliance on third parties that it does not control does not relieve Tempest of these responsibilities and requirements. The FDA and other regulatory authorities enforce GCPs through periodic inspections of trial sponsors, principal investigators and trial sites. If Tempest or any of these third parties fails to comply with applicable GCPs, the clinical data generated in its clinical trials may be deemed unreliable and the FDA or comparable foreign regulatory authorities may require Tempest to perform additional clinical trials before approving its marketing applications. Tempest cannot assure you that upon inspection by a given regulatory authority, such regulatory authority will determine that any of Tempest’s clinical trials have complied with GCPs. In addition, Tempest’s clinical trials must be conducted with product produced in accordance with cGMPs. Tempest’s failure to comply with these regulations may require it to repeat clinical trials, which could delay or prevent the receipt of regulatory approvals. Any such event could have an adverse effect on Tempest’s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Tempest faces significant competition in an environment of rapid technological change, and it is possible that Tempest’s competitors may achieve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approval before Tempest or develop therapies that are more advanced or effective than Tempest’s, which may harm Tempest’s business,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condition and Tempest’s ability to successfully market or commercialize TPST-1495, TPST-1120, and Tempest’s other product candidates.</w:t>
      </w:r>
    </w:p>
    <w:p>
      <w:pPr>
        <w:spacing w:after="0" w:line="13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biopharmaceutical industry, and the immuno-oncology industry specifically, is characterized by intense competition and rapid innovation. Tempest is aware of other companies focused on developing cancer therapies in various indications. Tempest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ectPr>
          <w:pgSz w:w="11900" w:h="16838" w:orient="portrait"/>
          <w:cols w:equalWidth="0" w:num="1">
            <w:col w:w="10980"/>
          </w:cols>
          <w:pgMar w:left="440" w:top="274" w:right="479" w:bottom="1440" w:gutter="0" w:footer="0" w:header="0"/>
        </w:sectPr>
      </w:pPr>
    </w:p>
    <w:bookmarkStart w:id="60" w:name="page61"/>
    <w:bookmarkEnd w:id="6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Many of Tempest’s potential competitors, alone or with their strategic partners, may have substantially greater financial, technical and other resources than Tempest does, such as larger research and development, clinical, marketing and manufacturing organizations. Mergers and acquisitions in the biotechnology and pharmaceutical industries may result in even more resources being concentrated among a smaller number of competitors. Tempest’s commercial opportunity could be reduced or eliminated if competitors develop and commercialize products that are safer, more effective, have fewer or less severe side effects, are more convenient or are less expensive than any product candidates that Tempest may develop. Competitors also may obtain FDA or other regulatory approval for their products more rapidly than Tempest may obtain approval for its products, which could result in Tempest’s competitors establishing a strong market position before Tempest is able to enter the market, if ever. Additionally, new or advanced technologies developed by Tempest’s competitors may render Tempest’s current or future product candidates uneconomical or obsolete, and Tempest may not be successful in marketing its product candidates against competitors.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become and remain profitable, Tempest must develop and eventually commercialize product candidates with significant market potential, which will require Tempest to be successful in a range of challenging activities.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activities include, among other things, completing preclinical studies and initiating and completing clinical trials of Tempest’s product candidates, obtaining marketing approval for these product candidates, manufacturing, marketing and selling those products that are approved and satisfying any post marketing requirements. Tempest may never succeed in any or all of these activities and, even if Tempest does, Tempest may never generate revenues that are significant or large enough to achieve profitability. If Tempest does achieve profitability, Tempest may not be able to sustain or increase profitability on a quarterly or annual basis. Tempest’s failure to become and remain profitable would decrease the value of Tempest and could impair Tempest’s ability to raise capital, maintain Tempest’s research and development efforts, expand Tempest’s business or continue operations. A decline in the value of Tempest also could cause you to lose all or part of your investment.</w:t>
      </w:r>
    </w:p>
    <w:p>
      <w:pPr>
        <w:spacing w:after="0" w:line="2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Tempest may rely on third parties to manufacture Tempest’s clinical product supplies, and Tempest may have to rely on third parties to produce and process Tempest’s product candidates, if approved.</w:t>
      </w:r>
    </w:p>
    <w:p>
      <w:pPr>
        <w:spacing w:after="0" w:line="6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Tempest must currently rely on outside vendors to manufacture supplies and process Tempest’s product candidates. Tempest has not yet caused its product candidates to be manufactured or processed on a commercial scale and may not be able to achieve manufacturing and processing and may be unable to create an inventory of mass-produced, off-the-shelf product to satisfy demands for any of Tempest’s product candidates.</w:t>
      </w:r>
    </w:p>
    <w:p>
      <w:pPr>
        <w:spacing w:after="0" w:line="1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Tempest does not yet have sufficient information to reliably estimate the cost of the commercial manufacturing and processing of Tempest’s product candidates, and the actual cost to manufacture and process Tempest’s product candidates could materially and adversely affect the commercial viability of its product candidates. As a result, Tempest may never be able to develop a commercially viable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Tempest anticipates reliance on a limited number of third-party manufacturers exposes it to the following risks:</w:t>
      </w:r>
    </w:p>
    <w:p>
      <w:pPr>
        <w:spacing w:after="0" w:line="131" w:lineRule="exact"/>
        <w:rPr>
          <w:sz w:val="20"/>
          <w:szCs w:val="20"/>
          <w:color w:val="auto"/>
        </w:rPr>
      </w:pPr>
    </w:p>
    <w:p>
      <w:pPr>
        <w:ind w:left="960" w:right="200" w:hanging="424"/>
        <w:spacing w:after="0" w:line="25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Tempest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Tempest’s products after receipt of FDA questions, if any.</w:t>
      </w:r>
    </w:p>
    <w:p>
      <w:pPr>
        <w:spacing w:after="0" w:line="92"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Tempest’s third-party manufacturers might be unable to timely formulate and manufacture Tempest’s product or produce the quantity and quality required to meet Tempest’s clinical and commercial needs, if any.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Tempest’s manufacturing procedures appropriately.</w:t>
      </w:r>
    </w:p>
    <w:p>
      <w:pPr>
        <w:sectPr>
          <w:pgSz w:w="11900" w:h="16838" w:orient="portrait"/>
          <w:cols w:equalWidth="0" w:num="1">
            <w:col w:w="10980"/>
          </w:cols>
          <w:pgMar w:left="440" w:top="274" w:right="479" w:bottom="1440" w:gutter="0" w:footer="0" w:header="0"/>
        </w:sectPr>
      </w:pPr>
    </w:p>
    <w:bookmarkStart w:id="61" w:name="page62"/>
    <w:bookmarkEnd w:id="61"/>
    <w:p>
      <w:pPr>
        <w:ind w:left="960" w:right="80" w:hanging="424"/>
        <w:spacing w:after="0" w:line="308"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Tempest’s future contract manufacturers may not perform as agreed or may not remain in the contract manufacturing business for the time required to supply Tempest’s clinical trials or to successfully produce, store and distribute Tempest’s products.</w:t>
      </w:r>
    </w:p>
    <w:p>
      <w:pPr>
        <w:spacing w:after="0" w:line="51" w:lineRule="exact"/>
        <w:rPr>
          <w:rFonts w:ascii="Arial" w:cs="Arial" w:eastAsia="Arial" w:hAnsi="Arial"/>
          <w:sz w:val="17"/>
          <w:szCs w:val="17"/>
          <w:color w:val="auto"/>
        </w:rPr>
      </w:pPr>
    </w:p>
    <w:p>
      <w:pPr>
        <w:ind w:left="960" w:right="700" w:hanging="424"/>
        <w:spacing w:after="0" w:line="31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Tempest does not have control over third-party manufacturers’ compliance with these regulations and standards.</w:t>
      </w:r>
    </w:p>
    <w:p>
      <w:pPr>
        <w:spacing w:after="0" w:line="54" w:lineRule="exact"/>
        <w:rPr>
          <w:rFonts w:ascii="Arial" w:cs="Arial" w:eastAsia="Arial" w:hAnsi="Arial"/>
          <w:sz w:val="16"/>
          <w:szCs w:val="16"/>
          <w:color w:val="auto"/>
        </w:rPr>
      </w:pPr>
    </w:p>
    <w:p>
      <w:pPr>
        <w:ind w:left="960" w:right="78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Tempest may not own, or may have to share, the intellectual property rights to any improvements made by Tempest’s third-party manufacturers in the manufacturing process for Tempest’s products.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Tempest’s third-party manufacturers could breach or terminate their agreement(s) with Tempest.</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Tempest’s contract manufacturers would also be subject to the same risks Tempest faces in developing its own manufacturing capabilities, as described above. Each of these risks could delay Tempest’s clinical trials, the approval, if any, of Tempest’s product candidates by the FDA or the commercialization of Tempest’s product candidates or result in higher costs or deprive Tempest of potential product revenue. In addition, Tempest will rely on third parties to perform release tests on Tempest’s product candidates prior to delivery to patients. If these tests are not appropriately done and test data are not reliable, patients could be put at risk of serious harm.</w:t>
      </w: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 manufacture of drugs is complex, and Tempest’s third-party manufacturers may encounter difficulties in production. If any of Tempest’s third-party manufacturers encounter such difficulties, Tempest’s ability to provide adequate supply of its product candidates for clinical trials, Tempest’s ability to obtain marketing approval, or Tempest’s ability to provide supply of Tempest’s product candidates for patients, if approved, could be delayed or stopped.</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Tempest intends to establish manufacturing relationships with a limited number of suppliers to manufacture raw materials, the drug substance and finished product of any product candidate for which Tempest is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Tempest’s desired clinical and commercial timelines.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Tempest’s manufacturers, such facilities may need to be closed for an extended period of time to investigate and remedy the contamination, which could delay clinical trials and adversely harm Tempest’s business. Moreover, if the FDA determines that Tempest’s CMOs are not in compliance with FDA laws and regulations, including those governing cGMPs, the FDA may deny NDA approval until the deficiencies are corrected or Tempest replaces the manufacturer in Tempest’s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Tempest’s CMOs are subject to continual review and periodic inspections to assess compliance with cGMPs. Furthermore, although Tempest does not have day-to-day control over the operations of its CMOs, it is responsible for ensuring compliance with applicable laws and regulations, including cGMPs.</w:t>
      </w:r>
    </w:p>
    <w:p>
      <w:pPr>
        <w:sectPr>
          <w:pgSz w:w="11900" w:h="16838" w:orient="portrait"/>
          <w:cols w:equalWidth="0" w:num="1">
            <w:col w:w="11000"/>
          </w:cols>
          <w:pgMar w:left="440" w:top="274" w:right="459" w:bottom="1440" w:gutter="0" w:footer="0" w:header="0"/>
        </w:sectPr>
      </w:pPr>
    </w:p>
    <w:bookmarkStart w:id="62" w:name="page63"/>
    <w:bookmarkEnd w:id="6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Tempest’s collaborators obtain regulatory approval for any of Tempest’s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Tempest’s manufacturers are unable to produce sufficient quantities for clinical trials or for commercialization, commercialization efforts would be impaired, which would have an adverse effect on Tempest’s business, financial condition, results of operations and prospects.</w:t>
      </w:r>
    </w:p>
    <w:p>
      <w:pPr>
        <w:spacing w:after="0" w:line="17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Tempest believes that it will rely upon on a limited number of manufacturers for its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Tempest’s product candidates, cause Tempest to incur higher costs and prevent Tempest from commercializing Tempest’s product candidates successfully. Furthermore, if Tempest’s suppliers fail to deliver the required commercial quantities of materials on a timely basis and at commercially reasonable prices, and Tempest is unable to secure one or more replacement suppliers capable of production in a timely manner at a substantially equivalent cost, Tempest’s clinical trials may be delayed or Tempest could lose potential revenue.</w:t>
      </w:r>
    </w:p>
    <w:p>
      <w:pPr>
        <w:spacing w:after="0" w:line="2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Tempest is unable to establish sales and marketing capabilities or enter into agreements with third parties to market and sell Tempest’s product candidates, Tempest may be unable to generate any revenues.</w:t>
      </w:r>
    </w:p>
    <w:p>
      <w:pPr>
        <w:spacing w:after="0" w:line="6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Tempest currently does not have an organization for the sales, marketing and distribution of TPST-1495, TPST-1120, TREX-1 and Tempest’s other product candidates, and the cost of establishing and maintaining such an organization may exceed the cost-effectiveness of doing so. To market any products that may be approved, Tempest must build its sales, marketing, managerial and other non-technical capabilities or make arrangements with third parties to perform these services. With respect to certain of Tempest’s current programs as well as future programs, Tempest may rely completely on an alliance partner for sales and marketing. In addition, although Tempest intends to establish a sales organization if Tempest is able to obtain approval to market any product candidates, Tempest may enter into strategic alliances with third parties to develop and commercialize TPST-1495, TPST-1120 and other product candidates, including in markets outside of the United States or for other large markets that are beyond Tempest’s resources. This will reduce the revenue generated from the sales of these products.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future strategic alliance partners may not dedicate sufficient resources to the commercialization of Tempest’s product candidates or may otherwise fail in their commercialization due to factors beyond Tempest’s control. If Tempest is unable to establish effective alliances to enable the sale of Tempest’s product candidates to healthcare professionals and in geographical regions, including the United States, that will not be covered by Tempest’s marketing and sales force, or if Tempest’s potential future strategic alliance partners do not successfully commercialize the product candidates, Tempest’s ability to generate revenues from product sales will be adversely affected.</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Tempest is unable to establish adequate sales, marketing and distribution capabilities, whether independently or with third parties, Tempest may not be able to generate sufficient product revenue and may not become profitable. Tempest will be competing with many companies that currently have extensive and well-funded marketing and sales operations. Without an internal team or the support of a third party to perform marketing and sales functions, Tempest may be unable to compete successfully against these more established companies.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Tempest may not be successful in finding strategic collaborators for continuing development of certain of Tempest’s future product candidates or successfully commercializing or competing in the market for certain indications.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future, Tempest may decide to collaborate with non-profit organizations, universities and pharmaceutical and biotechnology companies for the development and potential commercialization of existing and new product candidates. Tempest faces significant competition in seeking appropriate collaborators. Whether Tempest reaches a definitive agreement for a collaboration will depend, among other things, upon Tempest’s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Tempest’s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Tempest for Tempest’s product candidate. The terms of any additional collaborations or other arrangements that Tempest may establish may not be favorable to Tempest.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ectPr>
          <w:pgSz w:w="11900" w:h="16838" w:orient="portrait"/>
          <w:cols w:equalWidth="0" w:num="1">
            <w:col w:w="11000"/>
          </w:cols>
          <w:pgMar w:left="440" w:top="274" w:right="459" w:bottom="1440" w:gutter="0" w:footer="0" w:header="0"/>
        </w:sectPr>
      </w:pPr>
    </w:p>
    <w:bookmarkStart w:id="63" w:name="page64"/>
    <w:bookmarkEnd w:id="6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may not be able to negotiate collaborations on a timely basis, on acceptable terms, or at all. If Tempest is unable to do so, Tempest may have to curtail the development of the product candidate for which Tempest is seeking to collaborate, reduce or delay its development program or one or more of Tempest’s other development programs, delay its potential commercialization or reduce the scope of any sales or marketing activities, or increase Tempest’s expenditures and undertake development or commercialization activities at Tempest’s expense. If Tempest elects to increase Tempest’s expenditures to fund development or commercialization activities on Tempest’s product candidates, Tempest may need to obtain additional capital, which may not be available to Tempest on acceptable terms or at all. If Tempest does not have sufficient funds, Tempest may not be able to further develop Tempest’s product candidates or bring them to market and generate product revenue.</w:t>
      </w:r>
    </w:p>
    <w:p>
      <w:pPr>
        <w:spacing w:after="0" w:line="1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success of any potential collaboration arrangements will depend heavily on the efforts and activities of Tempest’s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Tempest financially and could harm Tempest’s business reputation.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Tempest may experience significant delays in the clinical development and regulatory approval of Tempest’s product candidates.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Tempest’s data are insufficient for approval and require additional preclinical, clinical or other data. Even if Tempest eventually completes clinical testing and receive approval for its product candidates, the FDA may approve its product candidates for a more limited indication or a narrower patient population than originally requested or may impose other prescribing limitations or warnings that limit the product’s commercial potential. Tempest has not submitted for, or obtained, regulatory approval for any product candidate, and it is possible that none of its product candidates will ever obtain regulatory approval. Further, development of Tempest’s product candidates and/or regulatory approval may be delayed for reasons beyond its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Tempest may also experience delays in obtaining regulatory approvals, including but not limited to:</w:t>
      </w:r>
    </w:p>
    <w:p>
      <w:pPr>
        <w:spacing w:after="0" w:line="131"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redesigning its study protocols and need to conduct additional studies as may be required by a regulator;</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regulation or policy relating to the development and commercialization of its product candidate by the FDA or other comparable foreign regulatory authorities;</w:t>
      </w:r>
    </w:p>
    <w:p>
      <w:pPr>
        <w:sectPr>
          <w:pgSz w:w="11900" w:h="16838" w:orient="portrait"/>
          <w:cols w:equalWidth="0" w:num="1">
            <w:col w:w="11020"/>
          </w:cols>
          <w:pgMar w:left="440" w:top="274" w:right="439" w:bottom="1440" w:gutter="0" w:footer="0" w:header="0"/>
        </w:sectPr>
      </w:pPr>
    </w:p>
    <w:bookmarkStart w:id="64" w:name="page65"/>
    <w:bookmarkEnd w:id="64"/>
    <w:p>
      <w:pPr>
        <w:ind w:left="960" w:right="58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outcome, timing and cost of meeting regulatory requirements established by the FDA, and other comparable foreign regulatory authorities;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negotiating the terms of any collaboration agreements Tempest may choose to initiate or conclude;</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 including good clinical practice standards (GCPs);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recruit and enroll suitable patients to participate in a trial;</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add new clinical trial sites;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the data generated from its preclinical or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establishing, expanding and scaling manufacturing capabilities;</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manufacture, or obtain from third parties, sufficient quantities of qualified materials under cGMPs, for the completion in pre-clinical and clinical studies;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problems with biopharmaceutical product candidate storage, stability and distribution resulting in global supply chain disruptions;</w:t>
      </w:r>
    </w:p>
    <w:p>
      <w:pPr>
        <w:spacing w:after="0" w:line="142" w:lineRule="exact"/>
        <w:rPr>
          <w:rFonts w:ascii="Arial" w:cs="Arial" w:eastAsia="Arial" w:hAnsi="Arial"/>
          <w:sz w:val="17"/>
          <w:szCs w:val="17"/>
          <w:color w:val="auto"/>
        </w:rPr>
      </w:pPr>
    </w:p>
    <w:p>
      <w:pPr>
        <w:ind w:left="960" w:right="100" w:hanging="4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 for which Tempest may receive regulatory approval in regions where Tempest chooses to commercialize its products on its own; or</w:t>
      </w:r>
    </w:p>
    <w:p>
      <w:pPr>
        <w:spacing w:after="0" w:line="75" w:lineRule="exact"/>
        <w:rPr>
          <w:rFonts w:ascii="Arial" w:cs="Arial" w:eastAsia="Arial" w:hAnsi="Arial"/>
          <w:sz w:val="18"/>
          <w:szCs w:val="18"/>
          <w:color w:val="auto"/>
        </w:rPr>
      </w:pPr>
    </w:p>
    <w:p>
      <w:pPr>
        <w:ind w:left="960" w:right="120" w:hanging="424"/>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unforeseen business disruptions or market fluctuations that delay its product development or clinical trials and increase its costs or expenses, such as business or operational disruptions, delays, or system failures due to malware, unauthorized access, terrorism, war, natural disasters, strikes, geopolitical conflicts, restrictions on trade, import or export restrictions, or public health crises, such as the current COVID-19 pandemic.</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Tempest could also encounter delays if physicians encounter unresolved ethical issues associated with enrolling patients in clinical trials of Tempest’s product candidates in lieu of prescribing existing treatments that have established safety and efficacy profiles. Further, a clinical trial may be suspended or terminated by Tempest, the IRBs for the institutions in which such trials are being conducted or by the FDA or other regulatory authorities due to a number of factors, including failure to conduct the clinical trial in accordance with regulatory requirements or Tempest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Tempest experiences termination of, or delays in the completion of, any clinical trial of Tempest’s product candidates, the commercial prospects for Tempest’s product candidates will be harmed, and Tempest’s ability to generate product revenue will be delayed. In addition, any delays in completing Tempest’s clinical trials will increase Tempest’s costs, slow down Tempest’s product development and approval process and jeopardize Tempest’s ability to commence product sales and generate revenue.</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Tempest’s product candidates.</w:t>
      </w:r>
    </w:p>
    <w:p>
      <w:pPr>
        <w:sectPr>
          <w:pgSz w:w="11900" w:h="16838" w:orient="portrait"/>
          <w:cols w:equalWidth="0" w:num="1">
            <w:col w:w="10960"/>
          </w:cols>
          <w:pgMar w:left="440" w:top="274" w:right="499" w:bottom="1440" w:gutter="0" w:footer="0" w:header="0"/>
        </w:sectPr>
      </w:pPr>
    </w:p>
    <w:bookmarkStart w:id="65" w:name="page66"/>
    <w:bookmarkEnd w:id="65"/>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may seek Breakthrough Therapy designation or Fast Track designation by the FDA for one or more of its product candidates, but may not receive such designation. Even if Tempest secures such designation, it may not lead to a faster development or regulatory review or approval process and it does not increase the likelihood that Tempest’s product candidates will receive marketing approval.</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Tempest may seek Breakthrough Therapy or Fast Track designation for some of its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its NDA for review by FDA, rather than waiting until every section of the NDA is completed before the entire application can be reviewed. NDA review usually does not begin until the entire application has been submitted to the FDA.</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FDA has broad discretion whether or not to grant these designations, so even if Tempest believes a particular product candidate is eligible, it cannot assure that the FDA would decide to grant the designation. Even if Tempest obtains Fast Track designation and/or Breakthrough Therapy designation for one or more of Tempest’s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26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Tempest may attempt to secure FDA approval of its product candidates through the accelerated approval pathway. If Tempest is unable to obtain accelerated approval, Tempest may be required to conduct additional preclinical studies or clinical trials beyond those that Tempest currently contemplates, which could increase the expense of obtaining, and delay the receipt of, necessary marketing approvals.</w:t>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Tempest is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Tempest’s product candidate is not shown to be safe and effective under the conditions of use, the FDA may withdraw its approval of the drug on an expedited basis.</w:t>
      </w:r>
    </w:p>
    <w:p>
      <w:pPr>
        <w:sectPr>
          <w:pgSz w:w="11900" w:h="16838" w:orient="portrait"/>
          <w:cols w:equalWidth="0" w:num="1">
            <w:col w:w="11000"/>
          </w:cols>
          <w:pgMar w:left="440" w:top="274" w:right="459" w:bottom="1440" w:gutter="0" w:footer="0" w:header="0"/>
        </w:sectPr>
      </w:pPr>
    </w:p>
    <w:bookmarkStart w:id="66" w:name="page67"/>
    <w:bookmarkEnd w:id="66"/>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Tempest decides to submit an NDA seeking accelerated approval or receives an expedited regulatory designation for any of its product candidates, there can be no assurance that such submission or application will be accepted or that any expedited development, review or approval will be granted on a timely basis, or at all. If any of Tempest’s competitors were to receive full approval on the basis of a confirmatory trial for an indication for which Tempest is seeking accelerated approval before Tempest receives accelerated approval, the indication Tempest is seeking may no longer qualify as a condition for which there is an unmet medical need and accelerated approval of its product candidate would be more difficult or may not occur.</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Failure to obtain accelerated approval or any other form of expedited development, review or approval for Tempest’s product candidates would result in a longer time period to commercialization of such product candidate, if any, and could increase the cost of development of such product candidate harm Tempest’s competitive position in the marketplace.</w:t>
      </w:r>
    </w:p>
    <w:p>
      <w:pPr>
        <w:spacing w:after="0" w:line="2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Tempest may be unsuccessful in obtaining Orphan Drug Designation for its product candidates or transfer of designations obtained by others for future product candidates, and, even if Tempest obtains such designation, it may be unable to maintain the benefits associated with Orphan Drug Designation, including the potential for market exclusivity.</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Tempest for a product that constitutes the same active moiety and treats the same indications as Tempest’s product candidates, Tempest may not be able to obtain approval of its drug by the applicable regulatory authority for a significant period of time unless Tempest is able to show that its drug is clinically superior to the approved drug. The applicable period is seven years in the United States.</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Tempest may seek Orphan Drug Designation for one or more of its product candidates in the United States as part of its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Tempest is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Tempest to commercialize and obtain marketing approval of Tempest’s product candidates and may affect the prices Tempest may set.</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Tempest’s product candidates. Tempest cannot predict the likelihood, nature or extent of government regulation that may arise from future legislation or administrative action, either in the United States or abroad. If Tempest is slow or unable to adapt to changes in existing requirements or the adoption of new requirements or policies, or if Tempest is not able to maintain regulatory compliance, Tempest may lose any marketing approval that Tempest may have obtained, and Tempest may not achieve or sustain profitability.</w:t>
      </w:r>
    </w:p>
    <w:p>
      <w:pPr>
        <w:sectPr>
          <w:pgSz w:w="11900" w:h="16838" w:orient="portrait"/>
          <w:cols w:equalWidth="0" w:num="1">
            <w:col w:w="10980"/>
          </w:cols>
          <w:pgMar w:left="440" w:top="274" w:right="479" w:bottom="1440" w:gutter="0" w:footer="0" w:header="0"/>
        </w:sectPr>
      </w:pPr>
    </w:p>
    <w:bookmarkStart w:id="67" w:name="page68"/>
    <w:bookmarkEnd w:id="6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March 2010, the Patient Protection and Affordable Care Act, as amended by the Health Care and Education Reconciliation Act of 2010, or collectively the Affordable Care Act, or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Tempest’s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 by several states without specifically ruling on the constitutionality of the law. While Congress continues to amend the ACA, the law appears likely to continue the downward pressure on pharmaceutical pricing, and may also increase Tempest’s regulatory burdens and operating costs. In the future, there may be other efforts to challenge, repeal or replace the ACA. Tempest is continuing to monitor any changes to the ACA that, in turn, may potentially impact its business in the future.</w:t>
      </w:r>
    </w:p>
    <w:p>
      <w:pPr>
        <w:sectPr>
          <w:pgSz w:w="11900" w:h="16838" w:orient="portrait"/>
          <w:cols w:equalWidth="0" w:num="1">
            <w:col w:w="10980"/>
          </w:cols>
          <w:pgMar w:left="440" w:top="274" w:right="479" w:bottom="1440" w:gutter="0" w:footer="0" w:header="0"/>
        </w:sectPr>
      </w:pPr>
    </w:p>
    <w:bookmarkStart w:id="68" w:name="page69"/>
    <w:bookmarkEnd w:id="6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Tempest may choose to seek an expanded access program for Tempest’s product candidates, or to utilize comparable rules in other countries that allow the use of a drug, on a named patient basis or under a compassionate use program.</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Tempest expects that the ACA, as well as other healthcare reform measures that may be adopted in the future, may result in more rigorous coverage criteria and in additional downward pressure on the price that Tempest receives for any approved product. Any reduction in reimbursement from Medicare or other government programs may result in a similar reduction in payments from private payors. The implementation of cost containment measures or other healthcare reforms may prevent Tempest from being able to generate revenue, attain profitability, or commercialize Tempest’s product candidates.</w:t>
      </w:r>
    </w:p>
    <w:p>
      <w:pPr>
        <w:spacing w:after="0" w:line="188"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Tempest cannot be sure whether additional legislative changes will be enacted, or whether FDA regulations, guidance or interpretations will be changed, or what the impact of such changes on the marketing approvals of Tempest’s product candidates, if any, may be. In addition, increased scrutiny by the U.S. Congress of the FDA’s approval process may significantly delay or prevent marketing approval, as well as subject Tempest to more stringent product labeling and post-marketing testing and other requirements.</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Tempest’s business. For example, over the last several years the U.S. government has shut down several times and certain regulatory agencies, such as the FDA, have had to furlough critical employees and stop critical activities.</w:t>
      </w:r>
    </w:p>
    <w:p>
      <w:pPr>
        <w:spacing w:after="0" w:line="17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ectPr>
          <w:pgSz w:w="11900" w:h="16838" w:orient="portrait"/>
          <w:cols w:equalWidth="0" w:num="1">
            <w:col w:w="11020"/>
          </w:cols>
          <w:pgMar w:left="440" w:top="274" w:right="439" w:bottom="1440" w:gutter="0" w:footer="0" w:header="0"/>
        </w:sectPr>
      </w:pPr>
    </w:p>
    <w:bookmarkStart w:id="69" w:name="page70"/>
    <w:bookmarkEnd w:id="69"/>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Tempest’s regulatory submissions, which could have a material adverse effect on Tempest’s business.</w:t>
      </w:r>
    </w:p>
    <w:p>
      <w:pPr>
        <w:spacing w:after="0" w:line="2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Tempest’s product candidates in one jurisdiction does not mean that Tempest will be successful in obtaining regulatory approval of Tempest’s product candidates in other jurisdictions.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Obtaining and maintaining regulatory approval of Tempest’s product candidates in one jurisdiction does not guarantee that Tempest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Tempest intends to charge for Tempest’s products is also subject to approval.</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Tempest may also submit marketing applications in other countries. Regulatory authorities in jurisdictions outside of the United States have requirements for approval of product candidates with which Tempest must comply prior to marketing in those jurisdictions. Obtaining foreign regulatory approvals and compliance with foreign regulatory requirements could result in significant delays, difficulties and costs for Tempest and could delay or prevent the introduction of Tempest’s products in certain countries. If Tempest fails to comply with the regulatory requirements in international markets and/or receive applicable marketing approvals, Tempest’s target market will be reduced and Tempest’s ability to realize the full market potential of Tempest’s product candidates will be harmed.</w:t>
      </w:r>
    </w:p>
    <w:p>
      <w:pPr>
        <w:spacing w:after="0" w:line="30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Tempest’s operations and relationships with future customers, providers and third-party payors will be subject to applicable anti-kickback, fraud and abuse and other healthcare laws and regulations, which could expose Tempest to penalties including criminal sanctions, civil penalties, contractual damages, reputational harm and diminished profits and future earnings.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Tempest obtains marketing approval. Tempest’s future arrangements with providers, third-party payors and customers will subject Tempest to broadly applicable fraud and abuse and other healthcare laws and regulations that may constrain the business or financial arrangements and relationships through which Tempest markets, sells and distributes any product candidates for which Tempest obtains marketing approval.</w:t>
      </w:r>
    </w:p>
    <w:p>
      <w:pPr>
        <w:sectPr>
          <w:pgSz w:w="11900" w:h="16838" w:orient="portrait"/>
          <w:cols w:equalWidth="0" w:num="1">
            <w:col w:w="11000"/>
          </w:cols>
          <w:pgMar w:left="440" w:top="274"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under applicable U.S. federal and state healthcare laws and regulations include the following:</w:t>
      </w:r>
    </w:p>
    <w:p>
      <w:pPr>
        <w:spacing w:after="0" w:line="131" w:lineRule="exact"/>
        <w:rPr>
          <w:sz w:val="20"/>
          <w:szCs w:val="20"/>
          <w:color w:val="auto"/>
        </w:rPr>
      </w:pPr>
    </w:p>
    <w:p>
      <w:pPr>
        <w:ind w:left="960" w:right="100" w:hanging="424"/>
        <w:spacing w:after="0" w:line="25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00" w:lineRule="exact"/>
        <w:rPr>
          <w:rFonts w:ascii="Arial" w:cs="Arial" w:eastAsia="Arial" w:hAnsi="Arial"/>
          <w:sz w:val="18"/>
          <w:szCs w:val="18"/>
          <w:color w:val="auto"/>
        </w:rPr>
      </w:pPr>
    </w:p>
    <w:p>
      <w:pPr>
        <w:jc w:val="both"/>
        <w:ind w:left="960" w:right="20" w:hanging="424"/>
        <w:spacing w:after="0" w:line="275"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81" w:lineRule="exact"/>
        <w:rPr>
          <w:rFonts w:ascii="Arial" w:cs="Arial" w:eastAsia="Arial" w:hAnsi="Arial"/>
          <w:sz w:val="17"/>
          <w:szCs w:val="17"/>
          <w:color w:val="auto"/>
        </w:rPr>
      </w:pPr>
    </w:p>
    <w:p>
      <w:pPr>
        <w:ind w:left="960" w:right="220" w:hanging="424"/>
        <w:spacing w:after="0" w:line="259"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92" w:lineRule="exact"/>
        <w:rPr>
          <w:rFonts w:ascii="Arial" w:cs="Arial" w:eastAsia="Arial" w:hAnsi="Arial"/>
          <w:sz w:val="18"/>
          <w:szCs w:val="18"/>
          <w:color w:val="auto"/>
        </w:rPr>
      </w:pPr>
    </w:p>
    <w:p>
      <w:pPr>
        <w:ind w:left="960" w:hanging="424"/>
        <w:spacing w:after="0" w:line="275"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81" w:lineRule="exact"/>
        <w:rPr>
          <w:rFonts w:ascii="Arial" w:cs="Arial" w:eastAsia="Arial" w:hAnsi="Arial"/>
          <w:sz w:val="17"/>
          <w:szCs w:val="17"/>
          <w:color w:val="auto"/>
        </w:rPr>
      </w:pPr>
    </w:p>
    <w:p>
      <w:pPr>
        <w:ind w:left="960" w:right="240" w:hanging="424"/>
        <w:spacing w:after="0" w:line="279"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6" w:lineRule="exact"/>
        <w:rPr>
          <w:rFonts w:ascii="Arial" w:cs="Arial" w:eastAsia="Arial" w:hAnsi="Arial"/>
          <w:sz w:val="17"/>
          <w:szCs w:val="17"/>
          <w:color w:val="auto"/>
        </w:rPr>
      </w:pPr>
    </w:p>
    <w:p>
      <w:pPr>
        <w:ind w:left="960" w:right="140" w:hanging="424"/>
        <w:spacing w:after="0" w:line="296"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spacing w:after="0" w:line="66" w:lineRule="exact"/>
        <w:rPr>
          <w:rFonts w:ascii="Arial" w:cs="Arial" w:eastAsia="Arial" w:hAnsi="Arial"/>
          <w:sz w:val="16"/>
          <w:szCs w:val="16"/>
          <w:color w:val="auto"/>
        </w:rPr>
      </w:pPr>
    </w:p>
    <w:p>
      <w:pPr>
        <w:ind w:left="960" w:right="400" w:hanging="424"/>
        <w:spacing w:after="0" w:line="26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89" w:lineRule="exact"/>
        <w:rPr>
          <w:rFonts w:ascii="Arial" w:cs="Arial" w:eastAsia="Arial" w:hAnsi="Arial"/>
          <w:sz w:val="18"/>
          <w:szCs w:val="18"/>
          <w:color w:val="auto"/>
        </w:rPr>
      </w:pPr>
    </w:p>
    <w:p>
      <w:pPr>
        <w:ind w:left="960" w:right="80" w:hanging="424"/>
        <w:spacing w:after="0" w:line="286"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Efforts to ensure that Tempest’s business arrangements with third parties will comply with applicable healthcare laws and regulations will involve substantial costs. It is possible that governmental authorities will conclude that Tempest’s business practices may not comply with current or future statutes, regulations or case law involving applicable fraud and abuse or other healthcare laws and regulations. If Tempest’s operations are found to be in violation of any of these laws or any other governmental regulations that may apply to Tempest, Tempest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Tempest’s operations. If any of the physicians or other healthcare providers or entities with whom Tempest expects to do business is found to be not in compliance with applicable laws, it may be costly to Tempest in terms of money, time and resources, and Tempest may be subject to criminal, civil or administrative sanctions, including exclusion from government-funded healthcare programs.</w:t>
      </w:r>
    </w:p>
    <w:p>
      <w:pPr>
        <w:sectPr>
          <w:pgSz w:w="11900" w:h="16838" w:orient="portrait"/>
          <w:cols w:equalWidth="0" w:num="1">
            <w:col w:w="11020"/>
          </w:cols>
          <w:pgMar w:left="440" w:top="274"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Related to Tempest’s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Tempest’s success depends in part on its ability to obtain, maintain and protect its intellectual property. It is difficult and costly to protect Tempest’s proprietary rights and technology, and Tempest may not be able to ensure their protection.</w:t>
      </w:r>
    </w:p>
    <w:p>
      <w:pPr>
        <w:spacing w:after="0" w:line="6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Tempest’s commercial success will depend in large part on obtaining and maintaining patent, trademark, trade secret and other intellectual property protection of Tempest’s proprietary technologies and product candidates, which include TPST-1495, TPST-1120 and the other product candidates Tempest has in development, their respective components, formulations, combination therapies, methods used to manufacture them and methods of treatment, as well as successfully defending Tempest’s patents and other intellectual property rights against third-party challenges. Tempest’s ability to stop unauthorized third parties from making, using, selling, offering to sell, importing or otherwise commercializing Tempest’s product candidates is dependent upon the extent to which Tempest has rights under valid and enforceable patents or trade secrets that cover these activities. If Tempest is unable to secure and maintain patent protection for any product or technology Tempest develops, or if the scope of the patent protection secured is not sufficiently broad, Tempest’s competitors could develop and commercialize products and technology similar or identical to Tempest’s, and Tempest’s ability to commercialize any product candidates Tempest may develop may be adversely affected.</w:t>
      </w:r>
    </w:p>
    <w:p>
      <w:pPr>
        <w:spacing w:after="0" w:line="16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patenting process is expensive and time-consuming, and Tempest may not be able to file and prosecute all necessary or desirable patent applications at a reasonable cost or in a timely manner. In addition, Tempest may not pursue or obtain patent protection in all relevant markets. It is also possible that Tempest will fail to identify patentable aspects of Tempest’s research and development activities before it is too late to obtain patent protection.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Moreover, in some circumstances, Tempest may not have the right to control the preparation, filing and prosecution of patent applications, or to maintain the patents, covering technology that Tempest licenses from or licenses to third parties and may be reliant on Tempest’s licensors or licensees to do so. Tempest’s pending and future patent applications may not result in issued patents. Even if patent applications Tempest licenses or owns currently or in the future issue as patents, they may not issue in a form that will provide Tempest with any meaningful protection, prevent competitors or other third parties from competing with Tempest, or otherwise provide Tempest with any competitive advantage. Any patents that Tempest holds or in-licenses may be challenged, narrowed, circumvented or invalidated by third parties. Consequently, Tempest does not know whether any of Tempest’s platform advances and product candidates will be protectable or remain protected by valid and enforceable patents. In addition, Tempest’s existing patents and any future patents Tempest obtains may not be sufficiently broad to prevent others from using Tempest’s technology or from developing competing products and technologies.</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In the future, Tempest may depend on intellectual property licensed from third parties, and its licensors may not always act in Tempest’s best interest. If Tempest fails to comply with its obligations under its intellectual property licenses, if the licenses are terminated, or if disputes regarding these licenses arise, Tempest could lose significant rights that may be important to its business.</w:t>
      </w:r>
    </w:p>
    <w:p>
      <w:pPr>
        <w:spacing w:after="0" w:line="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it is currently not the case, Tempest may in the future depend on patents, know-how and proprietary technology licensed from third parties. Tempest’s licenses to such patents, know-how and proprietary technology may not provide exclusive rights in all relevant fields of use and in all territories in which Tempest may wish to develop or commercialize Tempest’s products in the future. The agreements under which Tempest licenses patents, know-how and proprietary technology from others may be complex, and certain provisions in such agreements may be susceptible to multiple interpretations.</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Tempest may need to obtain licenses from third parties to advance Tempest’s research or allow commercialization of product candidates Tempest may develop. It is possible that Tempest may be unable to obtain any licenses at a reasonable cost or on reasonable terms, if at all. In either event, Tempest may be required to expend significant time and resources to redesign Tempest’s technology, product candidates, or the methods for manufacturing them or to develop or license replacement technology, all of which may not be feasible on a technical or commercial basis. If Tempest is unable to do so, Tempest may be unable to develop or commercialize the affected technology or product candidates.</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Tempest’s future licensors fail to adequately protect Tempest’s licensed intellectual property, Tempest’s ability to commercialize product candidates could suffer. Tempest may not have complete control over the maintenance, prosecution and litigation of Tempest’s future in-licensed patents and patent applications. For example, Tempest cannot be certain that activities such as the maintenance and prosecution by Tempest’s future licensors have been or will be conducted in compliance with applicable laws and regulations or will result in valid and enforceable patents and other intellectual property rights. It is possible that future Tempest’s licensors’ infringement proceedings or defense activities may be less vigorous than had Tempest conducted them itself or may not be conducted in accordance with Tempest’s best interests.</w:t>
      </w:r>
    </w:p>
    <w:p>
      <w:pPr>
        <w:sectPr>
          <w:pgSz w:w="11900" w:h="16838" w:orient="portrait"/>
          <w:cols w:equalWidth="0" w:num="1">
            <w:col w:w="11000"/>
          </w:cols>
          <w:pgMar w:left="440" w:top="270" w:right="459" w:bottom="1440" w:gutter="0" w:footer="0" w:header="0"/>
        </w:sectPr>
      </w:pPr>
    </w:p>
    <w:bookmarkStart w:id="72" w:name="page73"/>
    <w:bookmarkEnd w:id="72"/>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resolution of any contract interpretation disagreement that may arise could narrow what Tempest might believe to be the scope of Tempest’s rights to the relevant patents, know-how and proprietary technology, or increase what Tempest believes to be Tempest’s financial or other obligations under the relevant agreement. Disputes that may arise between Tempest and Tempest’s future licensors regarding intellectual property subject to a license agreement could include disputes regarding:</w:t>
      </w:r>
    </w:p>
    <w:p>
      <w:pPr>
        <w:spacing w:after="0" w:line="92" w:lineRule="exact"/>
        <w:rPr>
          <w:sz w:val="20"/>
          <w:szCs w:val="20"/>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the extent to which Tempest’s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Tempest’s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960" w:right="1120" w:hanging="424"/>
        <w:spacing w:after="0" w:line="342"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Tempest’s diligence obligations with respect to the use of the licensed technology in relation to Tempest’s development and commercialization of Tempest’s product candidates and what activities satisfy those diligence obligations;</w:t>
      </w:r>
    </w:p>
    <w:p>
      <w:pPr>
        <w:spacing w:after="0" w:line="29" w:lineRule="exact"/>
        <w:rPr>
          <w:rFonts w:ascii="Arial" w:cs="Arial" w:eastAsia="Arial" w:hAnsi="Arial"/>
          <w:sz w:val="16"/>
          <w:szCs w:val="16"/>
          <w:color w:val="auto"/>
        </w:rPr>
      </w:pPr>
    </w:p>
    <w:p>
      <w:pPr>
        <w:ind w:left="960" w:right="340" w:hanging="424"/>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royalty, milestone or other payment obligations that may result from the advancement or commercial sale of any of Tempest’s product candidates; and</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Tempest’s licensors and Tempest.</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If disputes over intellectual property that Tempest licenses in the future prevent or impair Tempest’s ability to maintain Tempest’s licensing arrangements on acceptable terms, Tempest may be unable to successfully develop and commercialize the affected technology or product candidates.</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Tempest’s owned and in-licensed patents and patent applications may not provide sufficient protection of Tempest’s product candidates or result in any competitive advantage.</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Tempest’s patent rights is highly uncertain. Tempest’s pending and future patent applications and those of its licensors may not result in patents being issued which protect its product candidates or which effectively prevent others from commercializing competitive product candidates.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Tempest owns or, in the future, in-license may fail to result in issued patents with claims that cover Tempest’s product candidates or uses thereof in the United States or in other foreign countries. For example, while Tempest’s patent applications are pending, Tempest may be subject to a third 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may result in loss of patent rights, loss of exclusivity, or in patent claims being narrowed, invalidated or held unenforceable, which could limit Tempest’s ability to stop others from using or commercializing similar or identical technology and products, or limit the duration of the patent protection of Tempest’s technology and product candidates. Furthermore, even if they are unchallenged, Tempest’s patents and patent applications may not adequately protect Tempest’s intellectual property or prevent others from designing around Tempest’s claims. Moreover, some of Tempest’s owned and in-licensed patents and patent applications may be co-owned with third parties. If Tempest is unable to obtain an exclusive license to any such third-party co-owners’ interest in such patents or patent applications, such co-owners may be able to license their rights to other third parties, including Tempest’s competitors, and Tempest’s competitors could market competing products and technology. In addition, Tempest may need the cooperation of any such co-owners of Tempest’s patents in order to enforce such patents against third parties, and such cooperation may not be provided to Tempest. If the breadth or strength of protection provided by the patent applications Tempest holds with respect to Tempest’s product candidates is threatened, it could dissuade companies from collaborating with Tempest to develop, and threaten Tempest’s ability to commercialize, Tempest’s product candidates. Further, if Tempest encounters delays in development, testing, and regulatory review of new product candidates, the period of time during which Tempest could market Tempest’s product candidates under patent protection would be reduced or eliminated.</w:t>
      </w:r>
    </w:p>
    <w:p>
      <w:pPr>
        <w:sectPr>
          <w:pgSz w:w="11900" w:h="16838" w:orient="portrait"/>
          <w:cols w:equalWidth="0" w:num="1">
            <w:col w:w="10960"/>
          </w:cols>
          <w:pgMar w:left="440" w:top="274" w:right="499" w:bottom="1440" w:gutter="0" w:footer="0" w:header="0"/>
        </w:sectPr>
      </w:pPr>
    </w:p>
    <w:bookmarkStart w:id="73" w:name="page74"/>
    <w:bookmarkEnd w:id="7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patent applications in the United States and other countries are confidential for a period of time after filing or until issuance, at any moment in time, Tempest cannot be certain that it was in the past or will be in the future the first to file any patent application related to Tempest’s product candidates. In addition, some patent applications in the United States may be maintained in secrecy until the patents are issued. As a result, there may be prior art of which Tempest is not aware that may affect the validity or enforceability of a patent claim, and Tempest may be subject to priority disputes. Tempest may be required to disclaim part or all of the term of certain patents or all of the term of certain patent applications. There also may be prior art of which Tempest is aware, but which Tempest does not believe affects the validity or enforceability of a claim, which may, nonetheless, ultimately be found to affect the validity or enforceability of a claim. No assurance can be given that, if challenged, Tempest’s patents would be declared by a court, patent office or other governmental authority to be valid or enforceable or that even if found valid and enforceable, a competitor’s technology or product would be found by a court to infringe Tempest’s patents. Tempest may analyze patents or patent applications of Tempest’s competitors that Tempest believes are relevant to Tempest’s activities, and consider that Tempest is free to operate in relation to Tempest’s product candidates, but Tempest’s competitors may achieve issued claims, including in patents Tempest considers to be unrelated, that block Tempest’s efforts or potentially result in Tempest’s product candidates or Tempest’s activities infringing such claims. It is possible that Tempest’s competitors may have filed, and may in the future file, patent applications covering Tempest’s products or technology similar to Tempest’s. Those patent applications may have priority over Tempest’s owned and in-licensed patent applications or patents, which could require Tempest to obtain rights to issued patents covering such technologies. The possibility also exists that others will develop products that have the same effect as Tempest’s product candidates on an independent basis that do not infringe Tempest’s patents or other intellectual property rights, or will design around the claims of patents that Tempest has had issued that cover Tempest’s product candidates or their use. Likewise, Tempest’s currently owned patents and patent applications, if issued as patents, directed to Tempest’s proprietary technologies and Tempest’s product candidates are expected to expire from 2033 through 2041, without taking into account any possible patent term adjustments or extensions. Tempest’s earliest patents may expire before, or soon after, Tempest’s first product achieves marketing approval in the United States or foreign jurisdictions. Additionally, Tempest cannot be assured that the USPTO or relevant foreign patent offices will grant any of the pending patent applications Tempest owns or in-licenses currently or in the future. Upon the expiration of Tempest’s current patents, Tempest may lose the right to exclude others from practicing these inventions. The expiration of these patents could also have a similar material adverse effect on Tempest’s business, financial condition, results of operations and prospects.</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degree of future protection for Tempest’s proprietary rights is uncertain because legal means afford only limited protection and may not adequately protect Tempest’s rights or permit Tempest to gain or keep Tempest’s competitive advantage. For example:</w:t>
      </w:r>
    </w:p>
    <w:p>
      <w:pPr>
        <w:spacing w:after="0" w:line="76" w:lineRule="exact"/>
        <w:rPr>
          <w:sz w:val="20"/>
          <w:szCs w:val="20"/>
          <w:color w:val="auto"/>
        </w:rPr>
      </w:pPr>
    </w:p>
    <w:p>
      <w:pPr>
        <w:ind w:left="960" w:right="14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active compositions of Tempest’s product candidates but that are not covered by the claims of Tempest’s patents;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APIs in Tempest’s current product candidates will eventually become commercially available in generic drug products, and no patent protection may be available with regard to formulation or method of use;</w:t>
      </w:r>
    </w:p>
    <w:p>
      <w:pPr>
        <w:sectPr>
          <w:pgSz w:w="11900" w:h="16838" w:orient="portrait"/>
          <w:cols w:equalWidth="0" w:num="1">
            <w:col w:w="10980"/>
          </w:cols>
          <w:pgMar w:left="440" w:top="274" w:right="479" w:bottom="1440" w:gutter="0" w:footer="0" w:header="0"/>
        </w:sectPr>
      </w:pPr>
    </w:p>
    <w:bookmarkStart w:id="74" w:name="page75"/>
    <w:bookmarkEnd w:id="74"/>
    <w:p>
      <w:pPr>
        <w:ind w:left="960" w:right="140" w:hanging="424"/>
        <w:spacing w:after="0" w:line="342"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or Tempest’s future licensors, as the case may be, may fail to meet its or Tempest’s obligations to the U.S. government regarding any patents and patent applications funded by U.S. government grants, leading to the loss or unenforceability of patent rights;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Tempest or Tempest’s future licensors, as the case may be, might not have been the first to file patent applications for certain inventions;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Tempest’s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Tempest’s pending patent applications will not result in issued patents;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Tempest’s owned or in-licensed patents, as the case may be, or parts of Tempest’s owned or in-licensed patents;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others may circumvent Tempest’s owned or in-licensed patents;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Tempest’s product candidates or technology similar to Tempest’s;</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laws of foreign countries may not protect Tempest’s or Tempest’s future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960" w:right="78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claims of Tempest’s owned or in-licensed issued patents or patent applications, if and when issued, may not adequately cover Tempest’s product candidates;</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Tempest’s owned or in-licensed issued patents may not provide Tempest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inventors of Tempest’s owned or in-licensed patents or patent applications may become involved with competitors, develop products or processes that design around Tempest’s patents, or become hostile to Tempest or the patents or patent applications on which they are named as inventors;</w:t>
      </w:r>
    </w:p>
    <w:p>
      <w:pPr>
        <w:spacing w:after="0" w:line="89" w:lineRule="exact"/>
        <w:rPr>
          <w:rFonts w:ascii="Arial" w:cs="Arial" w:eastAsia="Arial" w:hAnsi="Arial"/>
          <w:sz w:val="18"/>
          <w:szCs w:val="18"/>
          <w:color w:val="auto"/>
        </w:rPr>
      </w:pPr>
    </w:p>
    <w:p>
      <w:pPr>
        <w:ind w:left="960" w:right="160" w:hanging="424"/>
        <w:spacing w:after="0" w:line="286"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it is possible that Tempest’s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unenforcbeable or such omitted individuals may grant licenses to third parties;</w:t>
      </w:r>
    </w:p>
    <w:p>
      <w:pPr>
        <w:spacing w:after="0" w:line="70" w:lineRule="exact"/>
        <w:rPr>
          <w:rFonts w:ascii="Arial" w:cs="Arial" w:eastAsia="Arial" w:hAnsi="Arial"/>
          <w:sz w:val="17"/>
          <w:szCs w:val="17"/>
          <w:color w:val="auto"/>
        </w:rPr>
      </w:pPr>
    </w:p>
    <w:p>
      <w:pPr>
        <w:ind w:left="960" w:right="54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Tempest has engaged in scientific collaborations in the past and will continue to do so in the future and Tempest’s collaborators may develop adjacent or competing products that are outside the scope of Tempest’s patents;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Tempest may not develop additional proprietary technologies for which Tempest can obtain patent protection;</w:t>
      </w:r>
    </w:p>
    <w:p>
      <w:pPr>
        <w:spacing w:after="0" w:line="130"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Tempest develops may be covered by third parties’ patents or other exclusive rights;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Tempest’s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Tempest’s business, financial conditions, results of operations and prospects.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Tempest’s strategy of obtaining rights to key technologies through in-licenses may not be successful.</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future growth of Tempest’s business may depend in part on Tempest’s ability to in-license or otherwise acquire the rights to additional product candidates and technologies. Tempest cannot assure you that Tempest will be able to in-license or acquire the rights to any product candidates or technologies from third parties on acceptable terms or at all.</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Tempest’s agreements with certain of its third-party research partners provide that improvements developed in the course of its relationship may be owned solely by either Tempest or its third-party research partner, or jointly between Tempest and the third party. If Tempest determines that exclusive rights to such improvements owned solely by a research partner or other third party with whom Tempest collaborates are necessary to commercialize Tempest’s drug candidates or maintain Tempest’s competitive advantage, Tempest may need to obtain an exclusive license from such third party in order to use the improvements and continue developing, manufacturing or marketing Tempest’s drug candidates. Tempest may not be able to obtain such a license on an exclusive basis, on commercially reasonable terms, or at all, which could prevent Tempest from commercializing its drug candidates or allow Tempest’s competitors or others the opportunity to access technology that is important to Tempest’s business. Tempest also may need the cooperation of any co-owners of Tempest’s intellectual property in order to enforce such intellectual property against third parties, and such cooperation may not be provided to Tempest.</w:t>
      </w:r>
    </w:p>
    <w:p>
      <w:pPr>
        <w:sectPr>
          <w:pgSz w:w="11900" w:h="16838" w:orient="portrait"/>
          <w:cols w:equalWidth="0" w:num="1">
            <w:col w:w="11020"/>
          </w:cols>
          <w:pgMar w:left="440" w:top="274" w:right="43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in-licensing and acquisition of these technologies is a highly competitive area, and a number of more established companies are also pursuing strategies to license or acquire product candidates or technologies that Tempest may consider attractive. These established companies may have a competitive advantage over Tempest due to their size, cash resources and greater clinical development and commercialization capabilities. In addition, companies that perceive Tempest to be a competitor may be unwilling to license rights to Tempest. Furthermore, Tempest may be unable to identify suitable product candidates or technologies within Tempest’s area of focus. If Tempest is unable to successfully obtain rights to suitable product candidates or technologies, Tempest’s business and prospects could be materially and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Tempest is unable to protect the confidentiality of its trade secrets, Tempest’s business and competitive position would be harmed.</w:t>
      </w:r>
    </w:p>
    <w:p>
      <w:pPr>
        <w:spacing w:after="0" w:line="129"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In addition to patent protection, Tempest relies upon know-how and trade secret protection, as well as non-disclosure agreements and invention assignment agreements with Tempest’s employees, consultants and third-parties, to protect Tempest’s confidential and proprietary information, especially where Tempest does not believe patent protection is appropriate or obtainable.</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It is Tempest’s policy to require Tempest’s employees, consultants, outside scientific collaborators, sponsored researchers and other advisors to execute confidentiality agreements upon the commencement of employment or consulting relationships with Tempest. These agreements provide that all confidential information concerning Tempest’s business or financial affairs developed or made known to the individual or entity during the course of the party’s relationship with Tempest is to be kept confidential and not disclosed to third parties, except in certain specified circumstances. In the case of employees, the agreements provide that all inventions conceived by the individual, and that are related to Tempest’s current or planned business or research and development or made during normal working hours, on Tempest’s premises or using Tempest’s equipment or proprietary information (or as otherwise permitted by applicable law), are Tempest’s exclusive property. In the case of consultants and other third parties, the agreements provide that all inventions conceived in connection with the services provided are Tempest’s exclusive property. However, Tempest cannot guarantee that Tempest has entered into such agreements with each party that may have or have had access to Tempest’s trade secrets or proprietary technology and processes. Tempest has also adopted policies and conducts training that provides guidance on Tempest’s expectations, and Tempest’s advice for best practices, in protecting its trade secrets. Despite these efforts, any of these parties may breach the agreements and disclose Tempest’s proprietary information, including its trade secrets, and Tempest may not be able to obtain adequate remedies for such breaches.</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contractual measures, Tempests tries to protect the confidential nature of Tempest’s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Tempest’s proprietary information. Tempest’s security measures may not prevent an employee or consultant from misappropriating Tempest’s trade secrets and providing them to a competitor, and any recourse Tempest might take against this type of misconduct may not provide an adequate remedy to protect Tempest’s interests fully. Enforcing a claim that a party illegally disclosed or misappropriated a trade secret can be difficult, expensive, and time-consuming, and the outcome is unpredictable. In addition, trade secrets may be independently developed by others in a manner that could prevent Tempest from receiving legal recourse. If any of Tempest’s confidential or proprietary information, such as its trade secrets, were to be disclosed or misappropriated, such as through a data breach, or if any of that information was independently developed by a competitor, Tempest’s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Tempest’s competitive position could be adversely affected.</w:t>
      </w:r>
    </w:p>
    <w:p>
      <w:pPr>
        <w:sectPr>
          <w:pgSz w:w="11900" w:h="16838" w:orient="portrait"/>
          <w:cols w:equalWidth="0" w:num="1">
            <w:col w:w="11000"/>
          </w:cols>
          <w:pgMar w:left="440" w:top="274" w:right="459" w:bottom="1440" w:gutter="0" w:footer="0" w:header="0"/>
        </w:sectPr>
      </w:pPr>
    </w:p>
    <w:bookmarkStart w:id="76" w:name="page77"/>
    <w:bookmarkEnd w:id="7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courts outside the United States are sometimes less willing to protect trade secrets. If Tempest chooses to go to court to stop a third party from using any of Tempest’s trade secrets, Tempest may incur substantial costs. Even if Tempest is successful, these types of lawsuits may result in substantial cost and require significant time from our scientists and management. Although Tempest takes steps to protect Tempest’s proprietary information and trade secrets, third parties may independently develop substantially equivalent proprietary information and techniques or otherwise gain access to Tempest’s trade secrets or disclose Tempest’s technology, through legal or illegal means. As a result, Tempest may not be able to meaningfully protect its trade secrets. Any of the foregoing could have a material adverse effect on Tempest’s business, financial condition, results of operations and prospects.</w:t>
      </w:r>
    </w:p>
    <w:p>
      <w:pPr>
        <w:spacing w:after="0" w:line="3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prevent, delay or otherwise interfere with Tempest’s product discovery and development efforts.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Tempest’s commercial success depends in part on Tempest’s ability to develop, manufacture, market and sell Tempest’s product candidates and use Tempest’s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Tempest may be exposed to, or threatened with, future litigation by third parties having patent or other intellectual property rights alleging that Tempest’s product candidates and/or proprietary technologies infringe, misappropriate or otherwise violate their intellectual property rights. Numerous U.S. and foreign issued patents and pending patent applications that are owned by third parties exist in the fields in which Tempest is developing Tempest’s product candidates. As the biotechnology and pharmaceutical industries expand and more patents are issued, the risk increases that Tempest’s product candidates may give rise to claims of infringement of the patent rights of others. Moreover, it is not always clear to industry participants, including Tempest, which patents cover various types of drugs, products or their methods of use or manufacture. Thus, because of the large number of patents issued and patent applications filed in Tempest’s field, third parties may allege they have patent rights encompassing Tempest’s product candidates, technologies or methods.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third-party claims that Tempest infringes, misappropriates or otherwise violates its intellectual property rights, Tempest may face a number of issues, including, but not limited to:</w:t>
      </w:r>
    </w:p>
    <w:p>
      <w:pPr>
        <w:spacing w:after="0" w:line="76" w:lineRule="exact"/>
        <w:rPr>
          <w:sz w:val="20"/>
          <w:szCs w:val="20"/>
          <w:color w:val="auto"/>
        </w:rPr>
      </w:pPr>
    </w:p>
    <w:p>
      <w:pPr>
        <w:ind w:left="960" w:right="32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that, regardless of merit, may be expensive and time-consuming to litigate and may divert Tempest’s management’s attention from its core business;</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damages for infringement, which Tempest may have to pay if a court decides that the product candidate or technology at issue infringes on or violates the third party’s rights, and, if the court finds that the infringement was willful, Tempest could be ordered to pay treble damages plus the patent owner’s attorneys’ fees;</w:t>
      </w:r>
    </w:p>
    <w:p>
      <w:pPr>
        <w:spacing w:after="0" w:line="89" w:lineRule="exact"/>
        <w:rPr>
          <w:rFonts w:ascii="Arial" w:cs="Arial" w:eastAsia="Arial" w:hAnsi="Arial"/>
          <w:sz w:val="18"/>
          <w:szCs w:val="18"/>
          <w:color w:val="auto"/>
        </w:rPr>
      </w:pPr>
    </w:p>
    <w:p>
      <w:pPr>
        <w:jc w:val="both"/>
        <w:ind w:left="960" w:right="120" w:hanging="424"/>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prohibiting Tempest from developing, manufacturing, marketing or selling Tempest’s product candidates, or from using Tempest’s proprietary technologies, unless the third-party licenses its product rights or proprietary technology to Tempest, which it is not required to do, on commercially reasonable terms or at all;</w:t>
      </w:r>
    </w:p>
    <w:p>
      <w:pPr>
        <w:spacing w:after="0" w:line="89"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license is available from a third party, Tempest may have to pay substantial royalties, upfront fees and other amounts, and/or grant cross-licenses to intellectual property rights for Tempest’s product candidates;</w:t>
      </w:r>
    </w:p>
    <w:p>
      <w:pPr>
        <w:spacing w:after="0" w:line="75"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Tempest redesign its product candidates or processes so they do not infringe, which may not be possible or may require substantial monetary expenditures and time; and</w:t>
      </w:r>
    </w:p>
    <w:p>
      <w:pPr>
        <w:spacing w:after="0" w:line="75" w:lineRule="exact"/>
        <w:rPr>
          <w:rFonts w:ascii="Arial" w:cs="Arial" w:eastAsia="Arial" w:hAnsi="Arial"/>
          <w:sz w:val="18"/>
          <w:szCs w:val="18"/>
          <w:color w:val="auto"/>
        </w:rPr>
      </w:pPr>
    </w:p>
    <w:p>
      <w:pPr>
        <w:ind w:left="960" w:right="260" w:hanging="424"/>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Tempest’s common stock.</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Some of Tempest’s competitors may be able to sustain the costs of complex patent litigation more effectively than Tempest can because they have substantially greater resources. In addition, any uncertainties resulting from the initiation and continuation of any litigation could have a material adverse effect on Tempest’s ability to raise the funds necessary to continue Tempest’s operations or could otherwise have a material adverse effect on Tempest’s business, financial condition, results of operations and prospects.</w:t>
      </w:r>
    </w:p>
    <w:p>
      <w:pPr>
        <w:sectPr>
          <w:pgSz w:w="11900" w:h="16838" w:orient="portrait"/>
          <w:cols w:equalWidth="0" w:num="1">
            <w:col w:w="11000"/>
          </w:cols>
          <w:pgMar w:left="440" w:top="274" w:right="459" w:bottom="1440" w:gutter="0" w:footer="0" w:header="0"/>
        </w:sectPr>
      </w:pPr>
    </w:p>
    <w:bookmarkStart w:id="77" w:name="page78"/>
    <w:bookmarkEnd w:id="77"/>
    <w:p>
      <w:pPr>
        <w:jc w:val="both"/>
        <w:ind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parties may assert that Tempest is employing their proprietary technology without authorization, including by enforcing its patents against Tempest by filing a patent infringement lawsuit against Tempest. In this regard, patents issued in the United States by law enjoy a presumption of validity that can be rebutted only with evidence that is “clear and convincing,” a heightened standard of proof.</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There may be third-party patents of which Tempest is currently unaware with claims to materials, formulations, methods of manufacture or methods for treatment related to the use or manufacture of Tempest’s product candidates. Because patent applications can take many years to issue, there may be currently pending patent applications that may later result in issued patents that Tempest’s product candidates may infringe. In addition, third parties may obtain patents in the future and claim that use of Tempest’s technologies infringes upon these patents.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any third-party patents were held by a court of competent jurisdiction to cover the manufacturing process of Tempest’s product candidates, or materials used in or formed during the manufacturing process, or any final product itself, the holders of those patents may be able to block Tempest’s ability to commercialize Tempest’s product candidate unless Tempest obtains a license under the applicable patents, or until those patents were to expire or those patents are finally determined to be invalid or unenforceable. Similarly, if any third-party patent were held by a court of competent jurisdiction to cover aspects of Tempest’s formulations, processes for manufacture or methods of use, including combination therapy or patient selection methods, the holders of that patent may be able to block Tempest’s ability to develop and commercialize the product candidate unless Tempest obtains a license or until such patent expires or is finally determined to be invalid or unenforceable. In either case, a license may not be available on commercially reasonable terms, or at all, particularly if such patent is owned or controlled by one of Tempest’s primary competitors. If Tempest is unable to obtain a necessary license to a third-party patent on commercially reasonable terms, or at all, Tempest’s ability to commercialize Tempest’s product candidates may be impaired or delayed, which could significantly harm Tempest’s business. Even if Tempest obtains a license, it may be non-exclusive, thereby giving Tempest’s competitors access to the same technologies licensed to Tempest. In addition, if the breadth or strength of protection provided by Tempest’s patents and patent applications is threatened, it could dissuade companies from collaborating with Tempest to license, develop or commercialize current or future product candidates.</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Parties making claims against Tempest may seek and obtain injunctive or other equitable relief, which could effectively block Tempest’s ability to further develop and commercialize Tempest’s product candidates. Defense of these claims, regardless of their merit, would involve substantial litigation expense and would be a substantial diversion of employee time and resources from Tempest’s business. In the event of a successful claim of infringement against Tempest, Tempest may have to pay substantial damages, including treble damages and attorneys’ fees for willful infringement, obtain one or more licenses from third parties, pay royalties or redesign Tempest’s infringing products, which may be impossible or require substantial time and monetary expenditure. Tempest cannot predict whether any license of this nature would be available at all or whether it would be available on commercially reasonable terms. Furthermore, even in the absence of litigation, Tempest may need to obtain licenses from third parties to advance Tempest’s research or allow commercialization of Tempest’s product candidates and Tempest may fail to obtain any of these licenses at a reasonable cost or on reasonable terms, if at all. In that event, Tempest would be unable to further develop and commercialize Tempest’s product candidates, which could significantly harm Tempest’s business.</w:t>
      </w:r>
    </w:p>
    <w:p>
      <w:pPr>
        <w:spacing w:after="0" w:line="2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Tempest may be involved in lawsuits to protect or enforce its patents or the patents of its licensors, which could be expensive, time-consuming and unsuccessful and could result in a finding that such patents are unenforceable or invalid.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Competitors may infringe Tempest’s patents or the patents of its future licensors. To counter infringement or unauthorized use, Tempest may be required to file infringement claims, which can be expensive and time-consuming. In addition, in an infringement proceeding, a court may decide that one or more of Tempest’s patents is not valid or is unenforceable, or may refuse to stop the other party from using the technology at issue on the grounds that Tempest’s patents do not cover the technology in question.</w:t>
      </w:r>
    </w:p>
    <w:p>
      <w:pPr>
        <w:sectPr>
          <w:pgSz w:w="11900" w:h="16838" w:orient="portrait"/>
          <w:cols w:equalWidth="0" w:num="1">
            <w:col w:w="11020"/>
          </w:cols>
          <w:pgMar w:left="440" w:top="274" w:right="439" w:bottom="1440" w:gutter="0" w:footer="0" w:header="0"/>
        </w:sectPr>
      </w:pPr>
    </w:p>
    <w:bookmarkStart w:id="78" w:name="page79"/>
    <w:bookmarkEnd w:id="78"/>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Tempest’s patents such that they no longer cover Tempest’s product candidates. The outcome for any particular patent following legal assertions of invalidity and unenforceability is unpredictable. With respect to the validity question, for example, Tempest cannot be certain that there is no invalidating prior art, of which Tempest, Tempest’s patent counsel and the patent examiner were unaware during prosecution. If a defendant were to prevail on a legal assertion of invalidity and/or unenforceability, or if Tempest is otherwise unable to adequately protect Tempest’s rights, Tempest would lose at least part, and perhaps all, of the patent protection on Tempest’s product candidates. Defense of these types of claims, regardless of their merit, would involve substantial litigation expense and would be a substantial diversion of employee resources from Tempest’s business.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Conversely, Tempest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Tempest may choose to challenge a third party’s patent in patent opposition proceedings in the Canadian Intellectual Property Office, or CIPO, the European Patent Office, or EPO, or another foreign patent office. Even if successful, the costs of these opposition proceedings could be substantial, and may consume Tempest’s time or other resources. If Tempest fails to obtain a favorable result at the USPTO, CIPO, EPO or other patent office then Tempest may be exposed to litigation by a third party alleging that the patent may be infringed by Tempest’s product candidates or proprietary technologies.</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Tempest’s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Tempest’s common stock. Any of the foregoing could have a material adverse effect on Tempest’s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Tempest may not be able to protect its intellectual property rights throughout the world.</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Tempest’s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Tempest may not be able to prevent third parties from practicing Tempest’s inventions in all countries outside the United States, or from selling or importing products made using Tempest’s inventions in and into the United States or other jurisdictions. Competitors may use Tempest’s technologies in jurisdictions where Tempest does not have or has not obtained patent protection to develop their own products and, further, may export otherwise infringing products to territories where Tempest has patent protection but where enforcement is not as strong as that in the United States. These products may compete with Tempest’s product candidates in jurisdictions where Tempest does not have any issued patents and Tempest’s patent claims or other intellectual property rights may not be effective or sufficient to prevent them from competing.</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Tempest to stop the infringement of Tempest’s patents or marketing of competing products against third parties in violation of Tempest’s proprietary rights generally. The initiation of proceedings by third parties to challenge the scope or validity of Tempest’s patent rights in foreign jurisdictions could result in substantial cost and divert management’s efforts and attention from other aspects of Tempest’s business. Proceedings to enforce Tempest’s patent rights in foreign jurisdictions could result in substantial costs and divert management’s efforts and attention from other aspects of Tempest’s business, could put Tempest’s patents at risk of being invalidated or interpreted narrowly and Tempest’s patent applications at risk of not issuing and could provoke third parties to assert claims against Tempest. Tempest may not prevail in any lawsuits that Tempest initiates and the damages or other remedies awarded, if any, may not be commercially meaningful. Accordingly, Tempest’s efforts to enforce Tempest’s intellectual property rights around the world may be inadequate to obtain a significant commercial advantage from the intellectual property that Tempest develops or licenses.</w:t>
      </w:r>
    </w:p>
    <w:p>
      <w:pPr>
        <w:sectPr>
          <w:pgSz w:w="11900" w:h="16838" w:orient="portrait"/>
          <w:cols w:equalWidth="0" w:num="1">
            <w:col w:w="11020"/>
          </w:cols>
          <w:pgMar w:left="440" w:top="274" w:right="439" w:bottom="1440" w:gutter="0" w:footer="0" w:header="0"/>
        </w:sectPr>
      </w:pPr>
    </w:p>
    <w:bookmarkStart w:id="79" w:name="page80"/>
    <w:bookmarkEnd w:id="79"/>
    <w:p>
      <w:pPr>
        <w:ind w:right="3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parties may assert that Tempest’s employees or consultants have wrongfully used or disclosed confidential information or misappropriated trade secrets.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is common in the biotechnology and pharmaceutical industries, Tempest employs individuals who were previously employed at universities or other biopharmaceutical or pharmaceutical companies, including Tempest’s competitors or potential competitors. Although Tempest tries to ensure that Tempest’s employees and consultants do not use the proprietary information or know-how of others in their work for Tempest, Tempest may be subject to claims that Tempest’s employees, consultants or independent contractors have inadvertently or otherwise used or disclosed intellectual property, including trade secrets or other proprietary information, of a former employer or other third parties. Tempest may then have to pursue litigation to defend against these claims. If Tempest fails in defending any claims of this nature, in addition to paying monetary damages, Tempest may lose valuable intellectual property rights or personnel. Even if Tempest is successful in defending against these types of claims, litigation or other legal proceedings relating to intellectual property claims may cause Tempest to incur significant expenses, and could distract Tempest’s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Tempest’s common stock. This type of litigation or proceeding could substantially increase Tempest’s operating losses and reduce Tempest’s resources available for development activities, and Tempest may not have sufficient financial or other resources to adequately conduct this type of litigation or proceedings. For example, some of Tempest’s competitors may be able to sustain the costs of this type of litigation or proceedings more effectively than Tempest can because of their substantially greater financial resources. In any case, uncertainties resulting from the initiation and continuation of intellectual property litigation or other intellectual property related proceedings could adversely affect Tempest’s ability to compete in the marketplace.</w:t>
      </w:r>
    </w:p>
    <w:p>
      <w:pPr>
        <w:spacing w:after="0" w:line="2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Tempest’s patent protection depends on compliance with various procedural, document submission, fee payment and other requirements imposed by governmental patent agencies, and Tempest’s patent protection could be reduced or eliminated for non-compliance with these requirements.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Tempest’s competitors might be able to enter the market, which would have a material adverse effect on Tempest’s business financial condition, results of operations and prospects.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Tempest’s ability to protect its product candidates.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is the case with other biopharmaceutical companies, Tempest’s success is heavily dependent on intellectual property, particularly patents. Obtaining and enforcing patents in the biopharmaceutical industry involve both technological and legal complexity, and is therefore costly, time-consuming and inherently uncertain.</w:t>
      </w:r>
    </w:p>
    <w:p>
      <w:pPr>
        <w:sectPr>
          <w:pgSz w:w="11900" w:h="16838" w:orient="portrait"/>
          <w:cols w:equalWidth="0" w:num="1">
            <w:col w:w="10980"/>
          </w:cols>
          <w:pgMar w:left="440" w:top="274" w:right="479" w:bottom="1440" w:gutter="0" w:footer="0" w:header="0"/>
        </w:sectPr>
      </w:pPr>
    </w:p>
    <w:bookmarkStart w:id="80" w:name="page81"/>
    <w:bookmarkEnd w:id="8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Past or future patent reform legislation could increase the uncertainties and costs surrounding the prosecution of Tempest’s patent applications and the enforcement or defense of Tempest’s issued patents. For example, in March 2013, under the Leahy-Smith America Invents Act, or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its implementation could increase the uncertainties and costs surrounding the prosecution of Tempest’s patent applications and the enforcement or defense of Tempest’s issued patents.</w:t>
      </w:r>
    </w:p>
    <w:p>
      <w:pPr>
        <w:spacing w:after="0" w:line="16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Additionally, recent U.S. Supreme Court rulings have narrowed the scope of patent protection available in certain circumstances and weakened the rights of patent owners in certain situations. In addition to increasing uncertainty with regard to Tempest’s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Tempest’s ability to obtain new patents or to enforce Tempest’s existing patents and patents that Tempest might obtain or license in the future. For example, in the case, </w:t>
      </w:r>
      <w:r>
        <w:rPr>
          <w:rFonts w:ascii="Arial" w:cs="Arial" w:eastAsia="Arial" w:hAnsi="Arial"/>
          <w:sz w:val="16"/>
          <w:szCs w:val="16"/>
          <w:i w:val="1"/>
          <w:iCs w:val="1"/>
          <w:color w:val="auto"/>
        </w:rPr>
        <w:t>Assoc. for Molecular Pathology v. Myriad Genetics, Inc.</w:t>
      </w:r>
      <w:r>
        <w:rPr>
          <w:rFonts w:ascii="Arial" w:cs="Arial" w:eastAsia="Arial" w:hAnsi="Arial"/>
          <w:sz w:val="16"/>
          <w:szCs w:val="16"/>
          <w:color w:val="auto"/>
        </w:rPr>
        <w:t>, the U.S. Supreme Court held that certain claims to DNA molecules are not patent-eligible.</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Similarly, other cases by the U.S. Supreme Court have held that certain methods of treatment or diagnosis are not patent-eligible. U.S. law regarding patent-eligibility continues to evolve. While Tempest does not believe that any of Tempest’s patents will be found invalid based on these changes to US patent law, Tempest cannot predict how future decisions by the courts, the U.S. Congress or the USPTO may impact the value of Tempest’s patents and patent applications. Any similar adverse changes in the patent laws of other jurisdictions could also have a material adverse effect on Tempest’s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Tempest’s competitive position on its product candidates for an adequate amount of time.</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Tempest’s product candidates are obtained, once the patent life has expired, Tempest may be open to competition from competitive products, including generics. Given the amount of time required for the development, testing and regulatory review of new product candidates, patents protecting Tempest’s product candidates might expire before or shortly after Tempest or Tempest’s partners commercialize those candidates. As a result, Tempest’s owned and licensed patent portfolio may not provide Tempest with sufficient rights to exclude others from commercializing products similar or identical to Tempest’s.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Tempest does not obtain patent term extension for any product candidates it may develop, Tempest’s business may be materially harmed.</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Tempest may develop, one or more of Tempest’s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Tempest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Tempest requests. If Tempest is unable to obtain patent term extension or term of any such extension is less than it requests, Tempest’s competitors may obtain approval of competing products following Tempest’s patent expiration sooner than expected, and Tempest’s business, financial condition, results of operations and prospects could be materially harmed.</w:t>
      </w:r>
    </w:p>
    <w:p>
      <w:pPr>
        <w:sectPr>
          <w:pgSz w:w="11900" w:h="16838" w:orient="portrait"/>
          <w:cols w:equalWidth="0" w:num="1">
            <w:col w:w="10980"/>
          </w:cols>
          <w:pgMar w:left="440" w:top="274" w:right="47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Intellectual property discovered through government funded programs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U.S.-based companies. Compliance with such regulations may limit Tempest’s exclusive rights and limit its ability to contract with non-U.S. manufacturers.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Tempest does not currently own issued patents or pending patent applications that have been generated through the use of U.S. government funding, Tempest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Tempest’s future intellectual property rights that are generated through the use of U.S. government funding or grants, Tempest could be forced to license or sublicense intellectual property developed by Tempest or that Tempest licenses on terms unfavorable to Tempest, and there can be no assurance that Tempest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Tempest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Tempest’s ability to contract with non-U.S. product manufacturers for products covered by such intellectual property.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Tempest’s Business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Tempest expects to expand its development and regulatory capabilities, and as a result, Tempest may encounter difficulties in managing its growth, which could disrupt Tempest’s operations.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Tempest expects to experience significant growth in the number of Tempest’s employees and the scope of Tempest’s operations, particularly in the areas of product candidate development, growing Tempest’s capability to conduct clinical trials, and, if approved, through commercialization of Tempest’s product candidates. To manage its anticipated future growth, Tempest must continue to implement and improve its managerial, operational and financial systems, expand its facilities and continue to recruit and train additional qualified personnel, or contract with third parties to provide these capabilities for Tempest. Due to Tempest’s limited financial resources and the limited experience of Tempest’s management team in managing a company with such anticipated growth, Tempest may not be able to effectively manage the expansion of Tempest’s operations or recruit and train additional qualified personnel. The expansion of Tempest’s operations may lead to significant costs and may divert Tempest’s management and business development resources. Any inability to manage growth could delay the execution of Tempest’s business plans or disrupt Tempest’s operations.</w:t>
      </w:r>
    </w:p>
    <w:p>
      <w:pPr>
        <w:sectPr>
          <w:pgSz w:w="11900" w:h="16838" w:orient="portrait"/>
          <w:cols w:equalWidth="0" w:num="1">
            <w:col w:w="10980"/>
          </w:cols>
          <w:pgMar w:left="440" w:top="274"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must attract and retain highly skilled employees to succeed.</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To succeed, Tempest must recruit, retain, manage and motivate qualified clinical, scientific, technical and management personnel, and Tempest faces significant competition for experienced personnel. If Tempest does not succeed in attracting and retaining qualified personnel, particularly at the management level, it could adversely affect Tempest’s ability to execute its business plan, harm Tempest’s results of operations and increase Tempest’s capabilities to successfully commercialize its product candidates. In particular, Tempest believes that its future success is highly dependent upon the contributions of its senior management, particularly its Chief Executive Officer, Stephen Brady, its President, Tom Dubensky and its Chief Medical Officer, Sam Whiting. The loss of services of Messrs. Dubensky or Brady or Whiting, or any of Tempest’s other senior management, could delay or prevent the successful development of Tempest’s product pipeline, completion of Tempest’s planned clinical trials or the commercialization of Tempest’s product candidates, if approved. The competition for qualified personnel in the biotechnology field is intense and as a result, Tempest may be unable to continue to attract and retain qualified personnel necessary for the development of Tempest’s business or to recruit suitable replacement personnel.</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Many of the other biotechnology companies that Tempest competes against for qualified personnel have greater financial and other resources, different risk profiles and a longer history in the industry than Tempest does. They also may provide more diverse opportunities and better chances for career advancement. Some of these characteristics may be more appealing to high-quality candidates than what Tempest has to offer. If Tempest is unable to continue to attract and retain high-quality personnel, the rate and success at which Tempest can discover and develop product candidates and Tempest’s business will be limited.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acquisitions or strategic alliances could disrupt Tempest’s business and harm Tempest’s financial condition and results of operations.</w:t>
      </w:r>
    </w:p>
    <w:p>
      <w:pPr>
        <w:spacing w:after="0" w:line="14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Tempest may acquire additional businesses or drugs, form strategic alliances or create joint ventures with third parties that Tempest believes will complement or augment Tempest’s existing business. If Tempest acquires businesses with promising markets or technologies, Tempest may not be able to realize the benefit of acquiring such businesses if Tempest is unable to successfully integrate them with Tempest’s existing operations and company culture. Tempest may encounter numerous difficulties in developing, manufacturing and marketing any new drugs resulting from a strategic alliance or acquisition that delay or prevent Tempest from realizing their expected benefits or enhancing Tempest’s business. Tempest cannot assure you that, following any such acquisition, Tempest will achieve the expected synergies to justify the transaction. The risks Tempest faces in connection with acquisitions, include:</w:t>
      </w:r>
    </w:p>
    <w:p>
      <w:pPr>
        <w:spacing w:after="0" w:line="100" w:lineRule="exact"/>
        <w:rPr>
          <w:sz w:val="20"/>
          <w:szCs w:val="20"/>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Tempest’s business to addressing acquisition integration challenges;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Tempest’s organization;</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Tempest’s failure to address these risks or other problems encountered in connection with its past or future acquisitions or strategic alliances could cause Tempest to fail to realize the anticipated benefits of these transactions, cause Tempest to incur unanticipated liabilities and harm the business generally. There is also a risk that future acquisitions will result in the incurrence of debt, contingent liabilities, amortization expenses or incremental operating expenses, any of which could harm Tempest’s financial condition or results of operations.</w:t>
      </w:r>
    </w:p>
    <w:p>
      <w:pPr>
        <w:sectPr>
          <w:pgSz w:w="11900" w:h="16838" w:orient="portrait"/>
          <w:cols w:equalWidth="0" w:num="1">
            <w:col w:w="11020"/>
          </w:cols>
          <w:pgMar w:left="440" w:top="274" w:right="439" w:bottom="1440" w:gutter="0" w:footer="0" w:header="0"/>
        </w:sectPr>
      </w:pPr>
    </w:p>
    <w:bookmarkStart w:id="83" w:name="page84"/>
    <w:bookmarkEnd w:id="83"/>
    <w:p>
      <w:pPr>
        <w:ind w:right="1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Tempest fails to comply with environmental, health, and safety laws and regulations, Tempest could become subject to fines or penalties or incur costs that could harm Tempest’s business.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Tempest is subject to numerous environmental, health, and safety laws and regulations, including those governing laboratory procedures and the handling, use, storage, treatment and disposal of hazardous materials and wastes. Tempest’s operations involve the use of hazardous and flammable materials, including chemicals and biological materials. Tempest’s operations also may produce hazardous waste products. Tempest generally contracts with third parties for the disposal of these materials and wastes. Tempest will not be able to eliminate the risk of contamination or injury from these materials. In the event of contamination or injury resulting from any use by Tempest of hazardous materials, Tempest could be held liable for any resulting damages, and any liability could exceed Tempest’s resources. Tempest also could incur significant costs associated with civil or criminal fines and penalties for failure to comply with such laws and regulations.</w:t>
      </w:r>
    </w:p>
    <w:p>
      <w:pPr>
        <w:spacing w:after="0" w:line="17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Tempest maintains workers’ compensation insurance to cover Tempest for costs and expenses Tempest may incur due to injuries to Tempest’s employees resulting from the use of hazardous materials, this insurance may not provide adequate coverage against potential liabilities.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Tempest may incur substantial costs in order to comply with current or future environmental, health, and safety laws and regulations. These current or future laws and regulations may impair Tempest’s research, development or production efforts. Tempest’s failure to comply with these laws and regulations also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Tempest’s business, financial condition, stock price and results of operations.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Tempest’s results of operations could be adversely affected by general conditions in the global economy and in the global financial markets. For example, a global economic downturn that could result from the COVID-19 pandemic could cause extreme volatility and disruptions in the capital and credit markets. A severe or prolonged economic downturn could result in a variety of risks to Tempest’s business, including, weakened demand for Tempest’s product candidates and Tempest’s ability to raise additional capital when needed on acceptable terms, if at all. A weak or declining economy could also strain Tempest’s suppliers, possibly resulting in supply disruption, or cause Tempest’s customers to delay making payments for Tempest’s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Tempest’s growth strategy, financial performance and stock price and could require Tempest to delay or abandon clinical development plans. In addition, there is a risk that one or more of Tempest’s current service providers, manufacturers and other partners may not survive such difficult economic times, which could directly affect Tempest’s ability to attain Tempest’s operating goals on schedule and on budget. Any of the foregoing could harm Tempest’s business and Tempest cannot anticipate all of the ways in which the current economic climate and financial market conditions could adversely impact Tempest’s business. Furthermore, our stock price may decline due in part to the volatility of the stock market and any general economic downturn.</w:t>
      </w:r>
    </w:p>
    <w:p>
      <w:pPr>
        <w:spacing w:after="0" w:line="2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Tempest or the third parties upon whom Tempest depends may be adversely affected by natural disasters and other calamities, including pandemics, such as the global outbreak of COVID-19, and Tempest’s business continuity and disaster recovery plans may not adequately protect Tempest from a serious disaster.</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Natural disasters could severely disrupt Tempest’s operations and have a material adverse effect on Tempest’s business, results of operations, financial condition and prospects. If a natural disaster, fire, hurricane, power outage or other event occurred that prevented Tempest from using all or a significant portion of Tempest’s headquarters, that damaged critical infrastructure, such as Tempest’s suppliers’ manufacturing facilities, or that otherwise disrupted operations, such as data storage, it may be difficult or, in certain cases, impossible for Tempest to continue Tempest’s business for a substantial period of time.</w:t>
      </w:r>
    </w:p>
    <w:p>
      <w:pPr>
        <w:sectPr>
          <w:pgSz w:w="11900" w:h="16838" w:orient="portrait"/>
          <w:cols w:equalWidth="0" w:num="1">
            <w:col w:w="11000"/>
          </w:cols>
          <w:pgMar w:left="440" w:top="274" w:right="459" w:bottom="1440" w:gutter="0" w:footer="0" w:header="0"/>
        </w:sectPr>
      </w:pPr>
    </w:p>
    <w:bookmarkStart w:id="84" w:name="page85"/>
    <w:bookmarkEnd w:id="8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Occurrences of epidemics or pandemics, depending on their scale, may cause different degrees of damage to the national and local economies within Tempest’s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Tempest’s capital raising efforts, and the financial condition of Tempest’s business, as well as the ability of Tempest to retain key personnel and continue to expand product candidate development and conduct clinical trials. In addition, the impact of COVID-19 is likely to continue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could have an adverse effect on Tempest’s financial condition and ability to raise financing.</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disaster recovery and business continuity plans Tempest has in place may prove inadequate in the event of a serious disaster or similar event. Tempest may incur substantial expenses as a result of the limited nature of Tempest’s disaster recovery and business continuity plans, which could have a material adverse effect on Tempest’s business. As a result of the COVID-19 pandemic, Tempest may experience reduction in research and development, clinical testing, regulatory compliance activities, and manufacturing activities, and is unable at this time to estimate the extent of the effect of COVID-19 on its business. The extent and duration of the economic slowdown attributable to COVID-19 remains uncertain at this time. A continued significant economic slowdown could have a substantial adverse effect on Tempest’s financial condition, liquidity, and results of operations. If these conditions persist for an extended term, it could have a material adverse effect on Tempest’s future revenue and sales.</w:t>
      </w:r>
    </w:p>
    <w:p>
      <w:pPr>
        <w:spacing w:after="0" w:line="27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Tempest’s internal computer and information systems, or those used by its CROs, CMOs or other contractors or consultants, may fail or suffer security breaches, which could result in a material disruption of Tempest’s development programs.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the implementation of appropriate security measures, Tempest’s internal computer and information systems and those of Tempest’s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Tempest’s operations, it could result in a material disruption of Tempest’s development programs and Tempest’s business operations, whether due to a loss of Tempest’s trade secrets or other proprietary information or other similar disruptions. For example, the loss of data from completed or future preclinical studies or clinical trials could result in significant delays in Tempest’s regulatory approval efforts and significantly increase Tempest’s costs to recover or reproduce the data. To the extent that any disruption or security breach were to result in a loss of, or damage to, Tempest’s data or applications, or inappropriate disclosure of confidential or proprietary information, Tempest could incur liability, Tempest’s competitive position could be harmed and the further development and commercialization of Tempest’s product candidates could be significantly delayed. Tempest’s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Tempest’s ability to perform its day-to-day operations, which could harm its ability to conduct business or delay its financial reporting. Such failures could materially adversely affect Tempest’s operating results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Tempest is subject to a variety of privacy and data security laws, and Tempest’s failure to comply with them could harm Tempest’s business.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Tempest maintains a large quantity of sensitive information, including confidential business and patient health information in connection with Tempest’s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Tempest may obtain health information from third parties (including research institutions from which it obtains clinical trial data) that are subject to privacy and security requirements under HIPAA. Depending on the facts and circumstances, Tempest could be subject to criminal penalties if it knowingly obtains, uses or discloses individually identifiable health information maintained by a HIPAA covered entity in a manner that is not authorized or permitted by HIPAA.</w:t>
      </w:r>
    </w:p>
    <w:p>
      <w:pPr>
        <w:sectPr>
          <w:pgSz w:w="11900" w:h="16838" w:orient="portrait"/>
          <w:cols w:equalWidth="0" w:num="1">
            <w:col w:w="10980"/>
          </w:cols>
          <w:pgMar w:left="440" w:top="274" w:right="479" w:bottom="1440" w:gutter="0" w:footer="0" w:header="0"/>
        </w:sectPr>
      </w:pPr>
    </w:p>
    <w:bookmarkStart w:id="85" w:name="page86"/>
    <w:bookmarkEnd w:id="8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states have also adopted comparable privacy and security laws and regulations, some of which may be more stringent than HIPAA. For example, California enacted the California Consumer Privacy Act, or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Tempest’s compliance costs and potential liability. Some observers have noted that the CCPA could mark the beginning of a trend toward more stringent privacy legislation in the United States, which could increase Tempest’s potential liability and adversely affect Tempest’s business.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Canada, the Personal Information Protection and Electronic Documents Act, or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May 2018, the General Data Protection Regulation, or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Tempest’s annual worldwide gross revenue). Further, recent legal developments in Europe have created complexity and compliance uncertainty regarding certain transfers of information from the EEA to the United States. For example, on June 16, 2020, the Court of Justice of the European Union, or the CJEU, declared the EU-U.S. Privacy Shield framework, or the Privacy Shield, to be invalid. As a result,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Tempest may be required to put in place additional mechanisms ensuring compliance with the new data protection rules. If Tempest fails to comply with any such laws or regulations, Tempest may face significant fines and penalties that could adversely affect Tempest’s business, financial condition and results of operations.</w:t>
      </w:r>
    </w:p>
    <w:p>
      <w:pPr>
        <w:sectPr>
          <w:pgSz w:w="11900" w:h="16838" w:orient="portrait"/>
          <w:cols w:equalWidth="0" w:num="1">
            <w:col w:w="11020"/>
          </w:cols>
          <w:pgMar w:left="440" w:top="274" w:right="439" w:bottom="1440" w:gutter="0" w:footer="0" w:header="0"/>
        </w:sectPr>
      </w:pPr>
    </w:p>
    <w:bookmarkStart w:id="86" w:name="page87"/>
    <w:bookmarkEnd w:id="86"/>
    <w:p>
      <w:pPr>
        <w:ind w:right="720"/>
        <w:spacing w:after="0" w:line="30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may be unable to adequately protect its information systems from cyberattacks, which could result in the disclosure of confidential information, damage Tempest’s reputation, and subject Tempest to significant financial and legal exposure.</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Tempest,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Tempest’s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Although Tempest devotes resources to protect its information systems, Tempest realizes that cyberattacks are a threat, and there can be no assurance that Tempest’s efforts will prevent information security breaches that would result in business, legal, financial or reputational harm to Tempest, or would have a material adverse effect on Tempest’s results of operations and financial condition.</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computer systems of various third parties on which Tempest relies, including its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Tempest relies on its third-party providers to implement effective security measures and identify and correct for any such failures, deficiencies or breaches.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Tempest’s employees, principal investigators, CROs, CMOs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Tempest is exposed to the risk of fraud or other misconduct by Tempest’s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Tempest.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Tempest’s reputation. It is not always possible to identify and deter employee misconduct, and the precautions Tempest takes to detect and prevent this activity may not be effective in controlling unknown or unmanaged risks or losses or in protecting Tempest from governmental investigations or other actions or lawsuits stemming from a failure to comply with these laws or regulations. If any such actions are instituted against Tempest, and Tempest is not successful in defending or asserting Tempest’s rights, those actions could have a significant impact on Tempest’s business, including the imposition of significant fines or other sanctions.</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Tempest’s business entails a significant risk of product liability and Tempest’s ability to obtain sufficient insurance coverage could have a material and adverse effect on Tempest’s business, financial condition, results of operations and prospects.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Tempest will face an inherent risk of product liability exposure related to the testing of its product candidates in clinical trials and will face an even greater risk if Tempest commercializes any of Tempest’s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Tempest cannot successfully defend Tempest’s against claims that Tempest’s product candidates caused injuries, Tempest could incur substantial liabilities. Regardless of merit or eventual outcome, liability claims may result in:</w:t>
      </w:r>
    </w:p>
    <w:p>
      <w:pPr>
        <w:spacing w:after="0" w:line="67" w:lineRule="exact"/>
        <w:rPr>
          <w:sz w:val="20"/>
          <w:szCs w:val="20"/>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Tempest may develop;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Tempest’s reputation and significant negative media attention;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ectPr>
          <w:pgSz w:w="11900" w:h="16838" w:orient="portrait"/>
          <w:cols w:equalWidth="0" w:num="1">
            <w:col w:w="11000"/>
          </w:cols>
          <w:pgMar w:left="440" w:top="274" w:right="459" w:bottom="1440" w:gutter="0" w:footer="0" w:header="0"/>
        </w:sectPr>
      </w:pPr>
    </w:p>
    <w:bookmarkStart w:id="87" w:name="page88"/>
    <w:bookmarkEnd w:id="87"/>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significant time and costs to defend the related litigation;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Tempest’s collaboration relationships or disputes with its collaborators;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Tempest may develop.</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While Tempest currently has insurance that Tempest believes is appropriate for Tempest’s stage of development, Tempest may need to obtain higher levels prior to clinical development or marketing any of its future product candidates. Any insurance Tempest has or may obtain may not provide sufficient coverage against potential liabilities. Furthermore, clinical trial and product liability insurance is becoming increasingly expensive. As a result, Tempest may be unable to obtain sufficient insurance at a reasonable cost to protect Tempest against losses caused by product liability claims that could have a material and adverse effect on Tempest’s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tax credit carryforwards may be subject to limitations.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its NOLs.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and may experience ownership changes in the future due to subsequent shifts in our stock ownership (some of which are outside of its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ectPr>
          <w:pgSz w:w="11900" w:h="16838" w:orient="portrait"/>
          <w:cols w:equalWidth="0" w:num="1">
            <w:col w:w="11000"/>
          </w:cols>
          <w:pgMar w:left="440" w:top="274"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tax laws or regulations could materially adversely affect us.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which could adversely affect its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its business and financial condition.</w:t>
      </w:r>
    </w:p>
    <w:p>
      <w:pPr>
        <w:spacing w:after="0" w:line="3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market price of our common stock has been and is likely to continue to be volatile. Some of the factors that may cause the market price of our common stock to fluctuate include:</w:t>
      </w:r>
    </w:p>
    <w:p>
      <w:pPr>
        <w:spacing w:after="0" w:line="76" w:lineRule="exact"/>
        <w:rPr>
          <w:sz w:val="20"/>
          <w:szCs w:val="20"/>
          <w:color w:val="auto"/>
        </w:rPr>
      </w:pPr>
    </w:p>
    <w:p>
      <w:pPr>
        <w:ind w:left="960" w:hanging="424"/>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we do not achieve the perceived benefits of the Merger as rapidly or to the extent anticipated by financial or industry analysts;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960" w:right="60" w:hanging="424"/>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its technologies;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960" w:right="840" w:hanging="424"/>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ectPr>
          <w:pgSz w:w="11900" w:h="16838" w:orient="portrait"/>
          <w:cols w:equalWidth="0" w:num="1">
            <w:col w:w="11000"/>
          </w:cols>
          <w:pgMar w:left="440" w:top="274" w:right="459" w:bottom="1440" w:gutter="0" w:footer="0" w:header="0"/>
        </w:sectPr>
      </w:pPr>
    </w:p>
    <w:bookmarkStart w:id="89" w:name="page90"/>
    <w:bookmarkEnd w:id="89"/>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its intrinsic value. Activist campaigns that contest or conflict with our strategic direction or seek changes in the composition of our board of directors could have an adverse effect on its operating results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Tempest and Millendo may be unable to integrate successfully and we may not realize the anticipated benefits of the Merger.</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Merger involves the combination of two companies which have operated as independent companies. We may fail to realize some or all of the anticipated benefits of the Merger if the integration process takes longer than expected or is more costly than expected. It is possible that the integration process also could result in the diversion of our management’s attention, the disruption or interruption of, or the loss of momentum in, our ongoing businesses or inconsistencies in standards, controls, procedures and policies, any of which could adversely affect our ability to maintain relationships with customers, suppliers and employees or the ability to achieve the anticipated benefits of the Merger, or could otherwise adversely affect our business and financial results.</w:t>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2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3" w:lineRule="exact"/>
        <w:rPr>
          <w:sz w:val="20"/>
          <w:szCs w:val="20"/>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ectPr>
          <w:pgSz w:w="11900" w:h="16838" w:orient="portrait"/>
          <w:cols w:equalWidth="0" w:num="1">
            <w:col w:w="11000"/>
          </w:cols>
          <w:pgMar w:left="440" w:top="274" w:right="459" w:bottom="1440" w:gutter="0" w:footer="0" w:header="0"/>
        </w:sectPr>
      </w:pPr>
    </w:p>
    <w:bookmarkStart w:id="90" w:name="page91"/>
    <w:bookmarkEnd w:id="90"/>
    <w:p>
      <w:pPr>
        <w:ind w:left="960" w:right="220" w:hanging="424"/>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 advance notice requirements for stockholder proposals that can be acted on at stockholder meetings and for nominations to our board of directors;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actions by our stockholders by written consent;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that stockholder actions be effected at a duly called stockholders meeting;</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9"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percent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2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current expectation is that we will retain its future earnings, if any, to fund our growth as opposed to paying dividends. As a result, capital appreciation, if any, of our common stock will be your sole source of gain, if any, for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our existing securityholders sell, or indicate an intention to sell, substantial amounts of our common stock in the public market after legal restrictions on resale lapse, the trading price of our common stock could decline. As of June 30, 2021, of the total 6,637,081 shares of common stock outstanding, approximately 4,230,786 shares will be available for sale in the public market beginning 180 days after the closing of the Merger as a result of the expiration of lock-up agreements between Millendo and Private Tempest on the one hand and certain securityholders of Millendo and Private Tempest on the other hand. All other outstanding shares of common stock, other than shares held by our affiliates, will be freely tradable, without restriction, in the public market. In addition, shares of common stock that are subject to outstanding options of Tempest will become eligible for sale in the public market to the extent permitted by the provisions of various vesting agreements and Rules 144 and 701 under the Securities Act. If these shares are sold, the trading price of our common stock could decline.</w:t>
      </w:r>
    </w:p>
    <w:p>
      <w:pPr>
        <w:sectPr>
          <w:pgSz w:w="11900" w:h="16838" w:orient="portrait"/>
          <w:cols w:equalWidth="0" w:num="1">
            <w:col w:w="10980"/>
          </w:cols>
          <w:pgMar w:left="440" w:top="274" w:right="479" w:bottom="1440" w:gutter="0" w:footer="0" w:header="0"/>
        </w:sectPr>
      </w:pPr>
    </w:p>
    <w:bookmarkStart w:id="91" w:name="page92"/>
    <w:bookmarkEnd w:id="91"/>
    <w:p>
      <w:pPr>
        <w:ind w:right="6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executive officers, directors and principal stockholders have the ability to control or significantly influence all matters submitted to our stockholders for approval.</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executive officers, directors and principal stockholders, in the aggregate, beneficially own approximately 65.8%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exposed to increased litigation, including stockholder litigation, which could have an adverse effect on our business and operations.</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be exposed to increased litigation from stockholders, customers, suppliers, consumers and other third parties due to the combination of Millendo’s business and Tempest’s business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also remain the subject of various securities class action lawsuits and shareholder derivative lawsuits that were filed against OvaScience and certain of its officer and directors, as described in more detail in Part II-Item 1 under the heading “Legal Proceedings” of our Quarterly Report on Form 10-Q for the quarter ended March 31, 2021.</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its stock price or trading volume to decline.</w:t>
      </w:r>
    </w:p>
    <w:p>
      <w:pPr>
        <w:sectPr>
          <w:pgSz w:w="11900" w:h="16838" w:orient="portrait"/>
          <w:cols w:equalWidth="0" w:num="1">
            <w:col w:w="10940"/>
          </w:cols>
          <w:pgMar w:left="440" w:top="274" w:right="519" w:bottom="1440" w:gutter="0" w:footer="0" w:header="0"/>
        </w:sectPr>
      </w:pPr>
    </w:p>
    <w:bookmarkStart w:id="92" w:name="page93"/>
    <w:bookmarkEnd w:id="92"/>
    <w:p>
      <w:pPr>
        <w:ind w:left="1008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TEMPEST MANAGEMENT’S DISCUSSION AND ANALYSIS OF FINANCIAL CONDITION AND 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unaudited Interim Financial Statements and the notes thereto included on the Current Report on Form 8-K/A filed with the Securities and Exchange Commission (“SEC”) on July 1, 2021. This discussion contains forward-looking statements that involve risks and uncertainties, such as its plans, objectives, expectations, intentions, and beliefs. Tempest’s actual results could differ materially from those discussed in these forward-looking statements. Factors that could cause or contribute to such differences include, but are not limited to, those identified in Exhibit 99.2 included on the Current Report on Form 8-K filed with the SEC on July 16,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Tempest is a clinical-stage oncology company focused on leveraging its deep scientific understanding of cancer biology and medicinal chemistry to develop and advance novel orally available therapies for the treatment of solid tumors. Tempest’s philosophy is to build a company based upon not only good ideas and creative science, but also upon the efficient translation of those ideas into therapies that will improve patient’s lives. To this end, Tempest is advancing TPST-1495 and TPST-1120, two product candidates in clinical trials that it believes are the first clinical 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Tempest’s second program, TPST-1120, is a selective antagonist of peroxisome proliferator-activated receptor alpha, or PPARα, and is also in a Phase 1 trial in solid tumors. Tempest expects to report initial data from both these programs in the second half of 2021. Additionally, Tempest is advancing a third program targeting the three prime repair exonuclease, or TREX-1, for which Tempest expects to select a development candidate by the end of 2021. Beyond these three ongoing programs, Tempest plans to leverage its drug development and company-building experience along with academic relationships to identify promising new targets that may feed new programs into Tempest’s pipeline.</w:t>
      </w:r>
    </w:p>
    <w:p>
      <w:pPr>
        <w:spacing w:after="0" w:line="17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Tempest has no products approved for commercial sale and has not generated any revenue from product sales. From inception to March 31, 2021, Tempest has raised $115 million, through sales of convertible preferred stock and issuance of debt.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Tempest has never been profitable and has incurred operating losses in each period since inception. Tempest’s net losses were $5.4 million and</w:t>
      </w:r>
    </w:p>
    <w:p>
      <w:pPr>
        <w:spacing w:after="0" w:line="3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$4.2 million for the three months period ended March 31, 2021 and 2020, respectively. As of March 31, 2021, Tempest had an accumulated deficit of $77.1 million. Substantially all of its operating losses resulted from expenses incurred in connection with its research and development programs and from general and administrative costs associated with its operations.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Tempest expects to incur significant expenses and increasing operating losses for at least the next several years as it initiates and continues the clinical development of, and seeks regulatory approval for, its product candidates and adds personnel necessary to advance its pipeline of clinical-stage product candidates. In addition, operating as a publicly traded company will involve the hiring of additional financial and other personnel, upgrading its financial information and other systems, and incurring substantial costs associated with operating as a public company. Tempest expects that its operating losses will fluctuate significantly from quarter to quarter and year to year due to timing of clinical development programs and efforts to achieve regulatory approval.</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March 31, 2021, Tempest had cash and cash equivalents of $27.4 million. Tempest’s ability to fund continued development will require additional capital, and Tempest intends to raise such capital through the issuance of additional debt or equity including in connection with potential merger opportunities, or through business development activities. The ability of Tempest to continue as a going concern is dependent upon its ability to successfully accomplish these plans and secure sources of financing and ultimately attain profitable operations. If Tempest is unable to obtain adequate capital, it could be forced to cease operations.</w:t>
      </w:r>
    </w:p>
    <w:p>
      <w:pPr>
        <w:sectPr>
          <w:pgSz w:w="11900" w:h="16838" w:orient="portrait"/>
          <w:cols w:equalWidth="0" w:num="1">
            <w:col w:w="11020"/>
          </w:cols>
          <w:pgMar w:left="440" w:top="121"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Oxford Loan and Security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January 15, 2021, Tempest entered into a loan and security agreement with Oxford Finance LLC (“Oxford”) to borrow a term loan amount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$35.0 million to be funded in three tranches. Tranche A of $15.0 million was funded to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And Tranche C of $10.0 million is available at Oxford’s option. The term loan matures on August 1, 2025 and has an annual floating interest rate of 7.15% which is an Index Rate plus 7.15% which is an index rate plus 7%. The index rate is the greater of (i) 30-day US LIBOR or (ii) 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11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March 29, 2021, Tempest entered into an Agreement and Plan of Merger (the “Merger Agreement”) with Millendo Therapeutics, Inc. 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w:t>
      </w:r>
    </w:p>
    <w:p>
      <w:pPr>
        <w:spacing w:after="0" w:line="1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June 25, 2021, Tempest closed the Merger Agreement with Millendo Therapeutics. Pursuant to the Merger Agreement, Mars Merger Corp. (or Merger Sub), a direct, wholly owned subsidiary of Millendo merged with and into Tempest, with Tempest surviving as a wholly owned subsidiary of Millendo. Before the closing of the merger, investors in the pre-closing financing purchased Tempest’s common stock totaling $30 million. Following the closing of the merger, Millendo changed its corporate name to Tempest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Research and development expenses represent costs incurred to conduct research and development, such as the development of Tempest’s product candidates. Tempest recognizes all research and development costs as they are incurred. Research and development expenses consist primarily of the following:</w:t>
      </w:r>
    </w:p>
    <w:p>
      <w:pPr>
        <w:spacing w:after="0" w:line="89" w:lineRule="exact"/>
        <w:rPr>
          <w:sz w:val="20"/>
          <w:szCs w:val="20"/>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salaries, benefits and stock-based compensation;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licensing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allocated occupancy;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materials and supplies;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contracted research and manufacturing;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consulting arrangements;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expenses incurred to advance Tempest’s research and development activities.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largest component of Tempest’s operating expenses has historically been the investment in research and development activities. Tempest expects research and development expenses will increase in the future as Tempest advances its product candidates into and through clinical trials and pursues regulatory approvals, which will require a significant investment in costs of clinical trials, regulatory support and contract manufacturing and inventory build-up. In addition, Tempest continues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Tempest may never succeed in timely developing and achieving regulatory approval for its product candidates. The probability of success of Tempest’s product candidates may be affected by numerous factors, including clinical data, competition, manufacturing capability and commercial viability. As a result, Tempest is unable to determine the duration and completion costs of Tempest’s development projects or when and to what extent Tempest will generate revenue from the commercialization and sale of any of its product candidates.</w:t>
      </w:r>
    </w:p>
    <w:p>
      <w:pPr>
        <w:sectPr>
          <w:pgSz w:w="11900" w:h="16838" w:orient="portrait"/>
          <w:cols w:equalWidth="0" w:num="1">
            <w:col w:w="11000"/>
          </w:cols>
          <w:pgMar w:left="440" w:top="274"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General and administrative expenses consist of employee-related expenses, including salaries, benefits, travel and noncash stock-based compensation, for the Tempest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Tempest expects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consists primarily of interest expense, interest income, and various income or expense items of a non-recurring nature.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three months period ended March 31, 2021 and 2020</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months</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w:t>
            </w:r>
          </w:p>
        </w:tc>
        <w:tc>
          <w:tcPr>
            <w:tcW w:w="4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920" w:type="dxa"/>
            <w:vAlign w:val="bottom"/>
            <w:gridSpan w:val="3"/>
          </w:tcPr>
          <w:p>
            <w:pPr>
              <w:jc w:val="right"/>
              <w:ind w:right="420"/>
              <w:spacing w:after="0"/>
              <w:rPr>
                <w:sz w:val="20"/>
                <w:szCs w:val="20"/>
                <w:color w:val="auto"/>
              </w:rPr>
            </w:pPr>
            <w:r>
              <w:rPr>
                <w:rFonts w:ascii="Arial" w:cs="Arial" w:eastAsia="Arial" w:hAnsi="Arial"/>
                <w:sz w:val="18"/>
                <w:szCs w:val="18"/>
                <w:color w:val="auto"/>
              </w:rPr>
              <w:t>$ 3,592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46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9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2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Tempest’s research and development expenses for the three months period ended March 31, 2021 and 2020 were primarily incurred in connection with Tempest’s most advanced product candidates, TPST-1120 and TPST-1495. Tempest has not historically tracked research and development expense by program other than direct external expenses in conducting clinical trials for TPST-1120 and TPST-1495. Tempest typically has various early-stage research and drug discovery projects, as well as various potential product candidates undergoing clinical trials. Tempest’s internal resources, employees and infrastructure are not directly tied to any one research and drug discovery project and Tempest’s resources are typically deployed across multiple projects. As such Tempest does not maintain information regarding these costs incurred for these early-stage research and drug discovery programs on a project specific basis.</w:t>
      </w:r>
    </w:p>
    <w:p>
      <w:pPr>
        <w:sectPr>
          <w:pgSz w:w="11900" w:h="16838" w:orient="portrait"/>
          <w:cols w:equalWidth="0" w:num="1">
            <w:col w:w="10940"/>
          </w:cols>
          <w:pgMar w:left="440" w:top="274" w:right="519" w:bottom="1440" w:gutter="0" w:footer="0" w:header="0"/>
        </w:sectPr>
      </w:pPr>
    </w:p>
    <w:bookmarkStart w:id="95" w:name="page96"/>
    <w:bookmarkEnd w:id="95"/>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 increased by $0.6 million to $3.6 million for the three months period ended March 31, 2021. The following table summarizes Tempest’s research and development expenses for the three months period ended March 31, 2021 and 2020:</w:t>
      </w:r>
    </w:p>
    <w:p>
      <w:pPr>
        <w:spacing w:after="0" w:line="165"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1520" w:type="dxa"/>
            <w:vAlign w:val="bottom"/>
            <w:gridSpan w:val="5"/>
          </w:tcPr>
          <w:p>
            <w:pPr>
              <w:jc w:val="right"/>
              <w:ind w:right="23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outside services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$ 2,113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Compensation expense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Consulting and professional services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$ 3,592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growth in total research and development expense of $0.6 million for the three months period ended March 31, 2021 was attributable to increased compensation expenses and increased clinical development expense for TPST-1120 and TPST-1495. These increases were partially offset by decreased research and support service fees paid to a certain clinical services firm.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General and administrative expenses increased by $0.3 million to $1.5 million for the three months period ended March 31, 2021. The increase was primarily due to growth in compensation related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three months period ended March 31, 2021, total interest expense was $231 related to the Oxford Loan. There was no interest expense for the three months period ended March 31, 2020. Interest income was $3 and $75 for the three months period ended March 31, 2021 and 2020,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inception through March 31, 2021, Tempest’s operations have been financed primarily by net cash proceeds from the sale of its convertible preferred stock and issuance of debt. As of March 31, 2021, Tempest had $27.4 million in cash and cash equivalents and an accumulated deficit of $77.1 million. Tempest expects that its research and development and general and administrative expenses will increase, and, as a result, Tempest anticipates that it will continue to incur increasing losses in the foreseeable future. Therefore, Tempest will need to raise additional capital to fund its operations, which may be through the issuance of additional equity or through borrowings, including in connection with the merger, or through business development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On January 15, 2021, Tempest entered into a loan and security agreement with Oxford Finance LLC (“Oxford”) to borrow a term loan amount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$35.0 million to be funded in three tranches. Tranche A of $15.0 million was funded to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And Tranche C of $10.0 million is available at Oxford’s option. The term loan matures on August 1, 2025 and has an annual floating interest rate of 7.15% which is an Index Rate plus 7.15% which is an index rate plus 7%. The index rate is the greater of (i) 30-day US LIBOR or (ii) 0.15%.</w:t>
      </w:r>
    </w:p>
    <w:p>
      <w:pPr>
        <w:spacing w:after="0" w:line="19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March 29, 2021, Tempest entered into an Agreement and Plan of Merger (the “Merger Agreement”) with Millendo Therapeutics, Inc. 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w:t>
      </w:r>
    </w:p>
    <w:p>
      <w:pPr>
        <w:sectPr>
          <w:pgSz w:w="11900" w:h="16838" w:orient="portrait"/>
          <w:cols w:equalWidth="0" w:num="1">
            <w:col w:w="11000"/>
          </w:cols>
          <w:pgMar w:left="440" w:top="274" w:right="459" w:bottom="1440" w:gutter="0" w:footer="0" w:header="0"/>
        </w:sectPr>
      </w:pPr>
    </w:p>
    <w:bookmarkStart w:id="96" w:name="page97"/>
    <w:bookmarkEnd w:id="96"/>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25, 2021, Tempest closed the Merger Agreement with Millendo Therapeutics. Pursuant to the Merger Agreement, Mars Merger Corp. (or Merger Sub), a direct, wholly owned subsidiary of Millendo merged with and into Tempest, with Tempest surviving as a wholly owned subsidiary of Millendo. Before the closing of the merger, investors in the pre-closing financing purchased Tempest’s common stock totaling $30 million. Following the closing of the merger, Millendo changed its corporate name to Tempest Therapeutics,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Tempest’s cash flows for the three months period indicated:</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w:t>
            </w:r>
          </w:p>
        </w:tc>
      </w:tr>
      <w:tr>
        <w:trPr>
          <w:trHeight w:val="149"/>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r>
      <w:tr>
        <w:trPr>
          <w:trHeight w:val="148"/>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March</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65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31,2021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19"/>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0"/>
                <w:szCs w:val="10"/>
                <w:color w:val="auto"/>
              </w:rPr>
            </w:pPr>
          </w:p>
        </w:tc>
      </w:tr>
      <w:tr>
        <w:trPr>
          <w:trHeight w:val="185"/>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thousands)</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(6,276)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14,910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34,558</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29,113</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Cash used in operating activities for the three months period ended March 31, 2021 was $6.3 million, consisting of a net loss of $5.4 million, add back of non-cash adjustments for depreciation, stock-based compensation, non-cash operating lease expense and other non-cash items totaling $0.3 million, less changes in operating assets and liabilities of $1.2 million.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used in operating activities for the three months period ended March 31, 2020 was $5.5 million consisting of a net loss of $4.2 million, add back of non-cash adjustments for depreciation, stock-based compensation, non-cash operating lease expense and other non-cash items totaling $0.2 million, less changes in operating assets and liabilities of $1.5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used in investing activities for the three months period ended March 31, 2021 was related to purchases of property and equipment, primarily related to office, laboratory and computer equipment. Cash provided by investing activities for the three months period ended March 31, 2020 was due to a repayment of a promissory note.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Cash provided by financing activities for the three months period ended March 31, 2021 was primarily related to proceeds from the Oxford Loan of $14.9 million (net of issuance costs). Cash provided by financing activities for the three months period ended March 31, 2020 was primarily related to proceeds from the issuance of Series B-1 preferred stock of $34.5 million (net of issuance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Tempest has not generated any revenue from product sales, and does not know when, or if, it will generate any revenue from product sales. Tempest does not expect to generate any revenue from product sales unless and until it obtains regulatory approval of and commercializes any of its product candidates. At the same time, Tempest expects its expenses to increase in connection with its ongoing development activities, particularly as Tempest continues the research, development and clinical trials of, and seeks regulatory approval for, its product candidates. In addition, subject to obtaining regulatory approval of any of its product candidates, Tempest anticipates that it will need substantial additional funding in connection with its continuing operations. Tempest plans to continue to fund its operations and capital requirements through equity financing, debt financing and/or business development activities, but there are no assurances that Tempest will be able to raise sufficient amounts of funding in the future on acceptable terms, or at all.</w:t>
      </w:r>
    </w:p>
    <w:p>
      <w:pPr>
        <w:sectPr>
          <w:pgSz w:w="11900" w:h="16838" w:orient="portrait"/>
          <w:cols w:equalWidth="0" w:num="1">
            <w:col w:w="11000"/>
          </w:cols>
          <w:pgMar w:left="440" w:top="274" w:right="45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January 15, 2021, Tempest entered into a loan and security agreement with Oxford Finance LLC (“Oxford”) to borrow a term loan amount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$35.0 million to be funded in three tranches. Tranche A of $15.0 million was funded to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And Tranche C of $10.0 million is available at Oxford’s option. The term loan matures on August 1, 2025 and has an annual floating interest rate of 7.15% which is an Index Rate plus 7.15% which is an index rate plus 7%. The index rate is the greater of (i) 30-day US LIBOR or (ii) 0.15%.</w:t>
      </w:r>
    </w:p>
    <w:p>
      <w:pPr>
        <w:spacing w:after="0" w:line="19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March 29, 2021, Tempest entered into an Agreement and Plan of Merger (the “Merger Agreement”) with Millendo Therapeutics, Inc. 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w:t>
      </w:r>
    </w:p>
    <w:p>
      <w:pPr>
        <w:spacing w:after="0" w:line="1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June 25, 2021, Tempest closed the Merger Agreement with Millendo Therapeutics. Pursuant to the Merger Agreement, Mars Merger Corp. (or Merger Sub), a direct, wholly owned subsidiary of Millendo merged with and into Tempest, with Tempest surviving as a wholly owned subsidiary of Millendo. Before the closing of the merger, investors in the pre-closing financing purchased Tempest’s common stock totaling $30 million. Following the closing of the merger, Millendo changed its corporate name to Tempest Therapeutics, Inc.</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Until Tempest can generate a sufficient amount of product revenue to finance its cash requirements, it expects to finance its future cash needs primarily through the issuance of additional equity, borrowings and strategic alliances with partner companies. To the extent that Tempest raises additional capital through the issuance of additional equity or convertible debt securities, the ownership interest of Tempest’s stockholders will be diluted, and the terms of these securities may include liquidation or other preferences that adversely affect the rights of existing stockholders. Debt financing, if available, may involve agreements that include covenants limiting or restricting Tempest’s ability to take specific actions, such as incurring additional debt, making capital expenditures or declaring dividends. If Tempest raises additional funds through marketing and distribution arrangements or other collaborations, strategic alliances or licensing arrangements with third parties, Tempest may have to relinquish valuable rights to its technologies, future revenue streams, research programs or product candidates or grant licenses on terms that may not be favorable to Tempest. If Tempest is unable to raise additional funds through equity or debt financings when needed, Tempest may be required to delay, limit, reduce or terminate its product development or commercialization efforts or grant rights to develop and market product candidates to third parties that Tempest would otherwise prefer to develop and market itself.</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Tempest enters into contracts in the normal course of business with various third parties for preclinical research studies, clinical trials, testing and other services. These contracts generally provide for termination upon notice, and therefore Tempest believes that its non-cancelable obligations under these agreements are not material.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Tempest has not entered into any off-balance sheet arrangements and does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Tempest is exposed to market risks in the ordinary course of its business. These risks primarily include interest rate fluctuation. As of March 31, 2021, and December 31, 2020, Tempest had cash and cash equivalents of approximately $27.4 million and $18.8 million, respectively, which consisted primarily of bank deposit and money market funds. Such interest-earning instruments carry a degree of interest rate risk; however, historical fluctuations of interest income have not been significant.</w:t>
      </w:r>
    </w:p>
    <w:p>
      <w:pPr>
        <w:sectPr>
          <w:pgSz w:w="11900" w:h="16838" w:orient="portrait"/>
          <w:cols w:equalWidth="0" w:num="1">
            <w:col w:w="11000"/>
          </w:cols>
          <w:pgMar w:left="440" w:top="274"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Critical Accounting Polices and Estimates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Tempest’s management’s discussion and analysis of financial condition and results of operations is based on its financial statements, which have been prepared in accordance with U.S. GAAP. The preparation of these financial statements requires Tempest to make estimates and judgments that affect the reported amounts of assets, liabilities and expenses. On an ongoing basis, Tempest evaluates these estimates and judgments. Tempest bases its estimates on historical experience and on various assumptions that Tempest believes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Tempest believes that the accounting policies discussed below are critical to understanding its historical and future performance, as these policies relate to the more significant areas involving management’s judgments and estimates.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Tempest records accrued expenses for estimated costs of its research and development activities conducted by third-party service providers, which include the conduct of preclinical studies and clinical trials and contract manufacturing activities. Tempest records the estimated costs of research and development activities based upon the estimated amount of services provided but not yet invoiced, and Tempest includes these costs in accrued liabilities in the balance sheets and within research and development expense in the statement of operations. These costs are a significant component of Tempest’s research and development expense. Tempest records accrued expenses for these costs based on the estimated amount of work completed and in accordance with agreements established with these third parties.</w:t>
      </w:r>
    </w:p>
    <w:p>
      <w:pPr>
        <w:spacing w:after="0" w:line="17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Tempest estimates the amount of work completed through discussions with internal personnel and external service providers as to the progress or stage of completion of the services and the agreed-upon fee to be paid for such services. Tempest makes significant judgments and estimates in determining the accrued balance in each reporting period. As actual costs become known, Tempest adjusts its accrued estimates. Although Tempest does not expect its estimates to be materially different from amounts actually incurred, Tempest’s understanding of the status and timing of services performed, the number of patients enrolled and the rate of patient enrollment may vary from its estimates and could result in Tempest reporting amounts that are too high or too low in any particular period. Tempest’s accrued expenses are dependent, in part, upon the receipt of timely and accurate reporting from clinical research organizations and other third-party service providers.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values of the shares of common stock underlying the share-based awards were estimated on each grant date by the board of directors. Tempest used the option-pricing method (OPM). Under the OPM, shares are valued by creating a series of call options with exercise prices based on the liquidation preferences and conversion terms of each equity class. The estimated fair values of the preferred and common stock are inferred by analyzing these options. Tempest applied a discount for lack of marketability to account for a lack of access to an active public market.</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Application of this approach involves the use of estimates, judgment, and assumptions that are complex and subjective, such as those regarding the expected future revenue, expenses, and cash flows, discount rates, market multiples, the selection of comparable companies, and the probability of future events. Changes in any or all of these estimates and assumptions, or the relationships between those assumptions, impact the valuation and may have a material impact on the valuation of common stock which is the key input into the calculation of stock-based compensation.</w:t>
      </w:r>
    </w:p>
    <w:p>
      <w:pPr>
        <w:sectPr>
          <w:pgSz w:w="11900" w:h="16838" w:orient="portrait"/>
          <w:cols w:equalWidth="0" w:num="1">
            <w:col w:w="11020"/>
          </w:cols>
          <w:pgMar w:left="440" w:top="270"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Stock-based Compensation</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Tempest recognizes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 estimate for future forfeitures.</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determining the fair value of stock options, Tempest uses the Black-Scholes option-pricing model and assumptions discussed below. Each of these inputs is subjective and generally requires significant judgment to determine.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shares of common stock underlying stock options has historically been determined by Tempest’s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Because there has been no public market for its common stock, the board of directors exercises reasonable judgment and considers a number of objective and subjective factors to determine the best estimate of the fair value of Tempest’s common stock, including important developments in its operations, sales of redeemable convertible preferred stock, actual operating results and financial performance, the conditions in the life sciences industry and the economy in general, the stock price performance and volatility of comparable public companies, and the lack of liquidity of its common stock, among other factors.</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—Tempest’s expected term represents the period that the stock-based awards are expected to be outstanding and is determined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(based on the mid-point between the vesting date and the end of the contractual term) for employee options.</w:t>
      </w:r>
    </w:p>
    <w:p>
      <w:pPr>
        <w:spacing w:after="0" w:line="14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Tempest is privately held and does not have any trading history for its common stock, the expected volatility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average volatility for comparable publicly traded biotechnology companies over a period equal to the expected term of the stock option grants. The comparable companies were chosen based on their similar size, or stage in the product development life cycle.</w:t>
      </w:r>
    </w:p>
    <w:p>
      <w:pPr>
        <w:spacing w:after="0" w:line="16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—Tempest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Tempest uses an expected dividend yield of zero.</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three months period ended March 31, 2021 and 2020, stock-based compensation expense was $120 thousand and $3 thousand, respectively. Of the amount of $120 thousand in stock-based compensation expense, $77 thousand was recorded in research and development and $43 thousand was recorded in general and administrative for the three months period ended March 31, 2021. Of the amount of $3 thousand in stock-based compensation expense, $55 thousand was recorded in research and development and a credit of $52 thousand was recorded in general and administrative for the three months period ended March 31, 2020.</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2021, Tempest had $1.2 million of total unrecognized stock-based compensation costs, net of estimated forfeitures, which it expects to recognize over a weighted-average period of 1.5 years.</w:t>
      </w:r>
    </w:p>
    <w:p>
      <w:pPr>
        <w:sectPr>
          <w:pgSz w:w="11900" w:h="16838" w:orient="portrait"/>
          <w:cols w:equalWidth="0" w:num="1">
            <w:col w:w="10920"/>
          </w:cols>
          <w:pgMar w:left="440" w:top="274" w:right="5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Exhibit 99.4</w:t>
            </w:r>
          </w:p>
        </w:tc>
      </w:tr>
      <w:tr>
        <w:trPr>
          <w:trHeight w:val="432"/>
        </w:trPr>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40" w:type="dxa"/>
            <w:vAlign w:val="bottom"/>
            <w:gridSpan w:val="3"/>
          </w:tcPr>
          <w:p>
            <w:pPr>
              <w:ind w:left="1400"/>
              <w:spacing w:after="0"/>
              <w:rPr>
                <w:sz w:val="20"/>
                <w:szCs w:val="20"/>
                <w:color w:val="auto"/>
              </w:rPr>
            </w:pPr>
            <w:r>
              <w:rPr>
                <w:rFonts w:ascii="Arial" w:cs="Arial" w:eastAsia="Arial" w:hAnsi="Arial"/>
                <w:sz w:val="18"/>
                <w:szCs w:val="18"/>
                <w:b w:val="1"/>
                <w:bCs w:val="1"/>
                <w:color w:val="auto"/>
              </w:rPr>
              <w:t>INDEX TO FINANCIAL STATEMENTS</w:t>
            </w:r>
          </w:p>
        </w:tc>
        <w:tc>
          <w:tcPr>
            <w:tcW w:w="2080" w:type="dxa"/>
            <w:vAlign w:val="bottom"/>
          </w:tcPr>
          <w:p>
            <w:pPr>
              <w:spacing w:after="0"/>
              <w:rPr>
                <w:sz w:val="24"/>
                <w:szCs w:val="24"/>
                <w:color w:val="auto"/>
              </w:rPr>
            </w:pPr>
          </w:p>
        </w:tc>
      </w:tr>
      <w:tr>
        <w:trPr>
          <w:trHeight w:val="338"/>
        </w:trPr>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40" w:type="dxa"/>
            <w:vAlign w:val="bottom"/>
            <w:gridSpan w:val="3"/>
          </w:tcPr>
          <w:p>
            <w:pPr>
              <w:ind w:left="1460"/>
              <w:spacing w:after="0"/>
              <w:rPr>
                <w:sz w:val="20"/>
                <w:szCs w:val="20"/>
                <w:color w:val="auto"/>
              </w:rPr>
            </w:pPr>
            <w:r>
              <w:rPr>
                <w:rFonts w:ascii="Arial" w:cs="Arial" w:eastAsia="Arial" w:hAnsi="Arial"/>
                <w:sz w:val="18"/>
                <w:szCs w:val="18"/>
                <w:b w:val="1"/>
                <w:bCs w:val="1"/>
                <w:color w:val="auto"/>
              </w:rPr>
              <w:t>TEMPEST THERAPEUTICS, INC.</w:t>
            </w:r>
          </w:p>
        </w:tc>
        <w:tc>
          <w:tcPr>
            <w:tcW w:w="2080" w:type="dxa"/>
            <w:vAlign w:val="bottom"/>
          </w:tcPr>
          <w:p>
            <w:pPr>
              <w:spacing w:after="0"/>
              <w:rPr>
                <w:sz w:val="24"/>
                <w:szCs w:val="24"/>
                <w:color w:val="auto"/>
              </w:rPr>
            </w:pPr>
          </w:p>
        </w:tc>
      </w:tr>
      <w:tr>
        <w:trPr>
          <w:trHeight w:val="283"/>
        </w:trPr>
        <w:tc>
          <w:tcPr>
            <w:tcW w:w="58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REPORT OF INDEPENDENT REGISTERED PUBLIC ACCOUNTING FIRM</w:t>
              </w:r>
            </w:hyperlink>
          </w:p>
        </w:tc>
        <w:tc>
          <w:tcPr>
            <w:tcW w:w="31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4"/>
        </w:trPr>
        <w:tc>
          <w:tcPr>
            <w:tcW w:w="8940" w:type="dxa"/>
            <w:vAlign w:val="bottom"/>
            <w:gridSpan w:val="8"/>
          </w:tcPr>
          <w:p>
            <w:pPr>
              <w:spacing w:after="0"/>
              <w:rPr>
                <w:sz w:val="20"/>
                <w:szCs w:val="20"/>
                <w:color w:val="auto"/>
              </w:rPr>
            </w:pPr>
            <w:r>
              <w:rPr>
                <w:rFonts w:ascii="Arial" w:cs="Arial" w:eastAsia="Arial" w:hAnsi="Arial"/>
                <w:sz w:val="18"/>
                <w:szCs w:val="18"/>
                <w:color w:val="auto"/>
              </w:rPr>
              <w:t>FINANCIAL STATEMENTS AS OF AND FOR THE YEARS ENDED DECEMBER 31, 2020 AND 2019:</w:t>
            </w:r>
          </w:p>
        </w:tc>
        <w:tc>
          <w:tcPr>
            <w:tcW w:w="20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85"/>
              </w:rPr>
            </w:pPr>
            <w:hyperlink w:anchor="page105">
              <w:r>
                <w:rPr>
                  <w:rFonts w:ascii="Arial" w:cs="Arial" w:eastAsia="Arial" w:hAnsi="Arial"/>
                  <w:sz w:val="18"/>
                  <w:szCs w:val="18"/>
                  <w:color w:val="0000EE"/>
                  <w:w w:val="85"/>
                </w:rPr>
                <w:t>Balance Sheets</w:t>
              </w:r>
            </w:hyperlink>
          </w:p>
        </w:tc>
        <w:tc>
          <w:tcPr>
            <w:tcW w:w="748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60" w:type="dxa"/>
            <w:vAlign w:val="bottom"/>
          </w:tcPr>
          <w:p>
            <w:pPr>
              <w:spacing w:after="0"/>
              <w:rPr>
                <w:sz w:val="24"/>
                <w:szCs w:val="24"/>
                <w:color w:val="auto"/>
              </w:rPr>
            </w:pPr>
          </w:p>
        </w:tc>
        <w:tc>
          <w:tcPr>
            <w:tcW w:w="18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Statements of Operations</w:t>
              </w:r>
            </w:hyperlink>
          </w:p>
        </w:tc>
        <w:tc>
          <w:tcPr>
            <w:tcW w:w="67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60" w:type="dxa"/>
            <w:vAlign w:val="bottom"/>
          </w:tcPr>
          <w:p>
            <w:pPr>
              <w:spacing w:after="0"/>
              <w:rPr>
                <w:sz w:val="24"/>
                <w:szCs w:val="24"/>
                <w:color w:val="auto"/>
              </w:rPr>
            </w:pPr>
          </w:p>
        </w:tc>
        <w:tc>
          <w:tcPr>
            <w:tcW w:w="49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Statements of Convertible Preferred Stock and Stockholders’ Deficit</w:t>
              </w:r>
            </w:hyperlink>
          </w:p>
        </w:tc>
        <w:tc>
          <w:tcPr>
            <w:tcW w:w="364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60" w:type="dxa"/>
            <w:vAlign w:val="bottom"/>
          </w:tcPr>
          <w:p>
            <w:pPr>
              <w:spacing w:after="0"/>
              <w:rPr>
                <w:sz w:val="24"/>
                <w:szCs w:val="24"/>
                <w:color w:val="auto"/>
              </w:rPr>
            </w:pPr>
          </w:p>
        </w:tc>
        <w:tc>
          <w:tcPr>
            <w:tcW w:w="18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Statements of Cash Flows</w:t>
              </w:r>
            </w:hyperlink>
          </w:p>
        </w:tc>
        <w:tc>
          <w:tcPr>
            <w:tcW w:w="670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360" w:type="dxa"/>
            <w:vAlign w:val="bottom"/>
          </w:tcPr>
          <w:p>
            <w:pPr>
              <w:spacing w:after="0"/>
              <w:rPr>
                <w:sz w:val="24"/>
                <w:szCs w:val="24"/>
                <w:color w:val="auto"/>
              </w:rPr>
            </w:pPr>
          </w:p>
        </w:tc>
        <w:tc>
          <w:tcPr>
            <w:tcW w:w="8580" w:type="dxa"/>
            <w:vAlign w:val="bottom"/>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Notes to Financial Statements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020"/>
          </w:cols>
          <w:pgMar w:left="440" w:top="121" w:right="439" w:bottom="1440" w:gutter="0" w:footer="0" w:header="0"/>
        </w:sectPr>
      </w:pPr>
    </w:p>
    <w:bookmarkStart w:id="101" w:name="page102"/>
    <w:bookmarkEnd w:id="101"/>
    <w:p>
      <w:pPr>
        <w:ind w:left="4" w:right="4820"/>
        <w:spacing w:after="0" w:line="40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To the shareholders and the Board of Directors of Tempest Therapeutics Inc.</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We have audited the accompanying balance sheets of Tempest Therapeutics Inc. (the “Company”) as of December 31, 2020 and 2019, the related statements of operations,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 has incurred losses since inception and has forecasted cash needs in excess of current liquidity,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4"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4" w:right="40" w:hanging="4"/>
        <w:spacing w:after="0" w:line="255"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02" w:name="page103"/>
    <w:bookmarkEnd w:id="102"/>
    <w:p>
      <w:pPr>
        <w:ind w:right="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Expenses, Accrued Clinical Trial Liability, and Prepaid Research and Development Costs -Refer to Note 2 and Note 5 to the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recognizes research and development expenses as incurred. Advance payments for future research and development activities are deferred and expensed as the goods are delivered or the related services are performed. The Company recognizes its preclinical studies and clinical trial expenses based on the services performed pursuant to contracts with research institutions and clinical research organizations (collectively, “CRO”) that conduct and manage preclinical studies and clinical trials on the Company’s behalf. Service fees are accrued based on the Company’s estimates of the time period over which services will be performed and the level of effort to be expended in each period. Total research and development expenses for the year ended December 31, 2020 was $14.4 million. Prepaid research and development costs as of December 31, 2020 was $0.4 million and the accrued clinical trial liability as of December 31, 2020 was $0.2 million.</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each balance sheet date, the Company estimates prepaid research and development costs and the accrued clinical trial liability by obtaining reporting from CROs, discussing progress or stage of completion of services with internal personnel and external service providers, and comparing this information to payments made, invoices received, and the agreed-upon fee to be paid for such services in the applicable contract, statements of work, or purchase orders. The estimate of the amount of work completed is primarily based on the status and timing of services performed, the number of patients enrolled, and the rate of patient enrollment.</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identified research and development expenses, accrued clinical trial liability, and prepaid research and development costs as a critical audit matter given the estimation involved in accounting for research and development expenses, accrued clinical trial liability, and prepaid research and development costs, as well as the material weaknesses identified by the Company in its internal controls over financial reporting. This required extensive audit effort related to the estimation of research and development expenses, accrued clinical trial liability and prepaid research and development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audit procedures related to research and development expenses, accrued clinical trial liability and prepaid research and development costs included the following, among others:</w:t>
      </w:r>
    </w:p>
    <w:p>
      <w:pPr>
        <w:spacing w:after="0" w:line="76" w:lineRule="exact"/>
        <w:rPr>
          <w:sz w:val="20"/>
          <w:szCs w:val="20"/>
          <w:color w:val="auto"/>
        </w:rPr>
      </w:pPr>
    </w:p>
    <w:p>
      <w:pPr>
        <w:ind w:left="960" w:right="120" w:hanging="424"/>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selected a sample of amounts recognized as research and development expense, the accrued clinical trial liability and prepaid research development expenses and performed the following procedures for each item selected:</w:t>
      </w:r>
    </w:p>
    <w:p>
      <w:pPr>
        <w:spacing w:after="0" w:line="75" w:lineRule="exact"/>
        <w:rPr>
          <w:rFonts w:ascii="Arial" w:cs="Arial" w:eastAsia="Arial" w:hAnsi="Arial"/>
          <w:sz w:val="18"/>
          <w:szCs w:val="18"/>
          <w:color w:val="auto"/>
        </w:rPr>
      </w:pPr>
    </w:p>
    <w:p>
      <w:pPr>
        <w:ind w:left="1420" w:right="240" w:hanging="331"/>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obtained and read related master service agreements, statements of work, purchase orders or other supporting agreements with the CRO.</w:t>
      </w:r>
    </w:p>
    <w:p>
      <w:pPr>
        <w:spacing w:after="0" w:line="75" w:lineRule="exact"/>
        <w:rPr>
          <w:rFonts w:ascii="Arial" w:cs="Arial" w:eastAsia="Arial" w:hAnsi="Arial"/>
          <w:sz w:val="18"/>
          <w:szCs w:val="18"/>
          <w:color w:val="auto"/>
        </w:rPr>
      </w:pPr>
    </w:p>
    <w:p>
      <w:pPr>
        <w:ind w:left="1420" w:right="280" w:hanging="331"/>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performed corroborating inquiries with Company’s clinical operations personnel responsible for the oversight of the activities regarding the nature and status of work performed.</w:t>
      </w:r>
    </w:p>
    <w:p>
      <w:pPr>
        <w:spacing w:after="0" w:line="75" w:lineRule="exact"/>
        <w:rPr>
          <w:rFonts w:ascii="Arial" w:cs="Arial" w:eastAsia="Arial" w:hAnsi="Arial"/>
          <w:sz w:val="18"/>
          <w:szCs w:val="18"/>
          <w:color w:val="auto"/>
        </w:rPr>
      </w:pPr>
    </w:p>
    <w:p>
      <w:pPr>
        <w:ind w:left="1420" w:hanging="331"/>
        <w:spacing w:after="0" w:line="308" w:lineRule="auto"/>
        <w:tabs>
          <w:tab w:leader="none" w:pos="1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We inspected evidence from the third-party vendor regarding the payments made and the status and timing of services performed, the number of patients enrolled, and the rate of patient enrollment incurred to date as well as payment information.</w:t>
      </w:r>
    </w:p>
    <w:p>
      <w:pPr>
        <w:spacing w:after="0" w:line="51" w:lineRule="exact"/>
        <w:rPr>
          <w:rFonts w:ascii="Arial" w:cs="Arial" w:eastAsia="Arial" w:hAnsi="Arial"/>
          <w:sz w:val="17"/>
          <w:szCs w:val="17"/>
          <w:color w:val="auto"/>
        </w:rPr>
      </w:pPr>
    </w:p>
    <w:p>
      <w:pPr>
        <w:ind w:left="1420" w:right="300" w:hanging="331"/>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compared the data and evidence obtained from internal and external sources to the inputs used in the Company’s analysis and recalculated the related research and development expense, prepaid research and development expense, and the accrued clinical liability balances.</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w:t>
      </w:r>
    </w:p>
    <w:p>
      <w:pPr>
        <w:spacing w:after="0" w:line="130" w:lineRule="exact"/>
        <w:rPr>
          <w:rFonts w:ascii="Arial" w:cs="Arial" w:eastAsia="Arial" w:hAnsi="Arial"/>
          <w:sz w:val="18"/>
          <w:szCs w:val="18"/>
          <w:color w:val="auto"/>
        </w:rPr>
      </w:pPr>
    </w:p>
    <w:p>
      <w:pPr>
        <w:ind w:left="1420" w:right="180" w:hanging="331"/>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evaluated management’s judgments regarding status and timing of services performed, the number of patients enrolled, and the rate of patient enrollment compared to the evidence obtained.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3" w:name="page104"/>
    <w:bookmarkEnd w:id="103"/>
    <w:p>
      <w:pPr>
        <w:ind w:left="960" w:right="320" w:hanging="424"/>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examined a selection of subsequent payments and the related invoices to determine whether the related research and development expenses were appropriately recorded.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material weaknesses, we increased the number of selections we would have otherwise made if the Company’s controls were effective.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39"/>
        </w:trPr>
        <w:tc>
          <w:tcPr>
            <w:tcW w:w="9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18,820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r>
      <w:tr>
        <w:trPr>
          <w:trHeight w:val="61"/>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90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r>
      <w:tr>
        <w:trPr>
          <w:trHeight w:val="54"/>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61"/>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3,804</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90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22,863</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7,567</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option exercise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90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3,628</w:t>
            </w:r>
          </w:p>
        </w:tc>
      </w:tr>
      <w:tr>
        <w:trPr>
          <w:trHeight w:val="54"/>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2,331</w:t>
            </w:r>
          </w:p>
        </w:tc>
      </w:tr>
      <w:tr>
        <w:trPr>
          <w:trHeight w:val="61"/>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5,959</w:t>
            </w:r>
          </w:p>
        </w:tc>
      </w:tr>
      <w:tr>
        <w:trPr>
          <w:trHeight w:val="277"/>
        </w:trPr>
        <w:tc>
          <w:tcPr>
            <w:tcW w:w="90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54"/>
        </w:trPr>
        <w:tc>
          <w:tcPr>
            <w:tcW w:w="9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2"/>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PREFERRED STOCK, $0.001 PAR VALUE, 135,936,731 AND 147,231,000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2020 AND 2019, RESPECTIVELY; 114,686,731 and 70,936,735 SHARES ISSUED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 AND 2019, RESPECTIVELY, LIQUIDATION PREFERENCE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$100,186,732 and $65,186,736 AT DECEMBER 31, 2020 AND 2019,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86,707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51,972</w:t>
            </w:r>
          </w:p>
        </w:tc>
      </w:tr>
      <w:tr>
        <w:trPr>
          <w:trHeight w:val="277"/>
        </w:trPr>
        <w:tc>
          <w:tcPr>
            <w:tcW w:w="90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9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$0.001 par value; 196,000,000 and 185,007,408 shares authorized; 16,374,711 and 15,939,555 issued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w:t>
            </w:r>
          </w:p>
        </w:tc>
      </w:tr>
      <w:tr>
        <w:trPr>
          <w:trHeight w:val="230"/>
        </w:trPr>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and outstanding, 900,509 and 3,193,307 subject to repurchase at December 31, 2020 and 2019,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(71,761)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(52,553)</w:t>
            </w:r>
          </w:p>
        </w:tc>
      </w:tr>
      <w:tr>
        <w:trPr>
          <w:trHeight w:val="61"/>
        </w:trPr>
        <w:tc>
          <w:tcPr>
            <w:tcW w:w="9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(68,793)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(50,364)</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904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22,863</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7,567</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14,389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19,298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23,374</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(23,374)</w:t>
            </w:r>
          </w:p>
        </w:tc>
        <w:tc>
          <w:tcPr>
            <w:tcW w:w="0" w:type="dxa"/>
            <w:vAlign w:val="bottom"/>
          </w:tcPr>
          <w:p>
            <w:pPr>
              <w:spacing w:after="0"/>
              <w:rPr>
                <w:sz w:val="1"/>
                <w:szCs w:val="1"/>
                <w:color w:val="auto"/>
              </w:rPr>
            </w:pPr>
          </w:p>
        </w:tc>
      </w:tr>
      <w:tr>
        <w:trPr>
          <w:trHeight w:val="331"/>
        </w:trPr>
        <w:tc>
          <w:tcPr>
            <w:tcW w:w="84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14,539,178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12,578,207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117" w:lineRule="exact"/>
        <w:rPr>
          <w:sz w:val="20"/>
          <w:szCs w:val="20"/>
          <w:color w:val="auto"/>
        </w:rPr>
      </w:pPr>
    </w:p>
    <w:p>
      <w:pPr>
        <w:ind w:right="3500"/>
        <w:spacing w:after="0" w:line="266" w:lineRule="auto"/>
        <w:rPr>
          <w:sz w:val="20"/>
          <w:szCs w:val="20"/>
          <w:color w:val="auto"/>
        </w:rPr>
      </w:pPr>
      <w:r>
        <w:rPr>
          <w:rFonts w:ascii="Arial" w:cs="Arial" w:eastAsia="Arial" w:hAnsi="Arial"/>
          <w:sz w:val="18"/>
          <w:szCs w:val="18"/>
          <w:b w:val="1"/>
          <w:bCs w:val="1"/>
          <w:color w:val="auto"/>
        </w:rPr>
        <w:t>STATEMENTS OF CONVERTIBLE PREFERRED STOCK AND STOCKHOLDERS’ DEFICIT FOR THE YEARS ENDED DECEMBER 31, 2020 AND 2019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Series A Convertible</w:t>
            </w:r>
          </w:p>
        </w:tc>
        <w:tc>
          <w:tcPr>
            <w:tcW w:w="1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Series B Convertible</w:t>
            </w:r>
          </w:p>
        </w:tc>
        <w:tc>
          <w:tcPr>
            <w:tcW w:w="10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Series B1 Convertible</w:t>
            </w:r>
          </w:p>
        </w:tc>
        <w:tc>
          <w:tcPr>
            <w:tcW w:w="100" w:type="dxa"/>
            <w:vAlign w:val="bottom"/>
          </w:tcPr>
          <w:p>
            <w:pPr>
              <w:spacing w:after="0"/>
              <w:rPr>
                <w:sz w:val="14"/>
                <w:szCs w:val="14"/>
                <w:color w:val="auto"/>
              </w:rPr>
            </w:pPr>
          </w:p>
        </w:tc>
        <w:tc>
          <w:tcPr>
            <w:tcW w:w="15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5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Preferred Stock</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14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line="20" w:lineRule="exact"/>
              <w:rPr>
                <w:sz w:val="1"/>
                <w:szCs w:val="1"/>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continue"/>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9"/>
              </w:rPr>
              <w:t>BALANCE—January 1, 2019</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17,000,000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$ 16,982</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25,186,738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$ 12,235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9,935,448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(38,188)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(36,684)</w:t>
            </w:r>
          </w:p>
        </w:tc>
        <w:tc>
          <w:tcPr>
            <w:tcW w:w="0" w:type="dxa"/>
            <w:vAlign w:val="bottom"/>
          </w:tcPr>
          <w:p>
            <w:pPr>
              <w:spacing w:after="0"/>
              <w:rPr>
                <w:sz w:val="1"/>
                <w:szCs w:val="1"/>
                <w:color w:val="auto"/>
              </w:rPr>
            </w:pPr>
          </w:p>
        </w:tc>
      </w:tr>
      <w:tr>
        <w:trPr>
          <w:trHeight w:val="301"/>
        </w:trPr>
        <w:tc>
          <w:tcPr>
            <w:tcW w:w="2060" w:type="dxa"/>
            <w:vAlign w:val="bottom"/>
          </w:tcPr>
          <w:p>
            <w:pPr>
              <w:ind w:left="320"/>
              <w:spacing w:after="0"/>
              <w:rPr>
                <w:sz w:val="20"/>
                <w:szCs w:val="20"/>
                <w:color w:val="auto"/>
              </w:rPr>
            </w:pPr>
            <w:r>
              <w:rPr>
                <w:rFonts w:ascii="Arial" w:cs="Arial" w:eastAsia="Arial" w:hAnsi="Arial"/>
                <w:sz w:val="16"/>
                <w:szCs w:val="16"/>
                <w:color w:val="auto"/>
                <w:w w:val="99"/>
              </w:rPr>
              <w:t>Exercise of options—net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480"/>
              <w:spacing w:after="0"/>
              <w:rPr>
                <w:sz w:val="20"/>
                <w:szCs w:val="20"/>
                <w:color w:val="auto"/>
              </w:rPr>
            </w:pPr>
            <w:r>
              <w:rPr>
                <w:rFonts w:ascii="Arial" w:cs="Arial" w:eastAsia="Arial" w:hAnsi="Arial"/>
                <w:sz w:val="16"/>
                <w:szCs w:val="16"/>
                <w:color w:val="auto"/>
              </w:rPr>
              <w:t>of repurchase liability</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288,693</w:t>
            </w:r>
          </w:p>
        </w:tc>
        <w:tc>
          <w:tcPr>
            <w:tcW w:w="18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preferred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for cash—net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5"/>
              </w:rPr>
              <w:t>issuance costs of $245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28,749,997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22,755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1"/>
        </w:trPr>
        <w:tc>
          <w:tcPr>
            <w:tcW w:w="2060" w:type="dxa"/>
            <w:vAlign w:val="bottom"/>
          </w:tcPr>
          <w:p>
            <w:pPr>
              <w:ind w:left="320"/>
              <w:spacing w:after="0"/>
              <w:rPr>
                <w:sz w:val="20"/>
                <w:szCs w:val="20"/>
                <w:color w:val="auto"/>
              </w:rPr>
            </w:pPr>
            <w:r>
              <w:rPr>
                <w:rFonts w:ascii="Arial" w:cs="Arial" w:eastAsia="Arial" w:hAnsi="Arial"/>
                <w:sz w:val="16"/>
                <w:szCs w:val="16"/>
                <w:color w:val="auto"/>
              </w:rPr>
              <w:t>Vesting of early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480"/>
              <w:spacing w:after="0"/>
              <w:rPr>
                <w:sz w:val="20"/>
                <w:szCs w:val="20"/>
                <w:color w:val="auto"/>
              </w:rPr>
            </w:pPr>
            <w:r>
              <w:rPr>
                <w:rFonts w:ascii="Arial" w:cs="Arial" w:eastAsia="Arial" w:hAnsi="Arial"/>
                <w:sz w:val="16"/>
                <w:szCs w:val="16"/>
                <w:color w:val="auto"/>
                <w:w w:val="93"/>
              </w:rPr>
              <w:t>exercised stock options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480"/>
              <w:spacing w:after="0"/>
              <w:rPr>
                <w:sz w:val="20"/>
                <w:szCs w:val="20"/>
                <w:color w:val="auto"/>
              </w:rPr>
            </w:pPr>
            <w:r>
              <w:rPr>
                <w:rFonts w:ascii="Arial" w:cs="Arial" w:eastAsia="Arial" w:hAnsi="Arial"/>
                <w:sz w:val="16"/>
                <w:szCs w:val="16"/>
                <w:color w:val="auto"/>
              </w:rPr>
              <w:t>and restricted stock</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2,522,107</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compensation</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16"/>
                <w:szCs w:val="16"/>
                <w:color w:val="auto"/>
              </w:rPr>
              <w:t>(14,365)</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(14,365)</w:t>
            </w: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BALANCE—December 31,</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17,000,000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16,982</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25,186,738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12,235</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28,749,997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22,755</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12,746,248</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(52,553)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(50,364)</w:t>
            </w:r>
          </w:p>
        </w:tc>
        <w:tc>
          <w:tcPr>
            <w:tcW w:w="0" w:type="dxa"/>
            <w:vAlign w:val="bottom"/>
          </w:tcPr>
          <w:p>
            <w:pPr>
              <w:spacing w:after="0"/>
              <w:rPr>
                <w:sz w:val="1"/>
                <w:szCs w:val="1"/>
                <w:color w:val="auto"/>
              </w:rPr>
            </w:pPr>
          </w:p>
        </w:tc>
      </w:tr>
      <w:tr>
        <w:trPr>
          <w:trHeight w:val="301"/>
        </w:trPr>
        <w:tc>
          <w:tcPr>
            <w:tcW w:w="2060" w:type="dxa"/>
            <w:vAlign w:val="bottom"/>
          </w:tcPr>
          <w:p>
            <w:pPr>
              <w:ind w:left="320"/>
              <w:spacing w:after="0"/>
              <w:rPr>
                <w:sz w:val="20"/>
                <w:szCs w:val="20"/>
                <w:color w:val="auto"/>
              </w:rPr>
            </w:pPr>
            <w:r>
              <w:rPr>
                <w:rFonts w:ascii="Arial" w:cs="Arial" w:eastAsia="Arial" w:hAnsi="Arial"/>
                <w:sz w:val="16"/>
                <w:szCs w:val="16"/>
                <w:color w:val="auto"/>
                <w:w w:val="99"/>
              </w:rPr>
              <w:t>Exercise of options—net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480"/>
              <w:spacing w:after="0"/>
              <w:rPr>
                <w:sz w:val="20"/>
                <w:szCs w:val="20"/>
                <w:color w:val="auto"/>
              </w:rPr>
            </w:pPr>
            <w:r>
              <w:rPr>
                <w:rFonts w:ascii="Arial" w:cs="Arial" w:eastAsia="Arial" w:hAnsi="Arial"/>
                <w:sz w:val="16"/>
                <w:szCs w:val="16"/>
                <w:color w:val="auto"/>
              </w:rPr>
              <w:t>of repurchase liability</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447,379</w:t>
            </w:r>
          </w:p>
        </w:tc>
        <w:tc>
          <w:tcPr>
            <w:tcW w:w="18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preferred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for cash—net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5"/>
              </w:rPr>
              <w:t>issuance costs of $265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43,749,996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34,735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60" w:type="dxa"/>
            <w:vAlign w:val="bottom"/>
          </w:tcPr>
          <w:p>
            <w:pPr>
              <w:ind w:left="320"/>
              <w:spacing w:after="0"/>
              <w:rPr>
                <w:sz w:val="20"/>
                <w:szCs w:val="20"/>
                <w:color w:val="auto"/>
              </w:rPr>
            </w:pPr>
            <w:r>
              <w:rPr>
                <w:rFonts w:ascii="Arial" w:cs="Arial" w:eastAsia="Arial" w:hAnsi="Arial"/>
                <w:sz w:val="16"/>
                <w:szCs w:val="16"/>
                <w:color w:val="auto"/>
              </w:rPr>
              <w:t>Vesting of early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480"/>
              <w:spacing w:after="0"/>
              <w:rPr>
                <w:sz w:val="20"/>
                <w:szCs w:val="20"/>
                <w:color w:val="auto"/>
              </w:rPr>
            </w:pPr>
            <w:r>
              <w:rPr>
                <w:rFonts w:ascii="Arial" w:cs="Arial" w:eastAsia="Arial" w:hAnsi="Arial"/>
                <w:sz w:val="16"/>
                <w:szCs w:val="16"/>
                <w:color w:val="auto"/>
                <w:w w:val="93"/>
              </w:rPr>
              <w:t>exercised stock options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480"/>
              <w:spacing w:after="0"/>
              <w:rPr>
                <w:sz w:val="20"/>
                <w:szCs w:val="20"/>
                <w:color w:val="auto"/>
              </w:rPr>
            </w:pPr>
            <w:r>
              <w:rPr>
                <w:rFonts w:ascii="Arial" w:cs="Arial" w:eastAsia="Arial" w:hAnsi="Arial"/>
                <w:sz w:val="16"/>
                <w:szCs w:val="16"/>
                <w:color w:val="auto"/>
              </w:rPr>
              <w:t>and restricted stock</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2,280,575</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compensation</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16"/>
                <w:szCs w:val="16"/>
                <w:color w:val="auto"/>
              </w:rPr>
              <w:t>(19,208)</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(19,208)</w:t>
            </w: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BALANCE—December 31,</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17,000,000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$ 16,982</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25,186,738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$ 12,235</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72,499,993</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57,490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15,474,202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(71,761)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(68,793)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(19,208)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(14,365)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9240" w:type="dxa"/>
            <w:vAlign w:val="bottom"/>
          </w:tcPr>
          <w:p>
            <w:pPr>
              <w:ind w:left="720"/>
              <w:spacing w:after="0"/>
              <w:rPr>
                <w:sz w:val="20"/>
                <w:szCs w:val="20"/>
                <w:color w:val="auto"/>
              </w:rPr>
            </w:pPr>
            <w:r>
              <w:rPr>
                <w:rFonts w:ascii="Arial" w:cs="Arial" w:eastAsia="Arial" w:hAnsi="Arial"/>
                <w:sz w:val="18"/>
                <w:szCs w:val="18"/>
                <w:color w:val="auto"/>
              </w:rPr>
              <w:t>Noncash related party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operating lease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9240" w:type="dxa"/>
            <w:vAlign w:val="bottom"/>
          </w:tcPr>
          <w:p>
            <w:pPr>
              <w:ind w:left="72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9240" w:type="dxa"/>
            <w:vAlign w:val="bottom"/>
          </w:tcPr>
          <w:p>
            <w:pPr>
              <w:ind w:left="108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9240" w:type="dxa"/>
            <w:vAlign w:val="bottom"/>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(19,017)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(21,559)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Repayment of related party note receivable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Proceeds from issuance of Series B-1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non vested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34,599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15,576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18,820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SUPPLEMENTAL DISCLOSURE FOR CASH FLOW ACTIVITIES—Cash paid for 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ACTIVITIES—Operating lease right-of-use asset recorded on adoption of ASC 842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NON-CASH INVESTING ACTIVITIES—Property and equipment in accounts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Issuance costs for issuance of Series B-1 Preferred Stock in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related to financing in accrued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360"/>
              <w:spacing w:after="0"/>
              <w:rPr>
                <w:sz w:val="20"/>
                <w:szCs w:val="20"/>
                <w:color w:val="auto"/>
              </w:rPr>
            </w:pPr>
            <w:r>
              <w:rPr>
                <w:rFonts w:ascii="Arial" w:cs="Arial" w:eastAsia="Arial" w:hAnsi="Arial"/>
                <w:sz w:val="18"/>
                <w:szCs w:val="18"/>
                <w:color w:val="auto"/>
              </w:rPr>
              <w:t>Vesting of early exercise stock options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08" w:name="page109"/>
    <w:bookmarkEnd w:id="10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TEMPEST THERAPEUTICS,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ind w:left="4" w:right="5260"/>
        <w:spacing w:after="0" w:line="445" w:lineRule="auto"/>
        <w:rPr>
          <w:sz w:val="20"/>
          <w:szCs w:val="20"/>
          <w:color w:val="auto"/>
        </w:rPr>
      </w:pPr>
      <w:r>
        <w:rPr>
          <w:rFonts w:ascii="Arial" w:cs="Arial" w:eastAsia="Arial" w:hAnsi="Arial"/>
          <w:sz w:val="17"/>
          <w:szCs w:val="17"/>
          <w:b w:val="1"/>
          <w:bCs w:val="1"/>
          <w:color w:val="auto"/>
        </w:rPr>
        <w:t>AS OF AND FOR THE YEARS ENDED DECEMBER 31, 2020 AND 2019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117" w:lineRule="exact"/>
        <w:rPr>
          <w:rFonts w:ascii="Arial" w:cs="Arial" w:eastAsia="Arial" w:hAnsi="Arial"/>
          <w:sz w:val="18"/>
          <w:szCs w:val="18"/>
          <w:b w:val="1"/>
          <w:bCs w:val="1"/>
          <w:color w:val="auto"/>
        </w:rPr>
      </w:pPr>
    </w:p>
    <w:p>
      <w:pPr>
        <w:ind w:left="444" w:right="28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Nature of Business</w:t>
      </w:r>
      <w:r>
        <w:rPr>
          <w:rFonts w:ascii="Arial" w:cs="Arial" w:eastAsia="Arial" w:hAnsi="Arial"/>
          <w:sz w:val="16"/>
          <w:szCs w:val="16"/>
          <w:color w:val="auto"/>
        </w:rPr>
        <w:t>—Tempest Therapeutics (the Company) was incorporated in the state of Delaware on February 10, 2011 originally as Next</w:t>
      </w:r>
      <w:r>
        <w:rPr>
          <w:rFonts w:ascii="Arial" w:cs="Arial" w:eastAsia="Arial" w:hAnsi="Arial"/>
          <w:sz w:val="16"/>
          <w:szCs w:val="16"/>
          <w:b w:val="1"/>
          <w:bCs w:val="1"/>
          <w:color w:val="auto"/>
        </w:rPr>
        <w:t xml:space="preserve"> </w:t>
      </w:r>
      <w:r>
        <w:rPr>
          <w:rFonts w:ascii="Arial" w:cs="Arial" w:eastAsia="Arial" w:hAnsi="Arial"/>
          <w:sz w:val="16"/>
          <w:szCs w:val="16"/>
          <w:color w:val="auto"/>
        </w:rPr>
        <w:t>Beta, Inc., and then changed its name to Inception 2, Inc. on October 4, 2011 and then finally to Tempest Therapeutics, Inc. on August 14,</w:t>
      </w:r>
    </w:p>
    <w:p>
      <w:pPr>
        <w:spacing w:after="0" w:line="1" w:lineRule="exact"/>
        <w:rPr>
          <w:rFonts w:ascii="Arial" w:cs="Arial" w:eastAsia="Arial" w:hAnsi="Arial"/>
          <w:sz w:val="18"/>
          <w:szCs w:val="18"/>
          <w:b w:val="1"/>
          <w:bCs w:val="1"/>
          <w:color w:val="auto"/>
        </w:rPr>
      </w:pPr>
    </w:p>
    <w:p>
      <w:pPr>
        <w:ind w:left="444" w:right="1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2017. The Company is a privately held, small biopharmaceutical company focused on the discovery and development of small molecule drugs to treat cancers such as hepatocellular carcinoma and colorectal cancer. The Company is headquartered in South San Francisco, California.</w:t>
      </w:r>
    </w:p>
    <w:p>
      <w:pPr>
        <w:spacing w:after="0" w:line="26" w:lineRule="exact"/>
        <w:rPr>
          <w:rFonts w:ascii="Arial" w:cs="Arial" w:eastAsia="Arial" w:hAnsi="Arial"/>
          <w:sz w:val="18"/>
          <w:szCs w:val="18"/>
          <w:b w:val="1"/>
          <w:bCs w:val="1"/>
          <w:color w:val="auto"/>
        </w:rPr>
      </w:pPr>
    </w:p>
    <w:p>
      <w:pPr>
        <w:ind w:left="444" w:right="2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Liquidity and Management Plans</w:t>
      </w:r>
      <w:r>
        <w:rPr>
          <w:rFonts w:ascii="Arial" w:cs="Arial" w:eastAsia="Arial" w:hAnsi="Arial"/>
          <w:sz w:val="17"/>
          <w:szCs w:val="17"/>
          <w:color w:val="auto"/>
        </w:rPr>
        <w:t>—The accompanying financial statements have been prepared assuming the Company will continue as a going</w:t>
      </w:r>
      <w:r>
        <w:rPr>
          <w:rFonts w:ascii="Arial" w:cs="Arial" w:eastAsia="Arial" w:hAnsi="Arial"/>
          <w:sz w:val="17"/>
          <w:szCs w:val="17"/>
          <w:b w:val="1"/>
          <w:bCs w:val="1"/>
          <w:color w:val="auto"/>
        </w:rPr>
        <w:t xml:space="preserve"> </w:t>
      </w:r>
      <w:r>
        <w:rPr>
          <w:rFonts w:ascii="Arial" w:cs="Arial" w:eastAsia="Arial" w:hAnsi="Arial"/>
          <w:sz w:val="17"/>
          <w:szCs w:val="17"/>
          <w:color w:val="auto"/>
        </w:rPr>
        <w:t>concern. In the course of its development activities, the Company has incurred significant losses since inception, including a net loss of approximately $19.2 million and $14.4 million for the years ended December 31, 2020 and 2019, respectively, and expects such losses to continue for the foreseeable future. As of December 31, 2020, and 2019, the Company had cash and cash equivalents of approximately $18.8 million and $3.2 million, respectively, and accumulated deficit of approximately $71.8 million and has forecasted cash needs in excess of current liquidity. To date, the Company has funded its operations primarily with the net proceeds from the sale of convertible preferred stock and convertible preferred notes. As a result of these conditions, substantial doubt is raised about the Company’s ability to continue as a going concern within one year after the date that the financial statements are available to be issued.</w:t>
      </w:r>
    </w:p>
    <w:p>
      <w:pPr>
        <w:spacing w:after="0" w:line="67" w:lineRule="exact"/>
        <w:rPr>
          <w:rFonts w:ascii="Arial" w:cs="Arial" w:eastAsia="Arial" w:hAnsi="Arial"/>
          <w:sz w:val="18"/>
          <w:szCs w:val="18"/>
          <w:b w:val="1"/>
          <w:bCs w:val="1"/>
          <w:color w:val="auto"/>
        </w:rPr>
      </w:pPr>
    </w:p>
    <w:p>
      <w:pPr>
        <w:ind w:left="444"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is continuing to develop its drug candidates, which is the primary use of funds for the Company. The Company’s ability to fund continued development will require additional capital, and the Company intends to raise such capital through the issuance of additional debt or equity including in connection with potential merger opportunities, or through business development activities. As described in Note 14, on March 29, 2021, Tempest entered into an Agreement and Plan of Merger (the “Merger Agreement”) with Millendo Therapeutics, Inc. 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 However, if such financing is not approved, does not occur, or alternative financing is not available at adequate levels or on acceptable terms, the Company could be required to significantly reduce operating expenses and delay, reduce the scope of or eliminate some of its development programs, enter into a collaboration or other similar arrangement with respect to commercialization rights to any of its product candidates, out-license intellectual property rights to its product candidates and sell unsecured assets, or a combination of the above. Any of these actions could have a material adverse effect on the Company’s business, results of operations, financial condition and/or its ability to fund its scheduled obligations on a timely basis or at all. The ability of the Company to continue as a going concern is dependent upon its ability to successfully accomplish these plans and secure sources of financing and ultimately attain profitable operations. If the Company is unable to obtain adequate capital, it could be forced to cease operations.</w:t>
      </w:r>
    </w:p>
    <w:p>
      <w:pPr>
        <w:spacing w:after="0" w:line="76"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These plans are intended to mitigate the relevant conditions or events that raise substantial doubt about the Company’s ability to continue as a going concern; however, as the plans are not entirely within the Company’s control, management has determined it is not probable they will be effectively implemented. The accompanying financial statements do not include any adjustments that might be necessary if the Company is unable to continue as a going concern.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109" w:name="page110"/>
    <w:bookmarkEnd w:id="109"/>
    <w:p>
      <w:pPr>
        <w:ind w:left="424" w:hanging="424"/>
        <w:spacing w:after="0"/>
        <w:tabs>
          <w:tab w:leader="none" w:pos="42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SIGNIFICANT ACCOUNTING POLICIES</w:t>
      </w:r>
    </w:p>
    <w:p>
      <w:pPr>
        <w:spacing w:after="0" w:line="117" w:lineRule="exact"/>
        <w:rPr>
          <w:rFonts w:ascii="Arial" w:cs="Arial" w:eastAsia="Arial" w:hAnsi="Arial"/>
          <w:sz w:val="18"/>
          <w:szCs w:val="18"/>
          <w:b w:val="1"/>
          <w:bCs w:val="1"/>
          <w:color w:val="auto"/>
        </w:rPr>
      </w:pPr>
    </w:p>
    <w:p>
      <w:pPr>
        <w:ind w:left="444"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financial statements have been prepared in accordance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(GAAP).</w:t>
      </w:r>
    </w:p>
    <w:p>
      <w:pPr>
        <w:spacing w:after="0" w:line="53" w:lineRule="exact"/>
        <w:rPr>
          <w:rFonts w:ascii="Arial" w:cs="Arial" w:eastAsia="Arial" w:hAnsi="Arial"/>
          <w:sz w:val="18"/>
          <w:szCs w:val="18"/>
          <w:b w:val="1"/>
          <w:bCs w:val="1"/>
          <w:color w:val="auto"/>
        </w:rPr>
      </w:pPr>
    </w:p>
    <w:p>
      <w:pPr>
        <w:ind w:left="444" w:right="2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fair value of convertible preferred stock tranche liability, fair value of common stock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63" w:lineRule="exact"/>
        <w:rPr>
          <w:rFonts w:ascii="Arial" w:cs="Arial" w:eastAsia="Arial" w:hAnsi="Arial"/>
          <w:sz w:val="18"/>
          <w:szCs w:val="18"/>
          <w:b w:val="1"/>
          <w:bCs w:val="1"/>
          <w:color w:val="auto"/>
        </w:rPr>
      </w:pPr>
    </w:p>
    <w:p>
      <w:pPr>
        <w:ind w:left="444" w:right="2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The Company operates and manages its business as one reportable and operating segment, which is the business of</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and development of small molecule drugs to treat cancers.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71" w:lineRule="exact"/>
        <w:rPr>
          <w:rFonts w:ascii="Arial" w:cs="Arial" w:eastAsia="Arial" w:hAnsi="Arial"/>
          <w:sz w:val="18"/>
          <w:szCs w:val="18"/>
          <w:b w:val="1"/>
          <w:bCs w:val="1"/>
          <w:color w:val="auto"/>
        </w:rPr>
      </w:pPr>
    </w:p>
    <w:p>
      <w:pPr>
        <w:ind w:left="444" w:right="40"/>
        <w:spacing w:after="0" w:line="28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Risks and Uncertainties – </w:t>
      </w:r>
      <w:r>
        <w:rPr>
          <w:rFonts w:ascii="Arial" w:cs="Arial" w:eastAsia="Arial" w:hAnsi="Arial"/>
          <w:sz w:val="16"/>
          <w:szCs w:val="16"/>
          <w:color w:val="auto"/>
        </w:rPr>
        <w:t>The Company is subject to risks and uncertainties common to early-stage companies in the biotechnology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66" w:lineRule="exact"/>
        <w:rPr>
          <w:rFonts w:ascii="Arial" w:cs="Arial" w:eastAsia="Arial" w:hAnsi="Arial"/>
          <w:sz w:val="18"/>
          <w:szCs w:val="18"/>
          <w:b w:val="1"/>
          <w:bCs w:val="1"/>
          <w:color w:val="auto"/>
        </w:rPr>
      </w:pPr>
    </w:p>
    <w:p>
      <w:pPr>
        <w:ind w:left="444" w:right="2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Moreover, the current COVID-19 (coronavirus)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45" w:lineRule="exact"/>
        <w:rPr>
          <w:rFonts w:ascii="Arial" w:cs="Arial" w:eastAsia="Arial" w:hAnsi="Arial"/>
          <w:sz w:val="18"/>
          <w:szCs w:val="18"/>
          <w:b w:val="1"/>
          <w:bCs w:val="1"/>
          <w:color w:val="auto"/>
        </w:rPr>
      </w:pPr>
    </w:p>
    <w:p>
      <w:pPr>
        <w:ind w:left="444"/>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—Financial instruments, which potentially subject the Company to concentration of risk, consist principally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money market fund. All of the Company’s cash and money market fund are deposited in accounts with a major financial institution, and amounts may exceed federally insured limits. Management believes that the Company is not exposed to significant credit risk due to the financial strength of the depository institution in which the cash and money market fund are held. The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110" w:name="page111"/>
    <w:bookmarkEnd w:id="11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has no off-balance sheet concentrations of credit risk, such as foreign currency exchange contracts, option contracts or other hedging arrangements.</w:t>
      </w:r>
    </w:p>
    <w:p>
      <w:pPr>
        <w:spacing w:after="0" w:line="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purchased with original maturities of 90 days or less at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to be cash equivalents. As of December 31, 2020, and 2019, the Company’s cash and cash equivalents consisted of bank deposits and a money market fund.</w:t>
      </w:r>
    </w:p>
    <w:p>
      <w:pPr>
        <w:spacing w:after="0" w:line="6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recorded at cost and depreciated over the estimated useful lives of the related assets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Upon disposal of an asset, the related cost and accumulated depreciation are removed from the asset accounts and any resulting gain or loss is included in the statement of operations. Repair and maintenance costs are expensed as incurred, whereas major improvements are capitalized as additions to property and equipment. The estimated useful lives of the Company’s respective assets are as follows: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680" w:type="dxa"/>
            <w:vAlign w:val="bottom"/>
          </w:tcPr>
          <w:p>
            <w:pPr>
              <w:jc w:val="center"/>
              <w:ind w:left="1390"/>
              <w:spacing w:after="0"/>
              <w:rPr>
                <w:sz w:val="20"/>
                <w:szCs w:val="20"/>
                <w:color w:val="auto"/>
              </w:rPr>
            </w:pPr>
            <w:r>
              <w:rPr>
                <w:rFonts w:ascii="Arial" w:cs="Arial" w:eastAsia="Arial" w:hAnsi="Arial"/>
                <w:sz w:val="18"/>
                <w:szCs w:val="18"/>
                <w:color w:val="auto"/>
                <w:w w:val="88"/>
              </w:rPr>
              <w:t>3 years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680" w:type="dxa"/>
            <w:vAlign w:val="bottom"/>
          </w:tcPr>
          <w:p>
            <w:pPr>
              <w:jc w:val="center"/>
              <w:ind w:left="1390"/>
              <w:spacing w:after="0"/>
              <w:rPr>
                <w:sz w:val="20"/>
                <w:szCs w:val="20"/>
                <w:color w:val="auto"/>
              </w:rPr>
            </w:pPr>
            <w:r>
              <w:rPr>
                <w:rFonts w:ascii="Arial" w:cs="Arial" w:eastAsia="Arial" w:hAnsi="Arial"/>
                <w:sz w:val="18"/>
                <w:szCs w:val="18"/>
                <w:color w:val="auto"/>
                <w:w w:val="88"/>
              </w:rPr>
              <w:t>7 years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Laboratory equipment</w:t>
            </w:r>
          </w:p>
        </w:tc>
        <w:tc>
          <w:tcPr>
            <w:tcW w:w="5680" w:type="dxa"/>
            <w:vAlign w:val="bottom"/>
          </w:tcPr>
          <w:p>
            <w:pPr>
              <w:jc w:val="center"/>
              <w:ind w:left="1390"/>
              <w:spacing w:after="0"/>
              <w:rPr>
                <w:sz w:val="20"/>
                <w:szCs w:val="20"/>
                <w:color w:val="auto"/>
              </w:rPr>
            </w:pPr>
            <w:r>
              <w:rPr>
                <w:rFonts w:ascii="Arial" w:cs="Arial" w:eastAsia="Arial" w:hAnsi="Arial"/>
                <w:sz w:val="18"/>
                <w:szCs w:val="18"/>
                <w:color w:val="auto"/>
                <w:w w:val="88"/>
              </w:rPr>
              <w:t>5 years</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80" w:type="dxa"/>
            <w:vAlign w:val="bottom"/>
          </w:tcPr>
          <w:p>
            <w:pPr>
              <w:jc w:val="center"/>
              <w:ind w:left="137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—Long-lived assets are reviewed for impairment if events or circumstances indicate the carrying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 During 2020 and 2019, there were no events or circumstances which required an impairment test of long-lived assets.</w:t>
      </w:r>
    </w:p>
    <w:p>
      <w:pPr>
        <w:spacing w:after="0" w:line="6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—The Company elected to early adopt Accounting Standard Update (ASU) No.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color w:val="auto"/>
        </w:rPr>
        <w:t xml:space="preserve"> </w:t>
      </w:r>
      <w:r>
        <w:rPr>
          <w:rFonts w:ascii="Arial" w:cs="Arial" w:eastAsia="Arial" w:hAnsi="Arial"/>
          <w:sz w:val="18"/>
          <w:szCs w:val="18"/>
          <w:color w:val="auto"/>
        </w:rPr>
        <w:t>(ASC 842) and its associated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1, 2019 using the modified retrospective transition approach. There was no cumulative-effect adjustment recorded to accumulated deficit upon adoption.</w:t>
      </w:r>
    </w:p>
    <w:p>
      <w:pPr>
        <w:spacing w:after="0" w:line="7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ASC 842, the Company determines if an arrangement is a lease at inception. In addition, the Company determines whether leases meet the classification criteria of a finance or operating lease at the lease commencement date considering: (1) whether the lease transfers ownership of the underlying asset to the lessee at the end of the lease term, (2) whether the lease contains a bargain purchase option,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December 31, 2020 and 2019, the Company’s lease population consisted only of an office lease. As of the date of adoption of ASC 842 and December 31, 2019, the Company did not have finance leases. Operating leases are included in operating lease right-of-use (“ROU”) assets and operating lease liabilities in the balance sheet.</w:t>
      </w:r>
    </w:p>
    <w:p>
      <w:pPr>
        <w:spacing w:after="0" w:line="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the obligation to make lease payments arising from the lease. Operating lease ROU assets and liabilities are recognized at lease commencement date based on the present value of lease payments over the lease term. The Company uses the implicit rate when readily determinable. If the Company’s leases do not provide an implicit rate, an incremental borrowing rate is used based on the information available at commencement dates in determining the present value of lease payments. The determination of the Company’s incremental borrowing rate requires management judgment including the development of a synthetic credit rating and cost of debt as the Company currently does not carry any debt. The incremental borrowing rate is estimated on a collateralized basis with similar terms and economic considerations under a recovery rate approach utilizing the historical recoverability rate of secured versus unsecured senior corporate debt to reflect a</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11" w:name="page112"/>
    <w:bookmarkEnd w:id="11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recoverability-adjusted spread and overall rate on a lease by lease basis. The operating lease ROU assets also include any lease payments made and exclude lease incentives when paid by the Company or on the Company’s behalf. The Company’s lease terms may include options to extend or terminate the lease when it is reasonably certain that it will exercise that option. Lease expense for lease payments is recognized on a straight-line basis over the lease term.</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elected the practical expedient option that allows the Company to not need to reassess whether any expired or existing contracts are or contain leases, the lease classification for any expired or existing leases, and the initial direct costs for any existing leases. The Company elected the practical expedient to adopt the policy to not separate lease and non-lease components for its real estate leases. Operating leases are included in operating lease ROU assets and operating lease liabilities on the Company’s balance sheets. The Company also made an accounting policy election to recognize lease expense for leases with a term of 12 months or less on a straight-line basis over the lease term and not recognize ROU assets or lease liabilities for such leases.</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a lease for its office facility, which is classified as an operating lease. This lease has a lease term of five years, which includes an option to extend the lease. The Company has determined that it is not reasonably certain to exercise the option. The lease for the office includes costs for common area maintenance expenditures which are variable and not included in lease payments measured at lease inception. Differences between lease payments as measured at lease inception and variations in monthly payments will be recognized as operating expenses in the period in which the obligation is incurred. Please refer to Note 7 Commitments and Contingencies for details.</w:t>
      </w:r>
    </w:p>
    <w:p>
      <w:pPr>
        <w:spacing w:after="0" w:line="6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Convertible Preferred Stock</w:t>
      </w:r>
      <w:r>
        <w:rPr>
          <w:rFonts w:ascii="Arial" w:cs="Arial" w:eastAsia="Arial" w:hAnsi="Arial"/>
          <w:sz w:val="17"/>
          <w:szCs w:val="17"/>
          <w:color w:val="auto"/>
        </w:rPr>
        <w:t>—The Company records convertible preferred stock at fair value on the dates of issuance, net of issuance costs.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preferred stock is recorded outside of stockholders’ deficit because the shares contain 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Convertible Preferred Stock Liability</w:t>
      </w:r>
      <w:r>
        <w:rPr>
          <w:rFonts w:ascii="Arial" w:cs="Arial" w:eastAsia="Arial" w:hAnsi="Arial"/>
          <w:sz w:val="18"/>
          <w:szCs w:val="18"/>
          <w:color w:val="auto"/>
        </w:rPr>
        <w:t>—The obligation to issue additional shares of the Company’s Series B-1 convertible preferred stock at a</w:t>
      </w:r>
      <w:r>
        <w:rPr>
          <w:rFonts w:ascii="Arial" w:cs="Arial" w:eastAsia="Arial" w:hAnsi="Arial"/>
          <w:sz w:val="18"/>
          <w:szCs w:val="18"/>
          <w:b w:val="1"/>
          <w:bCs w:val="1"/>
          <w:color w:val="auto"/>
        </w:rPr>
        <w:t xml:space="preserve"> </w:t>
      </w:r>
      <w:r>
        <w:rPr>
          <w:rFonts w:ascii="Arial" w:cs="Arial" w:eastAsia="Arial" w:hAnsi="Arial"/>
          <w:sz w:val="18"/>
          <w:szCs w:val="18"/>
          <w:color w:val="auto"/>
        </w:rPr>
        <w:t>future date was determined to be a freestanding financial instrument that should be accounted for as a liability. At initial recognition, the Company recorded the convertible preferred stock liability on the balance sheet at its estimated fair value. The liability is subject to remeasurement at each balance sheet date, with changes in fair value recognized as a gain or (loss) on remeasurement of convertible preferred stock liability on the statement of operations. The Company recognized a gain of $8.7 million associated with the change in fair value of preferred stock liability for the period ended December 31, 2019. In 2020, there was no such gain or loss. The convertible preferred stock liability balance was zero as of December 31, 2020 and 2019.</w:t>
      </w:r>
    </w:p>
    <w:p>
      <w:pPr>
        <w:spacing w:after="0" w:line="8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includes net loss as well as other changes in stockholders’ deficit that results from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events other than those with stockholders. There was no other comprehensive income or loss for the years ended December 31, 2020 and 2019.</w:t>
      </w:r>
    </w:p>
    <w:p>
      <w:pPr>
        <w:spacing w:after="0" w:line="6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Research and Development Expenses and Accrued Research and Development</w:t>
      </w:r>
      <w:r>
        <w:rPr>
          <w:rFonts w:ascii="Arial" w:cs="Arial" w:eastAsia="Arial" w:hAnsi="Arial"/>
          <w:sz w:val="16"/>
          <w:szCs w:val="16"/>
          <w:color w:val="auto"/>
        </w:rPr>
        <w:t>—Research and development expenses are charged to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as incurred. Research and development expenses include certain payroll and personnel expenses, laboratory supplies, consulting costs, external contract research and development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12" w:name="page113"/>
    <w:bookmarkEnd w:id="11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53" w:lineRule="exact"/>
        <w:rPr>
          <w:sz w:val="20"/>
          <w:szCs w:val="20"/>
          <w:color w:val="auto"/>
        </w:rPr>
      </w:pPr>
    </w:p>
    <w:p>
      <w:pPr>
        <w:ind w:right="680"/>
        <w:spacing w:after="0" w:line="312" w:lineRule="auto"/>
        <w:rPr>
          <w:sz w:val="20"/>
          <w:szCs w:val="20"/>
          <w:color w:val="auto"/>
        </w:rPr>
      </w:pPr>
      <w:r>
        <w:rPr>
          <w:rFonts w:ascii="Arial" w:cs="Arial" w:eastAsia="Arial" w:hAnsi="Arial"/>
          <w:sz w:val="17"/>
          <w:szCs w:val="17"/>
          <w:b w:val="1"/>
          <w:bCs w:val="1"/>
          <w:color w:val="auto"/>
        </w:rPr>
        <w:t xml:space="preserve">Patent Costs – </w:t>
      </w:r>
      <w:r>
        <w:rPr>
          <w:rFonts w:ascii="Arial" w:cs="Arial" w:eastAsia="Arial" w:hAnsi="Arial"/>
          <w:sz w:val="17"/>
          <w:szCs w:val="17"/>
          <w:color w:val="auto"/>
        </w:rPr>
        <w:t>Costs related to filing and pursuing patent applications are expensed as incurred, as recoverability of such expenditures is</w:t>
      </w:r>
      <w:r>
        <w:rPr>
          <w:rFonts w:ascii="Arial" w:cs="Arial" w:eastAsia="Arial" w:hAnsi="Arial"/>
          <w:sz w:val="17"/>
          <w:szCs w:val="17"/>
          <w:b w:val="1"/>
          <w:bCs w:val="1"/>
          <w:color w:val="auto"/>
        </w:rPr>
        <w:t xml:space="preserve"> </w:t>
      </w:r>
      <w:r>
        <w:rPr>
          <w:rFonts w:ascii="Arial" w:cs="Arial" w:eastAsia="Arial" w:hAnsi="Arial"/>
          <w:sz w:val="17"/>
          <w:szCs w:val="17"/>
          <w:color w:val="auto"/>
        </w:rPr>
        <w:t>uncertain. These patent related legal costs are reported as a component of general and administrative expense.</w:t>
      </w:r>
    </w:p>
    <w:p>
      <w:pPr>
        <w:spacing w:after="0" w:line="32"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General and Administrative Expense – </w:t>
      </w:r>
      <w:r>
        <w:rPr>
          <w:rFonts w:ascii="Arial" w:cs="Arial" w:eastAsia="Arial" w:hAnsi="Arial"/>
          <w:sz w:val="17"/>
          <w:szCs w:val="17"/>
          <w:color w:val="auto"/>
        </w:rPr>
        <w:t>General and administrative costs are expensed as incurred and include employee-related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w:t>
      </w:r>
    </w:p>
    <w:p>
      <w:pPr>
        <w:spacing w:after="0" w:line="5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to sell an asset or paid to transfer a liability in an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including cash, prepaid and other current assets, accounts payable, accrued expenses and other liabilities approximate fair value due to their short-term maturities.</w:t>
      </w:r>
    </w:p>
    <w:p>
      <w:pPr>
        <w:spacing w:after="0" w:line="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—The Company accounts for stock-based compensation by measuring and recognizing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13" w:name="page114"/>
    <w:bookmarkEnd w:id="11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accounts for forfeitures as they occur. The fair value of restricted stock awards granted to employees are valued as of the grant date using the estimated fair value of the Company’s common stock.</w:t>
      </w:r>
    </w:p>
    <w:p>
      <w:pPr>
        <w:spacing w:after="0" w:line="5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Net Loss per Share Attributable to Common Stockholders</w:t>
      </w:r>
      <w:r>
        <w:rPr>
          <w:rFonts w:ascii="Arial" w:cs="Arial" w:eastAsia="Arial" w:hAnsi="Arial"/>
          <w:sz w:val="16"/>
          <w:szCs w:val="16"/>
          <w:color w:val="auto"/>
        </w:rPr>
        <w:t>—The Company follows the two-class method when computing net loss per share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50"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using the asset and liability method. The Company recognizes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2020, and 2019, the Company has recorded a full valuation allowance on its deferred tax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related to unrecognized tax benefits are included within the provision for income tax.</w:t>
      </w:r>
    </w:p>
    <w:p>
      <w:pPr>
        <w:spacing w:after="0" w:line="9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Commitments and Contingencies</w:t>
      </w:r>
      <w:r>
        <w:rPr>
          <w:rFonts w:ascii="Arial" w:cs="Arial" w:eastAsia="Arial" w:hAnsi="Arial"/>
          <w:sz w:val="18"/>
          <w:szCs w:val="18"/>
          <w:color w:val="auto"/>
        </w:rPr>
        <w:t>—Liabilities for loss contingencies arising from claims, assessments, litigation, fines, and penalties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sources are recorded when it is probable that a liability has been incurred and the amount can be reasonably estimated. Legal costs incurred in connection with loss contingencies are expensed as incurred.</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—From time to time, new accounting pronouncements are issued by the Financial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Recently Adopted Accounting Pronouncements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Nonemployees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ASU 2018-07 expands the scope of Topic 718 (which currently only includes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to include share-based payments issued to nonemployees for goods or services. With the adoption of ASU 2018-07, the accounting for share-based payments for non-employees and employees will be substantially the same. ASU 2018-07 is effective for fiscal years beginning after December 15, 2019, and interim periods within fiscal years beginning after December 15, 2020, with early adoption permitted. The adoption of ASU 2018-07 on January 1, 2020 did not have a material impact on the Company’s financial statements and related disclosures.</w:t>
      </w:r>
    </w:p>
    <w:p>
      <w:pPr>
        <w:spacing w:after="0" w:line="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ASU 2018-13 resulted in certain modifications to fair value measurement disclosures,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level 3 fair value measurements. The standard was effective for fiscal years, and interim periods within those fiscal years, beginning after December 15, 2019, and early adoption was permitted. The adoption of ASU 2018-13 on January 1, 2020 did not have a material impact on the Company’s financial statements and related disclosures.</w:t>
      </w:r>
    </w:p>
    <w:p>
      <w:pPr>
        <w:spacing w:after="0" w:line="80"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 xml:space="preserve">In December 2019, the FASB issued ASU No. 2019-12, 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has early adopted this guidance on January 1, 2020 and the impact on the Company’s financial statements was not material.</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Investments-Equity Securities (Topic 321), Investments-Equity Method and Joint Ventures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323), and Derivatives and Hedging (Topic 815). </w:t>
      </w:r>
      <w:r>
        <w:rPr>
          <w:rFonts w:ascii="Arial" w:cs="Arial" w:eastAsia="Arial" w:hAnsi="Arial"/>
          <w:sz w:val="17"/>
          <w:szCs w:val="17"/>
          <w:color w:val="auto"/>
        </w:rPr>
        <w:t>ASU 2020-01 states any equity security transitioning from the alternative method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Topic 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Early adoption is permitted. The Company adopted ASU 2020-01 on January 1, 2021, which did not have a material effect on the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2020, the FASB issued ASU 2020-06</w:t>
      </w:r>
      <w:r>
        <w:rPr>
          <w:rFonts w:ascii="Arial" w:cs="Arial" w:eastAsia="Arial" w:hAnsi="Arial"/>
          <w:sz w:val="18"/>
          <w:szCs w:val="18"/>
          <w:i w:val="1"/>
          <w:iCs w:val="1"/>
          <w:color w:val="auto"/>
        </w:rPr>
        <w:t>, Debt-Debt With Conversations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Hedging-Contracts in Entity’s Own Equity (Subtopic 815-40)</w:t>
      </w:r>
      <w:r>
        <w:rPr>
          <w:rFonts w:ascii="Arial" w:cs="Arial" w:eastAsia="Arial" w:hAnsi="Arial"/>
          <w:sz w:val="18"/>
          <w:szCs w:val="18"/>
          <w:color w:val="auto"/>
        </w:rPr>
        <w:t>. The ASU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on an entity’s own equity. Under the new ASU, convertible instruments will now more frequently accounted for as a single unit of account. That is, a conversion feature and the host instrument in which it is embedded now generally will be treated as a single unit of account unless the conversion feature requires bifurcation under Topic 815. The ASU is effective for fiscal years beginning after December 15, 2021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15" w:name="page116"/>
    <w:bookmarkEnd w:id="115"/>
    <w:p>
      <w:pPr>
        <w:ind w:left="444" w:right="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Correction of Errors </w:t>
      </w:r>
      <w:r>
        <w:rPr>
          <w:rFonts w:ascii="Arial" w:cs="Arial" w:eastAsia="Arial" w:hAnsi="Arial"/>
          <w:sz w:val="18"/>
          <w:szCs w:val="18"/>
          <w:color w:val="auto"/>
        </w:rPr>
        <w:t>– Subsequent to the issuance of the financial statements as of and for the year ended December 31, 2019,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the following disclosures were incorrect, and accordingly the Company has corrected the amounts as of December 31, 2019 in the respective sections referenced as follows:</w:t>
      </w:r>
    </w:p>
    <w:p>
      <w:pPr>
        <w:spacing w:after="0" w:line="85" w:lineRule="exact"/>
        <w:rPr>
          <w:sz w:val="20"/>
          <w:szCs w:val="20"/>
          <w:color w:val="auto"/>
        </w:rPr>
      </w:pPr>
    </w:p>
    <w:p>
      <w:pPr>
        <w:ind w:left="964" w:right="560" w:hanging="424"/>
        <w:spacing w:after="0" w:line="286" w:lineRule="auto"/>
        <w:tabs>
          <w:tab w:leader="none" w:pos="964"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Convertible preferred stock number of shares authorized were overstated by 5,000,000 shares from amount previously reported of 152,231,000 as disclosed on the face of the balance sheet. The Company corrected the convertible preferred stock number of shares authorized as disclosed on the face of the accompanying balance sheet as of December 31, 2019.</w:t>
      </w:r>
    </w:p>
    <w:p>
      <w:pPr>
        <w:spacing w:after="0" w:line="70" w:lineRule="exact"/>
        <w:rPr>
          <w:rFonts w:ascii="Arial" w:cs="Arial" w:eastAsia="Arial" w:hAnsi="Arial"/>
          <w:sz w:val="17"/>
          <w:szCs w:val="17"/>
          <w:color w:val="auto"/>
        </w:rPr>
      </w:pPr>
    </w:p>
    <w:p>
      <w:pPr>
        <w:ind w:left="964" w:hanging="424"/>
        <w:spacing w:after="0"/>
        <w:tabs>
          <w:tab w:leader="none" w:pos="964"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Common stock number of shares issued and outstanding were overstated by 190,383 shares from amount previously reported of</w:t>
      </w:r>
    </w:p>
    <w:p>
      <w:pPr>
        <w:spacing w:after="0" w:line="34" w:lineRule="exact"/>
        <w:rPr>
          <w:rFonts w:ascii="Arial" w:cs="Arial" w:eastAsia="Arial" w:hAnsi="Arial"/>
          <w:sz w:val="17"/>
          <w:szCs w:val="17"/>
          <w:color w:val="auto"/>
        </w:rPr>
      </w:pPr>
    </w:p>
    <w:p>
      <w:pPr>
        <w:ind w:left="964" w:right="560"/>
        <w:spacing w:after="0" w:line="260" w:lineRule="auto"/>
        <w:rPr>
          <w:rFonts w:ascii="Arial" w:cs="Arial" w:eastAsia="Arial" w:hAnsi="Arial"/>
          <w:sz w:val="17"/>
          <w:szCs w:val="17"/>
          <w:color w:val="auto"/>
        </w:rPr>
      </w:pPr>
      <w:r>
        <w:rPr>
          <w:rFonts w:ascii="Arial" w:cs="Arial" w:eastAsia="Arial" w:hAnsi="Arial"/>
          <w:sz w:val="18"/>
          <w:szCs w:val="18"/>
          <w:color w:val="auto"/>
        </w:rPr>
        <w:t>16,129,938 on the face of the balance sheet. The Company corrected the common stock number of shares issued and outstanding as disclosed on the face of the accompanying balance sheet as of December 31, 2019.</w:t>
      </w:r>
    </w:p>
    <w:p>
      <w:pPr>
        <w:spacing w:after="0" w:line="90" w:lineRule="exact"/>
        <w:rPr>
          <w:rFonts w:ascii="Arial" w:cs="Arial" w:eastAsia="Arial" w:hAnsi="Arial"/>
          <w:sz w:val="17"/>
          <w:szCs w:val="17"/>
          <w:color w:val="auto"/>
        </w:rPr>
      </w:pPr>
    </w:p>
    <w:p>
      <w:pPr>
        <w:ind w:left="964" w:right="120" w:hanging="424"/>
        <w:spacing w:after="0" w:line="263"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Common stock number of shares outstanding subject to repurchase were overstated by 3,001,183 shares from amount previously reported of 6,194,490 on the face of the balance sheet. The Company corrected the common stock number of shares outstanding subject to repurchase on the face of the accompanying balance sheet as of December 31, 2019.</w:t>
      </w:r>
    </w:p>
    <w:p>
      <w:pPr>
        <w:spacing w:after="0" w:line="89" w:lineRule="exact"/>
        <w:rPr>
          <w:rFonts w:ascii="Arial" w:cs="Arial" w:eastAsia="Arial" w:hAnsi="Arial"/>
          <w:sz w:val="18"/>
          <w:szCs w:val="18"/>
          <w:color w:val="auto"/>
        </w:rPr>
      </w:pPr>
    </w:p>
    <w:p>
      <w:pPr>
        <w:ind w:left="964" w:right="220" w:hanging="424"/>
        <w:spacing w:after="0" w:line="311" w:lineRule="auto"/>
        <w:tabs>
          <w:tab w:leader="none" w:pos="9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Options available for grant under stock plan number of shares were understated by 115,962 shares from amount previously reported of 2,990,912 in footnote 9 in the table of reserved common stock, on an as-converted basis for future issuance. The Company corrected the options available for grant number of shares as of December 31, 2019 within the referenced table in footnote 9.</w:t>
      </w:r>
    </w:p>
    <w:p>
      <w:pPr>
        <w:spacing w:after="0" w:line="54" w:lineRule="exact"/>
        <w:rPr>
          <w:rFonts w:ascii="Arial" w:cs="Arial" w:eastAsia="Arial" w:hAnsi="Arial"/>
          <w:sz w:val="16"/>
          <w:szCs w:val="16"/>
          <w:color w:val="auto"/>
        </w:rPr>
      </w:pPr>
    </w:p>
    <w:p>
      <w:pPr>
        <w:ind w:left="964" w:right="40" w:hanging="424"/>
        <w:spacing w:after="0" w:line="263"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available for grant Balance as of December 31, 2019 number of shares were understated by 115,962 shares from amount previously reported of 2,990,912 in footnote 10 in the table of Stock option activity under the plan. The Company corrected the shares available for issuance balance as of December 31, 2019 within the referenced table in footnote 10.</w:t>
      </w:r>
    </w:p>
    <w:p>
      <w:pPr>
        <w:spacing w:after="0" w:line="89" w:lineRule="exact"/>
        <w:rPr>
          <w:rFonts w:ascii="Arial" w:cs="Arial" w:eastAsia="Arial" w:hAnsi="Arial"/>
          <w:sz w:val="18"/>
          <w:szCs w:val="18"/>
          <w:color w:val="auto"/>
        </w:rPr>
      </w:pPr>
    </w:p>
    <w:p>
      <w:pPr>
        <w:ind w:left="964" w:hanging="424"/>
        <w:spacing w:after="0" w:line="311" w:lineRule="auto"/>
        <w:tabs>
          <w:tab w:leader="none" w:pos="9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Shares available for grant - Restricted stock repurchased for the period ended December 31, 2019 were understated by 115,963 shares from amount previously reported of 359,205 in footnote 10 in the table of Stock option activity under the plan. The Company corrected the shares available for grant-restricted stock repurchased for the period ended December 31, 2019 within the referenced table in footnote 10.</w:t>
      </w:r>
    </w:p>
    <w:p>
      <w:pPr>
        <w:spacing w:after="0" w:line="54" w:lineRule="exact"/>
        <w:rPr>
          <w:rFonts w:ascii="Arial" w:cs="Arial" w:eastAsia="Arial" w:hAnsi="Arial"/>
          <w:sz w:val="16"/>
          <w:szCs w:val="16"/>
          <w:color w:val="auto"/>
        </w:rPr>
      </w:pPr>
    </w:p>
    <w:p>
      <w:pPr>
        <w:ind w:left="964" w:right="400" w:hanging="424"/>
        <w:spacing w:after="0" w:line="263"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Unvested shares related to early option exercise liability as of December 31, 2019 were overstated by 20,412 shares from amount previously reported of 3,213,719 in footnote 6 and footnote 10. The Company corrected the unvested shares as of December 31, 2019 within footnote 6 and footnote 10.</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believes the corrections of the disclosure errors noted above are immaterial to the previously issued financial statements as a whole.</w:t>
      </w:r>
    </w:p>
    <w:p>
      <w:pPr>
        <w:spacing w:after="0" w:line="393"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21" w:lineRule="exact"/>
        <w:rPr>
          <w:rFonts w:ascii="Arial" w:cs="Arial" w:eastAsia="Arial" w:hAnsi="Arial"/>
          <w:sz w:val="18"/>
          <w:szCs w:val="18"/>
          <w:b w:val="1"/>
          <w:bCs w:val="1"/>
          <w:color w:val="auto"/>
        </w:rPr>
      </w:pPr>
    </w:p>
    <w:p>
      <w:pPr>
        <w:ind w:left="4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authoritative guidance on fair value measurements establishes a three-tier fair value hierarchy for disclosure of fair value measurements as follows:</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rFonts w:ascii="Arial" w:cs="Arial" w:eastAsia="Arial" w:hAnsi="Arial"/>
          <w:sz w:val="18"/>
          <w:szCs w:val="18"/>
          <w:b w:val="1"/>
          <w:bCs w:val="1"/>
          <w:color w:val="auto"/>
        </w:rPr>
      </w:pPr>
    </w:p>
    <w:p>
      <w:pPr>
        <w:ind w:left="444" w:right="20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markets that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40" w:lineRule="exact"/>
        <w:rPr>
          <w:rFonts w:ascii="Arial" w:cs="Arial" w:eastAsia="Arial" w:hAnsi="Arial"/>
          <w:sz w:val="18"/>
          <w:szCs w:val="18"/>
          <w:b w:val="1"/>
          <w:bCs w:val="1"/>
          <w:color w:val="auto"/>
        </w:rPr>
      </w:pPr>
    </w:p>
    <w:p>
      <w:pPr>
        <w:ind w:left="444"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116" w:name="page117"/>
    <w:bookmarkEnd w:id="11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particular input to the fair value measurement in its entirety requires management to make judgments and consider factors specific to the asset or liability.</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financial instruments consist of Level 1 assets and Level 3 liabilities. Level 1 assets are measured at fair value on a recurring basis and consist of a money market fund. Level 3 liabilities that are measured at fair value on a recurring basis consist of convertible preferred stock tranche liability.</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estimated fair value.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 recurring basis, the Company measures certain financial assets and liabilities at fair value. The Company’s fair value hierarchy for its assets and financial liabilities that are carried at fair value was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9"/>
              </w:rPr>
              <w:t>December 31, 2020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2</w:t>
            </w:r>
          </w:p>
        </w:tc>
        <w:tc>
          <w:tcPr>
            <w:tcW w:w="5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18,820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18,820</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18,820</w:t>
            </w:r>
          </w:p>
        </w:tc>
        <w:tc>
          <w:tcPr>
            <w:tcW w:w="5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Liabilities—convertible preferred stock tranche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9"/>
              </w:rPr>
              <w:t>December 31, 2019</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2</w:t>
            </w:r>
          </w:p>
        </w:tc>
        <w:tc>
          <w:tcPr>
            <w:tcW w:w="54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3,244</w:t>
            </w:r>
          </w:p>
        </w:tc>
        <w:tc>
          <w:tcPr>
            <w:tcW w:w="5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Liabilities—convertible preferred stock tranche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the Company recognized $8.7 million in realized gains on the preferred stock 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liability were as follows:</w:t>
      </w:r>
    </w:p>
    <w:p>
      <w:pPr>
        <w:spacing w:after="0" w:line="266"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Recognition of convertible preferred stock tranche liability change in fair value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(8,746)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fair value of the redeemable convertible preferred stock tranche liability is based on significant unobservable inputs, which represent Level 3 measurements within the fair value hierarchy. In determining the fair value of the convertible preferred stock tranche liability, the Company used the Probability-Weighted Expected Return Method, “PWERM”.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within the hierarchy during the years ended December 31, 2020 and 2019.</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117" w:name="page118"/>
    <w:bookmarkEnd w:id="117"/>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WITH RELATED PARTIES (AMOUNTS IN THOUSANDS)</w:t>
      </w:r>
    </w:p>
    <w:p>
      <w:pPr>
        <w:spacing w:after="0" w:line="117" w:lineRule="exact"/>
        <w:rPr>
          <w:rFonts w:ascii="Arial" w:cs="Arial" w:eastAsia="Arial" w:hAnsi="Arial"/>
          <w:sz w:val="18"/>
          <w:szCs w:val="18"/>
          <w:b w:val="1"/>
          <w:bCs w:val="1"/>
          <w:color w:val="auto"/>
        </w:rPr>
      </w:pPr>
    </w:p>
    <w:p>
      <w:pPr>
        <w:ind w:left="444"/>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Inception Sciences Service Agreements</w:t>
      </w:r>
      <w:r>
        <w:rPr>
          <w:rFonts w:ascii="Arial" w:cs="Arial" w:eastAsia="Arial" w:hAnsi="Arial"/>
          <w:sz w:val="17"/>
          <w:szCs w:val="17"/>
          <w:color w:val="auto"/>
        </w:rPr>
        <w:t>—Inception Sciences is wholly owned by Versant which is a majority shareholder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service agreements with Inception Sciences US, and Inception Sciences Canada whereby research and support services are provided to the Company. On June 30, 2020, the Company terminated these Inception Sciences service agreements.</w:t>
      </w:r>
    </w:p>
    <w:p>
      <w:pPr>
        <w:spacing w:after="0" w:line="53" w:lineRule="exact"/>
        <w:rPr>
          <w:rFonts w:ascii="Arial" w:cs="Arial" w:eastAsia="Arial" w:hAnsi="Arial"/>
          <w:sz w:val="18"/>
          <w:szCs w:val="18"/>
          <w:b w:val="1"/>
          <w:bCs w:val="1"/>
          <w:color w:val="auto"/>
        </w:rPr>
      </w:pPr>
    </w:p>
    <w:p>
      <w:pPr>
        <w:ind w:left="44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Total expenses under the service agreements consist of charges for services, equipment usage, lab supplies and other out of pocket expenses as incurred. For the years ended December 31, 2020 and 2019, the Company incurred $1,315 and $4,770, respectively, in expenses under the Inception Sciences service agreements.</w:t>
      </w:r>
    </w:p>
    <w:p>
      <w:pPr>
        <w:spacing w:after="0" w:line="71" w:lineRule="exact"/>
        <w:rPr>
          <w:rFonts w:ascii="Arial" w:cs="Arial" w:eastAsia="Arial" w:hAnsi="Arial"/>
          <w:sz w:val="18"/>
          <w:szCs w:val="18"/>
          <w:b w:val="1"/>
          <w:bCs w:val="1"/>
          <w:color w:val="auto"/>
        </w:rPr>
      </w:pPr>
    </w:p>
    <w:p>
      <w:pPr>
        <w:ind w:left="444" w:right="4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Related Party Notes Receivable</w:t>
      </w:r>
      <w:r>
        <w:rPr>
          <w:rFonts w:ascii="Arial" w:cs="Arial" w:eastAsia="Arial" w:hAnsi="Arial"/>
          <w:sz w:val="16"/>
          <w:szCs w:val="16"/>
          <w:color w:val="auto"/>
        </w:rPr>
        <w:t>—On November 29, 2017, three officers of the Company issued promissory notes to the Company totaling $353</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early exercise of their stock options which had a total exercise cost of $652. Two officers paid $298 which represents 50% of the exercise cost and the other 50% totaling $298 was recorded as notes receivable. The other officer did not pay any portion of the exercise cost and $55 was recorded as note receivable. The three notes receivable accrue interest at 2% per year and will mature on November 29, 2022. The notes receivable vest over time until maturity in conjunction with the vesting of the early-exercised stock options.</w:t>
      </w:r>
    </w:p>
    <w:p>
      <w:pPr>
        <w:spacing w:after="0" w:line="49" w:lineRule="exact"/>
        <w:rPr>
          <w:rFonts w:ascii="Arial" w:cs="Arial" w:eastAsia="Arial" w:hAnsi="Arial"/>
          <w:sz w:val="18"/>
          <w:szCs w:val="18"/>
          <w:b w:val="1"/>
          <w:bCs w:val="1"/>
          <w:color w:val="auto"/>
        </w:rPr>
      </w:pPr>
    </w:p>
    <w:p>
      <w:pPr>
        <w:ind w:left="444" w:right="3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February 2020, one of the officers left the Company and repaid $44 of which $43 was the vested portion of the note receivable and $1 was accrued interest. As of December 31, 2020 and 2019, the balance of the vested notes receivable and accrued interest was $260 and $200, respectively. For the years ended December 31, 2020 and 2019, total related party interest income was $6 and $7, respectively.</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 (AMOUNTS IN THOUSANDS)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 consist of the following as of December 31, 2020 and 2019 :</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245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receivable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14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Notes and interest receivable</w:t>
            </w:r>
          </w:p>
        </w:tc>
        <w:tc>
          <w:tcPr>
            <w:tcW w:w="1440" w:type="dxa"/>
            <w:vAlign w:val="bottom"/>
            <w:gridSpan w:val="5"/>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4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1,005</w:t>
            </w:r>
          </w:p>
        </w:tc>
        <w:tc>
          <w:tcPr>
            <w:tcW w:w="74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470"/>
              <w:spacing w:after="0"/>
              <w:rPr>
                <w:sz w:val="20"/>
                <w:szCs w:val="20"/>
                <w:color w:val="auto"/>
              </w:rPr>
            </w:pPr>
            <w:r>
              <w:rPr>
                <w:rFonts w:ascii="Arial" w:cs="Arial" w:eastAsia="Arial" w:hAnsi="Arial"/>
                <w:sz w:val="18"/>
                <w:szCs w:val="18"/>
                <w:color w:val="auto"/>
                <w:w w:val="90"/>
              </w:rPr>
              <w:t>Property and equipment, net, consists of the following as of December 31, 2020 and 2019:</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8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85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0" w:type="dxa"/>
            <w:vAlign w:val="bottom"/>
          </w:tcPr>
          <w:p>
            <w:pPr>
              <w:spacing w:after="0"/>
              <w:rPr>
                <w:sz w:val="24"/>
                <w:szCs w:val="24"/>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5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w:t>
            </w:r>
          </w:p>
        </w:tc>
        <w:tc>
          <w:tcPr>
            <w:tcW w:w="140" w:type="dxa"/>
            <w:vAlign w:val="bottom"/>
          </w:tcPr>
          <w:p>
            <w:pPr>
              <w:spacing w:after="0"/>
              <w:rPr>
                <w:sz w:val="24"/>
                <w:szCs w:val="24"/>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81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118" w:name="page119"/>
    <w:bookmarkEnd w:id="118"/>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Depreciation expense related to property and equipment was $339 and $104 for the years ended December 31, 2020 and 2019, respectively.</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Accrued liabilities as of December 31, 2020 and 2019 consists of the following:</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93"/>
        </w:trPr>
        <w:tc>
          <w:tcPr>
            <w:tcW w:w="45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clinical trial liability</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224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r>
      <w:tr>
        <w:trPr>
          <w:trHeight w:val="115"/>
        </w:trPr>
        <w:tc>
          <w:tcPr>
            <w:tcW w:w="45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16"/>
        </w:trPr>
        <w:tc>
          <w:tcPr>
            <w:tcW w:w="45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1,262</w:t>
            </w:r>
          </w:p>
        </w:tc>
      </w:tr>
      <w:tr>
        <w:trPr>
          <w:trHeight w:val="20"/>
        </w:trPr>
        <w:tc>
          <w:tcPr>
            <w:tcW w:w="4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right="80"/>
        <w:spacing w:after="0" w:line="311" w:lineRule="auto"/>
        <w:rPr>
          <w:sz w:val="20"/>
          <w:szCs w:val="20"/>
          <w:color w:val="auto"/>
        </w:rPr>
      </w:pPr>
      <w:r>
        <w:rPr>
          <w:rFonts w:ascii="Arial" w:cs="Arial" w:eastAsia="Arial" w:hAnsi="Arial"/>
          <w:sz w:val="16"/>
          <w:szCs w:val="16"/>
          <w:color w:val="auto"/>
        </w:rPr>
        <w:t>As of December 31, 2020, accrued other liabilities include primarily accrual for legal services related to intellectual properties, debt issuance and corporate legal, and research and development activities totaling $352. As of December 31, 2019, accrued other liabilities include primarily accrual for legal services related to intellectual properties and preferred stock issuance, and research and development activities totaling $271.</w:t>
      </w:r>
    </w:p>
    <w:p>
      <w:pPr>
        <w:spacing w:after="0" w:line="293"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EARLY OPTION EXERCISE LIABILITY (AMOUNTS IN THOUSANDS)</w:t>
      </w:r>
    </w:p>
    <w:p>
      <w:pPr>
        <w:spacing w:after="0" w:line="121" w:lineRule="exact"/>
        <w:rPr>
          <w:rFonts w:ascii="Arial" w:cs="Arial" w:eastAsia="Arial" w:hAnsi="Arial"/>
          <w:sz w:val="18"/>
          <w:szCs w:val="18"/>
          <w:b w:val="1"/>
          <w:bCs w:val="1"/>
          <w:color w:val="auto"/>
        </w:rPr>
      </w:pPr>
    </w:p>
    <w:p>
      <w:pPr>
        <w:ind w:left="444"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recorded amount of the early option exercise liability relates to restricted stock awards and stock options granted to certain employees and contractors that were early-exercised before they became vested. The early option exercise liability decreases as the restricted stock awards and stock options vest over time or if the Company decides to repurchase them, and the amount of decrease is recorded in common stock and additional paid-in capital. During 2020, certain early-exercised unvested stock options of 32,635 were repurchased by the Company for $1. As of December 31, 2020 and 2019, the early option exercise liability was $79 and $241, respectively, which represents unvested shares of 900,509 and 3,193,307. The unvested shares purchased by the employees are not deemed, for accounting purposes, to be issued and outstanding.</w:t>
      </w:r>
    </w:p>
    <w:p>
      <w:pPr>
        <w:spacing w:after="0" w:line="308" w:lineRule="exact"/>
        <w:rPr>
          <w:rFonts w:ascii="Arial" w:cs="Arial" w:eastAsia="Arial" w:hAnsi="Arial"/>
          <w:sz w:val="18"/>
          <w:szCs w:val="18"/>
          <w:b w:val="1"/>
          <w:bCs w:val="1"/>
          <w:color w:val="auto"/>
        </w:rPr>
      </w:pPr>
    </w:p>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(AMOUNTS IN THOUSANDS)</w:t>
      </w:r>
    </w:p>
    <w:p>
      <w:pPr>
        <w:spacing w:after="0" w:line="117" w:lineRule="exact"/>
        <w:rPr>
          <w:rFonts w:ascii="Arial" w:cs="Arial" w:eastAsia="Arial" w:hAnsi="Arial"/>
          <w:sz w:val="18"/>
          <w:szCs w:val="18"/>
          <w:b w:val="1"/>
          <w:bCs w:val="1"/>
          <w:color w:val="auto"/>
        </w:rPr>
      </w:pPr>
    </w:p>
    <w:p>
      <w:pPr>
        <w:ind w:left="444" w:right="4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Facility Lease Agreement</w:t>
      </w:r>
      <w:r>
        <w:rPr>
          <w:rFonts w:ascii="Arial" w:cs="Arial" w:eastAsia="Arial" w:hAnsi="Arial"/>
          <w:sz w:val="16"/>
          <w:szCs w:val="16"/>
          <w:color w:val="auto"/>
        </w:rPr>
        <w:t>—In February 2019, the Company entered into a 5-year office lease agreement for a 9,780 square feet facility in South</w:t>
      </w:r>
      <w:r>
        <w:rPr>
          <w:rFonts w:ascii="Arial" w:cs="Arial" w:eastAsia="Arial" w:hAnsi="Arial"/>
          <w:sz w:val="16"/>
          <w:szCs w:val="16"/>
          <w:b w:val="1"/>
          <w:bCs w:val="1"/>
          <w:color w:val="auto"/>
        </w:rPr>
        <w:t xml:space="preserve"> </w:t>
      </w:r>
      <w:r>
        <w:rPr>
          <w:rFonts w:ascii="Arial" w:cs="Arial" w:eastAsia="Arial" w:hAnsi="Arial"/>
          <w:sz w:val="16"/>
          <w:szCs w:val="16"/>
          <w:color w:val="auto"/>
        </w:rPr>
        <w:t>San Francisco, California. The remaining lease term of the office lease is three years and two months as of December 31, 2020, and the discount rate used to calculate the Company’s right of use asset and lease liability is 4.25%. There are no other leases as of December 31, 2020 and 2019.</w:t>
      </w:r>
    </w:p>
    <w:p>
      <w:pPr>
        <w:spacing w:after="0" w:line="37"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balance of the operating lease right of use assets were $1,877 and $2,353, respectively, and the related operating lease liability were $2,439 and $2,364, respectively, as shown in the accompanying balance sheets.</w:t>
      </w:r>
    </w:p>
    <w:p>
      <w:pPr>
        <w:spacing w:after="0" w:line="62" w:lineRule="exact"/>
        <w:rPr>
          <w:rFonts w:ascii="Arial" w:cs="Arial" w:eastAsia="Arial" w:hAnsi="Arial"/>
          <w:sz w:val="18"/>
          <w:szCs w:val="18"/>
          <w:b w:val="1"/>
          <w:bCs w:val="1"/>
          <w:color w:val="auto"/>
        </w:rPr>
      </w:pPr>
    </w:p>
    <w:p>
      <w:pPr>
        <w:ind w:left="444"/>
        <w:spacing w:after="0" w:line="352" w:lineRule="auto"/>
        <w:rPr>
          <w:rFonts w:ascii="Arial" w:cs="Arial" w:eastAsia="Arial" w:hAnsi="Arial"/>
          <w:sz w:val="18"/>
          <w:szCs w:val="18"/>
          <w:b w:val="1"/>
          <w:bCs w:val="1"/>
          <w:color w:val="auto"/>
        </w:rPr>
      </w:pPr>
      <w:r>
        <w:rPr>
          <w:rFonts w:ascii="Arial" w:cs="Arial" w:eastAsia="Arial" w:hAnsi="Arial"/>
          <w:sz w:val="17"/>
          <w:szCs w:val="17"/>
          <w:color w:val="auto"/>
        </w:rPr>
        <w:t>Related to the facility lease agreement, the Company entered into a letter of credit with a bank to deposit $51 as security rent deposit for the South San Francisco office. This amount is shown as other noncurrent assets in the accompanying balance sheets as of December 31, 2020 and 2019. Rent expense was $665 for the year ended December 31, 2020 and $623 for the year ended December 31, 2019.</w:t>
      </w:r>
    </w:p>
    <w:p>
      <w:pPr>
        <w:spacing w:after="0" w:line="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2020 and 2019 the Company paid a total of $734 and $529, respectively for the operating lease liability.</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119" w:name="page120"/>
    <w:bookmarkEnd w:id="11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Future minimum annual lease payments under the Company’s operating lease liabilities as of December 31, 2020 is as follows:</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Present value of operating lease obligations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331"/>
        </w:trPr>
        <w:tc>
          <w:tcPr>
            <w:tcW w:w="6560" w:type="dxa"/>
            <w:vAlign w:val="bottom"/>
            <w:gridSpan w:val="2"/>
          </w:tcPr>
          <w:p>
            <w:pPr>
              <w:spacing w:after="0"/>
              <w:rPr>
                <w:sz w:val="20"/>
                <w:szCs w:val="20"/>
                <w:color w:val="auto"/>
              </w:rPr>
            </w:pPr>
            <w:r>
              <w:rPr>
                <w:rFonts w:ascii="Arial" w:cs="Arial" w:eastAsia="Arial" w:hAnsi="Arial"/>
                <w:sz w:val="18"/>
                <w:szCs w:val="18"/>
                <w:color w:val="auto"/>
              </w:rPr>
              <w:t>Noncurrent operating lease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60"/>
        <w:spacing w:after="0" w:line="277" w:lineRule="auto"/>
        <w:rPr>
          <w:sz w:val="20"/>
          <w:szCs w:val="20"/>
          <w:color w:val="auto"/>
        </w:rPr>
      </w:pPr>
      <w:r>
        <w:rPr>
          <w:rFonts w:ascii="Arial" w:cs="Arial" w:eastAsia="Arial" w:hAnsi="Arial"/>
          <w:sz w:val="17"/>
          <w:szCs w:val="17"/>
          <w:b w:val="1"/>
          <w:bCs w:val="1"/>
          <w:color w:val="auto"/>
        </w:rPr>
        <w:t>Guarantees and Indemnifications</w:t>
      </w:r>
      <w:r>
        <w:rPr>
          <w:rFonts w:ascii="Arial" w:cs="Arial" w:eastAsia="Arial" w:hAnsi="Arial"/>
          <w:sz w:val="17"/>
          <w:szCs w:val="17"/>
          <w:color w:val="auto"/>
        </w:rPr>
        <w:t>—In the normal course of business, the Company enters into agreements that contain a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2020, and 2019, the Company does not have any material indemnification claims that were probable or reasonably possible and consequently has not recorded related liabilities.</w:t>
      </w:r>
    </w:p>
    <w:p>
      <w:pPr>
        <w:spacing w:after="0" w:line="60" w:lineRule="exact"/>
        <w:rPr>
          <w:sz w:val="20"/>
          <w:szCs w:val="20"/>
          <w:color w:val="auto"/>
        </w:rPr>
      </w:pPr>
    </w:p>
    <w:p>
      <w:pPr>
        <w:jc w:val="both"/>
        <w:ind w:left="444" w:right="220"/>
        <w:spacing w:after="0" w:line="289" w:lineRule="auto"/>
        <w:rPr>
          <w:sz w:val="20"/>
          <w:szCs w:val="20"/>
          <w:color w:val="auto"/>
        </w:rPr>
      </w:pPr>
      <w:r>
        <w:rPr>
          <w:rFonts w:ascii="Arial" w:cs="Arial" w:eastAsia="Arial" w:hAnsi="Arial"/>
          <w:sz w:val="17"/>
          <w:szCs w:val="17"/>
          <w:b w:val="1"/>
          <w:bCs w:val="1"/>
          <w:color w:val="auto"/>
        </w:rPr>
        <w:t xml:space="preserve">Legal Proceedings – </w:t>
      </w:r>
      <w:r>
        <w:rPr>
          <w:rFonts w:ascii="Arial" w:cs="Arial" w:eastAsia="Arial" w:hAnsi="Arial"/>
          <w:sz w:val="17"/>
          <w:szCs w:val="17"/>
          <w:color w:val="auto"/>
        </w:rPr>
        <w:t>From time to time, the Company may become involved in litigation relating to claims arising from the ordinary course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Management believes that there are no actions pending against the Company currently, the ultimate disposition of which would have a material adverse effect on the Company’s results of operations, financial condition or cash flows.</w:t>
      </w:r>
    </w:p>
    <w:p>
      <w:pPr>
        <w:spacing w:after="0" w:line="306"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2020, the Company was authorized to issue up to 135,936,731 shares of preferred stock at a par value of $0.001.</w:t>
      </w:r>
    </w:p>
    <w:p>
      <w:pPr>
        <w:spacing w:after="0" w:line="128"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authorized, issued and outstanding shares of the convertible preferred stock and liquidation preferences at December 31, 2020 and 2019 were as follows (in thousands except share and per share amounts):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428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220" w:type="dxa"/>
            <w:vAlign w:val="bottom"/>
          </w:tcPr>
          <w:p>
            <w:pPr>
              <w:spacing w:after="0"/>
              <w:rPr>
                <w:sz w:val="16"/>
                <w:szCs w:val="16"/>
                <w:color w:val="auto"/>
              </w:rPr>
            </w:pPr>
          </w:p>
        </w:tc>
        <w:tc>
          <w:tcPr>
            <w:tcW w:w="8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6"/>
                <w:szCs w:val="16"/>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Proceeds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20"/>
        </w:trPr>
        <w:tc>
          <w:tcPr>
            <w:tcW w:w="428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Liquidation</w:t>
            </w:r>
          </w:p>
        </w:tc>
        <w:tc>
          <w:tcPr>
            <w:tcW w:w="1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Authorized</w:t>
            </w:r>
          </w:p>
        </w:tc>
        <w:tc>
          <w:tcPr>
            <w:tcW w:w="2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Issuance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3"/>
        </w:trPr>
        <w:tc>
          <w:tcPr>
            <w:tcW w:w="4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17,000,000</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25,186,738</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25,186,738</w:t>
            </w:r>
          </w:p>
        </w:tc>
        <w:tc>
          <w:tcPr>
            <w:tcW w:w="22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25,187</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24,943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93,749,993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72,499,993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57,489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135,936,731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114,686,731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100,187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99,414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right"/>
              <w:ind w:right="96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120" w:name="page121"/>
    <w:bookmarkEnd w:id="1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Pr>
          <w:p>
            <w:pPr>
              <w:spacing w:after="0"/>
              <w:rPr>
                <w:sz w:val="16"/>
                <w:szCs w:val="16"/>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Proceeds</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3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Liquidation</w:t>
            </w: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Net of</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1"/>
        </w:trPr>
        <w:tc>
          <w:tcPr>
            <w:tcW w:w="4500" w:type="dxa"/>
            <w:vAlign w:val="bottom"/>
            <w:vMerge w:val="continue"/>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Issuance Cost</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3"/>
        </w:trPr>
        <w:tc>
          <w:tcPr>
            <w:tcW w:w="4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17,000,000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17,000,000</w:t>
            </w:r>
          </w:p>
        </w:tc>
        <w:tc>
          <w:tcPr>
            <w:tcW w:w="40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$ 16,982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Series B</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72,293,000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25,186,738</w:t>
            </w:r>
          </w:p>
        </w:tc>
        <w:tc>
          <w:tcPr>
            <w:tcW w:w="4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25,187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24,943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57,938,000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28,749,997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147,231,000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70,936,735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65,187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64,680</w:t>
            </w:r>
          </w:p>
        </w:tc>
        <w:tc>
          <w:tcPr>
            <w:tcW w:w="2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$ 51,972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October 2011, the Company received a commitment from its venture investor for a Series A Preferred Stock financing totaling $10 million to</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 taken down in two tranches of $5 million each. Upon execution of the stock purchase agreement, the Company received the first tranche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$5 million, which included $2,399 in cash proceeds and the conversion of notes payable and accrued interest totaling $2,601 for issuing 5,000,000</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of its Series A Preferred Stock. In June 2012, the Company received cash proceeds of $5 million related to the second tranche of the Series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Preferred Stock financing from the issuance of 5,000,000 shares of Series A Preferred Stock.</w:t>
      </w:r>
    </w:p>
    <w:p>
      <w:pPr>
        <w:spacing w:after="0" w:line="103"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In August 2015, the Company issued an additional 2,000,000 shares of Series A Preferred Stock to its venture investor for cash proceeds of $2 million.</w:t>
      </w:r>
    </w:p>
    <w:p>
      <w:pPr>
        <w:spacing w:after="0" w:line="62"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In September 2016, the Company issued an additional 5,000,000 shares of Series A Preferred Stock to its venture investor for cash proceeds of $5 million.</w:t>
      </w:r>
    </w:p>
    <w:p>
      <w:pPr>
        <w:spacing w:after="0" w:line="62" w:lineRule="exact"/>
        <w:rPr>
          <w:sz w:val="20"/>
          <w:szCs w:val="20"/>
          <w:color w:val="auto"/>
        </w:rPr>
      </w:pPr>
    </w:p>
    <w:p>
      <w:pPr>
        <w:ind w:left="440" w:right="100"/>
        <w:spacing w:after="0" w:line="291" w:lineRule="auto"/>
        <w:rPr>
          <w:sz w:val="20"/>
          <w:szCs w:val="20"/>
          <w:color w:val="auto"/>
        </w:rPr>
      </w:pPr>
      <w:r>
        <w:rPr>
          <w:rFonts w:ascii="Arial" w:cs="Arial" w:eastAsia="Arial" w:hAnsi="Arial"/>
          <w:sz w:val="16"/>
          <w:szCs w:val="16"/>
          <w:color w:val="auto"/>
        </w:rPr>
        <w:t>In February 2018, the Company issued 25,186,738 shares of Series B Preferred Stock for $1.00 per share in connection with the closing of the Series B Preferred Stock Purchase Agreement. The Company’s convertible notes of $8.0 million and accrued interest was converted as part of the Series B offering. Investors in the Series B convertible preferred stock financing also received freestanding rights to purchase additional shares of Series B convertible preferred stock on the same terms as the first closing upon completion of certain defined milestones or waiver of the milestones by the holders of at least 67% of the outstanding convertible preferred stock, voting as a single class on an as converted basis. In August 2018, the terms of the Series B Agreement were amended. The amendment allowed for the purchase of Series B-1 shares at a price of $0.80 per share based upon the completion of certain amended milestones. These milestones are as follows: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Second Tranche Milestones:</w:t>
      </w:r>
    </w:p>
    <w:p>
      <w:pPr>
        <w:spacing w:after="0" w:line="131" w:lineRule="exact"/>
        <w:rPr>
          <w:sz w:val="20"/>
          <w:szCs w:val="20"/>
          <w:color w:val="auto"/>
        </w:rPr>
      </w:pPr>
    </w:p>
    <w:p>
      <w:pPr>
        <w:ind w:left="960" w:right="26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Clearance by the U.S. Food and Drug Administration of the filing by the Company of an investigational new drug application (IND) for PPARα antagonist.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Selection of an EP2/EP4 dual antagonist DC.</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Third Tranche Milestones:</w:t>
      </w:r>
    </w:p>
    <w:p>
      <w:pPr>
        <w:spacing w:after="0" w:line="131" w:lineRule="exact"/>
        <w:rPr>
          <w:sz w:val="20"/>
          <w:szCs w:val="20"/>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Demonstration of safety/tolerability and clinical Proof of Mechanism with PPARα antagonist.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Single additional program having a data package that is sufficient for submitting an IND.</w:t>
      </w:r>
    </w:p>
    <w:p>
      <w:pPr>
        <w:spacing w:after="0" w:line="117"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The investors’ rights to purchase Series B and B-1 convertible preferred stock represent a freestanding financial instrument accounted for as a liability measured at fair value at inception and remeasured at fair value each reporting date. Based on the probability vs. 100% of the milestones for the purchase of Series B-1 shares as of December 31, 2019, this resulted in a fair value of $0 at such date. Changes in fair value are recognized in the statement of operations. The proceeds from the initial closing of the Series B convertible preferred stock of $25.2 million were allocated to the convertible preferred stock tranche liability at its initial fair value of $12.7 million with the remaining amount allocated to the carrying value of the Series B convertible preferred stock. The fair value of the convertible preferred stock tranche liability was determined using an option pricing model approach.</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65" w:right="439" w:bottom="1440" w:gutter="0" w:footer="0" w:header="0"/>
        </w:sectPr>
      </w:pPr>
    </w:p>
    <w:bookmarkStart w:id="121" w:name="page122"/>
    <w:bookmarkEnd w:id="121"/>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February 2019, the Company issued 28,749,997 shares of Series B-1 preferred stock for $0.80 per share for total cash proceeds of $23 million.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January 2020, the Company issued 43,749,996 shares of Series B-1 preferred stock for $0.80 per share for total cash proceeds of $35 million.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significant rights, preferences, and privileges of the convertible preferred stock as of December 31, 2020 were as follows:</w:t>
      </w:r>
    </w:p>
    <w:p>
      <w:pPr>
        <w:spacing w:after="0" w:line="117" w:lineRule="exact"/>
        <w:rPr>
          <w:sz w:val="20"/>
          <w:szCs w:val="20"/>
          <w:color w:val="auto"/>
        </w:rPr>
      </w:pPr>
    </w:p>
    <w:p>
      <w:pPr>
        <w:ind w:left="444" w:right="80"/>
        <w:spacing w:after="0" w:line="25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holders of the Company’s convertible preferred stock are entitled to receive noncumulative dividends of 8% per share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for stock splits, combinations, and reorganizations) per annum on each outstanding share of Series convertible preferred stock. Such dividends shall be payable only when and if declared by the Board of Directors. As of December 31, 2020, and 2019, the Company’s Board of Directors had not declared any dividends. Dividends on convertible preferred stock shall be payable in preference to and prior to any payments of any dividends on common stock. No dividends have been declared to date.</w:t>
      </w:r>
    </w:p>
    <w:p>
      <w:pPr>
        <w:spacing w:after="0" w:line="80"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—The Company’s preferred stock is convertible, at the option of the holder into an equal number of shares of common stock,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of the holder, subject to certain anti-dilution adjustments.</w:t>
      </w:r>
    </w:p>
    <w:p>
      <w:pPr>
        <w:spacing w:after="0" w:line="62" w:lineRule="exact"/>
        <w:rPr>
          <w:sz w:val="20"/>
          <w:szCs w:val="20"/>
          <w:color w:val="auto"/>
        </w:rPr>
      </w:pPr>
    </w:p>
    <w:p>
      <w:pPr>
        <w:ind w:left="444" w:right="120"/>
        <w:spacing w:after="0" w:line="259" w:lineRule="auto"/>
        <w:rPr>
          <w:sz w:val="20"/>
          <w:szCs w:val="20"/>
          <w:color w:val="auto"/>
        </w:rPr>
      </w:pPr>
      <w:r>
        <w:rPr>
          <w:rFonts w:ascii="Arial" w:cs="Arial" w:eastAsia="Arial" w:hAnsi="Arial"/>
          <w:sz w:val="18"/>
          <w:szCs w:val="18"/>
          <w:color w:val="auto"/>
        </w:rPr>
        <w:t>Each share of preferred stock is automatically converted into common stock immediately upon (i) the Company’s sale of its common stock in a firm commitment underwritten public offering pursuant to a registration statement under the Securities Act of 1933, as amended, in which per share price is at least $3.00 (as adjusted), and the gross cash proceeds are at least $50 million or (ii) the affirmative vote of the requisite preferred holders.</w:t>
      </w:r>
    </w:p>
    <w:p>
      <w:pPr>
        <w:spacing w:after="0" w:line="79"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The conversion of Series B shares, either at the option of the holder or automatically, requires the prior vote or consent of the holders of at least 70% of the Series B preferred stock.</w:t>
      </w:r>
    </w:p>
    <w:p>
      <w:pPr>
        <w:spacing w:after="0" w:line="62"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—The holders of preferred stock are entitled to one vote for each share of common stock into which such preferred stock could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and with respect to such vote, such holder shall have full voting rights and powers equal to the voting rights and powers of the holders of common stock.</w:t>
      </w:r>
    </w:p>
    <w:p>
      <w:pPr>
        <w:spacing w:after="0" w:line="76" w:lineRule="exact"/>
        <w:rPr>
          <w:sz w:val="20"/>
          <w:szCs w:val="20"/>
          <w:color w:val="auto"/>
        </w:rPr>
      </w:pPr>
    </w:p>
    <w:p>
      <w:pPr>
        <w:ind w:left="444" w:right="80"/>
        <w:spacing w:after="0" w:line="257"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—The holders of preferred stock are entitled to receive liquidation preferences at an amount per share of preferred stock equal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price plus all declared and unpaid dividends 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spacing w:after="0" w:line="80" w:lineRule="exact"/>
        <w:rPr>
          <w:sz w:val="20"/>
          <w:szCs w:val="20"/>
          <w:color w:val="auto"/>
        </w:rPr>
      </w:pPr>
    </w:p>
    <w:p>
      <w:pPr>
        <w:jc w:val="both"/>
        <w:ind w:left="444" w:right="300"/>
        <w:spacing w:after="0" w:line="263" w:lineRule="auto"/>
        <w:rPr>
          <w:sz w:val="20"/>
          <w:szCs w:val="20"/>
          <w:color w:val="auto"/>
        </w:rPr>
      </w:pPr>
      <w:r>
        <w:rPr>
          <w:rFonts w:ascii="Arial" w:cs="Arial" w:eastAsia="Arial" w:hAnsi="Arial"/>
          <w:sz w:val="18"/>
          <w:szCs w:val="18"/>
          <w:b w:val="1"/>
          <w:bCs w:val="1"/>
          <w:i w:val="1"/>
          <w:iCs w:val="1"/>
          <w:color w:val="auto"/>
        </w:rPr>
        <w:t>Redemption and Balance Sheet Classification</w:t>
      </w:r>
      <w:r>
        <w:rPr>
          <w:rFonts w:ascii="Arial" w:cs="Arial" w:eastAsia="Arial" w:hAnsi="Arial"/>
          <w:sz w:val="18"/>
          <w:szCs w:val="18"/>
          <w:color w:val="auto"/>
        </w:rPr>
        <w:t>— The convertible preferred stock is recorded within mezzanine equity because while it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redeemable, it will become redeemable at the option of the stockholders upon the occurrence of certain deemed liquidation events that are considered not solely within the Company’s control.</w:t>
      </w:r>
    </w:p>
    <w:p>
      <w:pPr>
        <w:spacing w:after="0" w:line="328"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2020, the Company was authorized to issue 196,000,000 shares of common stock at a par value of $0.001. Of the</w:t>
      </w:r>
    </w:p>
    <w:p>
      <w:pPr>
        <w:spacing w:after="0" w:line="34" w:lineRule="exact"/>
        <w:rPr>
          <w:rFonts w:ascii="Arial" w:cs="Arial" w:eastAsia="Arial" w:hAnsi="Arial"/>
          <w:sz w:val="18"/>
          <w:szCs w:val="18"/>
          <w:b w:val="1"/>
          <w:bCs w:val="1"/>
          <w:color w:val="auto"/>
        </w:rPr>
      </w:pPr>
    </w:p>
    <w:p>
      <w:pPr>
        <w:ind w:left="444"/>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196,000,000 common stock shares authorized, 16,374,711 are legally issued and outstanding at December 31, 2020, with 900,509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122" w:name="page123"/>
    <w:bookmarkEnd w:id="122"/>
    <w:p>
      <w:pPr>
        <w:ind w:left="44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fair value of the shares of common stock has historically been determined by management and approved by the Board of Directors. Because there has been no public market for the Company’s common stock, the Board of Directors has determined the fair value of the common stock by considering a number of objective and subjective factors, including contemporaneous valuations performed by an unrelated third-party specialist, important developments in the Company’s operations, the prices at which the Company sold shares of convertible preferred common stock, the rights, privileges, and preferences of the Company’s convertible preferred stock relative to the Company’s common stock, valuations of comparable public companies, operating and financial performance, the lack of liquidity of capital stock, and general and industry-specific economic outlook. Valuations performed by the third-party valuation specialist used the methodologies, approaches, and assumptions consistent with the American Institute of Certified Public Accountants Accounting and Valuation Guide, Valuation of Privately-Held-Company Equity Securities Issued as Compensation (AICPA Accounting and Valuation Guide).</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had reserved common stock, on an as-converted basis for future issuance as follows: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1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93"/>
        </w:trPr>
        <w:tc>
          <w:tcPr>
            <w:tcW w:w="5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 Preferred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17,000,000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Conversion of Series B Preferred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25,186,738</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25,186,738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B-1 Preferred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72,499,993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28,749,997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Options available for grant under stock plan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15,211,101</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3,106,874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common stock upon exercise of stock options under stock plan</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14,042,429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8,227,470</w:t>
            </w:r>
          </w:p>
        </w:tc>
      </w:tr>
      <w:tr>
        <w:trPr>
          <w:trHeight w:val="223"/>
        </w:trPr>
        <w:tc>
          <w:tcPr>
            <w:tcW w:w="5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143,940,261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82,271,079</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121" w:lineRule="exact"/>
        <w:rPr>
          <w:rFonts w:ascii="Arial" w:cs="Arial" w:eastAsia="Arial" w:hAnsi="Arial"/>
          <w:sz w:val="18"/>
          <w:szCs w:val="18"/>
          <w:b w:val="1"/>
          <w:bCs w:val="1"/>
          <w:color w:val="auto"/>
        </w:rPr>
      </w:pPr>
    </w:p>
    <w:p>
      <w:pPr>
        <w:ind w:left="444"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2011 the Company adopted the 2011 Equity Incentive Plan, and in 2017, the Company adopted the 2017 Equity Incentive Plan, together “the Plans”. Upon adoption of the 2017 Equity Incentive Plan, the 2011 Equity Incentive Plan was terminated. Both the Plans provide for the granting of stock awards to employees, directors and consultants of the Company. Awards issuable under the Plans include incentive stock options (ISO), nonqualified stock options (NSO), stock appreciation rights (SAR), restricted stock awards, restricted stock unit awards and other stock awards.</w:t>
      </w:r>
    </w:p>
    <w:p>
      <w:pPr>
        <w:spacing w:after="0" w:line="49" w:lineRule="exact"/>
        <w:rPr>
          <w:rFonts w:ascii="Arial" w:cs="Arial" w:eastAsia="Arial" w:hAnsi="Arial"/>
          <w:sz w:val="18"/>
          <w:szCs w:val="18"/>
          <w:b w:val="1"/>
          <w:bCs w:val="1"/>
          <w:color w:val="auto"/>
        </w:rPr>
      </w:pPr>
    </w:p>
    <w:p>
      <w:pPr>
        <w:ind w:left="444"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Options to purchase the Company’s common stock may be granted at a price not less than the fair market value in the case of both NSOs and ISOs, except for an employee or non-employee with options who owns more than 10 percent of the voting power of all classes of stock of the Company, in which case the exercise price shall be no less than 110 percent of the fair market value per share on the grant date. Stock options granted under the Plans generally vest over four years and expire no later than ten (10) years from the date of grant. Vested options can be exercised at any time.</w:t>
      </w:r>
    </w:p>
    <w:p>
      <w:pPr>
        <w:spacing w:after="0" w:line="79" w:lineRule="exact"/>
        <w:rPr>
          <w:rFonts w:ascii="Arial" w:cs="Arial" w:eastAsia="Arial" w:hAnsi="Arial"/>
          <w:sz w:val="18"/>
          <w:szCs w:val="18"/>
          <w:b w:val="1"/>
          <w:bCs w:val="1"/>
          <w:color w:val="auto"/>
        </w:rPr>
      </w:pPr>
    </w:p>
    <w:p>
      <w:pPr>
        <w:ind w:left="444"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grant date fair market value of the shares of common stock underlying stock options has 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97"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4"/>
          </w:cols>
          <w:pgMar w:left="436" w:top="274" w:right="5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activity under the Plan is set forth below:</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left="5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Total Options</w:t>
            </w:r>
          </w:p>
        </w:tc>
        <w:tc>
          <w:tcPr>
            <w:tcW w:w="940" w:type="dxa"/>
            <w:vAlign w:val="bottom"/>
          </w:tcPr>
          <w:p>
            <w:pPr>
              <w:jc w:val="center"/>
              <w:ind w:left="3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Available</w:t>
            </w:r>
          </w:p>
        </w:tc>
        <w:tc>
          <w:tcPr>
            <w:tcW w:w="1140" w:type="dxa"/>
            <w:vAlign w:val="bottom"/>
            <w:gridSpan w:val="2"/>
            <w:vMerge w:val="continue"/>
          </w:tcPr>
          <w:p>
            <w:pPr>
              <w:spacing w:after="0"/>
              <w:rPr>
                <w:sz w:val="12"/>
                <w:szCs w:val="12"/>
                <w:color w:val="auto"/>
              </w:rPr>
            </w:pPr>
          </w:p>
        </w:tc>
        <w:tc>
          <w:tcPr>
            <w:tcW w:w="94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 Grant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Outstanding</w:t>
            </w:r>
          </w:p>
        </w:tc>
        <w:tc>
          <w:tcPr>
            <w:tcW w:w="940" w:type="dxa"/>
            <w:vAlign w:val="bottom"/>
          </w:tcPr>
          <w:p>
            <w:pPr>
              <w:jc w:val="center"/>
              <w:ind w:left="5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4,959,573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6,190,013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Additional shares authorized</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repurchased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(5,049,563)</w:t>
            </w:r>
          </w:p>
        </w:tc>
        <w:tc>
          <w:tcPr>
            <w:tcW w:w="880" w:type="dxa"/>
            <w:vAlign w:val="bottom"/>
          </w:tcPr>
          <w:p>
            <w:pPr>
              <w:jc w:val="right"/>
              <w:spacing w:after="0"/>
              <w:rPr>
                <w:sz w:val="20"/>
                <w:szCs w:val="20"/>
                <w:color w:val="auto"/>
              </w:rPr>
            </w:pPr>
            <w:r>
              <w:rPr>
                <w:rFonts w:ascii="Arial" w:cs="Arial" w:eastAsia="Arial" w:hAnsi="Arial"/>
                <w:sz w:val="18"/>
                <w:szCs w:val="18"/>
                <w:color w:val="auto"/>
              </w:rPr>
              <w:t>5,049,563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(290,410)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Cancelled and forfeited</w:t>
            </w:r>
          </w:p>
        </w:tc>
        <w:tc>
          <w:tcPr>
            <w:tcW w:w="880" w:type="dxa"/>
            <w:vAlign w:val="bottom"/>
          </w:tcPr>
          <w:p>
            <w:pPr>
              <w:jc w:val="right"/>
              <w:spacing w:after="0"/>
              <w:rPr>
                <w:sz w:val="20"/>
                <w:szCs w:val="20"/>
                <w:color w:val="auto"/>
              </w:rPr>
            </w:pPr>
            <w:r>
              <w:rPr>
                <w:rFonts w:ascii="Arial" w:cs="Arial" w:eastAsia="Arial" w:hAnsi="Arial"/>
                <w:sz w:val="18"/>
                <w:szCs w:val="18"/>
                <w:color w:val="auto"/>
              </w:rPr>
              <w:t>2,721,696</w:t>
            </w:r>
          </w:p>
        </w:tc>
        <w:tc>
          <w:tcPr>
            <w:tcW w:w="4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(2,721,696)</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3,106,874</w:t>
            </w: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8,227,470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Additional shares authorized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18,366,565</w:t>
            </w:r>
          </w:p>
        </w:tc>
        <w:tc>
          <w:tcPr>
            <w:tcW w:w="48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(6,971,754)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6,971,754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(447,379)</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 and 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709,416</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(709,416)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15,211,101</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14,042,429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40" w:type="dxa"/>
            <w:vAlign w:val="bottom"/>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360" w:type="dxa"/>
            <w:vAlign w:val="bottom"/>
          </w:tcPr>
          <w:p>
            <w:pPr>
              <w:spacing w:after="0"/>
              <w:rPr>
                <w:sz w:val="17"/>
                <w:szCs w:val="17"/>
                <w:color w:val="auto"/>
              </w:rPr>
            </w:pPr>
          </w:p>
        </w:tc>
        <w:tc>
          <w:tcPr>
            <w:tcW w:w="760" w:type="dxa"/>
            <w:vAlign w:val="bottom"/>
          </w:tcPr>
          <w:p>
            <w:pPr>
              <w:jc w:val="center"/>
              <w:ind w:right="275"/>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7"/>
                <w:szCs w:val="17"/>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27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14,042,429</w:t>
            </w:r>
          </w:p>
        </w:tc>
        <w:tc>
          <w:tcPr>
            <w:tcW w:w="14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2740" w:type="dxa"/>
            <w:vAlign w:val="bottom"/>
          </w:tcPr>
          <w:p>
            <w:pPr>
              <w:jc w:val="right"/>
              <w:ind w:right="175"/>
              <w:spacing w:after="0"/>
              <w:rPr>
                <w:sz w:val="20"/>
                <w:szCs w:val="20"/>
                <w:color w:val="auto"/>
              </w:rPr>
            </w:pPr>
            <w:r>
              <w:rPr>
                <w:rFonts w:ascii="Arial" w:cs="Arial" w:eastAsia="Arial" w:hAnsi="Arial"/>
                <w:sz w:val="18"/>
                <w:szCs w:val="18"/>
                <w:color w:val="auto"/>
              </w:rPr>
              <w:t>12,911,246</w:t>
            </w:r>
          </w:p>
        </w:tc>
        <w:tc>
          <w:tcPr>
            <w:tcW w:w="1420" w:type="dxa"/>
            <w:vAlign w:val="bottom"/>
          </w:tcPr>
          <w:p>
            <w:pPr>
              <w:jc w:val="right"/>
              <w:ind w:right="201"/>
              <w:spacing w:after="0"/>
              <w:rPr>
                <w:sz w:val="20"/>
                <w:szCs w:val="20"/>
                <w:color w:val="auto"/>
              </w:rPr>
            </w:pPr>
            <w:r>
              <w:rPr>
                <w:rFonts w:ascii="Arial" w:cs="Arial" w:eastAsia="Arial" w:hAnsi="Arial"/>
                <w:sz w:val="18"/>
                <w:szCs w:val="18"/>
                <w:color w:val="auto"/>
              </w:rPr>
              <w:t>8.75</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0.17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2,022,623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27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3,805,570</w:t>
            </w:r>
          </w:p>
        </w:tc>
        <w:tc>
          <w:tcPr>
            <w:tcW w:w="14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intrinsic value of options exercised during 2020 and 2019 was $16,408 and zero, respectively, and is calculated based on the difference between the exercise price and the fair value of the Company common stock as of the exercise date.</w:t>
      </w:r>
    </w:p>
    <w:p>
      <w:pPr>
        <w:spacing w:after="0" w:line="58"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Employee Stock Options</w:t>
      </w:r>
      <w:r>
        <w:rPr>
          <w:rFonts w:ascii="Arial" w:cs="Arial" w:eastAsia="Arial" w:hAnsi="Arial"/>
          <w:sz w:val="16"/>
          <w:szCs w:val="16"/>
          <w:color w:val="auto"/>
        </w:rPr>
        <w:t>—During the years ended December 31, 2020 and 2019, the Company granted stock options to employees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6,524,854 and 4,722,063, shares of common stock with a weighted-average grant date fair value of $0.11 and $0.09 per share, respectively.</w:t>
      </w:r>
    </w:p>
    <w:p>
      <w:pPr>
        <w:spacing w:after="0" w:line="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2020, there was total unrecognized compensation costs related to unvested employee stock options of $942. These costs are expected to be recognized over a weighted-average period of approximately 1.6 years.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range of assumptions during 2020:</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tcPr>
          <w:p>
            <w:pPr>
              <w:jc w:val="right"/>
              <w:spacing w:after="0"/>
              <w:rPr>
                <w:sz w:val="20"/>
                <w:szCs w:val="20"/>
                <w:color w:val="auto"/>
              </w:rPr>
            </w:pPr>
            <w:r>
              <w:rPr>
                <w:rFonts w:ascii="Arial" w:cs="Arial" w:eastAsia="Arial" w:hAnsi="Arial"/>
                <w:sz w:val="18"/>
                <w:szCs w:val="18"/>
                <w:color w:val="auto"/>
              </w:rPr>
              <w:t>62%–66%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0.4%–0.5%</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Dividends</w:t>
            </w:r>
          </w:p>
        </w:tc>
        <w:tc>
          <w:tcPr>
            <w:tcW w:w="33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 of historical exercise history, the expected term of the</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0"/>
          </w:cols>
          <w:pgMar w:left="880" w:top="274" w:right="5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employee stock options has been determined utilizing the simplified method for awards that qualify as plain-vanilla options.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5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Non-Employee Stock Options</w:t>
      </w:r>
      <w:r>
        <w:rPr>
          <w:rFonts w:ascii="Arial" w:cs="Arial" w:eastAsia="Arial" w:hAnsi="Arial"/>
          <w:sz w:val="18"/>
          <w:szCs w:val="18"/>
          <w:color w:val="auto"/>
        </w:rPr>
        <w:t>—During the years ended December 31, 2020 and 2019, the Company granted stock options to non-employees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446,900 and 327,500 shares of common stock, respectively. During 2019 the fair value of stock options granted to non-employees was calculated at each vesting date. Upon the Company’s adoption of ASU No. 2018-07 all unvested shares were valued as of January 1, 2020 and all subsequent options were valued at the grant date.</w:t>
      </w:r>
    </w:p>
    <w:p>
      <w:pPr>
        <w:spacing w:after="0" w:line="7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December 31, 2020, there was total unrecognized compensation costs related to unvested non-employee stock options of $33. These costs are expected to be recognized over a weighted-average period of approximately 0.7 years.</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non-employee stock options is being amortized on the straight-line basis over the requisite service period of the awards. The fair value of non-employee stock options was estimated using the following range of assumptions during 2020:</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tcPr>
          <w:p>
            <w:pPr>
              <w:jc w:val="right"/>
              <w:spacing w:after="0"/>
              <w:rPr>
                <w:sz w:val="20"/>
                <w:szCs w:val="20"/>
                <w:color w:val="auto"/>
              </w:rPr>
            </w:pPr>
            <w:r>
              <w:rPr>
                <w:rFonts w:ascii="Arial" w:cs="Arial" w:eastAsia="Arial" w:hAnsi="Arial"/>
                <w:sz w:val="18"/>
                <w:szCs w:val="18"/>
                <w:color w:val="auto"/>
              </w:rPr>
              <w:t>64%–65%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Dividends</w:t>
            </w:r>
          </w:p>
        </w:tc>
        <w:tc>
          <w:tcPr>
            <w:tcW w:w="32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valued its non-employee stock options using the contractual term as the expected term.</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58"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Restricted Stock</w:t>
      </w:r>
      <w:r>
        <w:rPr>
          <w:rFonts w:ascii="Arial" w:cs="Arial" w:eastAsia="Arial" w:hAnsi="Arial"/>
          <w:sz w:val="17"/>
          <w:szCs w:val="17"/>
          <w:color w:val="auto"/>
        </w:rPr>
        <w:t>—In 2011 the Company sold 2,440,000 shares of common stock to founders at $0.001 per share, that were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restrictions. During 2017 the Company modified the vesting schedules of 1,406,673 of these shares, 666,667 of which affected one employee and 740,006 affected 21 non-employees. The modifications provided for a four-year vesting schedule for shares that were not previously expected to vest. The modifications were accounted for as cancellations and re-issuance of shares.</w:t>
      </w:r>
    </w:p>
    <w:p>
      <w:pPr>
        <w:spacing w:after="0" w:line="10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80"/>
          </w:cols>
          <w:pgMar w:left="880" w:top="274" w:right="539" w:bottom="1440" w:gutter="0" w:footer="0" w:header="0"/>
        </w:sectPr>
      </w:pPr>
    </w:p>
    <w:bookmarkStart w:id="125" w:name="page126"/>
    <w:bookmarkEnd w:id="125"/>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to employees and non-employees are valued based on an estimate of the Company’s common stock price on the grant date.</w:t>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activity of the unvested restricted stock during 2020 and 2019 is as follows:</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balance—January 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853,551</w:t>
            </w:r>
          </w:p>
        </w:tc>
        <w:tc>
          <w:tcPr>
            <w:tcW w:w="120" w:type="dxa"/>
            <w:vAlign w:val="bottom"/>
            <w:shd w:val="clear" w:color="auto" w:fill="CCEEFF"/>
          </w:tcPr>
          <w:p>
            <w:pPr>
              <w:spacing w:after="0"/>
              <w:rPr>
                <w:sz w:val="18"/>
                <w:szCs w:val="18"/>
                <w:color w:val="auto"/>
              </w:rPr>
            </w:pPr>
          </w:p>
        </w:tc>
      </w:tr>
      <w:tr>
        <w:trPr>
          <w:trHeight w:val="324"/>
        </w:trPr>
        <w:tc>
          <w:tcPr>
            <w:tcW w:w="6580" w:type="dxa"/>
            <w:vAlign w:val="bottom"/>
          </w:tcPr>
          <w:p>
            <w:pPr>
              <w:ind w:left="360"/>
              <w:spacing w:after="0"/>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(288,057)</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(79,309)</w:t>
            </w:r>
          </w:p>
        </w:tc>
      </w:tr>
      <w:tr>
        <w:trPr>
          <w:trHeight w:val="331"/>
        </w:trPr>
        <w:tc>
          <w:tcPr>
            <w:tcW w:w="6580" w:type="dxa"/>
            <w:vAlign w:val="bottom"/>
          </w:tcPr>
          <w:p>
            <w:pPr>
              <w:spacing w:after="0"/>
              <w:rPr>
                <w:sz w:val="20"/>
                <w:szCs w:val="20"/>
                <w:color w:val="auto"/>
              </w:rPr>
            </w:pPr>
            <w:r>
              <w:rPr>
                <w:rFonts w:ascii="Arial" w:cs="Arial" w:eastAsia="Arial" w:hAnsi="Arial"/>
                <w:sz w:val="18"/>
                <w:szCs w:val="18"/>
                <w:color w:val="auto"/>
              </w:rPr>
              <w:t>Unvested balance—December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486,185</w:t>
            </w:r>
          </w:p>
        </w:tc>
        <w:tc>
          <w:tcPr>
            <w:tcW w:w="120" w:type="dxa"/>
            <w:vAlign w:val="bottom"/>
          </w:tcPr>
          <w:p>
            <w:pPr>
              <w:spacing w:after="0"/>
              <w:rPr>
                <w:sz w:val="24"/>
                <w:szCs w:val="24"/>
                <w:color w:val="auto"/>
              </w:rPr>
            </w:pPr>
          </w:p>
        </w:tc>
      </w:tr>
      <w:tr>
        <w:trPr>
          <w:trHeight w:val="108"/>
        </w:trPr>
        <w:tc>
          <w:tcPr>
            <w:tcW w:w="6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(486,185)</w:t>
            </w:r>
          </w:p>
        </w:tc>
      </w:tr>
      <w:tr>
        <w:trPr>
          <w:trHeight w:val="331"/>
        </w:trPr>
        <w:tc>
          <w:tcPr>
            <w:tcW w:w="6580" w:type="dxa"/>
            <w:vAlign w:val="bottom"/>
          </w:tcPr>
          <w:p>
            <w:pPr>
              <w:spacing w:after="0"/>
              <w:rPr>
                <w:sz w:val="20"/>
                <w:szCs w:val="20"/>
                <w:color w:val="auto"/>
              </w:rPr>
            </w:pPr>
            <w:r>
              <w:rPr>
                <w:rFonts w:ascii="Arial" w:cs="Arial" w:eastAsia="Arial" w:hAnsi="Arial"/>
                <w:sz w:val="18"/>
                <w:szCs w:val="18"/>
                <w:color w:val="auto"/>
              </w:rPr>
              <w:t>Unvested balance—December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r>
      <w:tr>
        <w:trPr>
          <w:trHeight w:val="20"/>
        </w:trPr>
        <w:tc>
          <w:tcPr>
            <w:tcW w:w="6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stock-based compensation related to restricted stock has been recognized as of December 31, 2020.</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—The following table summarizes the components of stock-based compensation expense recognized in the</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Company’s statement of operations during 2020 and 2019:</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Arial" w:cs="Arial" w:eastAsia="Arial" w:hAnsi="Arial"/>
                <w:sz w:val="14"/>
                <w:szCs w:val="14"/>
                <w:b w:val="1"/>
                <w:bCs w:val="1"/>
                <w:color w:val="auto"/>
              </w:rPr>
              <w:t>Share Based Compensation</w:t>
            </w:r>
          </w:p>
        </w:tc>
        <w:tc>
          <w:tcPr>
            <w:tcW w:w="2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93"/>
        </w:trPr>
        <w:tc>
          <w:tcPr>
            <w:tcW w:w="4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$ 389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$ 191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64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r>
      <w:tr>
        <w:trPr>
          <w:trHeight w:val="115"/>
        </w:trPr>
        <w:tc>
          <w:tcPr>
            <w:tcW w:w="44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16"/>
        </w:trPr>
        <w:tc>
          <w:tcPr>
            <w:tcW w:w="448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$ 453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$ 310</w:t>
            </w:r>
          </w:p>
        </w:tc>
      </w:tr>
      <w:tr>
        <w:trPr>
          <w:trHeight w:val="20"/>
        </w:trPr>
        <w:tc>
          <w:tcPr>
            <w:tcW w:w="4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100"/>
        <w:spacing w:after="0" w:line="258" w:lineRule="auto"/>
        <w:rPr>
          <w:sz w:val="20"/>
          <w:szCs w:val="20"/>
          <w:color w:val="auto"/>
        </w:rPr>
      </w:pPr>
      <w:r>
        <w:rPr>
          <w:rFonts w:ascii="Arial" w:cs="Arial" w:eastAsia="Arial" w:hAnsi="Arial"/>
          <w:sz w:val="18"/>
          <w:szCs w:val="18"/>
          <w:b w:val="1"/>
          <w:bCs w:val="1"/>
          <w:color w:val="auto"/>
        </w:rPr>
        <w:t>Early Exercise Liability</w:t>
      </w:r>
      <w:r>
        <w:rPr>
          <w:rFonts w:ascii="Arial" w:cs="Arial" w:eastAsia="Arial" w:hAnsi="Arial"/>
          <w:sz w:val="18"/>
          <w:szCs w:val="18"/>
          <w:color w:val="auto"/>
        </w:rPr>
        <w:t>—Stock options may be exercised, and restricted stock may be purchased prior to the time that the awards have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such shares shall remain subject to repurchase until such time as they have vested. The right to repurchase these shares generally lapses over three to four years. As of December 31, 2020 and 2019, there were 900,509 and 3,193,307 unvested shares representing an early exercise liability of $79 and $241, respectively. The unvested shares purchased by the employees are not deemed, for accounting purposes, to be issued and outstanding.</w:t>
      </w:r>
    </w:p>
    <w:p>
      <w:pPr>
        <w:spacing w:after="0" w:line="332"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rFonts w:ascii="Arial" w:cs="Arial" w:eastAsia="Arial" w:hAnsi="Arial"/>
          <w:sz w:val="18"/>
          <w:szCs w:val="18"/>
          <w:b w:val="1"/>
          <w:bCs w:val="1"/>
          <w:color w:val="auto"/>
        </w:rPr>
      </w:pPr>
    </w:p>
    <w:p>
      <w:pPr>
        <w:ind w:left="444"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in 2020 and 2019.</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no provision for income taxes in 2020. This differs from the amounts computed by applying the statutory income tax rate of 21% to pre-tax loss primarily due to research credits generated and changes in the valuation allowance.</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provision (benefit) for income taxes consists of the following (in thousands):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5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Federal</w:t>
            </w:r>
          </w:p>
        </w:tc>
        <w:tc>
          <w:tcPr>
            <w:tcW w:w="3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Total Current</w:t>
            </w:r>
          </w:p>
        </w:tc>
        <w:tc>
          <w:tcPr>
            <w:tcW w:w="3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364"/>
        </w:trPr>
        <w:tc>
          <w:tcPr>
            <w:tcW w:w="2520" w:type="dxa"/>
            <w:vAlign w:val="bottom"/>
          </w:tcPr>
          <w:p>
            <w:pPr>
              <w:spacing w:after="0"/>
              <w:rPr>
                <w:sz w:val="24"/>
                <w:szCs w:val="24"/>
                <w:color w:val="auto"/>
              </w:rPr>
            </w:pPr>
          </w:p>
        </w:tc>
        <w:tc>
          <w:tcPr>
            <w:tcW w:w="3820" w:type="dxa"/>
            <w:vAlign w:val="bottom"/>
          </w:tcPr>
          <w:p>
            <w:pPr>
              <w:jc w:val="right"/>
              <w:ind w:right="19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4"/>
          </w:cols>
          <w:pgMar w:left="436" w:top="274" w:right="51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Deferred</w:t>
            </w:r>
          </w:p>
        </w:tc>
        <w:tc>
          <w:tcPr>
            <w:tcW w:w="1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2"/>
        </w:trPr>
        <w:tc>
          <w:tcPr>
            <w:tcW w:w="4380" w:type="dxa"/>
            <w:vAlign w:val="bottom"/>
            <w:vMerge w:val="continue"/>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provision (benefit) related to continuing operations differ from the amounts computed by applying the statutory income tax rate of 21% to pretax loss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U.S. Federal provision (benefit)</w:t>
            </w:r>
          </w:p>
        </w:tc>
        <w:tc>
          <w:tcPr>
            <w:tcW w:w="140" w:type="dxa"/>
            <w:vAlign w:val="bottom"/>
          </w:tcPr>
          <w:p>
            <w:pPr>
              <w:spacing w:after="0"/>
              <w:rPr>
                <w:sz w:val="14"/>
                <w:szCs w:val="14"/>
                <w:color w:val="auto"/>
              </w:rPr>
            </w:pPr>
          </w:p>
        </w:tc>
        <w:tc>
          <w:tcPr>
            <w:tcW w:w="18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(3,017)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State taxes</w:t>
            </w: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4,596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 credits</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at December 31, 2020 and 2019 are shown below.</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operating losses</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23,943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Amortization</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gross 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(29,073)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(22,677)</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331"/>
        </w:trPr>
        <w:tc>
          <w:tcPr>
            <w:tcW w:w="35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gross deferred tax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5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760" w:type="dxa"/>
            <w:vAlign w:val="bottom"/>
            <w:vMerge w:val="restart"/>
          </w:tcPr>
          <w:p>
            <w:pPr>
              <w:jc w:val="right"/>
              <w:ind w:right="191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880" w:top="265" w:right="799" w:bottom="1440" w:gutter="0" w:footer="0" w:header="0"/>
        </w:sectPr>
      </w:pPr>
    </w:p>
    <w:bookmarkStart w:id="127" w:name="page128"/>
    <w:bookmarkEnd w:id="127"/>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recorded a full valuation allowance against its net deferred tax assets due to the uncertainty as to whether such assets will be realized. The valuation allowance increased by $6.4 million from December 31, 2019 to December 31, 2020 due primarily to the generation of net operating losses and research and development credits.</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December 31, 2020, the Company has net operating loss carryforwards for federal and California income tax purposes of approximately $80.9 million and $80.3 million, respectively. As of December 31, 2019, the Company has net operating loss carryforwards for federal and California income tax purposes of approximately $62.9 million and $63.3 million, respectively.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federal and state net operating loss carryforwards begin to expire in 2031, if not utilized. Federal net operating losses of $40.0 million are not subject to expiration.</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2020, the Company also has federal and state research and development carryforwards of approximately $3.9 million and $1.9 million, respectively. As of December 31, 2019, the Company also has federal and state research and development carryforwards of approximately $3.1 million and $1.6 million, respectively. The federal credits begin to expire in 2031 and the state credits can be carried forward indefinitely.</w:t>
      </w:r>
    </w:p>
    <w:p>
      <w:pPr>
        <w:spacing w:after="0" w:line="7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2020. State net operating losses are being computed based on an alternate apportionment methodology. Amounts reported can change accordingly.</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2020, the Company has approximately $1.3 million in unrecognized tax benefits, excluding indirect tax effects. Of the total unrecognized tax benefits at December 31, 2020, $1.3 million was recorded as a reduction to deferred tax assets, which caused a corresponding reduction in the Company’s valuation allowance of $1.3 million. The Company does not anticipate that the amount of unrecognized tax benefits as of December 31, 2020 will change materially within the 12-month period following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activity relating to unrecognized tax benefits: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96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0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1,080</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860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increase - tax positions in prior periods</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periods</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increases - tax position in current period</w:t>
            </w: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200</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264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0"/>
        </w:trPr>
        <w:tc>
          <w:tcPr>
            <w:tcW w:w="6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practice is to recognize interest and/or penalties related to income tax matters in income tax expense. The Company had no accrual for interest and penalties on the accompanying balance sheet as of December 31, 2020 and has not recognized penalties and/or interest in the accompanying statement of operations for the year ended December 31, 2020.</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128" w:name="page129"/>
    <w:bookmarkEnd w:id="128"/>
    <w:p>
      <w:pPr>
        <w:ind w:left="444"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subject to taxation in the United States and various states. The Company’s tax years from inception are subject to examination by the IRS and state tax authorities due to the carryforward of unutilized net operating losses and research and development credits.</w:t>
      </w:r>
    </w:p>
    <w:p>
      <w:pPr>
        <w:spacing w:after="0" w:line="268"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computation of the Company’s basis in diluted net loss per share for the years ended December 31, 2020 and</w:t>
      </w:r>
    </w:p>
    <w:p>
      <w:pPr>
        <w:spacing w:after="0" w:line="46"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2019 (in thousands except share and per share amounts):</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(19,208)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(14,365)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16,184,669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15,924,843</w:t>
            </w: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Less: Weighted-average unvested restricted shares and shares subject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repurchase</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(1,645,491)</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(3,346,636)</w:t>
            </w: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w w:val="94"/>
              </w:rPr>
              <w:t>Weighted-average shares used to computing basic and diluted net loss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14,539,178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12,578,207</w:t>
            </w:r>
          </w:p>
        </w:tc>
      </w:tr>
      <w:tr>
        <w:trPr>
          <w:trHeight w:val="20"/>
        </w:trPr>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3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Net loss per share attributable to common stockholders - basic</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r>
      <w:tr>
        <w:trPr>
          <w:trHeight w:val="20"/>
        </w:trPr>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80"/>
        <w:spacing w:after="0" w:line="257" w:lineRule="auto"/>
        <w:rPr>
          <w:sz w:val="20"/>
          <w:szCs w:val="20"/>
          <w:color w:val="auto"/>
        </w:rPr>
      </w:pPr>
      <w:r>
        <w:rPr>
          <w:rFonts w:ascii="Arial" w:cs="Arial" w:eastAsia="Arial" w:hAnsi="Arial"/>
          <w:sz w:val="18"/>
          <w:szCs w:val="18"/>
          <w:color w:val="auto"/>
        </w:rPr>
        <w:t>As of December 31, 2020 and 2019, the Company’s potentially dilutive securities included preferred stock, unvested restricted stock and stock options, which have been excluded from the computation of diluted net loss per share attributable to common stockholders as the effect would be anti-dilutive. Based on the amounts outstanding as of December 31, 2020 and 2019, the Company excluded the following potential common shares from the computation of diluted net loss per share attributable to common stockholders because including them would have had an anti-dilutive effect:</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760" w:type="dxa"/>
            <w:vAlign w:val="bottom"/>
          </w:tcPr>
          <w:p>
            <w:pPr>
              <w:spacing w:after="0"/>
              <w:rPr>
                <w:sz w:val="12"/>
                <w:szCs w:val="12"/>
                <w:color w:val="auto"/>
              </w:rPr>
            </w:pPr>
          </w:p>
        </w:tc>
        <w:tc>
          <w:tcPr>
            <w:tcW w:w="116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17,000,000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25,186,738</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25,186,738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Series B-1 Preferred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72,499,993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28,749,997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14,042,429</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8,227,470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900,509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3,193,307</w:t>
            </w:r>
          </w:p>
        </w:tc>
      </w:tr>
      <w:tr>
        <w:trPr>
          <w:trHeight w:val="223"/>
        </w:trPr>
        <w:tc>
          <w:tcPr>
            <w:tcW w:w="5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129,629,669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82,357,512</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44"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occurring through May 10, 2021, the date when these financial statements are available to be issued.</w:t>
      </w:r>
    </w:p>
    <w:p>
      <w:pPr>
        <w:spacing w:after="0" w:line="58"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Term Loan</w:t>
      </w:r>
      <w:r>
        <w:rPr>
          <w:rFonts w:ascii="Arial" w:cs="Arial" w:eastAsia="Arial" w:hAnsi="Arial"/>
          <w:sz w:val="17"/>
          <w:szCs w:val="17"/>
          <w:color w:val="auto"/>
        </w:rPr>
        <w:t>—On January 15, 2021, the Company entered into a loan agreement with a lender to borrow a term loan amount of $35.0 million to be</w:t>
      </w:r>
      <w:r>
        <w:rPr>
          <w:rFonts w:ascii="Arial" w:cs="Arial" w:eastAsia="Arial" w:hAnsi="Arial"/>
          <w:sz w:val="17"/>
          <w:szCs w:val="17"/>
          <w:b w:val="1"/>
          <w:bCs w:val="1"/>
          <w:color w:val="auto"/>
        </w:rPr>
        <w:t xml:space="preserve"> </w:t>
      </w:r>
      <w:r>
        <w:rPr>
          <w:rFonts w:ascii="Arial" w:cs="Arial" w:eastAsia="Arial" w:hAnsi="Arial"/>
          <w:sz w:val="17"/>
          <w:szCs w:val="17"/>
          <w:color w:val="auto"/>
        </w:rPr>
        <w:t>funded in three tranches. Tranche A of $15.0 million was wired to the Company on January 15, 2021. Tranche B of $10.0 million will be available through March 31, 2022 contingent upon achievement of each of the following: i) receipt of at least $50,000,000 in Series C equity capital, ii) initiation of the Phase 1 combination study of TPST-1495 or monotherapy expansion study, and iii) initiation of Phase 2 trial of TPST-1120 or the 1L Triplet Collaboration study. And Tranche C of $10.0 million is available at lender’s option. The term loan matures on August 1, 2025 and has an annual floating interest rate of 7.15% which is an Index Rate plus 7%. Index Rate is the greater of (i) 30-day US LIBOR or (ii) 0.15%. Concurrent with the funding of an amount under each Tranche, the Company will</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129" w:name="page130"/>
    <w:bookmarkEnd w:id="12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the lender a warrant to purchase shares of Series B-1 preferred stock equal to 1% of the funded amount. For Tranche A, the Company issued 187,500 Series B-1 stock warrants. No Series B-1 preferred stock warrants have been issued for Trances B and C since those tranches have not been funded yet.</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Reverse Merger</w:t>
      </w:r>
      <w:r>
        <w:rPr>
          <w:rFonts w:ascii="Arial" w:cs="Arial" w:eastAsia="Arial" w:hAnsi="Arial"/>
          <w:sz w:val="18"/>
          <w:szCs w:val="18"/>
          <w:color w:val="auto"/>
        </w:rPr>
        <w:t>—On March 29, 2021, Tempest entered into an Agreement and Plan of Merger (the “Merger Agreement”) with Millendo</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or (“Millendo”), pursuant to which, among other things, subject to the satisfaction or waiver of the conditions set forth in the Merger Agreement, a wholly owned subsidiary of Millendo will merge with and into Tempest, with Tempest becoming a wholly-owned subsidiary of Millendo and the surviving corporation of the merger. At the closing of the merger, each outstanding share of Tempest’s capital stock (including preferred stock) will be converted into the right to receive shares of common stock of Millendo at a ratio whereby the equity holders of Tempest will become the majority owners (81.5%) of Millendo’s outstanding common stock on a full-diluted basis upon the close of the merger (the “Merger”).</w:t>
      </w:r>
    </w:p>
    <w:p>
      <w:pPr>
        <w:spacing w:after="0" w:line="85" w:lineRule="exact"/>
        <w:rPr>
          <w:sz w:val="20"/>
          <w:szCs w:val="20"/>
          <w:color w:val="auto"/>
        </w:rPr>
      </w:pPr>
    </w:p>
    <w:p>
      <w:pPr>
        <w:ind w:right="120" w:firstLine="423"/>
        <w:spacing w:after="0" w:line="271" w:lineRule="auto"/>
        <w:rPr>
          <w:sz w:val="20"/>
          <w:szCs w:val="20"/>
          <w:color w:val="auto"/>
        </w:rPr>
      </w:pPr>
      <w:r>
        <w:rPr>
          <w:rFonts w:ascii="Arial" w:cs="Arial" w:eastAsia="Arial" w:hAnsi="Arial"/>
          <w:sz w:val="17"/>
          <w:szCs w:val="17"/>
          <w:color w:val="auto"/>
        </w:rPr>
        <w:t>The Merger will be accounted for as a reverse recapitalization in accordance with U.S. GAAP. Under this method of accounting, Tempest will be deemed to be the accounting acquirer for financial reporting purposes. This determination was primarily based on the expectations that, immediately following the Merger: (1) Tempest stockholders will own substantial majority of the voting rights; (2) Tempest will designate a majority of the initial members of the board of directors of the combined organization; and (3) Tempest’s senior management will hold key positions in senior management of the combined organization. Accordingly, for accounting purposes, the Merger will be treated as the equivalent of Tempest issuing stock to acquire the net assets of Millendo. As a result of the Merger, the net assets of Millendo will be recorded at their acquisition-date fair value in the financial statements of Tempest and the reported operating results prior to the Merger will be those of Tempest. Any excess in consideration paid will be presented as cost of equity.</w:t>
      </w:r>
    </w:p>
    <w:p>
      <w:pPr>
        <w:spacing w:after="0" w:line="70" w:lineRule="exact"/>
        <w:rPr>
          <w:sz w:val="20"/>
          <w:szCs w:val="20"/>
          <w:color w:val="auto"/>
        </w:rPr>
      </w:pPr>
    </w:p>
    <w:p>
      <w:pPr>
        <w:jc w:val="both"/>
        <w:ind w:right="380" w:firstLine="423"/>
        <w:spacing w:after="0" w:line="263" w:lineRule="auto"/>
        <w:rPr>
          <w:sz w:val="20"/>
          <w:szCs w:val="20"/>
          <w:color w:val="auto"/>
        </w:rPr>
      </w:pPr>
      <w:r>
        <w:rPr>
          <w:rFonts w:ascii="Arial" w:cs="Arial" w:eastAsia="Arial" w:hAnsi="Arial"/>
          <w:sz w:val="18"/>
          <w:szCs w:val="18"/>
          <w:color w:val="auto"/>
        </w:rPr>
        <w:t>Concurrent with the execution and delivery of the Merger Agreement, Tempest entered into Funding Agreements with certain investors named therein, pursuant to which the investors agreed to purchase, in the aggregate, $30.0 million of Tempest common stock convertible into securities of Millendo.</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On March 29, 2021, Millendo Therapeutics, Inc., a Delaware corporation (“Millendo”), Tempest Therapeutics, Inc., a Delaware corporation (“Tempest”), and Mars Merger Sub, a Delaware corporation and a wholly-owned subsidiary of Millendo (“Merger Sub”) entered into an agreement and plan of merger (the “Merger Agreement”). Upon the terms and subject to the satisfaction or waiver of the conditions set forth in the Merger Agreement, including approval of the transaction by Millendo’s stockholders and Tempest’s stockholders, Merger Sub will merge with and into Tempest, with Tempest becoming a wholly-owned subsidiary of Millendo and the surviving corporation of the merger (the “Merger”). At the effective time of the Merger, or the Effective Time, Millendo will change its name to Tempest Therapeutics, Inc. (“Public Tempest”).</w:t>
      </w:r>
    </w:p>
    <w:p>
      <w:pPr>
        <w:spacing w:after="0" w:line="178"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At the effective time of the Merger (“Effective Time”), each share of Tempest’s common stock outstanding immediately prior to the Effective Time, including shares of Tempest’s common stock that are issued pursuant to the Pre-Closing Financing will be converted into the right to receive a number of shares of Millendo’s common stock based on agreed upon ratio by the parties (“the Exchange Ratio”). The Exchange Ratio was initially estimated to be 0.488 shares of Millendo’s common stock for each share of Tempest’s common stock, and is subject to change to account for, among other things, Millendo’s net cash as of the business day prior to the closing (the “Closing”) of the Merger. The Exchange Ratio also does not give effect to the proposed Millendo Reverse Stock Split (as defined below) because the proposed reverse stock split is a range and is not final. Each share of Tempest’s convertible preferred stock outstanding immediately prior to the Effective Time is expected to be converted into shares of Tempest’s common stock in accordance with its terms, which would then convert into the right to receive shares of Millendo’s common stock along with all other shares of Tempest’s common stock as described above. Under the Exchange Ratio formula in the Merger Agreement, the former Tempest equity holders immediately before the Effective Time are expected to own approximately 81.5% of the outstanding capital stock of Millendo on a fully-diluted basis, and the stockholders of Millendo immediately before the Effective Time are expected to own approximately 18.5% of the outstanding capital stock of Millendo on a fully-diluted basis, subject to adjustment based upon whether Millendo’s net cash at the closing of the Merger is greater than $18.7 million or less than $15.3 million and other potential adjustments.</w:t>
      </w:r>
    </w:p>
    <w:p>
      <w:pPr>
        <w:spacing w:after="0" w:line="18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 reverse stock split of Millendo’s common stock will be effectuated prior to the Closing at a ratio of between 1 to 10 and 1 to 15 (“Millendo Reverse Stock Split”)</w:t>
      </w:r>
    </w:p>
    <w:p>
      <w:pPr>
        <w:spacing w:after="0" w:line="170" w:lineRule="exact"/>
        <w:rPr>
          <w:sz w:val="20"/>
          <w:szCs w:val="20"/>
          <w:color w:val="auto"/>
        </w:rPr>
      </w:pPr>
    </w:p>
    <w:p>
      <w:pPr>
        <w:ind w:right="360" w:firstLine="440"/>
        <w:spacing w:after="0" w:line="296" w:lineRule="auto"/>
        <w:rPr>
          <w:sz w:val="20"/>
          <w:szCs w:val="20"/>
          <w:color w:val="auto"/>
        </w:rPr>
      </w:pPr>
      <w:r>
        <w:rPr>
          <w:rFonts w:ascii="Arial" w:cs="Arial" w:eastAsia="Arial" w:hAnsi="Arial"/>
          <w:sz w:val="16"/>
          <w:szCs w:val="16"/>
          <w:color w:val="auto"/>
        </w:rPr>
        <w:t>Because, among other things, the number of shares of Millendo’s common stock issuable to Tempest’s securityholders is determined based on Millendo’s net cash balance on the business day prior to the Closing and the capitalization of Tempest and Millendo at the Closing, Millendo’s securityholders cannot be certain of the exact number of shares that will be issued to (or reserved for issuance to) Tempest’s securityholders when Millendo’s stockholders vote on the proposals. The Exchange Ratio referenced above is an estimate only and the final Exchange Ratio will be determined pursuant to a formula described in more detail in the Merger Agreement and in this proxy statement/prospectus.</w:t>
      </w:r>
    </w:p>
    <w:p>
      <w:pPr>
        <w:spacing w:after="0" w:line="161" w:lineRule="exact"/>
        <w:rPr>
          <w:sz w:val="20"/>
          <w:szCs w:val="20"/>
          <w:color w:val="auto"/>
        </w:rPr>
      </w:pPr>
    </w:p>
    <w:p>
      <w:pPr>
        <w:jc w:val="both"/>
        <w:ind w:right="280" w:firstLine="440"/>
        <w:spacing w:after="0" w:line="286" w:lineRule="auto"/>
        <w:rPr>
          <w:sz w:val="20"/>
          <w:szCs w:val="20"/>
          <w:color w:val="auto"/>
        </w:rPr>
      </w:pPr>
      <w:r>
        <w:rPr>
          <w:rFonts w:ascii="Arial" w:cs="Arial" w:eastAsia="Arial" w:hAnsi="Arial"/>
          <w:sz w:val="17"/>
          <w:szCs w:val="17"/>
          <w:color w:val="auto"/>
        </w:rPr>
        <w:t>Concurrently with the execution and delivery of the Merger Agreement, certain parties have entered into agreements with Tempest, pursuant to which they have agreed, subject to terms and conditions of such agreements, to purchase prior to the consummation of the Merger shares of Tempest common stock for an aggregate purchase price of approximately $28.1 million, net of issuance costs of $1.9 million.</w:t>
      </w:r>
    </w:p>
    <w:p>
      <w:pPr>
        <w:spacing w:after="0" w:line="16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The following unaudited pro forma condensed combined financial information gives effect to the (i) Merger and (ii) the Pre-Closing Financing, but does not give effect to the proposed Millendo Reverse Stock Split because the proposed reverse stock split is a range and is not final.</w:t>
      </w:r>
    </w:p>
    <w:p>
      <w:pPr>
        <w:spacing w:after="0" w:line="124"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the unaudited pro forma combined financial statements, the Merger has been accounted for as a reverse recapitalization under U.S. GAAP because the assets of Millendo at the Effective Date are expected to be primarily cash and non-operating assets. Tempest was determined to be the accounting acquirer based upon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31" w:name="page132"/>
    <w:bookmarkEnd w:id="13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the Merger and other factors including: (1) Tempest stockholders will own a substantial majority of the voting rights of the combined company;</w:t>
      </w:r>
    </w:p>
    <w:p>
      <w:pPr>
        <w:spacing w:after="0" w:line="46" w:lineRule="exact"/>
        <w:rPr>
          <w:sz w:val="20"/>
          <w:szCs w:val="20"/>
          <w:color w:val="auto"/>
        </w:rPr>
      </w:pPr>
    </w:p>
    <w:p>
      <w:pPr>
        <w:ind w:left="4" w:right="80" w:hanging="4"/>
        <w:spacing w:after="0" w:line="260" w:lineRule="auto"/>
        <w:tabs>
          <w:tab w:leader="none" w:pos="2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Tempest will designate a majority (six of seven) of the initial members of the board of directors of the combined company; and (3) Tempest’s senior management will hold all key positions in senior management of the combined company.</w:t>
      </w:r>
    </w:p>
    <w:p>
      <w:pPr>
        <w:spacing w:after="0" w:line="18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As a result of Tempest being treated as the accounting acquirer, Tempest’s assets and liabilities will be recorded at their precombination carrying amounts and the historical operations that are reflected in the unaudited pro forma condensed combined financial information will be those of Tempest. Millendo’s assets and liabilities will be measured and recognized at their fair values as of the effective date of the Merger, and combined with the assets, liabilities, and results of operations of Tempest after the consummation of the Merger. As a result, upon consummation of the Merger, the historical financial statements of Tempest will become the historical consolidated financial statements of the combined company.</w:t>
      </w:r>
    </w:p>
    <w:p>
      <w:pPr>
        <w:spacing w:after="0" w:line="161"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The unaudited pro forma combined balance sheet data as of December 31, 2020 assumes that the Merger took place on December 31, 2020 and combines the Millendo and Tempest historical balance sheets as of December 31, 2020. The unaudited pro forma condensed combined statements of operations assumes that the Merger took place on January 1, 2020 and combines the historical results of Millendo and Tempest for the year ended December 31, 2020.</w:t>
      </w:r>
    </w:p>
    <w:p>
      <w:pPr>
        <w:spacing w:after="0" w:line="187"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The historical financial statements of Millendo and Tempest have been adjusted to give pro forma effect to reflect the accounting for the transaction in accordance with U.S. GAAP. The adjustments presented on the unaudited pro forma condensed combined financial statements have been identified and presented to provide relevant information necessary for an accurate understanding of the combined company upon consummation of the Merger.</w:t>
      </w:r>
    </w:p>
    <w:p>
      <w:pPr>
        <w:spacing w:after="0" w:line="187" w:lineRule="exact"/>
        <w:rPr>
          <w:sz w:val="20"/>
          <w:szCs w:val="20"/>
          <w:color w:val="auto"/>
        </w:rPr>
      </w:pPr>
    </w:p>
    <w:p>
      <w:pPr>
        <w:ind w:left="4" w:right="60" w:firstLine="440"/>
        <w:spacing w:after="0" w:line="290" w:lineRule="auto"/>
        <w:rPr>
          <w:sz w:val="20"/>
          <w:szCs w:val="20"/>
          <w:color w:val="auto"/>
        </w:rPr>
      </w:pPr>
      <w:r>
        <w:rPr>
          <w:rFonts w:ascii="Arial" w:cs="Arial" w:eastAsia="Arial" w:hAnsi="Arial"/>
          <w:sz w:val="16"/>
          <w:szCs w:val="16"/>
          <w:color w:val="auto"/>
        </w:rPr>
        <w:t>The unaudited pro forma condensed combined financial information is based on assumptions and adjustments that are described in the accompanying notes. The unaudited pro forma condensed combined financial information is for illustrative purposes only. The financial results may have been different had the companies always been combined. The unaudited pro forma condensed combined financial information should not be relied upon as being indicative of the historical results that would have been achieved had the companies always been combined or the future results that the combined company will experience. The actual amounts recorded as of the completion of the Merger may differ materially from the information presented in these unaudited pro forma combined financial information as a result, if any, of the amount of capital raised by Tempest between the signing of the Merger Agreement and Closing, the amount of cash used by Millendo’s operations between the signing of the Merger Agreement and the Closing, the timing of Closing of the Merger, and other changes in Millendo’s assets and liabilities that occur prior to the completion of the Merger.</w:t>
      </w:r>
    </w:p>
    <w:p>
      <w:pPr>
        <w:spacing w:after="0" w:line="16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The unaudited pro forma condensed combined financial statements, including the notes thereto, should be read in conjunction with the separate historical consolidated financial statements of Millendo and Tempest and the sections of this proxy statement/prospectus titled “</w:t>
      </w:r>
      <w:r>
        <w:rPr>
          <w:rFonts w:ascii="Arial" w:cs="Arial" w:eastAsia="Arial" w:hAnsi="Arial"/>
          <w:sz w:val="16"/>
          <w:szCs w:val="16"/>
          <w:i w:val="1"/>
          <w:iCs w:val="1"/>
          <w:color w:val="auto"/>
        </w:rPr>
        <w:t>Millendo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Tempest Management’s Discussion and Analysis of Financial Condition and Results of Operations</w:t>
      </w:r>
      <w:r>
        <w:rPr>
          <w:rFonts w:ascii="Arial" w:cs="Arial" w:eastAsia="Arial" w:hAnsi="Arial"/>
          <w:sz w:val="16"/>
          <w:szCs w:val="16"/>
          <w:color w:val="auto"/>
        </w:rPr>
        <w:t>.” Both Millendo’s historical audited consolidated financial statements for the year ended December 31,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Tempest’s historical audited financial statements for the year ended December 31, 2020 appear elsewhere in this proxy statement/prospectus.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Transaction</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Tempest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Millendo</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Note 4</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18,820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28,050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85,044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Refundable tax credit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40,901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28,050</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88,776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215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22,863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43,409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28,265</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94,537</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LIABILITIES, CONVERTIBLE PREFERRED STOCK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1,071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11,012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B, C, D</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15,224</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option exercise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11,012</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Debt, net of current portion</w:t>
            </w:r>
          </w:p>
        </w:tc>
        <w:tc>
          <w:tcPr>
            <w:tcW w:w="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25,644</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86,707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(86,707)</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G</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277,647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(132,744)</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G</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147,856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(71,761)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(245,060)</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237,091</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G</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(79,730)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G</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(68,793)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33,058</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103,960</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attributable to noncontrolling interests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(68,793)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33,726</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103,960</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liabilities, convertible preferred stock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22,863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43,409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28,265</w:t>
            </w: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94,537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1"/>
              <w:spacing w:after="0"/>
              <w:rPr>
                <w:sz w:val="20"/>
                <w:szCs w:val="20"/>
                <w:color w:val="auto"/>
              </w:rPr>
            </w:pPr>
            <w:r>
              <w:rPr>
                <w:rFonts w:ascii="Arial" w:cs="Arial" w:eastAsia="Arial" w:hAnsi="Arial"/>
                <w:sz w:val="14"/>
                <w:szCs w:val="14"/>
                <w:b w:val="1"/>
                <w:bCs w:val="1"/>
                <w:color w:val="auto"/>
              </w:rPr>
              <w:t>Tempest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Millendo</w:t>
            </w:r>
          </w:p>
        </w:tc>
        <w:tc>
          <w:tcPr>
            <w:tcW w:w="26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Transaction Accounting</w:t>
            </w:r>
          </w:p>
        </w:tc>
        <w:tc>
          <w:tcPr>
            <w:tcW w:w="1200" w:type="dxa"/>
            <w:vAlign w:val="bottom"/>
            <w:gridSpan w:val="3"/>
            <w:vMerge w:val="restart"/>
          </w:tcPr>
          <w:p>
            <w:pPr>
              <w:jc w:val="right"/>
              <w:ind w:right="647"/>
              <w:spacing w:after="0"/>
              <w:rPr>
                <w:sz w:val="20"/>
                <w:szCs w:val="20"/>
                <w:color w:val="auto"/>
              </w:rPr>
            </w:pPr>
            <w:r>
              <w:rPr>
                <w:rFonts w:ascii="Arial" w:cs="Arial" w:eastAsia="Arial" w:hAnsi="Arial"/>
                <w:sz w:val="14"/>
                <w:szCs w:val="14"/>
                <w:b w:val="1"/>
                <w:bCs w:val="1"/>
                <w:color w:val="auto"/>
              </w:rPr>
              <w:t>Note 4</w:t>
            </w:r>
          </w:p>
        </w:tc>
        <w:tc>
          <w:tcPr>
            <w:tcW w:w="92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Adjustments</w:t>
            </w:r>
          </w:p>
        </w:tc>
        <w:tc>
          <w:tcPr>
            <w:tcW w:w="1200" w:type="dxa"/>
            <w:vAlign w:val="bottom"/>
            <w:gridSpan w:val="3"/>
            <w:vMerge w:val="continue"/>
          </w:tcPr>
          <w:p>
            <w:pPr>
              <w:spacing w:after="0"/>
              <w:rPr>
                <w:sz w:val="14"/>
                <w:szCs w:val="14"/>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1"/>
              <w:spacing w:after="0"/>
              <w:rPr>
                <w:sz w:val="20"/>
                <w:szCs w:val="20"/>
                <w:color w:val="auto"/>
              </w:rPr>
            </w:pPr>
            <w:r>
              <w:rPr>
                <w:rFonts w:ascii="Arial" w:cs="Arial" w:eastAsia="Arial" w:hAnsi="Arial"/>
                <w:sz w:val="18"/>
                <w:szCs w:val="18"/>
                <w:color w:val="auto"/>
              </w:rPr>
              <w:t>14,389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20,374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15,598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7,969</w:t>
            </w:r>
          </w:p>
        </w:tc>
        <w:tc>
          <w:tcPr>
            <w:tcW w:w="1200" w:type="dxa"/>
            <w:vAlign w:val="bottom"/>
            <w:gridSpan w:val="3"/>
            <w:shd w:val="clear" w:color="auto" w:fill="CCEEFF"/>
          </w:tcPr>
          <w:p>
            <w:pPr>
              <w:jc w:val="right"/>
              <w:ind w:right="587"/>
              <w:spacing w:after="0"/>
              <w:rPr>
                <w:sz w:val="20"/>
                <w:szCs w:val="20"/>
                <w:color w:val="auto"/>
              </w:rPr>
            </w:pPr>
            <w:r>
              <w:rPr>
                <w:rFonts w:ascii="Arial" w:cs="Arial" w:eastAsia="Arial" w:hAnsi="Arial"/>
                <w:sz w:val="18"/>
                <w:szCs w:val="18"/>
                <w:b w:val="1"/>
                <w:bCs w:val="1"/>
                <w:color w:val="auto"/>
              </w:rPr>
              <w:t>H, I, J</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28,476</w:t>
            </w:r>
          </w:p>
        </w:tc>
        <w:tc>
          <w:tcPr>
            <w:tcW w:w="0" w:type="dxa"/>
            <w:vAlign w:val="bottom"/>
          </w:tcPr>
          <w:p>
            <w:pPr>
              <w:spacing w:after="0"/>
              <w:rPr>
                <w:sz w:val="1"/>
                <w:szCs w:val="1"/>
                <w:color w:val="auto"/>
              </w:rPr>
            </w:pPr>
          </w:p>
        </w:tc>
      </w:tr>
      <w:tr>
        <w:trPr>
          <w:trHeight w:val="230"/>
        </w:trPr>
        <w:tc>
          <w:tcPr>
            <w:tcW w:w="3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(19,298)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(35,972)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(7,969)</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(63,239)</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1"/>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600" w:type="dxa"/>
            <w:vAlign w:val="bottom"/>
          </w:tcPr>
          <w:p>
            <w:pPr>
              <w:jc w:val="right"/>
              <w:ind w:right="4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 average common stock outstanding</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gridSpan w:val="3"/>
            <w:vMerge w:val="restart"/>
            <w:shd w:val="clear" w:color="auto" w:fill="CCEEFF"/>
          </w:tcPr>
          <w:p>
            <w:pPr>
              <w:jc w:val="right"/>
              <w:ind w:right="587"/>
              <w:spacing w:after="0"/>
              <w:rPr>
                <w:sz w:val="20"/>
                <w:szCs w:val="20"/>
                <w:color w:val="auto"/>
              </w:rPr>
            </w:pPr>
            <w:r>
              <w:rPr>
                <w:rFonts w:ascii="Arial" w:cs="Arial" w:eastAsia="Arial" w:hAnsi="Arial"/>
                <w:sz w:val="18"/>
                <w:szCs w:val="18"/>
                <w:b w:val="1"/>
                <w:bCs w:val="1"/>
                <w:color w:val="auto"/>
              </w:rPr>
              <w:t>K</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86"/>
              </w:rPr>
              <w:t>14,539,178</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18,862,537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97,902,613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stockholders—basic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1"/>
              <w:spacing w:after="0"/>
              <w:rPr>
                <w:sz w:val="20"/>
                <w:szCs w:val="20"/>
                <w:color w:val="auto"/>
              </w:rPr>
            </w:pPr>
            <w:r>
              <w:rPr>
                <w:rFonts w:ascii="Arial" w:cs="Arial" w:eastAsia="Arial" w:hAnsi="Arial"/>
                <w:sz w:val="18"/>
                <w:szCs w:val="18"/>
                <w:color w:val="auto"/>
              </w:rPr>
              <w:t>(1.32)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1"/>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4" w:name="page135"/>
    <w:bookmarkEnd w:id="13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Combined Financial Statements</w:t>
      </w:r>
    </w:p>
    <w:p>
      <w:pPr>
        <w:spacing w:after="0" w:line="225" w:lineRule="exact"/>
        <w:rPr>
          <w:sz w:val="20"/>
          <w:szCs w:val="20"/>
          <w:color w:val="auto"/>
        </w:rPr>
      </w:pPr>
    </w:p>
    <w:p>
      <w:pPr>
        <w:ind w:left="444" w:right="8420" w:hanging="444"/>
        <w:spacing w:after="0" w:line="377" w:lineRule="auto"/>
        <w:tabs>
          <w:tab w:leader="none" w:pos="18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the Transactions </w:t>
      </w:r>
      <w:r>
        <w:rPr>
          <w:rFonts w:ascii="Arial" w:cs="Arial" w:eastAsia="Arial" w:hAnsi="Arial"/>
          <w:sz w:val="18"/>
          <w:szCs w:val="18"/>
          <w:i w:val="1"/>
          <w:iCs w:val="1"/>
          <w:color w:val="auto"/>
        </w:rPr>
        <w:t>Merger</w:t>
      </w:r>
    </w:p>
    <w:p>
      <w:pPr>
        <w:spacing w:after="0" w:line="2" w:lineRule="exact"/>
        <w:rPr>
          <w:sz w:val="20"/>
          <w:szCs w:val="20"/>
          <w:color w:val="auto"/>
        </w:rPr>
      </w:pPr>
    </w:p>
    <w:p>
      <w:pPr>
        <w:ind w:left="4" w:right="20" w:firstLine="440"/>
        <w:spacing w:after="0" w:line="253" w:lineRule="auto"/>
        <w:rPr>
          <w:sz w:val="20"/>
          <w:szCs w:val="20"/>
          <w:color w:val="auto"/>
        </w:rPr>
      </w:pPr>
      <w:r>
        <w:rPr>
          <w:rFonts w:ascii="Arial" w:cs="Arial" w:eastAsia="Arial" w:hAnsi="Arial"/>
          <w:sz w:val="18"/>
          <w:szCs w:val="18"/>
          <w:color w:val="auto"/>
        </w:rPr>
        <w:t>On March 29, 2021, Millendo, Tempest and Merger Sub entered into the Merger Agreement. At the Effective Time of the Merger, each share of Tempest common stock outstanding immediately prior to the Effective Time, including shares of Tempest’s convertible preferred stock that is expected to be converted into common stock as described above, will be converted into the right to receive a number of shares of Millendo’s common stock equal to the Exchange Ratio. The Exchange Ratio is initially estimated to be 0.488 of Millendo’s Common Stock for each share of Tempest’s Common Stock. Under the Exchange Ratio formula in the Merger Agreement, the former Tempest equity holders immediately before the Effective Time are expected to own approximately 81.5% of the outstanding capital stock of Millendo on a fully-diluted basis, and the stockholders of Millendo immediately before the Effective Time are expected to own approximately 18.5% of the outstanding capital stock of Millendo on a fully-diluted basis, subject to adjustment based upon whether Millendo’s net cash at the closing of the Merger is greater than $18.7 million or less than $15.3 million and other potential adjustments.</w:t>
      </w:r>
    </w:p>
    <w:p>
      <w:pPr>
        <w:spacing w:after="0" w:line="196"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Because, among other things, the number of shares of Millendo’s common stock issuable to Tempest’s securityholders is determined based on Millendo’s net cash balance on the business day prior to the Closing and the capitalization of Tempest and Millendo at the Closing, Millendo’s securityholders cannot be certain of the exact number of shares that will be issued to (or reserved for issuance to) Tempest’s securityholders when Millendo’s stockholders vote on the proposals at the Board Meeting. The Exchange Ratio referenced above is an estimate only and the final Exchange Ratio will be determined pursuant to a formula described in detail in the Merger Agreement and in this proxy statement/prospectus.</w:t>
      </w:r>
    </w:p>
    <w:p>
      <w:pPr>
        <w:spacing w:after="0" w:line="16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In addition, as of the Effective time, each Millendo stock option that is outstanding and unexercised immediately prior to the effective time of the Merger, will remain outstanding in accordance with its terms including certain Millendo stock options that will accelerate and vest in accordance with its terms on Closing.</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As of the Effective Time, each option to purchase shares of Tempest’s common stock (a “Tempest Option”) that is outstanding and unexercised immediately prior to the Effective Time granted under the Tempest 2011 and 2017 Equity Incentive Plans (“Tempest Plan”), or otherwise, whether or not vested, will be, along with the Tempest Plan, assumed by Millendo and will become an option to purchase solely that number of shares of Millendo’s common stock equal to the product obtained by multiplying (i) the number of shares of Tempest’s common stock that were subject to such Tempest Option immediately prior to the Effective Time by (ii) the Exchange Ratio, and rounding the resulting number down to the nearest whole number of shares of Millendo’s common stock. The per share exercise price for Millendo’s common stock issuable upon exercise of each Tempest Option assumed by Millendo shall be determined by dividing (a) the per share exercise price of Tempest’s common stock subject to such Tempest Option, as in effect immediately prior to the Effective Time, by (b) the Exchange Ratio, and rounding the resulting exercise price up to the nearest whole cent. Any restriction on the exercise of any Tempest Option assumed by Millendo will continue in full force and effect and the term, exercisability, vesting schedule and other provisions of such Tempest Option shall otherwise remain unchanged.</w:t>
      </w:r>
    </w:p>
    <w:p>
      <w:pPr>
        <w:spacing w:after="0" w:line="18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Furthermore, each warrant to purchase Tempest’s common stock (“Tempest Warrant”) that is outstanding and unexercised immediately prior to the Effective Time, whether or not vested, will be converted into and become a warrant to purchase (and Millendo shall assume each such Tempest Warrant in accordance with its terms) solely that number of shares of Millendo’s common stock equal to the product obtained by multiplying (i) the number of shares of Tempest Common Stock that were subject to such Tempest Warrant immediately prior to the Effective Time by (ii) the Exchange Ratio, and rounding the resulting number down to the nearest whole number of shares of Millendo’s common stock. The per share exercise price for Millendo’s common stock issuable upon exercise of each Tempest Warrant assumed by Millendo shall be determined by dividing (a) the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35" w:name="page136"/>
    <w:bookmarkEnd w:id="135"/>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 share exercise price of Tempest’s common stock subject to such Millendo Warrant, as in effect immediately prior to the Effective Time, by (b) the Exchange Ratio, and rounding the resulting exercise price up to the nearest whole cent. Any restriction on the exercise of any Tempest Warrant assumed by Millendo will continue in full force and effect and the term, exercisability, vesting schedule and other provisions of such Tempest Warrant shall otherwise remain unchanged.</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Pre-Closing Financing</w:t>
      </w:r>
    </w:p>
    <w:p>
      <w:pPr>
        <w:spacing w:after="0" w:line="11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Concurrently with the execution and delivery of the Merger Agreement, certain parties have entered into agreements with Tempest pursuant to which they have agreed, subject to the terms and conditions of such agreements, to purchase prior to the consummation of the Merger shares of Tempest common stock for an aggregate purchase price of approximately $28.1 million, net of issuance costs of $1.9 million. The consummation of the transactions contemplated by such agreements is conditioned on the satisfaction or waiver of the conditions set forth in the Merger Agreement. Shares of Tempest common stock issued pursuant to this financing transaction will be converted into shares of Millendo common stock in the Merger in accordance with the Exchange Ratio.</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accompanying unaudited pro forma condensed combined financial information was prepared in accordance with Article 11 of</w:t>
      </w:r>
    </w:p>
    <w:p>
      <w:pPr>
        <w:spacing w:after="0" w:line="23"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SEC Regulation S-X. The unaudited pro forma condensed combined balance sheet as of December 31, 2020 was prepared using the historical balance sheets of Tempest and Millendo as of December 31, 2020 and gives effect to the Merger as if it occurred on December 31, 2020. The unaudited pro forma combined statements of operations for the year ended December 31, 2020 give effect to the Merger as if it occurred on January 1, 2020 and were prepared using the historical consolidated statement of operations and comprehensive income of Millendo and Tempest for the year ended December 31, 2020.</w:t>
      </w:r>
    </w:p>
    <w:p>
      <w:pPr>
        <w:spacing w:after="0" w:line="19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For accounting purposes, Tempest is considered to be the acquiring company and the Merger is expected to be accounted for as a reverse recapitalization of Millendo by Tempest because on the Merger date, the pre-combination assets of Millendo are expected to be primarily cash and other non-operating assets.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these pro forma financial statements, this estimated purchase price consideration consists of the following:</w:t>
      </w:r>
    </w:p>
    <w:p>
      <w:pPr>
        <w:spacing w:after="0" w:line="261"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9"/>
              </w:rPr>
              <w:t>Estimated number of shares of the combined company to be owned by Millendo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19,043,034</w:t>
            </w:r>
          </w:p>
        </w:tc>
        <w:tc>
          <w:tcPr>
            <w:tcW w:w="40" w:type="dxa"/>
            <w:vAlign w:val="bottom"/>
            <w:shd w:val="clear" w:color="auto" w:fill="CCEEFF"/>
          </w:tcPr>
          <w:p>
            <w:pPr>
              <w:spacing w:after="0"/>
              <w:rPr>
                <w:sz w:val="20"/>
                <w:szCs w:val="20"/>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Multiplied by the assumed price per share of Millendo common stock (2)</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Estimated fair value of shares of combined company to be owned by Millendo</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21,709,059</w:t>
            </w:r>
          </w:p>
        </w:tc>
        <w:tc>
          <w:tcPr>
            <w:tcW w:w="40" w:type="dxa"/>
            <w:vAlign w:val="bottom"/>
            <w:shd w:val="clear" w:color="auto" w:fill="CCEEFF"/>
          </w:tcPr>
          <w:p>
            <w:pPr>
              <w:spacing w:after="0"/>
              <w:rPr>
                <w:sz w:val="20"/>
                <w:szCs w:val="20"/>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Estimated fair value of assumed Millendo equity awards based 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precombination service (3)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177,149</w:t>
            </w:r>
          </w:p>
        </w:tc>
        <w:tc>
          <w:tcPr>
            <w:tcW w:w="4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assumed Millendo warrants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4,010</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Estimated purchase price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21,890,218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424" w:right="160" w:hanging="424"/>
        <w:spacing w:after="0" w:line="255"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number of shares of common stock of the combined company that Millendo equity holders would own as of the Closing pursuant to the Merger Agreement. This amount is calculated, for purposes of this unaudited pro forma condensed combined financial information, based on shares of Millendo’s common stock outstanding as of April 29, 2021.</w:t>
      </w:r>
    </w:p>
    <w:p>
      <w:pPr>
        <w:spacing w:after="0" w:line="2" w:lineRule="exact"/>
        <w:rPr>
          <w:rFonts w:ascii="Arial" w:cs="Arial" w:eastAsia="Arial" w:hAnsi="Arial"/>
          <w:sz w:val="18"/>
          <w:szCs w:val="18"/>
          <w:color w:val="auto"/>
        </w:rPr>
      </w:pPr>
    </w:p>
    <w:p>
      <w:pPr>
        <w:ind w:left="424" w:right="420" w:hanging="424"/>
        <w:spacing w:after="0" w:line="260"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assumed price per share of Millendo common stock, which is the closing trading price of Millendo’s common stock on April 29, 2021. The actual purchase price will fluctuate until the effective date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36" w:name="page137"/>
    <w:bookmarkEnd w:id="136"/>
    <w:p>
      <w:pPr>
        <w:ind w:left="42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transaction. A 10% increase (decrease) to the Millendo share price would increase (decrease) the purchase price by $2.2 million.</w:t>
      </w:r>
    </w:p>
    <w:p>
      <w:pPr>
        <w:spacing w:after="0" w:line="35" w:lineRule="exact"/>
        <w:rPr>
          <w:sz w:val="20"/>
          <w:szCs w:val="20"/>
          <w:color w:val="auto"/>
        </w:rPr>
      </w:pPr>
    </w:p>
    <w:p>
      <w:pPr>
        <w:ind w:left="424" w:right="140" w:hanging="424"/>
        <w:spacing w:after="0" w:line="277" w:lineRule="auto"/>
        <w:tabs>
          <w:tab w:leader="none" w:pos="4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Reflects the estimated acquisition-date fair value of the assumed Millendo’s equity awards attributable to precombination service (which amount will be determined based on the closing trading price of Millendo common stock on April 29, 2021, the number of Millendo equity awards outstanding on this date, and the period of service provided by the holders of the awards prior to the Merger closing date in 2021).</w:t>
      </w:r>
    </w:p>
    <w:p>
      <w:pPr>
        <w:spacing w:after="0" w:line="173"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The purchase consideration for the net assets of Millendo will be determined based on a net cash calculation prior to Closing and will be adjusted dollar-for-dollar by the amount that the net cash amount is greater than $18.7 million or less than $15.3 million. The actual purchase consideration will vary based on the net cash calculation prior to Closing, the Exchange Ratio, and Millendo share price at Closing as described above and that difference could be material. As such, the estimated purchase consideration reflected in these unaudited pro forma condensed combined financial information does not purport to represent what the actual purchase consideration will be when the Merger is completed.</w:t>
      </w:r>
    </w:p>
    <w:p>
      <w:pPr>
        <w:spacing w:after="0" w:line="176"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Under reverse recapitalization accounting, the assets and liabilities of Millendo will be recorded, as of the completion of the Merger, at their fair value. No goodwill or intangible assets are expected to be recognized and any excess consideration transferred over the fair value of the net assets of Millendo following determination of the actual purchase consideration for Millendo will be reflected as a reduction to additional paid-in capital. Consequently, the financial statements of Tempest reflect the operations of the acquirer for accounting purposes together with a deemed issuance of shares, equivalent to the shares held by the former stockholders of the legal acquirer and a recapitalization of the equity of the accounting acquirer. The accompanying unaudited proforma condensed combined financial information is derived from the historical financial statements of Millendo and Tempest, and include adjustments to give pro forma effect to reflect the accounting for the transaction in accordance with U.S. GAAP. The historical financial statements of Tempest shall become the historical financial statements of the combined company.</w:t>
      </w:r>
    </w:p>
    <w:p>
      <w:pPr>
        <w:spacing w:after="0" w:line="178" w:lineRule="exact"/>
        <w:rPr>
          <w:sz w:val="20"/>
          <w:szCs w:val="20"/>
          <w:color w:val="auto"/>
        </w:rPr>
      </w:pPr>
    </w:p>
    <w:p>
      <w:pPr>
        <w:jc w:val="both"/>
        <w:ind w:left="4" w:right="40" w:firstLine="440"/>
        <w:spacing w:after="0" w:line="311" w:lineRule="auto"/>
        <w:rPr>
          <w:sz w:val="20"/>
          <w:szCs w:val="20"/>
          <w:color w:val="auto"/>
        </w:rPr>
      </w:pPr>
      <w:r>
        <w:rPr>
          <w:rFonts w:ascii="Arial" w:cs="Arial" w:eastAsia="Arial" w:hAnsi="Arial"/>
          <w:sz w:val="16"/>
          <w:szCs w:val="16"/>
          <w:color w:val="auto"/>
        </w:rPr>
        <w:t>The unaudited pro forma condensed combined financial information does not include the impact of any revenue, cost or other operating synergies that may result from the Merger or any related restructuring costs that may be contemplated and does not give effect to the proposed Millendo Reverse Stock Split because the proposed reverse stock split is a range, is not definitive and is subject to approval by Millendo’s stockholders.</w:t>
      </w:r>
    </w:p>
    <w:p>
      <w:pPr>
        <w:spacing w:after="0" w:line="149"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To the extent there are significant changes to the business following completion of the Merger, the assumptions and estimates set forth in the unaudited pro forma condensed consolidated financial information could change significantly. Accordingly, 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Shares of Millendo Common Stock Issued to Tempest Stockholders upon Closing of the Merger</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Prior to the Merger, all outstanding shares of Tempest’s convertible preferred stock are expected to be converted into Tempest common stock, which will be exchanged for shares of Millendo common stock based on the Exchange Ratio determined in accordance with the Merger Agreement. The estimated Exchange Ratio for purposes of the unaudited pro forma condensed combined financial information was derived on a fully-diluted basis as of April 29, 2021 using a stipulated value of Tempest of approximately $158.4 million (including the Pre-Closing Financing discussed above) and of Millendo of approximately $36.0 million. The estimated number of shares of common stock that Millendo expects to issue to Tempest’s common and preferred stockholders as of April 29, 2021 (ignoring rounding of fractional shares) is determined as follows:</w:t>
      </w:r>
    </w:p>
    <w:p>
      <w:pPr>
        <w:spacing w:after="0" w:line="219"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Shares of Tempest’s common stock</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51,769,792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Shares of Tempest’s convertible preferred stock</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114,686,731</w:t>
            </w:r>
          </w:p>
        </w:tc>
      </w:tr>
      <w:tr>
        <w:trPr>
          <w:trHeight w:val="27"/>
        </w:trPr>
        <w:tc>
          <w:tcPr>
            <w:tcW w:w="7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166,456,523</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Exchange Ratio</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0.488</w:t>
            </w:r>
          </w:p>
        </w:tc>
        <w:tc>
          <w:tcPr>
            <w:tcW w:w="80" w:type="dxa"/>
            <w:vAlign w:val="bottom"/>
          </w:tcPr>
          <w:p>
            <w:pPr>
              <w:spacing w:after="0"/>
              <w:rPr>
                <w:sz w:val="20"/>
                <w:szCs w:val="20"/>
                <w:color w:val="auto"/>
              </w:rPr>
            </w:pP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Estimated shares of Millendo common stock expected to be issued to Tempest stockholders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Closing</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81,230,783</w:t>
            </w:r>
          </w:p>
        </w:tc>
      </w:tr>
      <w:tr>
        <w:trPr>
          <w:trHeight w:val="20"/>
        </w:trPr>
        <w:tc>
          <w:tcPr>
            <w:tcW w:w="7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As the reverse stock split is a range and is not definitive and will occur immediately prior to the consummation of the Merger, the Exchange Ratio and estimated shares of Millendo’s common stock issued to Tempest’s security holders have not been adjusted to give retrospective effect to the reverse stock split.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Proforma Adjustments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Millendo has elected not to present Management’s Adjustments and will only be presenting Transaction Accounting Adjustments in the following unaudited pro forma condensed combined financial information.</w:t>
      </w:r>
    </w:p>
    <w:p>
      <w:pPr>
        <w:spacing w:after="0" w:line="178"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Based on Tempest management’s review of Millendo’s summary of significant accounting policies, the nature and amount of any adjustments to the historical financial statements of Millendo to conform to the accounting policies of Tempest are not expected to be significant. The pro forma adjustments, based on preliminary estimates that could change materially as additional information is obtained, are as follows:</w:t>
      </w:r>
    </w:p>
    <w:p>
      <w:pPr>
        <w:spacing w:after="0" w:line="71" w:lineRule="exact"/>
        <w:rPr>
          <w:sz w:val="20"/>
          <w:szCs w:val="20"/>
          <w:color w:val="auto"/>
        </w:rPr>
      </w:pPr>
    </w:p>
    <w:p>
      <w:pPr>
        <w:ind w:left="960" w:hanging="532"/>
        <w:spacing w:after="0" w:line="259"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reflect $28.1 million, net of issuance costs of $1.9 million, in proceeds to be received by Tempest, in connection with the consummation the Pre-Closing Financing. The Merger is contingent upon the Pre-Closing Financing, which is expected to close concurrent with the Merger, at or prior to the Closing. If the Pre-Closing Financing does not close, Tempest and Millendo are not required to complete the Merger.</w:t>
      </w:r>
    </w:p>
    <w:p>
      <w:pPr>
        <w:spacing w:after="0" w:line="92" w:lineRule="exact"/>
        <w:rPr>
          <w:rFonts w:ascii="Arial" w:cs="Arial" w:eastAsia="Arial" w:hAnsi="Arial"/>
          <w:sz w:val="18"/>
          <w:szCs w:val="18"/>
          <w:color w:val="auto"/>
        </w:rPr>
      </w:pPr>
    </w:p>
    <w:p>
      <w:pPr>
        <w:jc w:val="both"/>
        <w:ind w:left="960" w:right="20" w:hanging="532"/>
        <w:spacing w:after="0" w:line="25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reflect preliminary estimated transaction costs of $3.3 million in connection with the Merger, such as adviser fees, legal, and accounting expenses that are expected to be incurred by Tempest as an increase in accrued liabilities and a reduction to additional paid-in capital in the unaudited proforma condensed combined balance sheet.</w:t>
      </w:r>
    </w:p>
    <w:p>
      <w:pPr>
        <w:spacing w:after="0" w:line="2" w:lineRule="exact"/>
        <w:rPr>
          <w:rFonts w:ascii="Arial" w:cs="Arial" w:eastAsia="Arial" w:hAnsi="Arial"/>
          <w:sz w:val="18"/>
          <w:szCs w:val="18"/>
          <w:color w:val="auto"/>
        </w:rPr>
      </w:pPr>
    </w:p>
    <w:p>
      <w:pPr>
        <w:jc w:val="both"/>
        <w:ind w:left="960" w:right="140" w:hanging="532"/>
        <w:spacing w:after="0" w:line="25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reflect preliminary estimated transaction costs of $5.5 million in connection with the Merger, such as adviser fees, legal, directors and officers liability insurance, and accounting expenses, that are expected to be incurred by Millendo as an increase in accrued liabilities and accumulated deficit in the unaudited proforma condensed combined balance sheet.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38" w:name="page139"/>
    <w:bookmarkEnd w:id="138"/>
    <w:p>
      <w:pPr>
        <w:ind w:left="960" w:right="220" w:hanging="532"/>
        <w:spacing w:after="0" w:line="259"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expense of $2.2 million related to severance, retention and transaction bonuses resulting from preexisting employment agreements that will be payable in connection with the Merger is reflected as an increase to accumulated deficit and accrued liabilities in the unaudited pro forma condensed combined balance sheet. The pro forma adjustments exclude certain termination benefits incurred in connection with Millendo’s January 2021 corporate restructuring plan.</w:t>
      </w:r>
    </w:p>
    <w:p>
      <w:pPr>
        <w:spacing w:after="0" w:line="92"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reflect the adjustments to account for operating lease liabilities and right-of-use assets at their fair values as of December 31, 2020 in the unaudited pro forma condensed combined balance sheet.</w:t>
      </w:r>
    </w:p>
    <w:p>
      <w:pPr>
        <w:spacing w:after="0" w:line="75" w:lineRule="exact"/>
        <w:rPr>
          <w:rFonts w:ascii="Arial" w:cs="Arial" w:eastAsia="Arial" w:hAnsi="Arial"/>
          <w:sz w:val="18"/>
          <w:szCs w:val="18"/>
          <w:color w:val="auto"/>
        </w:rPr>
      </w:pPr>
    </w:p>
    <w:p>
      <w:pPr>
        <w:ind w:left="960" w:right="80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reflect the conversion of 114,686,731 shares of Tempest’s convertible preferred stock into shares of Tempest’s common stock immediately prior to the Merger.</w:t>
      </w:r>
    </w:p>
    <w:p>
      <w:pPr>
        <w:spacing w:after="0" w:line="75" w:lineRule="exact"/>
        <w:rPr>
          <w:rFonts w:ascii="Arial" w:cs="Arial" w:eastAsia="Arial" w:hAnsi="Arial"/>
          <w:sz w:val="18"/>
          <w:szCs w:val="18"/>
          <w:color w:val="auto"/>
        </w:rPr>
      </w:pPr>
    </w:p>
    <w:p>
      <w:pPr>
        <w:ind w:left="960" w:right="40" w:hanging="532"/>
        <w:spacing w:after="0" w:line="287"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record (i) the conversion of Tempest’s convertible preferred stock into 114,686,731 shares of common stock, (ii) issuance of 35,258,582 shares in connection with the consummation the Pre-Closing Financing (iii) the accrual of transaction costs associated with the Merger, (iv) the payment of severance and retention bonuses in connection with the Merger, (v) post combination compensation expense of</w:t>
      </w:r>
    </w:p>
    <w:p>
      <w:pPr>
        <w:spacing w:after="0" w:line="2" w:lineRule="exact"/>
        <w:rPr>
          <w:sz w:val="20"/>
          <w:szCs w:val="20"/>
          <w:color w:val="auto"/>
        </w:rPr>
      </w:pPr>
    </w:p>
    <w:p>
      <w:pPr>
        <w:ind w:left="960" w:right="60"/>
        <w:spacing w:after="0" w:line="252" w:lineRule="auto"/>
        <w:rPr>
          <w:sz w:val="20"/>
          <w:szCs w:val="20"/>
          <w:color w:val="auto"/>
        </w:rPr>
      </w:pPr>
      <w:r>
        <w:rPr>
          <w:rFonts w:ascii="Arial" w:cs="Arial" w:eastAsia="Arial" w:hAnsi="Arial"/>
          <w:sz w:val="18"/>
          <w:szCs w:val="18"/>
          <w:color w:val="auto"/>
        </w:rPr>
        <w:t>$0.3 million related to Millendo options recognized upon the Closing, (vi) the elimination of Millendo’s historical equity, including 18,999,701 outstanding shares of common stock at their par value of $0.001 million, $0.4 million of accumulated other comprehensive income and $277.7 million additional paid-in capital, (vii) the exchange of outstanding Tempest’s common stock into 81,230,783 shares of Millendo’s common stock based on the assumed Exchange Ratio for purposes of these pro forma condensed combined financial information, and (viii) the effect of the reverse recapitalization of Millendo for a total of $33.1 million, which is the net assets of Millendo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Acccumulated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vMerge w:val="restart"/>
          </w:tcPr>
          <w:p>
            <w:pPr>
              <w:jc w:val="right"/>
              <w:ind w:right="260"/>
              <w:spacing w:after="0" w:line="126" w:lineRule="exact"/>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9"/>
        </w:trPr>
        <w:tc>
          <w:tcPr>
            <w:tcW w:w="32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(amounts in thousands, except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Tempest</w:t>
            </w: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Millendo</w:t>
            </w: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200" w:type="dxa"/>
            <w:vAlign w:val="bottom"/>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right"/>
              <w:ind w:right="340"/>
              <w:spacing w:after="0" w:line="124"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right"/>
              <w:ind w:right="280"/>
              <w:spacing w:after="0" w:line="124" w:lineRule="exact"/>
              <w:rPr>
                <w:sz w:val="20"/>
                <w:szCs w:val="20"/>
                <w:color w:val="auto"/>
              </w:rPr>
            </w:pPr>
            <w:r>
              <w:rPr>
                <w:rFonts w:ascii="Arial" w:cs="Arial" w:eastAsia="Arial" w:hAnsi="Arial"/>
                <w:sz w:val="14"/>
                <w:szCs w:val="14"/>
                <w:b w:val="1"/>
                <w:bCs w:val="1"/>
                <w:color w:val="auto"/>
                <w:w w:val="90"/>
              </w:rPr>
              <w:t>Accumulated</w:t>
            </w: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6"/>
        </w:trPr>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share amounts)</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0"/>
        </w:trPr>
        <w:tc>
          <w:tcPr>
            <w:tcW w:w="32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Conversion of outstanding Tempest’s convertible</w:t>
            </w:r>
          </w:p>
        </w:tc>
        <w:tc>
          <w:tcPr>
            <w:tcW w:w="8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into common stock</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114,686,731</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115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86,592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86,707</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Payment of D&amp;O insurance tail</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transaction costs</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(3,300)</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(3,025)</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(6,325)</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Payment of severance and retention bonuses</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(2,187)</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 combination stock-based compensation costs</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257</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00" w:type="dxa"/>
            <w:vAlign w:val="bottom"/>
          </w:tcPr>
          <w:p>
            <w:pPr>
              <w:spacing w:after="0" w:line="130" w:lineRule="exact"/>
              <w:rPr>
                <w:sz w:val="20"/>
                <w:szCs w:val="20"/>
                <w:color w:val="auto"/>
              </w:rPr>
            </w:pPr>
            <w:r>
              <w:rPr>
                <w:rFonts w:ascii="Arial" w:cs="Arial" w:eastAsia="Arial" w:hAnsi="Arial"/>
                <w:sz w:val="14"/>
                <w:szCs w:val="14"/>
                <w:color w:val="auto"/>
              </w:rPr>
              <w:t>Elimination of Millendo’s historical equity carrying</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rPr>
                <w:sz w:val="20"/>
                <w:szCs w:val="20"/>
                <w:color w:val="auto"/>
              </w:rPr>
            </w:pPr>
            <w:r>
              <w:rPr>
                <w:rFonts w:ascii="Arial" w:cs="Arial" w:eastAsia="Arial" w:hAnsi="Arial"/>
                <w:sz w:val="14"/>
                <w:szCs w:val="14"/>
                <w:color w:val="auto"/>
              </w:rPr>
              <w:t>value</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(19,043,034)</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(19)</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(277,647)</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245,060</w:t>
            </w:r>
          </w:p>
        </w:tc>
        <w:tc>
          <w:tcPr>
            <w:tcW w:w="1180" w:type="dxa"/>
            <w:vAlign w:val="bottom"/>
            <w:gridSpan w:val="2"/>
          </w:tcPr>
          <w:p>
            <w:pPr>
              <w:ind w:left="660"/>
              <w:spacing w:after="0"/>
              <w:rPr>
                <w:sz w:val="20"/>
                <w:szCs w:val="20"/>
                <w:color w:val="auto"/>
              </w:rPr>
            </w:pPr>
            <w:r>
              <w:rPr>
                <w:rFonts w:ascii="Arial" w:cs="Arial" w:eastAsia="Arial" w:hAnsi="Arial"/>
                <w:sz w:val="14"/>
                <w:szCs w:val="14"/>
                <w:color w:val="auto"/>
              </w:rPr>
              <w:t>(452)</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30"/>
        </w:trPr>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outstanding Tempest’s common stock</w:t>
            </w: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into Millendo’s common stock based on the</w:t>
            </w: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assumed Exchange Ratio</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(166,456,523)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81,230,783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Reverse recapitalization of Millendo</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19,043,034</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33,039</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Pre-Closing Financing</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35,258,582</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28,015</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28,050</w:t>
            </w:r>
          </w:p>
        </w:tc>
        <w:tc>
          <w:tcPr>
            <w:tcW w:w="0" w:type="dxa"/>
            <w:vAlign w:val="bottom"/>
          </w:tcPr>
          <w:p>
            <w:pPr>
              <w:spacing w:after="0"/>
              <w:rPr>
                <w:sz w:val="1"/>
                <w:szCs w:val="1"/>
                <w:color w:val="auto"/>
              </w:rPr>
            </w:pPr>
          </w:p>
        </w:tc>
      </w:tr>
      <w:tr>
        <w:trPr>
          <w:trHeight w:val="155"/>
        </w:trPr>
        <w:tc>
          <w:tcPr>
            <w:tcW w:w="3200" w:type="dxa"/>
            <w:vAlign w:val="bottom"/>
          </w:tcPr>
          <w:p>
            <w:pPr>
              <w:spacing w:after="0" w:line="149" w:lineRule="exact"/>
              <w:rPr>
                <w:sz w:val="20"/>
                <w:szCs w:val="20"/>
                <w:color w:val="auto"/>
              </w:rPr>
            </w:pPr>
            <w:r>
              <w:rPr>
                <w:rFonts w:ascii="Arial" w:cs="Arial" w:eastAsia="Arial" w:hAnsi="Arial"/>
                <w:sz w:val="14"/>
                <w:szCs w:val="14"/>
                <w:color w:val="auto"/>
              </w:rPr>
              <w:t>Fair value remeasurement of right-of-use assets</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0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20" w:type="dxa"/>
            <w:vAlign w:val="bottom"/>
            <w:tcBorders>
              <w:bottom w:val="single" w:sz="8" w:color="auto"/>
            </w:tcBorders>
          </w:tcPr>
          <w:p>
            <w:pPr>
              <w:ind w:left="7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adjustment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(16,511,210)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81,230,783</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(132,744)</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237,091</w:t>
            </w:r>
          </w:p>
        </w:tc>
        <w:tc>
          <w:tcPr>
            <w:tcW w:w="11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(452)</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103,960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60" w:right="40" w:hanging="532"/>
        <w:spacing w:after="0" w:line="259"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preliminary estimated transaction cost of $5.5 million in connection with the Merger, such as adviser fees, legal, directors’ and officers’ liability insurance, and accounting expenses that are expected to be incurred by Millendo are reflected as if incurred on January 1, 2020, the date the Merger occurred for the purposes of the unaudited pro forma condensed combined statement of operations. This is a non-recurring item.</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9" w:name="page140"/>
    <w:bookmarkEnd w:id="139"/>
    <w:p>
      <w:pPr>
        <w:ind w:left="532" w:right="100" w:hanging="532"/>
        <w:spacing w:after="0" w:line="301" w:lineRule="auto"/>
        <w:tabs>
          <w:tab w:leader="none" w:pos="532"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expense of $2.2 million related to severance, retention and transaction bonuses resulting from preexisting employment agreements that will be payable in connection with the Merger is reflected as if incurred on January 1, 2020, the date the Merger occurred for the purposes of the unaudited pro forma condensed combined statement of operations. This is a non-recurring item. The pro forma adjustments exclude certain termination benefits incurred in connection with Millendo’s January 2021 corporate restructuring plan.</w:t>
      </w:r>
    </w:p>
    <w:p>
      <w:pPr>
        <w:spacing w:after="0" w:line="62" w:lineRule="exact"/>
        <w:rPr>
          <w:rFonts w:ascii="Arial" w:cs="Arial" w:eastAsia="Arial" w:hAnsi="Arial"/>
          <w:sz w:val="16"/>
          <w:szCs w:val="16"/>
          <w:color w:val="auto"/>
        </w:rPr>
      </w:pPr>
    </w:p>
    <w:p>
      <w:pPr>
        <w:ind w:left="532" w:right="240" w:hanging="532"/>
        <w:spacing w:after="0" w:line="308" w:lineRule="auto"/>
        <w:tabs>
          <w:tab w:leader="none" w:pos="53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reflect the post combination compensation expense of $0.3 million related to Millendo’s options recognized upon the Closing for the purposes of the unaudited pro forma condensed combined statement of operations. This is a non-recurring item.</w:t>
      </w:r>
    </w:p>
    <w:p>
      <w:pPr>
        <w:spacing w:after="0" w:line="51" w:lineRule="exact"/>
        <w:rPr>
          <w:rFonts w:ascii="Arial" w:cs="Arial" w:eastAsia="Arial" w:hAnsi="Arial"/>
          <w:sz w:val="17"/>
          <w:szCs w:val="17"/>
          <w:color w:val="auto"/>
        </w:rPr>
      </w:pPr>
    </w:p>
    <w:p>
      <w:pPr>
        <w:ind w:left="532" w:hanging="532"/>
        <w:spacing w:after="0" w:line="255"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 forma combined basic and diluted earnings per share have been adjusted to reflect the pro forma net loss for the year ended December 31, 2020. In addition, the weighted average shares outstanding for the period have been adjusted to give effect to the issuance of Millendo’s common stock in connection with the Merger as of April 29, 2021. As the combined company is in a net loss position, any adjustment for potentially dilutive shares would be anti-dilutive, and as such basic and diluted loss per share are the same. The following table presents the calculation of the pro forma weighted average number of common stock outstanding without giving effect to the proposed reverse stock split:</w:t>
      </w:r>
    </w:p>
    <w:p>
      <w:pPr>
        <w:spacing w:after="0" w:line="199" w:lineRule="exact"/>
        <w:rPr>
          <w:sz w:val="20"/>
          <w:szCs w:val="20"/>
          <w:color w:val="auto"/>
        </w:rPr>
      </w:pPr>
    </w:p>
    <w:tbl>
      <w:tblPr>
        <w:tblLayout w:type="fixed"/>
        <w:tblInd w:w="892"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Tempest shares outstanding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Weighted average shares of Tempest redeemable convertible preferred stock</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112,169,608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upon Pre-Closing Financing</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35,258,582</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161,967,368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Tempest shares outstanding adjusted for the Exchange Ratio</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79,040,076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Weighted average Millendo shares outstanding</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18,862,537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4"/>
              </w:rPr>
              <w:t>Pro forma combined weighted average number of shares of common stock—basic and diluted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97,902,613</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100"/>
              <w:spacing w:after="0"/>
              <w:rPr>
                <w:sz w:val="20"/>
                <w:szCs w:val="20"/>
                <w:color w:val="auto"/>
              </w:rPr>
            </w:pPr>
            <w:r>
              <w:rPr>
                <w:rFonts w:ascii="Arial" w:cs="Arial" w:eastAsia="Arial" w:hAnsi="Arial"/>
                <w:sz w:val="18"/>
                <w:szCs w:val="18"/>
                <w:color w:val="auto"/>
              </w:rPr>
              <w:t>10</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52"/>
      </w:cols>
      <w:pgMar w:left="868"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2"/>
    </w:lvl>
  </w:abstractNum>
  <w:abstractNum w:abstractNumId="39">
    <w:nsid w:val="79A1DEAA"/>
    <w:multiLevelType w:val="hybridMultilevel"/>
    <w:lvl w:ilvl="0">
      <w:lvlJc w:val="left"/>
      <w:lvlText w:val="•"/>
      <w:numFmt w:val="bullet"/>
      <w:start w:val="1"/>
    </w:lvl>
    <w:lvl w:ilvl="1">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3"/>
    </w:lvl>
  </w:abstractNum>
  <w:abstractNum w:abstractNumId="45">
    <w:nsid w:val="4F4EF005"/>
    <w:multiLevelType w:val="hybridMultilevel"/>
    <w:lvl w:ilvl="0">
      <w:lvlJc w:val="left"/>
      <w:lvlText w:val="%1."/>
      <w:numFmt w:val="decimal"/>
      <w:start w:val="4"/>
    </w:lvl>
  </w:abstractNum>
  <w:abstractNum w:abstractNumId="46">
    <w:nsid w:val="23F9C13C"/>
    <w:multiLevelType w:val="hybridMultilevel"/>
    <w:lvl w:ilvl="0">
      <w:lvlJc w:val="left"/>
      <w:lvlText w:val="%1."/>
      <w:numFmt w:val="decimal"/>
      <w:start w:val="6"/>
    </w:lvl>
  </w:abstractNum>
  <w:abstractNum w:abstractNumId="47">
    <w:nsid w:val="649BB77C"/>
    <w:multiLevelType w:val="hybridMultilevel"/>
    <w:lvl w:ilvl="0">
      <w:lvlJc w:val="left"/>
      <w:lvlText w:val="%1."/>
      <w:numFmt w:val="decimal"/>
      <w:start w:val="8"/>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9"/>
    </w:lvl>
  </w:abstractNum>
  <w:abstractNum w:abstractNumId="51">
    <w:nsid w:val="180115BE"/>
    <w:multiLevelType w:val="hybridMultilevel"/>
    <w:lvl w:ilvl="0">
      <w:lvlJc w:val="left"/>
      <w:lvlText w:val="%1."/>
      <w:numFmt w:val="decimal"/>
      <w:start w:val="10"/>
    </w:lvl>
  </w:abstractNum>
  <w:abstractNum w:abstractNumId="52">
    <w:nsid w:val="235BA861"/>
    <w:multiLevelType w:val="hybridMultilevel"/>
    <w:lvl w:ilvl="0">
      <w:lvlJc w:val="left"/>
      <w:lvlText w:val="%1."/>
      <w:numFmt w:val="decimal"/>
      <w:start w:val="11"/>
    </w:lvl>
  </w:abstractNum>
  <w:abstractNum w:abstractNumId="53">
    <w:nsid w:val="47398C89"/>
    <w:multiLevelType w:val="hybridMultilevel"/>
    <w:lvl w:ilvl="0">
      <w:lvlJc w:val="left"/>
      <w:lvlText w:val="%1."/>
      <w:numFmt w:val="decimal"/>
      <w:start w:val="13"/>
    </w:lvl>
  </w:abstractNum>
  <w:abstractNum w:abstractNumId="54">
    <w:nsid w:val="354FE9F9"/>
    <w:multiLevelType w:val="hybridMultilevel"/>
    <w:lvl w:ilvl="0">
      <w:lvlJc w:val="left"/>
      <w:lvlText w:val="%1."/>
      <w:numFmt w:val="decimal"/>
      <w:start w:val="14"/>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3"/>
    </w:lvl>
  </w:abstractNum>
  <w:abstractNum w:abstractNumId="59">
    <w:nsid w:val="3F6AB60F"/>
    <w:multiLevelType w:val="hybridMultilevel"/>
    <w:lvl w:ilvl="0">
      <w:lvlJc w:val="left"/>
      <w:lvlText w:val="%1."/>
      <w:numFmt w:val="upperLetter"/>
      <w:start w:val="1"/>
    </w:lvl>
  </w:abstractNum>
  <w:abstractNum w:abstractNumId="60">
    <w:nsid w:val="61574095"/>
    <w:multiLevelType w:val="hybridMultilevel"/>
    <w:lvl w:ilvl="0">
      <w:lvlJc w:val="left"/>
      <w:lvlText w:val="%1."/>
      <w:numFmt w:val="upperLetter"/>
      <w:start w:val="4"/>
    </w:lvl>
  </w:abstractNum>
  <w:abstractNum w:abstractNumId="61">
    <w:nsid w:val="7E0C57B1"/>
    <w:multiLevelType w:val="hybridMultilevel"/>
    <w:lvl w:ilvl="0">
      <w:lvlJc w:val="left"/>
      <w:lvlText w:val="%1."/>
      <w:numFmt w:val="upperLetter"/>
      <w:start w:val="8"/>
    </w:lvl>
  </w:abstractNum>
  <w:abstractNum w:abstractNumId="62">
    <w:nsid w:val="77AE35EB"/>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2021-07-16T15:35:54Z</dcterms:created>
  <dcterms:modified xsi:type="dcterms:W3CDTF">2021-07-16T15:35:54Z</dcterms:modified>
</cp:coreProperties>
</file>