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333-280918</w:t>
      </w:r>
    </w:p>
    <w:p>
      <w:pPr>
        <w:ind w:left="4"/>
        <w:spacing w:after="0" w:line="236" w:lineRule="auto"/>
        <w:rPr>
          <w:sz w:val="20"/>
          <w:szCs w:val="20"/>
          <w:color w:val="auto"/>
        </w:rPr>
      </w:pPr>
      <w:r>
        <w:rPr>
          <w:rFonts w:ascii="Times New Roman" w:cs="Times New Roman" w:eastAsia="Times New Roman" w:hAnsi="Times New Roman"/>
          <w:sz w:val="15"/>
          <w:szCs w:val="15"/>
          <w:b w:val="1"/>
          <w:bCs w:val="1"/>
          <w:color w:val="auto"/>
        </w:rPr>
        <w:t>PROSPECTUS SUPPLEMENT</w:t>
      </w:r>
    </w:p>
    <w:p>
      <w:pPr>
        <w:ind w:left="4"/>
        <w:spacing w:after="0"/>
        <w:rPr>
          <w:sz w:val="20"/>
          <w:szCs w:val="20"/>
          <w:color w:val="auto"/>
        </w:rPr>
      </w:pPr>
      <w:r>
        <w:rPr>
          <w:rFonts w:ascii="Times New Roman" w:cs="Times New Roman" w:eastAsia="Times New Roman" w:hAnsi="Times New Roman"/>
          <w:sz w:val="15"/>
          <w:szCs w:val="15"/>
          <w:b w:val="1"/>
          <w:bCs w:val="1"/>
          <w:color w:val="auto"/>
        </w:rPr>
        <w:t>(To Prospectus Dated January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2802890</wp:posOffset>
            </wp:positionH>
            <wp:positionV relativeFrom="paragraph">
              <wp:posOffset>45720</wp:posOffset>
            </wp:positionV>
            <wp:extent cx="1388745" cy="1225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12255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405,000 Shares of Common Stock</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Prefunded Warrants to Purchase up to 334,000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120015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7" w:lineRule="exact"/>
        <w:rPr>
          <w:sz w:val="24"/>
          <w:szCs w:val="24"/>
          <w:color w:val="auto"/>
        </w:rPr>
      </w:pPr>
    </w:p>
    <w:p>
      <w:pPr>
        <w:ind w:left="4" w:right="320"/>
        <w:spacing w:after="0" w:line="261" w:lineRule="auto"/>
        <w:rPr>
          <w:sz w:val="20"/>
          <w:szCs w:val="20"/>
          <w:color w:val="auto"/>
        </w:rPr>
      </w:pPr>
      <w:r>
        <w:rPr>
          <w:rFonts w:ascii="Times New Roman" w:cs="Times New Roman" w:eastAsia="Times New Roman" w:hAnsi="Times New Roman"/>
          <w:sz w:val="15"/>
          <w:szCs w:val="15"/>
          <w:color w:val="auto"/>
        </w:rPr>
        <w:t>We are offering to certain investors 405,000 shares of our common stock, par value $0.001 per share (the “Common Stock”) and prefunded warrants to purchase up to 334,000 shares of our common stock.</w:t>
      </w:r>
    </w:p>
    <w:p>
      <w:pPr>
        <w:spacing w:after="0" w:line="16" w:lineRule="exact"/>
        <w:rPr>
          <w:sz w:val="24"/>
          <w:szCs w:val="24"/>
          <w:color w:val="auto"/>
        </w:rPr>
      </w:pPr>
    </w:p>
    <w:p>
      <w:pPr>
        <w:ind w:left="4" w:right="20"/>
        <w:spacing w:after="0" w:line="238" w:lineRule="auto"/>
        <w:rPr>
          <w:sz w:val="20"/>
          <w:szCs w:val="20"/>
          <w:color w:val="auto"/>
        </w:rPr>
      </w:pPr>
      <w:r>
        <w:rPr>
          <w:rFonts w:ascii="Times New Roman" w:cs="Times New Roman" w:eastAsia="Times New Roman" w:hAnsi="Times New Roman"/>
          <w:sz w:val="15"/>
          <w:szCs w:val="15"/>
          <w:color w:val="auto"/>
        </w:rPr>
        <w:t>The purchase price of each prefunded warrant will equal the price per share at which shares of our common stock are being sold in this offering, minus $0.001, the exercise price of each prefunded warrant. Each prefunded warrant will be immediately exercisable and until exercised in full for one share of common stock, subject to the limitations described in the section “Description of Securities—Description of Prefunded Warrants—Exercisability.” The offering price for each share of common stock is $6.25. This prospectus supplement also relates to the offering of the shares of common stock issuable upon exercise of such prefunded warrants.</w:t>
      </w:r>
    </w:p>
    <w:p>
      <w:pPr>
        <w:spacing w:after="0" w:line="31" w:lineRule="exact"/>
        <w:rPr>
          <w:sz w:val="24"/>
          <w:szCs w:val="24"/>
          <w:color w:val="auto"/>
        </w:rPr>
      </w:pPr>
    </w:p>
    <w:p>
      <w:pPr>
        <w:ind w:left="4" w:right="40"/>
        <w:spacing w:after="0" w:line="238" w:lineRule="auto"/>
        <w:rPr>
          <w:sz w:val="20"/>
          <w:szCs w:val="20"/>
          <w:color w:val="auto"/>
        </w:rPr>
      </w:pPr>
      <w:r>
        <w:rPr>
          <w:rFonts w:ascii="Times New Roman" w:cs="Times New Roman" w:eastAsia="Times New Roman" w:hAnsi="Times New Roman"/>
          <w:sz w:val="15"/>
          <w:szCs w:val="15"/>
          <w:color w:val="auto"/>
        </w:rPr>
        <w:t>Our common stock is listed on the Nasdaq Capital Market under the symbol “TPST.” The last reported sale price of our common stock on the Nasdaq Capital Market on June 10, 2025 was $8.88 per share. There is no established public trading market for the prefunded warrants, and we do not expect a market to develop. We do not intend to apply for listing of the prefunded warrants on The Nasdaq Capital Market or any securities exchange or nationally recognized trading system. Without an active trading market, the liquidity of the prefunded warrants will be limited.</w:t>
      </w:r>
    </w:p>
    <w:p>
      <w:pPr>
        <w:spacing w:after="0" w:line="45" w:lineRule="exact"/>
        <w:rPr>
          <w:sz w:val="24"/>
          <w:szCs w:val="24"/>
          <w:color w:val="auto"/>
        </w:rPr>
      </w:pPr>
    </w:p>
    <w:p>
      <w:pPr>
        <w:ind w:left="4" w:right="20"/>
        <w:spacing w:after="0" w:line="233" w:lineRule="auto"/>
        <w:rPr>
          <w:sz w:val="20"/>
          <w:szCs w:val="20"/>
          <w:color w:val="auto"/>
        </w:rPr>
      </w:pPr>
      <w:r>
        <w:rPr>
          <w:rFonts w:ascii="Times New Roman" w:cs="Times New Roman" w:eastAsia="Times New Roman" w:hAnsi="Times New Roman"/>
          <w:sz w:val="15"/>
          <w:szCs w:val="15"/>
          <w:color w:val="auto"/>
        </w:rPr>
        <w:t>As of June 10, 2025, the aggregate market value of our common stock held by our non-affiliates was $33,059,868, based upon 3,693,840 shares of our outstanding common stock held by non-affiliates at the per share price of $8.95, the closing sale price of our common stock on The Nasdaq Capital Market on June 9, 2025. Pursuant to General Instruction I.B.6 of Form S-3, in no event will we sell securities in a public offering with a value exceeding more than one-third of our “public float” (i.e., the aggregate market value of our common stock held by our non-affiliates), or $11,019,956, in any 12 calendar-month period so long as our public float remains below $75.0 million. During the 12 calendar months prior to and including the date of this prospectus supplement (but excluding this offering), we have sold $2,689,261 of securities in reliance on General Instruction I.B.6 of Form S-3. As a result, we are eligible to offer and sell up to an aggregate of $8,330,695 of our securities pursuant to General Instruction I.B.6. of Form S-3.</w:t>
      </w:r>
    </w:p>
    <w:p>
      <w:pPr>
        <w:spacing w:after="0" w:line="35" w:lineRule="exact"/>
        <w:rPr>
          <w:sz w:val="24"/>
          <w:szCs w:val="24"/>
          <w:color w:val="auto"/>
        </w:rPr>
      </w:pPr>
    </w:p>
    <w:p>
      <w:pPr>
        <w:ind w:left="4" w:right="120"/>
        <w:spacing w:after="0" w:line="243" w:lineRule="auto"/>
        <w:rPr>
          <w:sz w:val="20"/>
          <w:szCs w:val="20"/>
          <w:color w:val="auto"/>
        </w:rPr>
      </w:pPr>
      <w:r>
        <w:rPr>
          <w:rFonts w:ascii="Times New Roman" w:cs="Times New Roman" w:eastAsia="Times New Roman" w:hAnsi="Times New Roman"/>
          <w:sz w:val="15"/>
          <w:szCs w:val="15"/>
          <w:color w:val="auto"/>
        </w:rPr>
        <w:t>We have engaged H.C. Wainwright &amp; Co., LLC, or the placement agent, as our exclusive placement agent in connection with this offering. The placement agent has no obligation to buy any of the securities from us or to arrange for the purchase or sale of any specific number or dollar amount of securities. We have agreed to pay the placement agent the placement agent fees set forth in the table below.</w:t>
      </w:r>
    </w:p>
    <w:p>
      <w:pPr>
        <w:spacing w:after="0" w:line="23" w:lineRule="exact"/>
        <w:rPr>
          <w:sz w:val="24"/>
          <w:szCs w:val="24"/>
          <w:color w:val="auto"/>
        </w:rPr>
      </w:pPr>
    </w:p>
    <w:tbl>
      <w:tblPr>
        <w:tblLayout w:type="fixed"/>
        <w:tblInd w:w="444"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Per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28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Offering price</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   6.250</w:t>
            </w: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      6.249</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      4,618,416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Placement agent fees</w:t>
            </w:r>
            <w:r>
              <w:rPr>
                <w:rFonts w:ascii="Times New Roman" w:cs="Times New Roman" w:eastAsia="Times New Roman" w:hAnsi="Times New Roman"/>
                <w:sz w:val="11"/>
                <w:szCs w:val="11"/>
                <w:color w:val="auto"/>
              </w:rPr>
              <w:t>(1)</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0.375</w:t>
            </w:r>
          </w:p>
        </w:tc>
        <w:tc>
          <w:tcPr>
            <w:tcW w:w="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0.375</w:t>
            </w:r>
          </w:p>
        </w:tc>
        <w:tc>
          <w:tcPr>
            <w:tcW w:w="40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277,125</w:t>
            </w:r>
          </w:p>
        </w:tc>
        <w:tc>
          <w:tcPr>
            <w:tcW w:w="0" w:type="dxa"/>
            <w:vAlign w:val="bottom"/>
          </w:tcPr>
          <w:p>
            <w:pPr>
              <w:spacing w:after="0"/>
              <w:rPr>
                <w:sz w:val="1"/>
                <w:szCs w:val="1"/>
                <w:color w:val="auto"/>
              </w:rPr>
            </w:pPr>
          </w:p>
        </w:tc>
      </w:tr>
      <w:tr>
        <w:trPr>
          <w:trHeight w:val="162"/>
        </w:trPr>
        <w:tc>
          <w:tcPr>
            <w:tcW w:w="62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before expenses, to Tempest Therapeutics, Inc.</w:t>
            </w:r>
          </w:p>
        </w:tc>
        <w:tc>
          <w:tcPr>
            <w:tcW w:w="1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5.875</w:t>
            </w:r>
          </w:p>
        </w:tc>
        <w:tc>
          <w:tcPr>
            <w:tcW w:w="3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5.874</w:t>
            </w:r>
          </w:p>
        </w:tc>
        <w:tc>
          <w:tcPr>
            <w:tcW w:w="400" w:type="dxa"/>
            <w:vAlign w:val="bottom"/>
            <w:gridSpan w:val="2"/>
            <w:shd w:val="clear" w:color="auto" w:fill="CCEEFF"/>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4,341,291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2" w:lineRule="exact"/>
        <w:rPr>
          <w:sz w:val="24"/>
          <w:szCs w:val="24"/>
          <w:color w:val="auto"/>
        </w:rPr>
      </w:pPr>
    </w:p>
    <w:p>
      <w:pPr>
        <w:ind w:left="424" w:right="20" w:hanging="424"/>
        <w:spacing w:after="0" w:line="261" w:lineRule="auto"/>
        <w:tabs>
          <w:tab w:leader="none" w:pos="424"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agreed to pay the placement agent a cash fee of 6% and reimburse the Placement Agent certain expenses. See “Plan of Distribution” beginning on page S-12 of this prospectus supplement for additional information with respect to the compensation we will pay the placement agent.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107315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2" w:lineRule="exact"/>
        <w:rPr>
          <w:sz w:val="24"/>
          <w:szCs w:val="24"/>
          <w:color w:val="auto"/>
        </w:rPr>
      </w:pPr>
    </w:p>
    <w:p>
      <w:pPr>
        <w:ind w:left="4" w:right="540"/>
        <w:spacing w:after="0" w:line="261" w:lineRule="auto"/>
        <w:rPr>
          <w:sz w:val="20"/>
          <w:szCs w:val="20"/>
          <w:color w:val="auto"/>
        </w:rPr>
      </w:pPr>
      <w:r>
        <w:rPr>
          <w:rFonts w:ascii="Times New Roman" w:cs="Times New Roman" w:eastAsia="Times New Roman" w:hAnsi="Times New Roman"/>
          <w:sz w:val="15"/>
          <w:szCs w:val="15"/>
          <w:color w:val="auto"/>
        </w:rPr>
        <w:t>We are a “smaller reporting company” under applicable Securities and Exchange Commission rules and are subject to reduced public company reporting requirements. See “Prospectus Supplement Summary—Implications of Being a Smaller Reporting Company and non-accelerated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98425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7" w:lineRule="exact"/>
        <w:rPr>
          <w:sz w:val="24"/>
          <w:szCs w:val="24"/>
          <w:color w:val="auto"/>
        </w:rPr>
      </w:pPr>
    </w:p>
    <w:p>
      <w:pPr>
        <w:jc w:val="both"/>
        <w:ind w:left="4" w:right="800"/>
        <w:spacing w:after="0" w:line="268" w:lineRule="auto"/>
        <w:rPr>
          <w:sz w:val="20"/>
          <w:szCs w:val="20"/>
          <w:color w:val="auto"/>
        </w:rPr>
      </w:pPr>
      <w:r>
        <w:rPr>
          <w:rFonts w:ascii="Times New Roman" w:cs="Times New Roman" w:eastAsia="Times New Roman" w:hAnsi="Times New Roman"/>
          <w:sz w:val="18"/>
          <w:szCs w:val="18"/>
          <w:b w:val="1"/>
          <w:bCs w:val="1"/>
          <w:color w:val="auto"/>
        </w:rPr>
        <w:t>Our business and an investment in our securities involve significant risks. These risks are described under the caption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S-6 of this prospectus supplement and under similar headings in the documents incorporated by reference into this prospectus supplement and the accompanying prospectus.</w:t>
      </w:r>
    </w:p>
    <w:p>
      <w:pPr>
        <w:spacing w:after="0" w:line="23" w:lineRule="exact"/>
        <w:rPr>
          <w:sz w:val="24"/>
          <w:szCs w:val="24"/>
          <w:color w:val="auto"/>
        </w:rPr>
      </w:pPr>
    </w:p>
    <w:p>
      <w:pPr>
        <w:ind w:left="4" w:right="220"/>
        <w:spacing w:after="0" w:line="266"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96520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9" w:lineRule="exact"/>
        <w:rPr>
          <w:sz w:val="24"/>
          <w:szCs w:val="24"/>
          <w:color w:val="auto"/>
        </w:rPr>
      </w:pPr>
    </w:p>
    <w:p>
      <w:pPr>
        <w:ind w:left="4" w:right="100"/>
        <w:spacing w:after="0" w:line="261" w:lineRule="auto"/>
        <w:rPr>
          <w:sz w:val="20"/>
          <w:szCs w:val="20"/>
          <w:color w:val="auto"/>
        </w:rPr>
      </w:pPr>
      <w:r>
        <w:rPr>
          <w:rFonts w:ascii="Times New Roman" w:cs="Times New Roman" w:eastAsia="Times New Roman" w:hAnsi="Times New Roman"/>
          <w:sz w:val="15"/>
          <w:szCs w:val="15"/>
          <w:color w:val="auto"/>
        </w:rPr>
        <w:t>Delivery of the shares of common stock and prefunded warrants being offered pursuant to this prospectus supplement and the accompanying prospectus is expected to be made on or about June 12, 2025, subject to satisfaction of customary closing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98425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H.C. Wainwright &amp; Co.</w:t>
      </w:r>
    </w:p>
    <w:p>
      <w:pPr>
        <w:spacing w:after="0" w:line="1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Prospectus Supplement dated June 11, 2025</w:t>
      </w:r>
    </w:p>
    <w:p>
      <w:pPr>
        <w:sectPr>
          <w:pgSz w:w="11900" w:h="16838" w:orient="portrait"/>
          <w:cols w:equalWidth="0" w:num="1">
            <w:col w:w="11024"/>
          </w:cols>
          <w:pgMar w:left="436" w:top="225"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60" w:type="dxa"/>
            <w:vAlign w:val="bottom"/>
          </w:tcPr>
          <w:p>
            <w:pPr>
              <w:spacing w:after="0"/>
              <w:rPr>
                <w:sz w:val="20"/>
                <w:szCs w:val="20"/>
                <w:color w:val="auto"/>
              </w:rPr>
            </w:pPr>
          </w:p>
        </w:tc>
      </w:tr>
      <w:tr>
        <w:trPr>
          <w:trHeight w:val="418"/>
        </w:trPr>
        <w:tc>
          <w:tcPr>
            <w:tcW w:w="34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4960" w:type="dxa"/>
            <w:vAlign w:val="bottom"/>
            <w:gridSpan w:val="4"/>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8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r>
      <w:tr>
        <w:trPr>
          <w:trHeight w:val="196"/>
        </w:trPr>
        <w:tc>
          <w:tcPr>
            <w:tcW w:w="53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3080" w:type="dxa"/>
            <w:vAlign w:val="bottom"/>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32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120" w:type="dxa"/>
            <w:vAlign w:val="bottom"/>
            <w:gridSpan w:val="5"/>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820" w:type="dxa"/>
            <w:vAlign w:val="bottom"/>
            <w:gridSpan w:val="15"/>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820" w:type="dxa"/>
            <w:vAlign w:val="bottom"/>
            <w:gridSpan w:val="15"/>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540" w:type="dxa"/>
            <w:vAlign w:val="bottom"/>
            <w:gridSpan w:val="19"/>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8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196"/>
        </w:trPr>
        <w:tc>
          <w:tcPr>
            <w:tcW w:w="25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900" w:type="dxa"/>
            <w:vAlign w:val="bottom"/>
            <w:gridSpan w:val="9"/>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360" w:type="dxa"/>
            <w:vAlign w:val="bottom"/>
            <w:gridSpan w:val="1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S-19</w:t>
            </w:r>
          </w:p>
        </w:tc>
      </w:tr>
      <w:tr>
        <w:trPr>
          <w:trHeight w:val="196"/>
        </w:trPr>
        <w:tc>
          <w:tcPr>
            <w:tcW w:w="8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S-19</w:t>
            </w: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367"/>
        </w:trPr>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4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7"/>
          </w:tcPr>
          <w:p>
            <w:pPr>
              <w:spacing w:after="0"/>
              <w:rPr>
                <w:sz w:val="17"/>
                <w:szCs w:val="17"/>
                <w:color w:val="auto"/>
              </w:rPr>
            </w:pPr>
          </w:p>
        </w:tc>
        <w:tc>
          <w:tcPr>
            <w:tcW w:w="6180" w:type="dxa"/>
            <w:vAlign w:val="bottom"/>
            <w:gridSpan w:val="11"/>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4"/>
          </w:tcPr>
          <w:p>
            <w:pPr>
              <w:spacing w:after="0"/>
              <w:rPr>
                <w:sz w:val="17"/>
                <w:szCs w:val="17"/>
                <w:color w:val="auto"/>
              </w:rPr>
            </w:pPr>
          </w:p>
        </w:tc>
        <w:tc>
          <w:tcPr>
            <w:tcW w:w="3080" w:type="dxa"/>
            <w:vAlign w:val="bottom"/>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8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360" w:type="dxa"/>
            <w:vAlign w:val="bottom"/>
            <w:gridSpan w:val="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920" w:type="dxa"/>
            <w:vAlign w:val="bottom"/>
            <w:gridSpan w:val="10"/>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6260" w:type="dxa"/>
            <w:vAlign w:val="bottom"/>
            <w:gridSpan w:val="1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2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380" w:type="dxa"/>
            <w:vAlign w:val="bottom"/>
            <w:gridSpan w:val="1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3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5380" w:type="dxa"/>
            <w:vAlign w:val="bottom"/>
            <w:gridSpan w:val="7"/>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360" w:type="dxa"/>
            <w:vAlign w:val="bottom"/>
            <w:gridSpan w:val="1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8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760" w:type="dxa"/>
            <w:vAlign w:val="bottom"/>
            <w:shd w:val="clear" w:color="auto" w:fill="0000EE"/>
          </w:tcPr>
          <w:p>
            <w:pPr>
              <w:spacing w:after="0" w:line="20" w:lineRule="exact"/>
              <w:rPr>
                <w:sz w:val="1"/>
                <w:szCs w:val="1"/>
                <w:color w:val="auto"/>
              </w:rPr>
            </w:pPr>
          </w:p>
        </w:tc>
        <w:tc>
          <w:tcPr>
            <w:tcW w:w="4420" w:type="dxa"/>
            <w:vAlign w:val="bottom"/>
            <w:gridSpan w:val="18"/>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8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3800" w:type="dxa"/>
            <w:vAlign w:val="bottom"/>
            <w:gridSpan w:val="18"/>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220" w:type="dxa"/>
            <w:vAlign w:val="bottom"/>
            <w:gridSpan w:val="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0960"/>
          </w:cols>
          <w:pgMar w:left="440" w:top="266"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THIS PROSPECTUS SUPPLEMENT</w:t>
      </w:r>
    </w:p>
    <w:p>
      <w:pPr>
        <w:spacing w:after="0" w:line="229" w:lineRule="exact"/>
        <w:rPr>
          <w:sz w:val="20"/>
          <w:szCs w:val="20"/>
          <w:color w:val="auto"/>
        </w:rPr>
      </w:pPr>
    </w:p>
    <w:p>
      <w:pPr>
        <w:ind w:right="2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document is part of a “shelf” registration statement on Form S-3 (File No. 333-280918) that we filed with the Securities and Exchange Commission, or the SEC, on </w:t>
      </w:r>
      <w:hyperlink r:id="rId17">
        <w:r>
          <w:rPr>
            <w:rFonts w:ascii="Times New Roman" w:cs="Times New Roman" w:eastAsia="Times New Roman" w:hAnsi="Times New Roman"/>
            <w:sz w:val="18"/>
            <w:szCs w:val="18"/>
            <w:u w:val="single" w:color="auto"/>
            <w:color w:val="0000EE"/>
          </w:rPr>
          <w:t>July 19, 2024</w:t>
        </w:r>
      </w:hyperlink>
      <w:r>
        <w:rPr>
          <w:rFonts w:ascii="Times New Roman" w:cs="Times New Roman" w:eastAsia="Times New Roman" w:hAnsi="Times New Roman"/>
          <w:sz w:val="18"/>
          <w:szCs w:val="18"/>
          <w:color w:val="auto"/>
        </w:rPr>
        <w:t xml:space="preserve">, as amended on </w:t>
      </w:r>
      <w:hyperlink r:id="rId18">
        <w:r>
          <w:rPr>
            <w:rFonts w:ascii="Times New Roman" w:cs="Times New Roman" w:eastAsia="Times New Roman" w:hAnsi="Times New Roman"/>
            <w:sz w:val="18"/>
            <w:szCs w:val="18"/>
            <w:u w:val="single" w:color="auto"/>
            <w:color w:val="0000EE"/>
          </w:rPr>
          <w:t>January 24, 2025</w:t>
        </w:r>
      </w:hyperlink>
      <w:r>
        <w:rPr>
          <w:rFonts w:ascii="Times New Roman" w:cs="Times New Roman" w:eastAsia="Times New Roman" w:hAnsi="Times New Roman"/>
          <w:sz w:val="18"/>
          <w:szCs w:val="18"/>
          <w:color w:val="auto"/>
        </w:rPr>
        <w:t xml:space="preserve">, which was declared effective by the SEC on </w:t>
      </w:r>
      <w:hyperlink r:id="rId19">
        <w:r>
          <w:rPr>
            <w:rFonts w:ascii="Times New Roman" w:cs="Times New Roman" w:eastAsia="Times New Roman" w:hAnsi="Times New Roman"/>
            <w:sz w:val="18"/>
            <w:szCs w:val="18"/>
            <w:u w:val="single" w:color="auto"/>
            <w:color w:val="0000EE"/>
          </w:rPr>
          <w:t>January 27, 2025</w:t>
        </w:r>
      </w:hyperlink>
      <w:r>
        <w:rPr>
          <w:rFonts w:ascii="Times New Roman" w:cs="Times New Roman" w:eastAsia="Times New Roman" w:hAnsi="Times New Roman"/>
          <w:sz w:val="18"/>
          <w:szCs w:val="18"/>
          <w:color w:val="auto"/>
        </w:rPr>
        <w:t>. This document is in two parts. This first part is this prospectus supplement, which describes the specific terms of this offering and also adds to and updates information contained in the accompanying prospectus and the documents incorporated by reference therein. The second part is the accompanying prospectus, which provides more general information about securities we may offer from time to time, some of which does not apply to this offering.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 provided that if any statement in one of these documents is inconsistent with a statement in another document having a later date, the statement in the document having the later date modifies or supersedes the earlier statement.</w:t>
      </w:r>
    </w:p>
    <w:p>
      <w:pPr>
        <w:spacing w:after="0" w:line="194" w:lineRule="exact"/>
        <w:rPr>
          <w:rFonts w:ascii="Times New Roman" w:cs="Times New Roman" w:eastAsia="Times New Roman" w:hAnsi="Times New Roman"/>
          <w:sz w:val="18"/>
          <w:szCs w:val="18"/>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the accompanying prospectus or in any other prospectus supplement or free writing prospectus that we may authorize for use in connection with this offering. We have not, and the placement agent has not, authorized any other person to provide you with different or additional information. If anyone provides you with different, additional or inconsistent information, you should not rely on it. We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herein and therein,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herein and therein,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“Incorporation of Certain Information by Reference” and “Where You Can Find More Information.”</w:t>
      </w:r>
    </w:p>
    <w:p>
      <w:pPr>
        <w:spacing w:after="0" w:line="190" w:lineRule="exact"/>
        <w:rPr>
          <w:rFonts w:ascii="Times New Roman" w:cs="Times New Roman" w:eastAsia="Times New Roman" w:hAnsi="Times New Roman"/>
          <w:sz w:val="18"/>
          <w:szCs w:val="18"/>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our securities only in jurisdictions where offers and sales are permitted. The distribution of this prospectus supplement and the accompanying prospectus and the offering of our securities in certain jurisdictions may be restricted by law. Persons outside the United States who come into possession of this prospectus supplement and the accompanying prospectus must inform themselves about, and observe any restrictions relating to, the offering of our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rFonts w:ascii="Times New Roman" w:cs="Times New Roman" w:eastAsia="Times New Roman" w:hAnsi="Times New Roman"/>
          <w:sz w:val="18"/>
          <w:szCs w:val="18"/>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supplement, references to “we,” “us,” “our,” “the Company” and “Tempest” refer to Tempest Therapeutics, Inc.</w:t>
      </w:r>
    </w:p>
    <w:p>
      <w:pPr>
        <w:spacing w:after="0" w:line="162" w:lineRule="exact"/>
        <w:rPr>
          <w:rFonts w:ascii="Times New Roman" w:cs="Times New Roman" w:eastAsia="Times New Roman" w:hAnsi="Times New Roman"/>
          <w:sz w:val="18"/>
          <w:szCs w:val="18"/>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obtained the industry and market data in this prospectus supplement, including the information incorporated by reference herein, from our own research as well as from industry and general publications, surveys and studies conducted by third parties. These data involve a number of assumptions and limitations, and you are cautioned not to give undue weight to such estimates. In addition, projections, assumptions and estimates of our future performance and the future performance of the industry in which we operate is necessarily subject to a high</w:t>
      </w:r>
    </w:p>
    <w:p>
      <w:pPr>
        <w:spacing w:after="0" w:line="11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00"/>
          </w:cols>
          <w:pgMar w:left="440" w:top="266" w:right="45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degree of uncertainty and risk due to a variety of factors, including those described in “Risk Factors” and elsewhere in this prospectus supplement and information incorporated by reference herein and therein. These and other factors could cause results to differ materially from those expressed in the estimates made by the independent parties and by us.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0800"/>
          </w:cols>
          <w:pgMar w:left="440" w:top="270" w:right="6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incorporated by reference herein and therein, and any free writing prospectus that we have authorized for use in connection with this offering, contain forward-looking statements within the meaning of the Private Securities Litigation Reform Act of 1995. These statements are based on our management’s current beliefs, expectations and assumptions about future events, conditions and results and on information currently available to us. Discussions containing these forward-looking statements may be found, among other places, in the sections titled “Business,” “Risk Factors” and “Management’s Discussion and Analysis of Financial Condition and Results of Operations” incorporated by reference from our most recent Quarterly Report on Form 10-Q filed with the SEC, as well as any amendments thereto reflected in subsequent filings with the SEC.</w:t>
      </w:r>
    </w:p>
    <w:p>
      <w:pPr>
        <w:spacing w:after="0" w:line="18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Any statements in this prospectus supplement or the accompanying prospectus, or incorporated by reference herein or therein, and any free writing prospectus, about our expectations, beliefs, plans, objectives, assumptions or future events or performance are not historical facts and are forward-looking statements. Within the meaning of Section 27A of the Securities Act of 1933, as amended, or the Securities Act, and Section 21E of the Exchange Act, these forward-looking statements include statements regarding:</w:t>
      </w:r>
    </w:p>
    <w:p>
      <w:pPr>
        <w:spacing w:after="0" w:line="85" w:lineRule="exact"/>
        <w:rPr>
          <w:sz w:val="20"/>
          <w:szCs w:val="20"/>
          <w:color w:val="auto"/>
        </w:rPr>
      </w:pPr>
    </w:p>
    <w:p>
      <w:pPr>
        <w:ind w:left="960" w:right="1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of strategic alternatives to maximize stockholder value, in a timely manner or at all, and whether we will be able to obtain sufficient funding to complete this process and whether any such transactions would generate value for stockholders;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amezalpat, TPST-1495 and any future product candidates;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130" w:lineRule="exact"/>
        <w:rPr>
          <w:rFonts w:ascii="Times New Roman" w:cs="Times New Roman" w:eastAsia="Times New Roman" w:hAnsi="Times New Roman"/>
          <w:sz w:val="18"/>
          <w:szCs w:val="18"/>
          <w:color w:val="auto"/>
        </w:rPr>
      </w:pPr>
    </w:p>
    <w:p>
      <w:pPr>
        <w:ind w:left="960" w:right="8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our obligations under our term loan with Oxford, or to obtain a waiver from Oxford for any failure to comply with the covenants contained in such term loan agreement;</w:t>
      </w:r>
    </w:p>
    <w:p>
      <w:pPr>
        <w:spacing w:after="0" w:line="67"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listing rules of the Nasdaq Capital Market;</w:t>
      </w:r>
    </w:p>
    <w:p>
      <w:pPr>
        <w:spacing w:after="0" w:line="130"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000"/>
          </w:cols>
          <w:pgMar w:left="440" w:top="266" w:right="459" w:bottom="1440" w:gutter="0" w:footer="0" w:header="0"/>
        </w:sectPr>
      </w:pPr>
    </w:p>
    <w:bookmarkStart w:id="5" w:name="page6"/>
    <w:bookmarkEnd w:id="5"/>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anticipated use of proceeds of this offering;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period of time for which our current capital resources will be sufficient to fund our continued operations.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also contain statements that are based on the current expectations of our company and management.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this prospectus supplement and the accompanying prospectus, together with all of the other information contained in or incorporated by reference into the prospectus supplement and the accompanying prospectus.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supplement, whether as a result of any new information, future events or otherwise.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the documents incorporated by reference herein or therein and any free writing prospectus prepared by or on behalf of us or to which we have referred you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0980"/>
          </w:cols>
          <w:pgMar w:left="440" w:top="270" w:right="4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88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6088380"/>
                    </a:xfrm>
                    <a:prstGeom prst="rect">
                      <a:avLst/>
                    </a:prstGeom>
                    <a:noFill/>
                  </pic:spPr>
                </pic:pic>
              </a:graphicData>
            </a:graphic>
          </wp:anchor>
        </w:drawing>
        <w:t>PROSPECTUS SUPPLEMENT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and the accompanying prospectus and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documents we incorporate by reference. This summary does not contain all of the information you should consider before investing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You should read this entire prospectus supplement and the accompanying prospectus carefully, including the information and documents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incorporated by reference herein and therein, especially the risks of investing in our securities discussed under “Risk Factors” beginning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page S-5 of this prospectus supplement and under similar headings in our Annual Report on Form 10-K for the year ended December 31, 2024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Quarterly Report on Form 10-Q for the quarter ended March 31, 2025, which are incorporated by reference in this prospectus supplement,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along with our consolidated financial statements and notes to those consolidated financial statements and the other information incorporated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in this prospectus supplement and the accompanying prospectus, before making an investment decision.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with a diverse portfolio of targeted and immune-mediated product candidates with the potential to be first-in-class to treat a wide range of cancers. Our novel programs range from early research to the lead program, amezalpat (previously known as TPST-1120), that, subject to the need for additional resources, is ready to begin a pivotal study in first-line hepatocellular carcinoma, or HCC. In addition to amezalpat, our second clinical-stage therapeutic product candidate is TPST-1495, which we expect to start a Phase 2 study in Familial Adenomatous Polyposis, or FAP, this year. We believe both amezalpat and TPST-1495 are the first clinical-stage molecules designed to inhibit their respective targets.</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 Given market conditions, in April 2025, we announced plans to explore a full range of strategic alternatives to advance our promising programs.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two clinical-stage therapeutic product candidates are amezalpat and TPST-1495, which we believe are the first clinical-stage molecules designed to inhibit their respective targets. Amezalpat is a selective antagonist of peroxisome proliferator-activated receptor alpha, or PPARα. On August 15, 2024, we announced the successful completion of our end-of-Phase 2 meeting with the U.S. Food and Drug Administration, or FDA, regarding the development of amezalpat for the treatment first-line unresectable or metastatic HCC, and on November 12, 2024, we announced the receipt of a “Study May Proceed” letter from the FDA. The FDA provided positive feedback on the pivotal Phase 3 clinical trial design, which closely mirrors the randomized Phase 2 study that produced positive data across multiple clinical endpoints, including overall survival, or OS. The planned Phase 3 trial is designed to use the current amezalpat dose and schedule from the positive Phase 2 study in combination with atezolizumab and bevacizumab and will be compared to atezolizumab and bevacizumab alone, the standard of care. The primary endpoint of the trial will be OS. The FDA also agreed on a pre-specified early efficacy analysis, that if met would reduce the time to primary read-out by up to 8 months.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second clinical program, TPST-1495, is a dual antagonist of the EP2 and EP4 receptors of prostaglandin E2. We are planning to advance TPST-1495 in a new indication, Familial Adenomatous Polyposis, or FAP, for which there are no approved systemic therapies. Given that prostaglandin signaling is implicated in FAP and based on positive preclinical data in a relevant mouse model, we believe there is strong mechanistic support for this approach. We are working with the Cancer Prevention Clinical Trials Network, and the study will be funded by the National Cancer Institute, or the NCI, Division of Cancer Prevention. In March 2025, the Cancer Prevention Clinical Trials Network, or the CP-CTNet, received a “Study May Proceed” letter from the FDA, authorizing the initiation of a NCI-funded Phase 2 clinical trial evaluating TPST-1495 in patients with FAP. This trial, run by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620"/>
          </w:cols>
          <w:pgMar w:left="620" w:top="455" w:right="659" w:bottom="1440" w:gutter="0" w:footer="0" w:header="0"/>
        </w:sectPr>
      </w:pPr>
    </w:p>
    <w:bookmarkStart w:id="7" w:name="page8"/>
    <w:bookmarkEnd w:id="7"/>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14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6114415"/>
                    </a:xfrm>
                    <a:prstGeom prst="rect">
                      <a:avLst/>
                    </a:prstGeom>
                    <a:noFill/>
                  </pic:spPr>
                </pic:pic>
              </a:graphicData>
            </a:graphic>
          </wp:anchor>
        </w:drawing>
        <w:t>CP-CTNet and financially supported by the NCI’s Division of Cancer Prevention, underscores the urgent need for innovative cancer prevention strategies in high-risk patient populations. The Phase 2 study is expected to begin in 2025.</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2025, the FDA granted Fast Track Designation, or FTD, underscoring the agency’s recognition of the urgent need for new treatment options for HCC. In April 2025, the FDA granted ODD to TPST-1495 for the treatment of patients with FAP. In June 2025, the European Medicines Agency granted ODD to amezalpat for the treatment of patients with HCC. These designations provide potential regulatory benefits, including increased engagement with the FDA, eligibility for accelerated approval and priority review, and, for ODD, potential market exclusivity upon approval.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Officer Transitions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April 2025, we announced that we had adopted a plan to extend our capital resources in connection with initiating a process to explore a full range of strategic alternatives. In support of such efforts, on June 5, 2025, each of Stephen Brady, our Chief Executive Officer and President, Samuel Whiting, our Executive Vice President and Chief Medical Officer, and Nicholas Maestas, our Chief Financial Officer and Corporate Secretary, transitioned to consulting agreements with us, pursuant to which they will continue to serve the Company in their respective executive roles. Each consulting agreement has a term of one year, unless earlier terminated by either party thereto. Each of Mr. Brady, Dr. Whiting and Mr. Maestas will receive hourly compensation pursuant to the terms of his respective consulting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Suspension and Termination of ATM Prospectus Supplement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11, 2025, we delivered written notice to Jefferies LLC (“Jefferies”) that we were suspending and terminating the prospectus supplement, dated February 6, 2025, related to our common stock (the “ATM Prospectus”), issuable pursuant to the terms of the Open Market Sale AgreementSM, dated June 20, 2024 (the “Sales Agreement”), by and between us and Jefferies. We will not make any sales of our securities pursuant to the Sales Agreement, unless and until a new prospectus, prospectus supplement or a new registration statement is filed. Other than the termination of the ATM Prospectus, the Sales Agreement remains in full force and effect.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right="60"/>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business is subject to a number of risks of which you should be aware before making an investment decision. These risks are discussed more fully in the “Risk Factors” section of this prospectus supplement immediately following this prospectus supplement summary and in the “Risk </w:t>
      </w:r>
      <w:hyperlink r:id="rId25">
        <w:r>
          <w:rPr>
            <w:rFonts w:ascii="Times New Roman" w:cs="Times New Roman" w:eastAsia="Times New Roman" w:hAnsi="Times New Roman"/>
            <w:sz w:val="18"/>
            <w:szCs w:val="18"/>
            <w:color w:val="auto"/>
          </w:rPr>
          <w:t xml:space="preserve">Factors” sections in our </w:t>
        </w:r>
        <w:r>
          <w:rPr>
            <w:rFonts w:ascii="Times New Roman" w:cs="Times New Roman" w:eastAsia="Times New Roman" w:hAnsi="Times New Roman"/>
            <w:sz w:val="18"/>
            <w:szCs w:val="18"/>
            <w:u w:val="single" w:color="auto"/>
            <w:color w:val="0000EE"/>
          </w:rPr>
          <w:t>Annual Report on Form 10-K for the year ended December 31,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Quarterly Report on Form 10-Q for the quarter</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ended March 31, 2025</w:t>
        </w:r>
        <w:r>
          <w:rPr>
            <w:rFonts w:ascii="Times New Roman" w:cs="Times New Roman" w:eastAsia="Times New Roman" w:hAnsi="Times New Roman"/>
            <w:sz w:val="18"/>
            <w:szCs w:val="18"/>
            <w:color w:val="000000"/>
          </w:rPr>
          <w:t>, which are incorporated by reference in this prospectus supplement. These risks include the following:</w:t>
        </w:r>
      </w:hyperlink>
    </w:p>
    <w:p>
      <w:pPr>
        <w:spacing w:after="0" w:line="85" w:lineRule="exact"/>
        <w:rPr>
          <w:sz w:val="20"/>
          <w:szCs w:val="20"/>
          <w:color w:val="auto"/>
        </w:rPr>
      </w:pPr>
    </w:p>
    <w:p>
      <w:pPr>
        <w:ind w:left="940" w:hanging="415"/>
        <w:spacing w:after="0" w:line="266"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 We will require substantial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81"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to evaluate and pursue potential strategic alternatives may not result in any transaction or enhance stockholder value.</w:t>
      </w:r>
    </w:p>
    <w:p>
      <w:pPr>
        <w:spacing w:after="0" w:line="130" w:lineRule="exact"/>
        <w:rPr>
          <w:rFonts w:ascii="Times New Roman" w:cs="Times New Roman" w:eastAsia="Times New Roman" w:hAnsi="Times New Roman"/>
          <w:sz w:val="18"/>
          <w:szCs w:val="18"/>
          <w:color w:val="auto"/>
        </w:rPr>
      </w:pPr>
    </w:p>
    <w:p>
      <w:pPr>
        <w:ind w:left="940" w:right="80" w:hanging="415"/>
        <w:spacing w:after="0" w:line="266"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520"/>
          </w:cols>
          <w:pgMar w:left="620" w:top="459" w:right="759" w:bottom="1440" w:gutter="0" w:footer="0" w:header="0"/>
        </w:sectPr>
      </w:pPr>
    </w:p>
    <w:bookmarkStart w:id="8" w:name="page9"/>
    <w:bookmarkEnd w:id="8"/>
    <w:p>
      <w:pPr>
        <w:ind w:left="420" w:right="340" w:hanging="415"/>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88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4865" cy="6088380"/>
                    </a:xfrm>
                    <a:prstGeom prst="rect">
                      <a:avLst/>
                    </a:prstGeom>
                    <a:noFill/>
                  </pic:spPr>
                </pic:pic>
              </a:graphicData>
            </a:graphic>
          </wp:anchor>
        </w:drawing>
        <w:t>Our recently implemented corporate restructuring intended to optimize our resource allocation and contain costs may not have the benefits we expect.</w:t>
      </w:r>
    </w:p>
    <w:p>
      <w:pPr>
        <w:spacing w:after="0" w:line="67" w:lineRule="exact"/>
        <w:rPr>
          <w:rFonts w:ascii="Times New Roman" w:cs="Times New Roman" w:eastAsia="Times New Roman" w:hAnsi="Times New Roman"/>
          <w:sz w:val="18"/>
          <w:szCs w:val="18"/>
          <w:color w:val="auto"/>
        </w:rPr>
      </w:pPr>
    </w:p>
    <w:p>
      <w:pPr>
        <w:ind w:left="420" w:hanging="415"/>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proprietary rights.</w:t>
      </w:r>
    </w:p>
    <w:p>
      <w:pPr>
        <w:spacing w:after="0" w:line="130" w:lineRule="exact"/>
        <w:rPr>
          <w:rFonts w:ascii="Times New Roman" w:cs="Times New Roman" w:eastAsia="Times New Roman" w:hAnsi="Times New Roman"/>
          <w:sz w:val="18"/>
          <w:szCs w:val="18"/>
          <w:color w:val="auto"/>
        </w:rPr>
      </w:pPr>
    </w:p>
    <w:p>
      <w:pPr>
        <w:ind w:left="420" w:right="400" w:hanging="415"/>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as a result, we may encounter difficulties in managing our growth, which could disrupt our operations.</w:t>
      </w:r>
    </w:p>
    <w:p>
      <w:pPr>
        <w:spacing w:after="0" w:line="67" w:lineRule="exact"/>
        <w:rPr>
          <w:rFonts w:ascii="Times New Roman" w:cs="Times New Roman" w:eastAsia="Times New Roman" w:hAnsi="Times New Roman"/>
          <w:sz w:val="18"/>
          <w:szCs w:val="18"/>
          <w:color w:val="auto"/>
        </w:rPr>
      </w:pPr>
    </w:p>
    <w:p>
      <w:pPr>
        <w:ind w:left="420" w:right="280" w:hanging="415"/>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obtain regulatory approval for and commercialize amezalpat, TPST-1495, or any of our future product candidates, or if we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420" w:right="400" w:hanging="415"/>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67" w:lineRule="exact"/>
        <w:rPr>
          <w:rFonts w:ascii="Times New Roman" w:cs="Times New Roman" w:eastAsia="Times New Roman" w:hAnsi="Times New Roman"/>
          <w:sz w:val="18"/>
          <w:szCs w:val="18"/>
          <w:color w:val="auto"/>
        </w:rPr>
      </w:pPr>
    </w:p>
    <w:p>
      <w:pPr>
        <w:ind w:left="420" w:hanging="415"/>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and develop marketable products.</w:t>
      </w:r>
    </w:p>
    <w:p>
      <w:pPr>
        <w:spacing w:after="0" w:line="130" w:lineRule="exact"/>
        <w:rPr>
          <w:rFonts w:ascii="Times New Roman" w:cs="Times New Roman" w:eastAsia="Times New Roman" w:hAnsi="Times New Roman"/>
          <w:sz w:val="18"/>
          <w:szCs w:val="18"/>
          <w:color w:val="auto"/>
        </w:rPr>
      </w:pPr>
    </w:p>
    <w:p>
      <w:pPr>
        <w:ind w:left="420" w:right="360" w:hanging="415"/>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 candidates, including TPST-1495 and amezalpat, will depend upon their degree of market acceptance by providers, patients, patient advocacy groups, third-party payors and the general medical community.</w:t>
      </w:r>
    </w:p>
    <w:p>
      <w:pPr>
        <w:spacing w:after="0" w:line="67" w:lineRule="exact"/>
        <w:rPr>
          <w:rFonts w:ascii="Times New Roman" w:cs="Times New Roman" w:eastAsia="Times New Roman" w:hAnsi="Times New Roman"/>
          <w:sz w:val="18"/>
          <w:szCs w:val="18"/>
          <w:color w:val="auto"/>
        </w:rPr>
      </w:pPr>
    </w:p>
    <w:p>
      <w:pPr>
        <w:ind w:left="420" w:right="320" w:hanging="415"/>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 parties to manufacture our clinical product supplies, and we may have to rely on third parties to produce and process our product candidates, if approved.</w:t>
      </w:r>
    </w:p>
    <w:p>
      <w:pPr>
        <w:spacing w:after="0" w:line="67" w:lineRule="exact"/>
        <w:rPr>
          <w:rFonts w:ascii="Times New Roman" w:cs="Times New Roman" w:eastAsia="Times New Roman" w:hAnsi="Times New Roman"/>
          <w:sz w:val="18"/>
          <w:szCs w:val="18"/>
          <w:color w:val="auto"/>
        </w:rPr>
      </w:pPr>
    </w:p>
    <w:p>
      <w:pPr>
        <w:ind w:left="420" w:right="140" w:hanging="415"/>
        <w:spacing w:after="0" w:line="289" w:lineRule="auto"/>
        <w:tabs>
          <w:tab w:leader="none" w:pos="4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amezalpat, and any future product candidates.</w:t>
      </w:r>
    </w:p>
    <w:p>
      <w:pPr>
        <w:spacing w:after="0" w:line="63" w:lineRule="exact"/>
        <w:rPr>
          <w:rFonts w:ascii="Times New Roman" w:cs="Times New Roman" w:eastAsia="Times New Roman" w:hAnsi="Times New Roman"/>
          <w:sz w:val="17"/>
          <w:szCs w:val="17"/>
          <w:color w:val="auto"/>
        </w:rPr>
      </w:pPr>
    </w:p>
    <w:p>
      <w:pPr>
        <w:ind w:left="420" w:right="60" w:hanging="415"/>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and marketing capabilities or enter into agreements with third parties to market and sell our product candidates, we may be unable to generate any revenues.</w:t>
      </w:r>
    </w:p>
    <w:p>
      <w:pPr>
        <w:spacing w:after="0" w:line="67" w:lineRule="exact"/>
        <w:rPr>
          <w:rFonts w:ascii="Times New Roman" w:cs="Times New Roman" w:eastAsia="Times New Roman" w:hAnsi="Times New Roman"/>
          <w:sz w:val="18"/>
          <w:szCs w:val="18"/>
          <w:color w:val="auto"/>
        </w:rPr>
      </w:pPr>
    </w:p>
    <w:p>
      <w:pPr>
        <w:ind w:left="420" w:right="120" w:hanging="415"/>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finding strategic collaborators for continuing development of certain of our future product candidates or successfully commercializing or competing in the market for certain indications.</w:t>
      </w:r>
    </w:p>
    <w:p>
      <w:pPr>
        <w:spacing w:after="0" w:line="67" w:lineRule="exact"/>
        <w:rPr>
          <w:rFonts w:ascii="Times New Roman" w:cs="Times New Roman" w:eastAsia="Times New Roman" w:hAnsi="Times New Roman"/>
          <w:sz w:val="18"/>
          <w:szCs w:val="18"/>
          <w:color w:val="auto"/>
        </w:rPr>
      </w:pPr>
    </w:p>
    <w:p>
      <w:pPr>
        <w:ind w:left="420" w:right="580" w:hanging="415"/>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67" w:lineRule="exact"/>
        <w:rPr>
          <w:rFonts w:ascii="Times New Roman" w:cs="Times New Roman" w:eastAsia="Times New Roman" w:hAnsi="Times New Roman"/>
          <w:sz w:val="18"/>
          <w:szCs w:val="18"/>
          <w:color w:val="auto"/>
        </w:rPr>
      </w:pPr>
    </w:p>
    <w:p>
      <w:pPr>
        <w:ind w:left="420" w:right="160" w:hanging="415"/>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67" w:lineRule="exact"/>
        <w:rPr>
          <w:rFonts w:ascii="Times New Roman" w:cs="Times New Roman" w:eastAsia="Times New Roman" w:hAnsi="Times New Roman"/>
          <w:sz w:val="18"/>
          <w:szCs w:val="18"/>
          <w:color w:val="auto"/>
        </w:rPr>
      </w:pPr>
    </w:p>
    <w:p>
      <w:pPr>
        <w:ind w:left="420" w:right="60" w:hanging="415"/>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in-licensed patents and patent applications may not provide sufficient protection of our product candidates or result in any competitive advantage.</w:t>
      </w:r>
    </w:p>
    <w:p>
      <w:pPr>
        <w:spacing w:after="0" w:line="67" w:lineRule="exact"/>
        <w:rPr>
          <w:rFonts w:ascii="Times New Roman" w:cs="Times New Roman" w:eastAsia="Times New Roman" w:hAnsi="Times New Roman"/>
          <w:sz w:val="18"/>
          <w:szCs w:val="18"/>
          <w:color w:val="auto"/>
        </w:rPr>
      </w:pPr>
    </w:p>
    <w:p>
      <w:pPr>
        <w:ind w:left="420" w:right="180" w:hanging="415"/>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is likely to continue to be volatile, and purchasers of our common stock could incur substantial losses.</w:t>
      </w:r>
    </w:p>
    <w:p>
      <w:pPr>
        <w:spacing w:after="0" w:line="67" w:lineRule="exact"/>
        <w:rPr>
          <w:rFonts w:ascii="Times New Roman" w:cs="Times New Roman" w:eastAsia="Times New Roman" w:hAnsi="Times New Roman"/>
          <w:sz w:val="18"/>
          <w:szCs w:val="18"/>
          <w:color w:val="auto"/>
        </w:rPr>
      </w:pPr>
    </w:p>
    <w:p>
      <w:pPr>
        <w:ind w:left="420" w:hanging="415"/>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67" w:lineRule="exact"/>
        <w:rPr>
          <w:rFonts w:ascii="Times New Roman" w:cs="Times New Roman" w:eastAsia="Times New Roman" w:hAnsi="Times New Roman"/>
          <w:sz w:val="18"/>
          <w:szCs w:val="18"/>
          <w:color w:val="auto"/>
        </w:rPr>
      </w:pPr>
    </w:p>
    <w:p>
      <w:pPr>
        <w:ind w:left="420" w:right="400" w:hanging="415"/>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share price.</w:t>
      </w:r>
    </w:p>
    <w:p>
      <w:pPr>
        <w:spacing w:after="0" w:line="27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100"/>
          </w:cols>
          <w:pgMar w:left="1140" w:top="459" w:right="659" w:bottom="1440" w:gutter="0" w:footer="0" w:header="0"/>
        </w:sectPr>
      </w:pPr>
    </w:p>
    <w:bookmarkStart w:id="9" w:name="page10"/>
    <w:bookmarkEnd w:id="9"/>
    <w:p>
      <w:pPr>
        <w:ind w:left="942" w:hanging="415"/>
        <w:spacing w:after="0"/>
        <w:tabs>
          <w:tab w:leader="none" w:pos="9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54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74865" cy="5754370"/>
                    </a:xfrm>
                    <a:prstGeom prst="rect">
                      <a:avLst/>
                    </a:prstGeom>
                    <a:noFill/>
                  </pic:spPr>
                </pic:pic>
              </a:graphicData>
            </a:graphic>
          </wp:anchor>
        </w:drawing>
        <w:t>Our common stock is thinly traded and our stockholders may be unable to sell their shares quickly or at market price.</w:t>
      </w:r>
    </w:p>
    <w:p>
      <w:pPr>
        <w:spacing w:after="0" w:line="130" w:lineRule="exact"/>
        <w:rPr>
          <w:rFonts w:ascii="Times New Roman" w:cs="Times New Roman" w:eastAsia="Times New Roman" w:hAnsi="Times New Roman"/>
          <w:sz w:val="18"/>
          <w:szCs w:val="18"/>
          <w:color w:val="auto"/>
        </w:rPr>
      </w:pPr>
    </w:p>
    <w:p>
      <w:pPr>
        <w:ind w:left="942" w:right="20" w:hanging="415"/>
        <w:spacing w:after="0" w:line="282" w:lineRule="auto"/>
        <w:tabs>
          <w:tab w:leader="none" w:pos="9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our ability to produce accurate financial statements on a timely basis could be impaired.</w:t>
      </w:r>
    </w:p>
    <w:p>
      <w:pPr>
        <w:spacing w:after="0" w:line="2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 and a Non-Accelerated Filer</w:t>
      </w:r>
    </w:p>
    <w:p>
      <w:pPr>
        <w:spacing w:after="0" w:line="121" w:lineRule="exact"/>
        <w:rPr>
          <w:sz w:val="20"/>
          <w:szCs w:val="20"/>
          <w:color w:val="auto"/>
        </w:rPr>
      </w:pPr>
    </w:p>
    <w:p>
      <w:pPr>
        <w:ind w:left="2"/>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192" w:lineRule="exact"/>
        <w:rPr>
          <w:sz w:val="20"/>
          <w:szCs w:val="20"/>
          <w:color w:val="auto"/>
        </w:rPr>
      </w:pPr>
    </w:p>
    <w:p>
      <w:pPr>
        <w:ind w:left="2" w:right="800"/>
        <w:spacing w:after="0" w:line="282" w:lineRule="auto"/>
        <w:rPr>
          <w:sz w:val="20"/>
          <w:szCs w:val="20"/>
          <w:color w:val="auto"/>
        </w:rPr>
      </w:pPr>
      <w:r>
        <w:rPr>
          <w:rFonts w:ascii="Times New Roman" w:cs="Times New Roman" w:eastAsia="Times New Roman" w:hAnsi="Times New Roman"/>
          <w:sz w:val="18"/>
          <w:szCs w:val="18"/>
          <w:color w:val="auto"/>
        </w:rPr>
        <w:t>Additionally, as a non-accelerated filer, we may continue to take advantage of the exception from compliance with the auditor attestation requirements of Section 404 of the Sarbanes-Oxley Act of 2002, as amended.</w:t>
      </w:r>
    </w:p>
    <w:p>
      <w:pPr>
        <w:spacing w:after="0" w:line="2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2" w:right="240"/>
        <w:spacing w:after="0" w:line="261" w:lineRule="auto"/>
        <w:rPr>
          <w:sz w:val="20"/>
          <w:szCs w:val="20"/>
          <w:color w:val="auto"/>
        </w:rPr>
      </w:pPr>
      <w:r>
        <w:rPr>
          <w:rFonts w:ascii="Times New Roman" w:cs="Times New Roman" w:eastAsia="Times New Roman" w:hAnsi="Times New Roman"/>
          <w:sz w:val="18"/>
          <w:szCs w:val="18"/>
          <w:color w:val="auto"/>
        </w:rPr>
        <w:t>Tempest was founded in 2011 and is currently incorporated in Delaware with headquarters in Brisbane, California. We are a clinical-stage biotechnology company moving into late-stage development with a diverse portfolio of first-in-class targeted and immune-mediated product candidates with the potential to treat a wide range of cancers. Our philosophy is to build a company based upon not only good ideas and creative science, but also upon the efficient translation of those ideas into therapies that will improve patients’ lives.</w:t>
      </w:r>
    </w:p>
    <w:p>
      <w:pPr>
        <w:spacing w:after="0" w:line="180" w:lineRule="exact"/>
        <w:rPr>
          <w:sz w:val="20"/>
          <w:szCs w:val="20"/>
          <w:color w:val="auto"/>
        </w:rPr>
      </w:pPr>
    </w:p>
    <w:p>
      <w:pPr>
        <w:ind w:left="2" w:right="40"/>
        <w:spacing w:after="0" w:line="282" w:lineRule="auto"/>
        <w:rPr>
          <w:sz w:val="20"/>
          <w:szCs w:val="20"/>
          <w:color w:val="auto"/>
        </w:rPr>
      </w:pPr>
      <w:r>
        <w:rPr>
          <w:rFonts w:ascii="Times New Roman" w:cs="Times New Roman" w:eastAsia="Times New Roman" w:hAnsi="Times New Roman"/>
          <w:sz w:val="18"/>
          <w:szCs w:val="18"/>
          <w:color w:val="auto"/>
        </w:rPr>
        <w:t>On April 8, 2025 we effected a reverse stock split at a ratio of 1-for-13 (the “Reverse Stock Split”). All common stock share and per share amounts in this prospectus supplement have been adjusted to give effect to the Reverse Stock Split unless otherwise stated.</w:t>
      </w:r>
    </w:p>
    <w:p>
      <w:pPr>
        <w:spacing w:after="0" w:line="162" w:lineRule="exact"/>
        <w:rPr>
          <w:sz w:val="20"/>
          <w:szCs w:val="20"/>
          <w:color w:val="auto"/>
        </w:rPr>
      </w:pPr>
    </w:p>
    <w:p>
      <w:pPr>
        <w:ind w:left="2" w:right="40"/>
        <w:spacing w:after="0" w:line="261" w:lineRule="auto"/>
        <w:rPr>
          <w:sz w:val="20"/>
          <w:szCs w:val="20"/>
          <w:color w:val="auto"/>
        </w:rPr>
      </w:pPr>
      <w:r>
        <w:rPr>
          <w:rFonts w:ascii="Times New Roman" w:cs="Times New Roman" w:eastAsia="Times New Roman" w:hAnsi="Times New Roman"/>
          <w:sz w:val="18"/>
          <w:szCs w:val="18"/>
          <w:color w:val="auto"/>
        </w:rPr>
        <w:t>The Tempest logo and other trademarks or service marks of Tempest Therapeutics, Inc. appearing in this prospectus supplement are the property of Tempest Therapeutics, Inc.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w:t>
      </w:r>
    </w:p>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Our principal executive offices are located at 2000 Sierra Point Parkway, Suite 400, Brisbane, CA 94005. Our telephone number is</w:t>
      </w:r>
    </w:p>
    <w:p>
      <w:pPr>
        <w:spacing w:after="0" w:line="27" w:lineRule="exact"/>
        <w:rPr>
          <w:sz w:val="20"/>
          <w:szCs w:val="20"/>
          <w:color w:val="auto"/>
        </w:rPr>
      </w:pPr>
    </w:p>
    <w:p>
      <w:pPr>
        <w:ind w:left="2" w:right="480" w:hanging="2"/>
        <w:spacing w:after="0" w:line="260" w:lineRule="auto"/>
        <w:tabs>
          <w:tab w:leader="none" w:pos="4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798-8589. Our website is located at http://www.tempesttx.com. We do not incorporate by reference into this prospectus supplement the information on, or accessible through, our website, and you should not consider it as part of this prospectus supplement.</w:t>
      </w:r>
    </w:p>
    <w:p>
      <w:pPr>
        <w:spacing w:after="0" w:line="28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642"/>
          </w:cols>
          <w:pgMar w:left="618" w:top="459" w:right="63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97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74865" cy="6097270"/>
                    </a:xfrm>
                    <a:prstGeom prst="rect">
                      <a:avLst/>
                    </a:prstGeom>
                    <a:noFill/>
                  </pic:spPr>
                </pic:pic>
              </a:graphicData>
            </a:graphic>
          </wp:anchor>
        </w:drawing>
        <w:t>THE OFFERING</w:t>
      </w:r>
    </w:p>
    <w:p>
      <w:pPr>
        <w:sectPr>
          <w:pgSz w:w="11900" w:h="16838" w:orient="portrait"/>
          <w:cols w:equalWidth="0" w:num="1">
            <w:col w:w="10600"/>
          </w:cols>
          <w:pgMar w:left="620" w:top="455" w:right="67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405,000 shares</w:t>
      </w:r>
    </w:p>
    <w:p>
      <w:pPr>
        <w:spacing w:after="0" w:line="200" w:lineRule="exact"/>
        <w:rPr>
          <w:sz w:val="20"/>
          <w:szCs w:val="20"/>
          <w:color w:val="auto"/>
        </w:rPr>
      </w:pPr>
    </w:p>
    <w:p>
      <w:pPr>
        <w:sectPr>
          <w:pgSz w:w="11900" w:h="16838" w:orient="portrait"/>
          <w:cols w:equalWidth="0" w:num="2">
            <w:col w:w="3320" w:space="720"/>
            <w:col w:w="6560"/>
          </w:cols>
          <w:pgMar w:left="620" w:top="455" w:right="67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Prefunded warrants offered by us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Prefunded warrants to purchase up to 334,000 shares of our common stock. The purchase price of each prefunded warrant will equal the price per share at which the shares of our common stock are being sold to the public in this offering, minus $0.001, which is the exercise price of each share of common stock issuable upon exercise of the prefunded warrants per share. Each prefunded warrant will be exercisable at any time after the date of issuance of such prefunded warrant and until exercised in full, subject to an ownership limitation. See “Description of Securities” on page S-15 of this prospectus supplement. This prospectus supplement also relates to the offering of the shares of our common stock issuable upon exercise of the prefunded warrants.</w:t>
      </w:r>
    </w:p>
    <w:p>
      <w:pPr>
        <w:spacing w:after="0" w:line="200" w:lineRule="exact"/>
        <w:rPr>
          <w:sz w:val="20"/>
          <w:szCs w:val="20"/>
          <w:color w:val="auto"/>
        </w:rPr>
      </w:pPr>
    </w:p>
    <w:p>
      <w:pPr>
        <w:sectPr>
          <w:pgSz w:w="11900" w:h="16838" w:orient="portrait"/>
          <w:cols w:equalWidth="0" w:num="2">
            <w:col w:w="3320" w:space="720"/>
            <w:col w:w="6560"/>
          </w:cols>
          <w:pgMar w:left="620" w:top="455" w:right="679" w:bottom="1440" w:gutter="0" w:footer="0" w:header="0"/>
          <w:type w:val="continuous"/>
        </w:sectPr>
      </w:pPr>
    </w:p>
    <w:p>
      <w:pPr>
        <w:spacing w:after="0" w:line="15" w:lineRule="exact"/>
        <w:rPr>
          <w:sz w:val="20"/>
          <w:szCs w:val="20"/>
          <w:color w:val="auto"/>
        </w:rPr>
      </w:pPr>
    </w:p>
    <w:p>
      <w:pPr>
        <w:ind w:left="4040"/>
        <w:spacing w:after="0" w:line="266" w:lineRule="auto"/>
        <w:rPr>
          <w:sz w:val="20"/>
          <w:szCs w:val="20"/>
          <w:color w:val="auto"/>
        </w:rPr>
      </w:pPr>
      <w:r>
        <w:rPr>
          <w:rFonts w:ascii="Times New Roman" w:cs="Times New Roman" w:eastAsia="Times New Roman" w:hAnsi="Times New Roman"/>
          <w:sz w:val="18"/>
          <w:szCs w:val="18"/>
          <w:color w:val="auto"/>
        </w:rPr>
        <w:t>There is currently no market for the prefunded warrants and none is expected to develop after this offering. We do not intend to apply for listing of the prefunded warrants on the Nasdaq Capital Market or any securities exchange or nationally recognized trading system.</w:t>
      </w:r>
    </w:p>
    <w:p>
      <w:pPr>
        <w:sectPr>
          <w:pgSz w:w="11900" w:h="16838" w:orient="portrait"/>
          <w:cols w:equalWidth="0" w:num="1">
            <w:col w:w="10600"/>
          </w:cols>
          <w:pgMar w:left="620" w:top="455" w:right="67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Common stock to be outstanding after this offering </w:t>
      </w:r>
      <w:r>
        <w:rPr>
          <w:rFonts w:ascii="Times New Roman" w:cs="Times New Roman" w:eastAsia="Times New Roman" w:hAnsi="Times New Roman"/>
          <w:sz w:val="18"/>
          <w:szCs w:val="18"/>
          <w:color w:val="auto"/>
        </w:rPr>
        <w:t>3,924,602 shares, excluding any shares of common stock issuable upon the exercise of any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prefunded warrants issued in this offering.</w:t>
            </w:r>
          </w:p>
        </w:tc>
      </w:tr>
      <w:tr>
        <w:trPr>
          <w:trHeight w:val="422"/>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We plan to use the net proceeds from this offering primarily for supporting the previously</w:t>
            </w:r>
          </w:p>
        </w:tc>
      </w:tr>
      <w:tr>
        <w:trPr>
          <w:trHeight w:val="216"/>
        </w:trPr>
        <w:tc>
          <w:tcPr>
            <w:tcW w:w="4040" w:type="dxa"/>
            <w:vAlign w:val="bottom"/>
          </w:tcPr>
          <w:p>
            <w:pPr>
              <w:spacing w:after="0"/>
              <w:rPr>
                <w:sz w:val="18"/>
                <w:szCs w:val="18"/>
                <w:color w:val="auto"/>
              </w:rPr>
            </w:pP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announced strategic alternative process and for working capital and general corporate</w:t>
            </w:r>
          </w:p>
        </w:tc>
      </w:tr>
      <w:tr>
        <w:trPr>
          <w:trHeight w:val="234"/>
        </w:trPr>
        <w:tc>
          <w:tcPr>
            <w:tcW w:w="4040" w:type="dxa"/>
            <w:vAlign w:val="bottom"/>
          </w:tcPr>
          <w:p>
            <w:pPr>
              <w:spacing w:after="0"/>
              <w:rPr>
                <w:sz w:val="20"/>
                <w:szCs w:val="20"/>
                <w:color w:val="auto"/>
              </w:rPr>
            </w:pP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purposes. See “Use of Proceeds” on page S-8 of this prospectus supplement.</w:t>
            </w:r>
          </w:p>
        </w:tc>
      </w:tr>
      <w:tr>
        <w:trPr>
          <w:trHeight w:val="441"/>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supplement beginning on</w:t>
            </w:r>
          </w:p>
        </w:tc>
      </w:tr>
      <w:tr>
        <w:trPr>
          <w:trHeight w:val="194"/>
        </w:trPr>
        <w:tc>
          <w:tcPr>
            <w:tcW w:w="4040" w:type="dxa"/>
            <w:vAlign w:val="bottom"/>
          </w:tcPr>
          <w:p>
            <w:pPr>
              <w:spacing w:after="0"/>
              <w:rPr>
                <w:sz w:val="16"/>
                <w:szCs w:val="16"/>
                <w:color w:val="auto"/>
              </w:rPr>
            </w:pPr>
          </w:p>
        </w:tc>
        <w:tc>
          <w:tcPr>
            <w:tcW w:w="6480" w:type="dxa"/>
            <w:vAlign w:val="bottom"/>
            <w:gridSpan w:val="6"/>
          </w:tcPr>
          <w:p>
            <w:pPr>
              <w:spacing w:after="0" w:line="194" w:lineRule="exact"/>
              <w:rPr>
                <w:rFonts w:ascii="Times New Roman" w:cs="Times New Roman" w:eastAsia="Times New Roman" w:hAnsi="Times New Roman"/>
                <w:sz w:val="18"/>
                <w:szCs w:val="18"/>
                <w:color w:val="auto"/>
                <w:w w:val="99"/>
              </w:rPr>
            </w:pPr>
            <w:hyperlink r:id="rId29">
              <w:r>
                <w:rPr>
                  <w:rFonts w:ascii="Times New Roman" w:cs="Times New Roman" w:eastAsia="Times New Roman" w:hAnsi="Times New Roman"/>
                  <w:sz w:val="18"/>
                  <w:szCs w:val="18"/>
                  <w:color w:val="auto"/>
                  <w:w w:val="99"/>
                </w:rPr>
                <w:t xml:space="preserve">page S-5 and the “Risk Factors” sections in our </w:t>
              </w:r>
              <w:r>
                <w:rPr>
                  <w:rFonts w:ascii="Times New Roman" w:cs="Times New Roman" w:eastAsia="Times New Roman" w:hAnsi="Times New Roman"/>
                  <w:sz w:val="18"/>
                  <w:szCs w:val="18"/>
                  <w:color w:val="0000EE"/>
                  <w:w w:val="99"/>
                </w:rPr>
                <w:t>Annual Report on Form 10-K for the year</w:t>
              </w:r>
            </w:hyperlink>
          </w:p>
        </w:tc>
      </w:tr>
      <w:tr>
        <w:trPr>
          <w:trHeight w:val="20"/>
        </w:trPr>
        <w:tc>
          <w:tcPr>
            <w:tcW w:w="4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96"/>
        </w:trPr>
        <w:tc>
          <w:tcPr>
            <w:tcW w:w="4040" w:type="dxa"/>
            <w:vAlign w:val="bottom"/>
          </w:tcPr>
          <w:p>
            <w:pPr>
              <w:spacing w:after="0"/>
              <w:rPr>
                <w:sz w:val="17"/>
                <w:szCs w:val="17"/>
                <w:color w:val="auto"/>
              </w:rPr>
            </w:pPr>
          </w:p>
        </w:tc>
        <w:tc>
          <w:tcPr>
            <w:tcW w:w="6480" w:type="dxa"/>
            <w:vAlign w:val="bottom"/>
            <w:gridSpan w:val="6"/>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 xml:space="preserve">ended December 31, 2024 </w:t>
              </w:r>
              <w:r>
                <w:rPr>
                  <w:rFonts w:ascii="Times New Roman" w:cs="Times New Roman" w:eastAsia="Times New Roman" w:hAnsi="Times New Roman"/>
                  <w:sz w:val="18"/>
                  <w:szCs w:val="18"/>
                  <w:color w:val="000000"/>
                </w:rPr>
                <w:t>and our</w:t>
              </w:r>
              <w:r>
                <w:rPr>
                  <w:rFonts w:ascii="Times New Roman" w:cs="Times New Roman" w:eastAsia="Times New Roman" w:hAnsi="Times New Roman"/>
                  <w:sz w:val="18"/>
                  <w:szCs w:val="18"/>
                  <w:color w:val="0000EE"/>
                </w:rPr>
                <w:t xml:space="preserve"> Quarterly Report on Form 10-Q for the quarter ended</w:t>
              </w:r>
            </w:hyperlink>
          </w:p>
        </w:tc>
      </w:tr>
      <w:tr>
        <w:trPr>
          <w:trHeight w:val="20"/>
        </w:trPr>
        <w:tc>
          <w:tcPr>
            <w:tcW w:w="40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40" w:type="dxa"/>
            <w:vAlign w:val="bottom"/>
          </w:tcPr>
          <w:p>
            <w:pPr>
              <w:spacing w:after="0"/>
              <w:rPr>
                <w:sz w:val="17"/>
                <w:szCs w:val="17"/>
                <w:color w:val="auto"/>
              </w:rPr>
            </w:pPr>
          </w:p>
        </w:tc>
        <w:tc>
          <w:tcPr>
            <w:tcW w:w="6480" w:type="dxa"/>
            <w:vAlign w:val="bottom"/>
            <w:gridSpan w:val="6"/>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March 31, 2025</w:t>
              </w:r>
              <w:r>
                <w:rPr>
                  <w:rFonts w:ascii="Times New Roman" w:cs="Times New Roman" w:eastAsia="Times New Roman" w:hAnsi="Times New Roman"/>
                  <w:sz w:val="18"/>
                  <w:szCs w:val="18"/>
                  <w:color w:val="000000"/>
                </w:rPr>
                <w:t>, which are incorporated by reference, for a discussion of factors to</w:t>
              </w:r>
            </w:hyperlink>
          </w:p>
        </w:tc>
      </w:tr>
      <w:tr>
        <w:trPr>
          <w:trHeight w:val="20"/>
        </w:trPr>
        <w:tc>
          <w:tcPr>
            <w:tcW w:w="40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r>
      <w:tr>
        <w:trPr>
          <w:trHeight w:val="237"/>
        </w:trPr>
        <w:tc>
          <w:tcPr>
            <w:tcW w:w="4040" w:type="dxa"/>
            <w:vAlign w:val="bottom"/>
          </w:tcPr>
          <w:p>
            <w:pPr>
              <w:spacing w:after="0"/>
              <w:rPr>
                <w:sz w:val="20"/>
                <w:szCs w:val="20"/>
                <w:color w:val="auto"/>
              </w:rPr>
            </w:pP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consider carefully before deciding to invest in shares of our common stock.</w:t>
            </w:r>
          </w:p>
        </w:tc>
      </w:tr>
      <w:tr>
        <w:trPr>
          <w:trHeight w:val="441"/>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Capital Market symbol</w:t>
            </w: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TPST. There is no established public trading market for the prefunded warrants and we do</w:t>
            </w:r>
          </w:p>
        </w:tc>
      </w:tr>
      <w:tr>
        <w:trPr>
          <w:trHeight w:val="216"/>
        </w:trPr>
        <w:tc>
          <w:tcPr>
            <w:tcW w:w="4040" w:type="dxa"/>
            <w:vAlign w:val="bottom"/>
          </w:tcPr>
          <w:p>
            <w:pPr>
              <w:spacing w:after="0"/>
              <w:rPr>
                <w:sz w:val="18"/>
                <w:szCs w:val="18"/>
                <w:color w:val="auto"/>
              </w:rPr>
            </w:pP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expect a market to develop. In addition, we do not intend to apply for listing of the</w:t>
            </w:r>
          </w:p>
        </w:tc>
      </w:tr>
      <w:tr>
        <w:trPr>
          <w:trHeight w:val="234"/>
        </w:trPr>
        <w:tc>
          <w:tcPr>
            <w:tcW w:w="4040" w:type="dxa"/>
            <w:vAlign w:val="bottom"/>
          </w:tcPr>
          <w:p>
            <w:pPr>
              <w:spacing w:after="0"/>
              <w:rPr>
                <w:sz w:val="20"/>
                <w:szCs w:val="20"/>
                <w:color w:val="auto"/>
              </w:rPr>
            </w:pPr>
          </w:p>
        </w:tc>
        <w:tc>
          <w:tcPr>
            <w:tcW w:w="6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prefunded warrants on any securities exchange or recognized trading system.</w:t>
            </w: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3,519,602 shares of our common stock outstanding as of March 31, 2025. This number excludes the following, all as of March 31, 2025:</w:t>
      </w:r>
    </w:p>
    <w:p>
      <w:pPr>
        <w:spacing w:after="0" w:line="67" w:lineRule="exact"/>
        <w:rPr>
          <w:sz w:val="20"/>
          <w:szCs w:val="20"/>
          <w:color w:val="auto"/>
        </w:rPr>
      </w:pPr>
    </w:p>
    <w:p>
      <w:pPr>
        <w:ind w:left="940" w:hanging="415"/>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464 shares of our common stock issuable upon the exercise of warrants outstanding;</w:t>
      </w:r>
    </w:p>
    <w:p>
      <w:pPr>
        <w:spacing w:after="0" w:line="130" w:lineRule="exact"/>
        <w:rPr>
          <w:rFonts w:ascii="Times New Roman" w:cs="Times New Roman" w:eastAsia="Times New Roman" w:hAnsi="Times New Roman"/>
          <w:sz w:val="18"/>
          <w:szCs w:val="18"/>
          <w:color w:val="auto"/>
        </w:rPr>
      </w:pPr>
    </w:p>
    <w:p>
      <w:pPr>
        <w:ind w:left="940" w:right="120" w:hanging="415"/>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450,104 shares of our common stock issuable upon the exercise of stock options outstanding, with a weighted average exercise price of $64.44 per share;</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600"/>
          </w:cols>
          <w:pgMar w:left="620" w:top="455" w:right="679" w:bottom="1440" w:gutter="0" w:footer="0" w:header="0"/>
          <w:type w:val="continuous"/>
        </w:sectPr>
      </w:pPr>
    </w:p>
    <w:bookmarkStart w:id="11" w:name="page12"/>
    <w:bookmarkEnd w:id="11"/>
    <w:p>
      <w:pPr>
        <w:ind w:left="940" w:right="100" w:hanging="415"/>
        <w:spacing w:after="0" w:line="282"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793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74865" cy="1793875"/>
                    </a:xfrm>
                    <a:prstGeom prst="rect">
                      <a:avLst/>
                    </a:prstGeom>
                    <a:noFill/>
                  </pic:spPr>
                </pic:pic>
              </a:graphicData>
            </a:graphic>
          </wp:anchor>
        </w:drawing>
        <w:t>47,745 shares of our common stock reserved for issuance under the Amended and Restated 2023 Equity Incentive Plan, or the 2023 Plan, as well as any future increases in the number of shares of common stock reserved for issuance under the 2023 Plan;</w:t>
      </w:r>
    </w:p>
    <w:p>
      <w:pPr>
        <w:spacing w:after="0" w:line="67"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67,615 shares of our common stock reserved for future issuance under our 2023 Inducement Plan;</w:t>
      </w:r>
    </w:p>
    <w:p>
      <w:pPr>
        <w:spacing w:after="0" w:line="130" w:lineRule="exact"/>
        <w:rPr>
          <w:rFonts w:ascii="Times New Roman" w:cs="Times New Roman" w:eastAsia="Times New Roman" w:hAnsi="Times New Roman"/>
          <w:sz w:val="18"/>
          <w:szCs w:val="18"/>
          <w:color w:val="auto"/>
        </w:rPr>
      </w:pPr>
    </w:p>
    <w:p>
      <w:pPr>
        <w:ind w:left="940" w:hanging="415"/>
        <w:spacing w:after="0" w:line="282"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70,914 shares of our common stock reserved for issuance under our 2019 Employee Stock Purchase Plan, or the ESPP, as well as any future increases in the number of shares of common stock reserved for issuance under the ESPP; and</w:t>
      </w:r>
    </w:p>
    <w:p>
      <w:pPr>
        <w:spacing w:after="0" w:line="67"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178,603 shares of our common stock sold pursuant to our at-the-market offering program subsequent to March 31, 2025.</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the outstanding options or warrants described above.</w:t>
      </w: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520"/>
          </w:cols>
          <w:pgMar w:left="620" w:top="459" w:right="7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w:t>
      </w:r>
    </w:p>
    <w:p>
      <w:pPr>
        <w:spacing w:after="0" w:line="227" w:lineRule="exact"/>
        <w:rPr>
          <w:sz w:val="20"/>
          <w:szCs w:val="20"/>
          <w:color w:val="auto"/>
        </w:rPr>
      </w:pPr>
    </w:p>
    <w:p>
      <w:pPr>
        <w:spacing w:after="0" w:line="25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Investing in our securities involves a high degree of risk. Before you decide to invest in our securities, you should carefully consider the following risk </w:t>
      </w:r>
      <w:hyperlink r:id="rId29">
        <w:r>
          <w:rPr>
            <w:rFonts w:ascii="Times New Roman" w:cs="Times New Roman" w:eastAsia="Times New Roman" w:hAnsi="Times New Roman"/>
            <w:sz w:val="18"/>
            <w:szCs w:val="18"/>
            <w:i w:val="1"/>
            <w:iCs w:val="1"/>
            <w:color w:val="auto"/>
          </w:rPr>
          <w:t xml:space="preserve">factors and the risk factors discussed under the section titled “Risk Factors” contained in our </w:t>
        </w:r>
        <w:r>
          <w:rPr>
            <w:rFonts w:ascii="Times New Roman" w:cs="Times New Roman" w:eastAsia="Times New Roman" w:hAnsi="Times New Roman"/>
            <w:sz w:val="18"/>
            <w:szCs w:val="18"/>
            <w:i w:val="1"/>
            <w:iCs w:val="1"/>
            <w:u w:val="single" w:color="auto"/>
            <w:color w:val="0000EE"/>
          </w:rPr>
          <w:t>Annual Report on Form 10-K for the year ended</w:t>
        </w:r>
      </w:hyperlink>
      <w:r>
        <w:rPr>
          <w:rFonts w:ascii="Times New Roman" w:cs="Times New Roman" w:eastAsia="Times New Roman" w:hAnsi="Times New Roman"/>
          <w:sz w:val="18"/>
          <w:szCs w:val="18"/>
          <w:i w:val="1"/>
          <w:iCs w:val="1"/>
          <w:color w:val="auto"/>
        </w:rPr>
        <w:t xml:space="preserve"> </w:t>
      </w:r>
      <w:hyperlink r:id="rId29">
        <w:r>
          <w:rPr>
            <w:rFonts w:ascii="Times New Roman" w:cs="Times New Roman" w:eastAsia="Times New Roman" w:hAnsi="Times New Roman"/>
            <w:sz w:val="18"/>
            <w:szCs w:val="18"/>
            <w:i w:val="1"/>
            <w:iCs w:val="1"/>
            <w:u w:val="single" w:color="auto"/>
            <w:color w:val="0000EE"/>
          </w:rPr>
          <w:t>December 31, 2024</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and our</w:t>
        </w:r>
        <w:r>
          <w:rPr>
            <w:rFonts w:ascii="Times New Roman" w:cs="Times New Roman" w:eastAsia="Times New Roman" w:hAnsi="Times New Roman"/>
            <w:sz w:val="18"/>
            <w:szCs w:val="18"/>
            <w:i w:val="1"/>
            <w:iCs w:val="1"/>
            <w:color w:val="0000EE"/>
          </w:rPr>
          <w:t xml:space="preserve"> </w:t>
        </w:r>
      </w:hyperlink>
      <w:hyperlink r:id="rId30">
        <w:r>
          <w:rPr>
            <w:rFonts w:ascii="Times New Roman" w:cs="Times New Roman" w:eastAsia="Times New Roman" w:hAnsi="Times New Roman"/>
            <w:sz w:val="18"/>
            <w:szCs w:val="18"/>
            <w:i w:val="1"/>
            <w:iCs w:val="1"/>
            <w:u w:val="single" w:color="auto"/>
            <w:color w:val="0000EE"/>
          </w:rPr>
          <w:t>Quarterly Report on Form 10-Q for the quarter ended March 31, 2025</w:t>
        </w:r>
      </w:hyperlink>
      <w:hyperlink r:id="rId29">
        <w:r>
          <w:rPr>
            <w:rFonts w:ascii="Times New Roman" w:cs="Times New Roman" w:eastAsia="Times New Roman" w:hAnsi="Times New Roman"/>
            <w:sz w:val="18"/>
            <w:szCs w:val="18"/>
            <w:i w:val="1"/>
            <w:iCs w:val="1"/>
            <w:color w:val="000000"/>
          </w:rPr>
          <w:t xml:space="preserve">, as may be updated by our subsequent </w:t>
        </w:r>
      </w:hyperlink>
      <w:r>
        <w:rPr>
          <w:rFonts w:ascii="Times New Roman" w:cs="Times New Roman" w:eastAsia="Times New Roman" w:hAnsi="Times New Roman"/>
          <w:sz w:val="18"/>
          <w:szCs w:val="18"/>
          <w:i w:val="1"/>
          <w:iCs w:val="1"/>
          <w:color w:val="0000EE"/>
        </w:rPr>
        <w:t xml:space="preserve">filings, </w:t>
      </w:r>
      <w:r>
        <w:rPr>
          <w:rFonts w:ascii="Times New Roman" w:cs="Times New Roman" w:eastAsia="Times New Roman" w:hAnsi="Times New Roman"/>
          <w:sz w:val="18"/>
          <w:szCs w:val="18"/>
          <w:i w:val="1"/>
          <w:iCs w:val="1"/>
          <w:color w:val="000000"/>
        </w:rPr>
        <w:t>which are incorporated by reference into this prospectus supplement and accompanying prospectus in their entirety, together with all of the other information contained in this prospectus supplement and the accompanying prospectus or incorporated by reference into this prospectus supplement and the accompanying prospectus. The risks and uncertainties described in these documents are not the only ones we face. Other risks and uncertainties, including those that we do not currently consider material, may impair our business. If any of the risks discussed below or incorporated by reference actually occur, our business, financial condition, operating results or cash flows could be materially adversely affected. This could cause the value of our securities to decline, and you may lose all or part of your investment.</w:t>
      </w:r>
    </w:p>
    <w:p>
      <w:pPr>
        <w:spacing w:after="0" w:line="294" w:lineRule="exact"/>
        <w:rPr>
          <w:rFonts w:ascii="Times New Roman" w:cs="Times New Roman" w:eastAsia="Times New Roman" w:hAnsi="Times New Roman"/>
          <w:sz w:val="18"/>
          <w:szCs w:val="18"/>
          <w:i w:val="1"/>
          <w:iCs w:val="1"/>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Common Stock</w:t>
      </w:r>
    </w:p>
    <w:p>
      <w:pPr>
        <w:spacing w:after="0" w:line="117" w:lineRule="exact"/>
        <w:rPr>
          <w:rFonts w:ascii="Times New Roman" w:cs="Times New Roman" w:eastAsia="Times New Roman" w:hAnsi="Times New Roman"/>
          <w:sz w:val="18"/>
          <w:szCs w:val="18"/>
          <w:i w:val="1"/>
          <w:iCs w:val="1"/>
          <w:color w:val="0000EE"/>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including as a result of this offering, may cause dilution to our stockholders, restrict our operations or require us to relinquish rights to our product candidates.</w:t>
      </w:r>
    </w:p>
    <w:p>
      <w:pPr>
        <w:spacing w:after="0" w:line="51" w:lineRule="exact"/>
        <w:rPr>
          <w:rFonts w:ascii="Times New Roman" w:cs="Times New Roman" w:eastAsia="Times New Roman" w:hAnsi="Times New Roman"/>
          <w:sz w:val="18"/>
          <w:szCs w:val="18"/>
          <w:i w:val="1"/>
          <w:iCs w:val="1"/>
          <w:color w:val="0000EE"/>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expect to finance our cash needs through a combination of equity offerings, debt financings and license and development agreements. We do not currently have any committed external source of funds. To the extent that we raise additional capital through the sale of equity securities, including from this offering,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7" w:lineRule="exact"/>
        <w:rPr>
          <w:rFonts w:ascii="Times New Roman" w:cs="Times New Roman" w:eastAsia="Times New Roman" w:hAnsi="Times New Roman"/>
          <w:sz w:val="18"/>
          <w:szCs w:val="18"/>
          <w:i w:val="1"/>
          <w:iCs w:val="1"/>
          <w:color w:val="0000EE"/>
        </w:rPr>
      </w:pPr>
    </w:p>
    <w:p>
      <w:pPr>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research and development activities or product candidates on terms that may not be favorable to us. If we are unable to raise additional funds through equity or debt financings or other arrangements with third parties when needed, we may be required to delay, limit, reduce or terminate our product development or future commercialization efforts to third parties to develop and market product candidates that we would otherwise prefer to develop and market ourselves.</w:t>
      </w:r>
    </w:p>
    <w:p>
      <w:pPr>
        <w:spacing w:after="0" w:line="287" w:lineRule="exact"/>
        <w:rPr>
          <w:rFonts w:ascii="Times New Roman" w:cs="Times New Roman" w:eastAsia="Times New Roman" w:hAnsi="Times New Roman"/>
          <w:sz w:val="18"/>
          <w:szCs w:val="18"/>
          <w:i w:val="1"/>
          <w:iCs w:val="1"/>
          <w:color w:val="0000EE"/>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or prefunded warrants in this offering, you will suffer immediate dilution of your investment.</w:t>
      </w:r>
    </w:p>
    <w:p>
      <w:pPr>
        <w:spacing w:after="0" w:line="121" w:lineRule="exact"/>
        <w:rPr>
          <w:rFonts w:ascii="Times New Roman" w:cs="Times New Roman" w:eastAsia="Times New Roman" w:hAnsi="Times New Roman"/>
          <w:sz w:val="18"/>
          <w:szCs w:val="18"/>
          <w:i w:val="1"/>
          <w:iCs w:val="1"/>
          <w:color w:val="0000EE"/>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price of our common stock in this offering is substantially higher than the net tangible book value per share of our common stock. Therefore, if you purchase shares of our common stock or prefunded warrants in this offering, you will pay a price per share that substantially exceeds our net tangible book value per share after this offering. Based on an offering price of $6.25 per share, you will experience immediate dilution of $2.21 per share, representing the difference between our pro forma as adjusted net tangible book value per share after giving effect to this offering and the offering price. Future sales and issuances of our securities could result in additional dilution of the percentage ownership of our stockholders and could cause our share price to fall. See the section titled “Dilution” below for a more detailed illustration of the dilution you would incur if you purchase our securities in this offering.</w:t>
      </w:r>
    </w:p>
    <w:p>
      <w:pPr>
        <w:spacing w:after="0" w:line="293" w:lineRule="exact"/>
        <w:rPr>
          <w:rFonts w:ascii="Times New Roman" w:cs="Times New Roman" w:eastAsia="Times New Roman" w:hAnsi="Times New Roman"/>
          <w:sz w:val="18"/>
          <w:szCs w:val="18"/>
          <w:i w:val="1"/>
          <w:iCs w:val="1"/>
          <w:color w:val="0000EE"/>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our cash and cash equivalents, including the net proceeds we receive in this offering, and despite our efforts may not use them in a manner that increases the value of your investment.</w:t>
      </w:r>
    </w:p>
    <w:p>
      <w:pPr>
        <w:spacing w:after="0" w:line="51" w:lineRule="exact"/>
        <w:rPr>
          <w:rFonts w:ascii="Times New Roman" w:cs="Times New Roman" w:eastAsia="Times New Roman" w:hAnsi="Times New Roman"/>
          <w:sz w:val="18"/>
          <w:szCs w:val="18"/>
          <w:i w:val="1"/>
          <w:iCs w:val="1"/>
          <w:color w:val="0000EE"/>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management has broad discretion to use our cash and cash equivalents, including the net proceeds we receive in this offering, to fund our operations and could spend these funds in ways that do not improve our</w:t>
      </w:r>
    </w:p>
    <w:p>
      <w:pPr>
        <w:spacing w:after="0" w:line="94" w:lineRule="exact"/>
        <w:rPr>
          <w:rFonts w:ascii="Times New Roman" w:cs="Times New Roman" w:eastAsia="Times New Roman" w:hAnsi="Times New Roman"/>
          <w:sz w:val="18"/>
          <w:szCs w:val="18"/>
          <w:i w:val="1"/>
          <w:iCs w:val="1"/>
          <w:color w:val="0000EE"/>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00"/>
          </w:cols>
          <w:pgMar w:left="440" w:top="266" w:right="459" w:bottom="1440" w:gutter="0" w:footer="0" w:header="0"/>
        </w:sectPr>
      </w:pPr>
    </w:p>
    <w:bookmarkStart w:id="13" w:name="page14"/>
    <w:bookmarkEnd w:id="1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to fund operations, we may invest our cash and cash equivalents in a manner that does not produce income or that loses value. See “Use of Proceeds” for further information on the anticipated use of proceeds from this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thinly traded and our stockholders may be unable to sell their shares quickly or at market price.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being offered in this offering, and we do not expect a market to develop. In addition, we do not intend to apply to list the prefunded warrants on any securities exchange or nationally recognized trading system, including the Nasdaq Capital Market. Without an active market, the liquidity of the prefunded warrants will be limited.</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common stockholders until such holders exercise their warrants and acquire our common stock.</w:t>
      </w:r>
    </w:p>
    <w:p>
      <w:pPr>
        <w:spacing w:after="0" w:line="5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Until holders of prefunded warrants acquire shares of our common stock upon exercise of such warrants, the holders will have no rights with respect to the shares of our common stock underlying such warrants. Upon exercise of the prefunded warrants, the holders will be entitled to exercise the rights of a common stockholder only as to matters for which the record date occurs after the exercise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common stock may not be permitted to exercise prefunded warrants that they hold.</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holder of a prefunded warrant will not be entitled to exercise any portion of any prefunded warrant which, upon giving effect to such exercise, would cause the aggregate number of shares of our common stock beneficially owned by the holder (together with its affiliates) to exceed (or, upon election of the holder, 9.99%) of the number of shares of our common stock outstanding immediately prior to or after giving effect to the exercise. Such percentage may be increased by the holder of the prefunded warrant to any other percentage not in excess of 9.99% of the number of shares of our common stock outstanding immediately after giving effect to the exercise, as such percentage ownership is determined in accordance with the terms of the pre-funded warrants upon at least 61 days’ prior notice from the holder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00"/>
          </w:cols>
          <w:pgMar w:left="440" w:top="270" w:right="459" w:bottom="1440" w:gutter="0" w:footer="0" w:header="0"/>
        </w:sectPr>
      </w:pPr>
    </w:p>
    <w:bookmarkStart w:id="14" w:name="page15"/>
    <w:bookmarkEnd w:id="14"/>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trading price of the shares of our common stock has been and is likely to continue to be volatile, and purchasers of our common stock could incur substantial losses.</w:t>
      </w:r>
    </w:p>
    <w:p>
      <w:pPr>
        <w:spacing w:after="0" w:line="5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continue to be volatile. For example, during 2024, the closing price of our common stock on The Nasdaq Capital Market ranged from $9.10 per share to $70.72 per share. Some of the factors that may cause the market price of our common stock to fluctuate include:</w:t>
      </w:r>
    </w:p>
    <w:p>
      <w:pPr>
        <w:spacing w:after="0" w:line="81" w:lineRule="exact"/>
        <w:rPr>
          <w:sz w:val="20"/>
          <w:szCs w:val="20"/>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960" w:right="84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 such as the Russia-Ukraine war and the armed conflict in Israel and the Gaza Strip;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activities to evaluate and pursue potential strategic alternatives may not result in any transaction or enhance stockholder value.</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have begun evaluating and exploring a variety of strategic alternatives focused on maximizing stockholder value, including, but not limited to, an acquisition, merger, reverse merger, other business combination, sales of assets or other strategic transactions. Our ability to successfully execute on a strategic alternative is dependent 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00"/>
          </w:cols>
          <w:pgMar w:left="440" w:top="266" w:right="459" w:bottom="1440" w:gutter="0" w:footer="0" w:header="0"/>
        </w:sectPr>
      </w:pPr>
    </w:p>
    <w:bookmarkStart w:id="15" w:name="page16"/>
    <w:bookmarkEnd w:id="15"/>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number of factors and we may not be able to execute upon a transaction or other strategic alternative upon favorable terms within an advantageous timeframe and recognize significant value for our assets, if at all. Additionally, the negotiation and consummation of a transaction or other strategic alternative may be costly and time-consuming. Any executed strategic alternative may not maximize or even enhance stockholder value, could result in total costs and expenses that are greater than expected, could make it more difficult to attract and retain qualified personnel and may disrupt our operations, each of which could have a material adverse effect on our business.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market price of our common stock may reflect a market assumption that a strategic alternative will occur, and a failure to complete a strategic alternative could result in negative investor perceptions and could cause a decline in the market price of our common stock, which could adversely affect our ability to access the equity and financial markets, as well as our ability to explore and enter into different strategic alternatives. There can be no certainty that any strategic alternative will be completed, be on attractive terms, enhance stockholder value or deliver the anticipated benefits, and successful integration or execution of the strategic alternatives will be subject to additional risks. In addition, potential strategic alternatives that require stockholder approval may not be approved by our stockholders. If we do not successfully consummate a strategic alternative, our board of directors may decide to pursue a dissolution and liquidation of our company. In such an event, the amount of cash available for distribution to our stockholders will depend heavily on the timing of such liquidation, the amount of cash that will need to be reserved for commitments and contingent liabilities. Depending on these factors, the amount available for distribution to our common stockholders could be as low as zero and result in a total loss of investment to our stockholders.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00"/>
          </w:cols>
          <w:pgMar w:left="440" w:top="270" w:right="4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to us from the issuance and sale of our common stock and prefunded warrants will be approximately $4.1 million, after deducting placement agent fees and estimated offering expenses payable by us.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plan to use the net proceeds from this offering primarily for supporting the previously announced strategic alternative process and for working capital and general corporate purposes. We anticipate needing to raise additional capital to continue our operations, including the ability to conduct our Phase 3 pivotal trial for amezalpat for HCC.</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intentions based upon our current plans and business conditions. As of the date of this prospectus supplement, we cannot predict with certainty all of the particular uses for the net proceeds to be received in this offering or the amounts that we will actually spend on the uses set forth above. Our management will retain broad discretion over the allocation of the net proceeds from this offering, and investors will be relying on the judgment of our management regarding the application of the net proceeds from this offering.</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the planned use of proceeds described above, we believe that the net proceeds from this offering and our current cash and cash equivalents will be sufficient to enable us to fund our operating expenses and capital expenditure requirements into the second quarter of 2026. We have based this estimate on assumptions that may prove to be incorrect, and we could use our available capital resources sooner than we currently expect.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00"/>
          </w:cols>
          <w:pgMar w:left="440" w:top="266" w:right="459" w:bottom="1440" w:gutter="0" w:footer="0" w:header="0"/>
        </w:sectPr>
      </w:pPr>
    </w:p>
    <w:bookmarkStart w:id="17" w:name="page18"/>
    <w:bookmarkEnd w:id="17"/>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POLICY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700"/>
          </w:cols>
          <w:pgMar w:left="440" w:top="266" w:right="7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DILUTION</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If you invest in our securities in this offering, your interest will be immediately diluted to the extent of the difference between the offering price per share and the as adjusted net tangible book value per share of our common stock immediately after this offering. Our net tangible book value as of March 31, 2025 was $11.1 million, or $3.16 per share of common stock. Net tangible book value per share represents the amount of our total tangible assets less total liabilities, divided by the number of shares of our common stock outstanding on March 31, 2025.</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pro forma net tangible book value as of March 31, 2025, was $12.5 million, or $3.36 per share, based on the total number of shares of our common stock outstanding as of March 31, 2025. Pro forma net tangible book value per share is determined by dividing our total tangible assets, less total liabilities, by the number of shares of our common stock outstanding as of March 31, 2025, after giving effect to the issuance of 187,953 shares of our common stock subsequent to March 31, 2025, for net proceeds of $1.3 million pursuant to our “at-the-market” offering program. Dilution with respect to pro forma net tangible book value per share represents the difference between the amount per share paid by purchasers of shares of common stock in this offering and the pro forma net tangible book value per share of our common stock immediately after this offering.</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After giving effect to the issuance and sale of 405,000 shares of our common stock at the offering price of $6.25 per share and prefunded warrants to purchase up to 334,000 shares of our common stock at the offering price of $6.249 per prefunded warrant (and excluding shares of common stock issued or any resulting accounting associated with the prefunded warrants), and after deducting placement agent fees and estimated offering expenses payable by us and excluding proceeds, if any, from the exercise of the prefunded warrants issued pursuant to this offering or any resulting accounting associated with the prefunded warrants, our as adjusted net tangible book value as of March 31, 2025 would have been $16.6 million, or $4.04 per share. This represents an immediate increase in pro forma net tangible book value per share of $0.88 to existing stockholders and immediate dilution of $2.21 per share to investors purchasing our common stock in this offering. The following table illustrates this dilution on a per share basis:</w:t>
      </w:r>
    </w:p>
    <w:p>
      <w:pPr>
        <w:spacing w:after="0" w:line="234"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13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tangible book value per share as of March 31, 2025</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7"/>
              </w:rPr>
              <w:t>$ 3.16</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Pro Forma increase in net tangible book value per share of as of March 31, 2025 attributable to the pro forma</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transactions described above</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0.21</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3"/>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tangible book value as of March 31, 2025</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87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purchasing securities in this</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offering</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0.67</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46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13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2.21</w:t>
            </w: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3,519,602 shares of our common stock outstanding as of March 31, 2025. This number excludes the following, all as of March 31, 2025:</w:t>
      </w:r>
    </w:p>
    <w:p>
      <w:pPr>
        <w:spacing w:after="0" w:line="67" w:lineRule="exact"/>
        <w:rPr>
          <w:sz w:val="20"/>
          <w:szCs w:val="20"/>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464 shares of our common stock issuable upon the exercise of warrants outstanding;</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450,104 shares of our common stock issuable upon the exercise of stock options outstanding, with a weighted average exercise price of $64.44 per share;</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47,745 shares of our common stock reserved for issuance under the 2023 Plan, as well as any future increases in the number of shares of common stock reserved for issuance under the 2023 Plan;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67,615 shares of our common stock reserved for future issuance under our 2023 Inducement Plan;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00"/>
          </w:cols>
          <w:pgMar w:left="440" w:top="266" w:right="459" w:bottom="1440" w:gutter="0" w:footer="0" w:header="0"/>
        </w:sectPr>
      </w:pPr>
    </w:p>
    <w:bookmarkStart w:id="19" w:name="page20"/>
    <w:bookmarkEnd w:id="19"/>
    <w:p>
      <w:pPr>
        <w:ind w:left="960" w:right="50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70,914 shares of our common stock reserved for issuance under the ESPP, as well as any future increases in the number of shares of common stock reserved for issuance under the ESPP;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334,000 shares of our common stock underlying the prefunded warrants being offered hereby.</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holders of the prefunded warrants exercise the prefunded warrants, the as adjusted net tangible book value per share after giving effect to this offering would be $3.73 per share, representing an immediate increase to existing stockholders of $0.57 per share, and immediate dilution to new investors in this offering of $2.52 per share.</w:t>
      </w:r>
    </w:p>
    <w:p>
      <w:pPr>
        <w:spacing w:after="0" w:line="17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To the extent that any options or warrants are exercised, new options are issued under our equity incentive plans, or we otherwise issue additional shares of common stock in the future at a price less than the offering price, there may be further dilution to new investors purchasing securities in this offering.</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960"/>
          </w:cols>
          <w:pgMar w:left="440" w:top="270" w:right="49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offering 739,000 shares of our common stock. As of the date of this prospectus supplement, our restated certificate of incorporation authorizes us to issue 100,000,000 shares of common stock, par value $0.001 per share, and 5,000,000 shares of preferred stock, par value $0.001 per share. The material terms and provisions of our common stock and each other class of our securities which qualifies or limits our common stock are described under the caption “Description of Capital Stock” in the accompanying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with offices at 150 Royall Street, Canton, Massachusetts 02021.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on Nasdaq</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Prefunded Warrants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summary is subject to, and qualified in its entirety by, the provisions of the form of prefunded warrant, which will be filed with the SEC as an exhibit to a Current Report on Form 8-K in connection with this offering and incorporated by reference into the registration statement of which this prospectus supplement and the accompanying prospectus form a part. You should carefully review the terms and provisions of the form of prefunded warrant for a complete description of the terms and conditions of such warrants. See the section titled “Where You Can Find More Information” in this prospectus supplement.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each individual purchaser of a prefunded warrant. The prefunded warrants will be issued in certificated form only.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prefunded warrants do not expire.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As an alternative to payment of the exercise price in immediately available funds, the holder may elect to exercise the prefunded warrant through a cashless exercise, in which case the holder would receive upon such exercise the net number of shares of our common stock determined according to the formula set forth in the prefunded warrant. No fractional shares of our common stock will be issued in connection with the exercise of a prefunded warrant. In lieu of fractional shares, we will, at our election, either pay the holder an amount in cash equal to such fraction multiplied by the exercise price or round up to the next whole share.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Under the prefunded warrants, we may not effect the exercise of any prefunded warrant, and a holder (together with its affiliates) will not be entitled to exercise any portion of any prefunded warrant, which, upon giving effect to such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00"/>
          </w:cols>
          <w:pgMar w:left="440" w:top="266" w:right="459" w:bottom="1440" w:gutter="0" w:footer="0" w:header="0"/>
        </w:sectPr>
      </w:pPr>
    </w:p>
    <w:bookmarkStart w:id="21" w:name="page22"/>
    <w:bookmarkEnd w:id="21"/>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would cause the aggregate number of shares of our common stock beneficially owned by the holder (together with its affiliates) to exceed 4.99% (or, upon election of the holder, 9.99%) of the number of shares of our common stock outstanding immediately prior to or after giving effect to the exercise, subject to such holder’s rights under the prefunded warrant to increase or decrease such percentage to another percentage not in excess of 9.99% of the number of shares of our common stock outstanding immediately after giving effect to the exercise, as such percentage ownership is determined in accordance with the terms of the pre-funded warrants upon at least 61 days’ prior notice from such holder to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issuable upon the exercise of the prefunded warrants is $0.001 per share of our common stock. The exercise price of the prefunded warrants and the number of shares of our common stock issuable upon exercise of the prefunded warrants are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Subject to applicable laws, the prefunded warrants may be sold, transferred or assigned without our consent. The prefunded warrants will be held in definitive form by the purchasers. The ownership of the prefunded warrants and any transfers of the prefunded warrants will be registered in a warrant register maintained by us or our transfer agent.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do not plan on applying to list the prefunded warrants on The Nasdaq Capital Market, any other national securities exchange or any other nationally recognized trading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Rights Offerings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at any time we grant, issue or sell any specified common stock equivalents or rights to purchase stock, warrants, securities or other property to the record holders of any class of shares of common stock, or the Purchase Rights, then the holder of a prefunded warrant will be entitled to acquire, upon the terms applicable to such Purchase Rights, the aggregate Purchase Rights which the holder could have acquired if the holder had held the number of shares of common stock acquirable upon complete exercise of the holder’s prefunded warrant, without regard to any limitations on exercise, including without limitation, such holder’s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holder’s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holder’s beneficial ownership limitation).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Rata Distributions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such time as a holder’s prefunded warrant is outstanding, if we declare or make any dividend or other distribution of our assets (or rights to acquire its assets) to holders of shares of our common stock, by way of return of capital or otherwise (including, without limitation, any distribution of cash, stock or other securities, property or options by way of a dividend, spin off, reclassification, corporate rearrangement, scheme of arrangement or other similar transaction), or a Distribution, at any time after the issuance of the prefunded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0980"/>
          </w:cols>
          <w:pgMar w:left="440" w:top="270" w:right="47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warrants, then, in each such case, the holder of a prefunded warrant shall be entitled to participate in such Distribution to the same extent that the holder would have participated therein if the holder had held the number of shares of common stock acquirable upon complete exercise of the prefunded warrant (without regard to any limitations on exercise, including without limitation, the holder’s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holder’s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such holder exceeding its beneficial ownership limitation).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greater than 50% of the voting power of our capital stock or any person or group becoming the beneficial owner of greater than 50% of the voting power of our capital stock,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 and any additional consideration receivable as a result of such fundamental transaction.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Rights as a Stockholder</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shares of our common stock, the holder of a prefunded warrant does not have the rights or privileges of a holder of our common stock, including any voting rights, until the holder exercises the prefunded warrant.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00"/>
          </w:cols>
          <w:pgMar w:left="440" w:top="270" w:right="459" w:bottom="1440" w:gutter="0" w:footer="0" w:header="0"/>
        </w:sectPr>
      </w:pPr>
    </w:p>
    <w:bookmarkStart w:id="23" w:name="page24"/>
    <w:bookmarkEnd w:id="2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OF DISTRIBUTION</w:t>
      </w:r>
    </w:p>
    <w:p>
      <w:pPr>
        <w:spacing w:after="0" w:line="22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We have engaged H.C. Wainwright &amp; Co., LLC (the “placement agent”) to act as our exclusive placement agent, on a reasonable best-efforts basis, in connection with this offering pursuant to this prospectus supplement and accompanying prospectus. The terms of this offering are subject to market conditions and negotiations between us, the placement agent, and prospective investors. The engagement agreement does not give rise to any commitment by the placement agent to purchase any of the securities, and the placement agent will have no authority to bind us by virtue of the engagement agreement. The placement agent is not purchasing the securities offered by us in this offering and is not required to sell any specific number or dollar amount of securities but will assist us in this offering on a reasonable best-efforts basis. Further, the placement agent does not guarantee that it will be able to raise new capital in any prospective offering. The placement agent may engage sub-agents or selected dealers to assist with the offering. The placement agent has no commitment to buy any of the securities offered pursuant to this prospectus supplement and accompanying prospectus. We have entered into a securities purchase agreement directly with the investors in connection with this offering, and we will only sell to investors who have entered into the securities purchase agreement. We may not sell the entire amount of shares of our common stock or prefunded warrants offered pursuant to this prospectus supplement.</w:t>
      </w:r>
    </w:p>
    <w:p>
      <w:pPr>
        <w:spacing w:after="0" w:line="192"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We expect to deliver the shares of our common stock and prefunded warrants being offered pursuant to this prospectus supplement on or about June 12, 2025, subject to satisfaction of customary closing conditions.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our engagement agreement, we have agreed to pay the placement agent fees set forth in the table below.</w:t>
      </w:r>
    </w:p>
    <w:p>
      <w:pPr>
        <w:spacing w:after="0" w:line="225"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The following table shows, on a per share, per Prefunded Warrant, and total basis, the offering price, placement agent fees and proceeds, before expenses to us.</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Per</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8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6.249</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4,618,416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Placement agent fees</w:t>
            </w:r>
            <w:r>
              <w:rPr>
                <w:rFonts w:ascii="Times New Roman" w:cs="Times New Roman" w:eastAsia="Times New Roman" w:hAnsi="Times New Roman"/>
                <w:sz w:val="25"/>
                <w:szCs w:val="25"/>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0.375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0.375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277,125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Tempest Therapeutics,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5.874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4,341,291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have agreed to pay the placement agent in connection with this offering (i) a cash fee equal to 6% of the aggregate gross proceeds of this offering,</w:t>
      </w:r>
    </w:p>
    <w:p>
      <w:pPr>
        <w:spacing w:after="0" w:line="27" w:lineRule="exact"/>
        <w:rPr>
          <w:sz w:val="20"/>
          <w:szCs w:val="20"/>
          <w:color w:val="auto"/>
        </w:rPr>
      </w:pPr>
    </w:p>
    <w:p>
      <w:pPr>
        <w:ind w:left="264" w:hanging="264"/>
        <w:spacing w:after="0"/>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for fees and expenses of the placement agent’s counsel and other out of pocket expenses, and (iii) $15,950 for the clearing expenses. We</w:t>
      </w:r>
    </w:p>
    <w:p>
      <w:pPr>
        <w:spacing w:after="0" w:line="9" w:lineRule="exact"/>
        <w:rPr>
          <w:rFonts w:ascii="Times New Roman" w:cs="Times New Roman" w:eastAsia="Times New Roman" w:hAnsi="Times New Roman"/>
          <w:sz w:val="18"/>
          <w:szCs w:val="18"/>
          <w:color w:val="auto"/>
        </w:rPr>
      </w:pPr>
    </w:p>
    <w:p>
      <w:pPr>
        <w:ind w:left="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the total offering expenses of this offering that will be payable by us, excluding the placement agent’s fees and expenses, will be approximately $225,000.</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Tail Financing Payments</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We have also agreed to pay the placement agent a tail fee equal to the cash compensation in this offering, if any investor, who was brought over-the-wall by the placement agent during the term of its engagement, provides us with capital in any public or private offering or other financing or capital raising transaction during the 12-month period following the date of the engagement agreement.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121"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We have agreed to be subject to a lock-up for a period of 90 days following the date of closing of the offering pursuant to this prospectus supplement and accompanying prospectus. This means that, during the applicable lock-up period, we may not issue, enter into any agreement to issue or announce the issuance or proposed issuance of any shares of common stock or their equivalents, subject to certain exceptions.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004"/>
          </w:cols>
          <w:pgMar w:left="436" w:top="266"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against specified liabilities, including liabilities under the Securities Act, and to contribute to payments the placement agent may be required to make in respect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resale of the shares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by the placement agent acting as principal. Under these rules and regulations, the placement agent:</w:t>
      </w:r>
    </w:p>
    <w:p>
      <w:pPr>
        <w:spacing w:after="0" w:line="93" w:lineRule="exact"/>
        <w:rPr>
          <w:sz w:val="20"/>
          <w:szCs w:val="20"/>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engage in any stabilization activity in connection with our securities; and</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bid for or purchase any of our securities or attempt to induce any person to purchase any of our securities, other than as permitted under the Exchange Act, until they have completed their participation in the distribution.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From time to time, the placement agent or its affiliates have provided, and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the placement agent for any further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list the pre-funded warrants on any national securities exchange or nationally recognized trading system.</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Cooley LLP will pass upon the validity of the issuance of the securities being sold in this offering. Certain legal matters relating to this offering will be passed upon for the placement agent by Haynes and Boone LLP, New York, New York.</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2024,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0980"/>
          </w:cols>
          <w:pgMar w:left="440" w:top="266" w:right="47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YOU CAN FIND MORE INFORMATION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the registration statement on Form S-3 we filed with the SEC under the Securities Act and do not contain all of the information set forth or incorporated by reference in the registration statement and the exhibits to the registration statement. For further information with respect to us and the securities we are offering under this prospectus supplement, we refer you to the registration statement and the exhibits and schedules filed as a part of the registration statement. We file annual, quarterly and current reports, proxy statements and other information with the SEC. The SEC maintains a website that contains reports, proxy and information statements and other information regarding issuers that file electronically with the SEC, including Tempest. The address of the SEC website is www.sec.gov.</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a website at www.tempesttx.com. Information contained in or accessible through our website does not constitute a part of this prospectus.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included our website address in this prospectus solely as an inactive textual reference.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considered to be part of this prospectus supplement. Information in this prospectus supplement supersedes information incorporated by reference that we filed with the SEC prior to the date of this prospectus supplement. We incorporate by reference into this prospectus supplement the information or documents listed below that we have filed with the SEC (File No. 001-35890):</w:t>
      </w:r>
    </w:p>
    <w:p>
      <w:pPr>
        <w:spacing w:after="0" w:line="89" w:lineRule="exact"/>
        <w:rPr>
          <w:sz w:val="20"/>
          <w:szCs w:val="20"/>
          <w:color w:val="auto"/>
        </w:rPr>
      </w:pPr>
    </w:p>
    <w:p>
      <w:pPr>
        <w:ind w:left="960" w:right="420" w:hanging="424"/>
        <w:spacing w:after="0" w:line="266" w:lineRule="auto"/>
        <w:tabs>
          <w:tab w:leader="none" w:pos="960" w:val="left"/>
        </w:tabs>
        <w:numPr>
          <w:ilvl w:val="0"/>
          <w:numId w:val="1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46">
        <w:r>
          <w:rPr>
            <w:rFonts w:ascii="Times New Roman" w:cs="Times New Roman" w:eastAsia="Times New Roman" w:hAnsi="Times New Roman"/>
            <w:sz w:val="18"/>
            <w:szCs w:val="18"/>
            <w:u w:val="single" w:color="auto"/>
            <w:color w:val="0000EE"/>
          </w:rPr>
          <w:t>March 27, 2025</w:t>
        </w:r>
      </w:hyperlink>
      <w:r>
        <w:rPr>
          <w:rFonts w:ascii="Times New Roman" w:cs="Times New Roman" w:eastAsia="Times New Roman" w:hAnsi="Times New Roman"/>
          <w:sz w:val="18"/>
          <w:szCs w:val="18"/>
          <w:color w:val="auto"/>
        </w:rPr>
        <w:t xml:space="preserve">, as amended by </w:t>
      </w:r>
      <w:hyperlink r:id="rId47">
        <w:r>
          <w:rPr>
            <w:rFonts w:ascii="Times New Roman" w:cs="Times New Roman" w:eastAsia="Times New Roman" w:hAnsi="Times New Roman"/>
            <w:sz w:val="18"/>
            <w:szCs w:val="18"/>
            <w:color w:val="auto"/>
          </w:rPr>
          <w:t xml:space="preserve">Amendment No. 1 to the Annual Report on Form 10-K for the fiscal year ended December 31, 2024, filed with the SEC on </w:t>
        </w:r>
        <w:r>
          <w:rPr>
            <w:rFonts w:ascii="Times New Roman" w:cs="Times New Roman" w:eastAsia="Times New Roman" w:hAnsi="Times New Roman"/>
            <w:sz w:val="18"/>
            <w:szCs w:val="18"/>
            <w:u w:val="single" w:color="auto"/>
            <w:color w:val="0000EE"/>
          </w:rPr>
          <w:t>April 30,</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81" w:lineRule="exact"/>
        <w:rPr>
          <w:rFonts w:ascii="Times New Roman" w:cs="Times New Roman" w:eastAsia="Times New Roman" w:hAnsi="Times New Roman"/>
          <w:sz w:val="18"/>
          <w:szCs w:val="18"/>
          <w:color w:val="0000EE"/>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2025 filed with the SEC on </w:t>
      </w:r>
      <w:hyperlink r:id="rId30">
        <w:r>
          <w:rPr>
            <w:rFonts w:ascii="Times New Roman" w:cs="Times New Roman" w:eastAsia="Times New Roman" w:hAnsi="Times New Roman"/>
            <w:sz w:val="18"/>
            <w:szCs w:val="18"/>
            <w:u w:val="single" w:color="auto"/>
            <w:color w:val="0000EE"/>
          </w:rPr>
          <w:t>May 13,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8">
        <w:r>
          <w:rPr>
            <w:rFonts w:ascii="Times New Roman" w:cs="Times New Roman" w:eastAsia="Times New Roman" w:hAnsi="Times New Roman"/>
            <w:sz w:val="18"/>
            <w:szCs w:val="18"/>
            <w:u w:val="single" w:color="auto"/>
            <w:color w:val="0000EE"/>
          </w:rPr>
          <w:t>April 7, 2025</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April 9, 2025</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April 18, 2025</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April 28, 2025</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June 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June 11, 2025, to the extent the information in such reports is filed and not furnished;</w:t>
      </w:r>
    </w:p>
    <w:p>
      <w:pPr>
        <w:spacing w:after="0" w:line="67" w:lineRule="exact"/>
        <w:rPr>
          <w:rFonts w:ascii="Times New Roman" w:cs="Times New Roman" w:eastAsia="Times New Roman" w:hAnsi="Times New Roman"/>
          <w:sz w:val="18"/>
          <w:szCs w:val="18"/>
          <w:color w:val="auto"/>
        </w:rPr>
      </w:pPr>
    </w:p>
    <w:p>
      <w:pPr>
        <w:ind w:left="960" w:right="240" w:hanging="424"/>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5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001-35890), filed with the SEC on April 25, 2013, including any amendments thereto or reports filed for the purposes of updating this description, including </w:t>
      </w:r>
      <w:hyperlink r:id="rId54">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2024 filed with the SEC on March 27, 2025.</w:t>
      </w:r>
    </w:p>
    <w:p>
      <w:pPr>
        <w:spacing w:after="0" w:line="176"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 supplement.</w:t>
      </w:r>
    </w:p>
    <w:p>
      <w:pPr>
        <w:spacing w:after="0" w:line="162" w:lineRule="exact"/>
        <w:rPr>
          <w:rFonts w:ascii="Times New Roman" w:cs="Times New Roman" w:eastAsia="Times New Roman" w:hAnsi="Times New Roman"/>
          <w:sz w:val="18"/>
          <w:szCs w:val="18"/>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all documents (other than current reports furnished under Item 2.02 or Item 7.01 of Form 8-K and exhibits filed on such form that are related to such items, and other information that is furnished or is otherwise not incorporated into registrations statements pursuant to applicable SEC rules) that are filed by us with the SEC pursuant to Sections 13(a), 13(c), 14 or 15(d) of the Exchange Act after the date of this prospectus supplement but prior to the termination of the offering. These documents include periodic reports, such as Annual Reports on Form 10-K, Quarterly Reports on Form 10-Q and Current Reports on Form 8-K, as well as proxy statements.</w:t>
      </w:r>
    </w:p>
    <w:p>
      <w:pPr>
        <w:spacing w:after="0" w:line="11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0980"/>
          </w:cols>
          <w:pgMar w:left="440" w:top="266" w:right="479" w:bottom="1440" w:gutter="0" w:footer="0" w:header="0"/>
        </w:sectPr>
      </w:pPr>
    </w:p>
    <w:bookmarkStart w:id="26" w:name="page27"/>
    <w:bookmarkEnd w:id="2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will provide to each person, including any beneficial owner, to whom a prospectus is delivered, without charge upon written or oral request, a copy of any or all of the documents that are incorporated by reference into this prospectus supplement but not delivered with the prospectus, including exhibits that are specifically incorporated by reference into such documents. You should direct any requests for documents to Tempest Therapeutics, Inc., Attn: Investor Relations, 2000 Sierra Point Parkway, Suite 400, Brisbane, California 94005; telephone: (415) 798-8589.</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0860"/>
          </w:cols>
          <w:pgMar w:left="440" w:top="270" w:right="5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99060</wp:posOffset>
            </wp:positionV>
            <wp:extent cx="2143125" cy="557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21431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$300,000,000</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Preferred Stock</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Rights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6"/>
          <w:szCs w:val="16"/>
          <w:color w:val="auto"/>
        </w:rPr>
        <w:t>From time to time, we may offer up to $300,000,000 of any combination of the securities described in this prospectus in one or more offerings. We may also offer the securities registered hereunder as may be issuable upon conversion, redemption, repurchase, exchange or exercise of any securities registered hereunder, including any applicable anti-dilution provisions.</w:t>
      </w:r>
    </w:p>
    <w:p>
      <w:pPr>
        <w:spacing w:after="0" w:line="6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This prospectus provides a general description of the securities we may offer. Each time we offer securities, we will provide specific terms of the securities offered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This prospectus may not be used to consummate a sale of any securities unless accompanied by a prospectus supplement.</w:t>
      </w:r>
    </w:p>
    <w:p>
      <w:pPr>
        <w:spacing w:after="0" w:line="129"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Our common stock is traded on the Nasdaq Capital Market under the symbol “TPST.” On July 18, 2024 the last reported sale price of our common stock was $1.95 per share.</w:t>
      </w:r>
    </w:p>
    <w:p>
      <w:pPr>
        <w:spacing w:after="0" w:line="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As of July 18, 2024, the aggregate market value of our common stock held by our non-affiliates, as calculated pursuant to the rules of the Securities and Exchange Commission, was approximately $40.6 million, based upon 20,842,381 shares of our outstanding common stock held by non-affiliates at the per share price of $1.95, the closing sale price of our common stock on Nasdaq on July 18, 2024. We have not offered any securities pursuant to General Instruction I.B.6 of Form S-3 during the prior 12-calendar-month period that ends on and includes the date of this prospectus. Pursuant to General Instruction I.B.6 of Form S-3, in no event will we sell securities in a public offering with a value exceeding more than one-third of our “public float” (i.e., the market value of our common stock held by our non-affiliates) in any 12-month period so long as our public float remains below $75.0 million.</w:t>
      </w:r>
    </w:p>
    <w:p>
      <w:pPr>
        <w:spacing w:after="0" w:line="7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78"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We are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130175</wp:posOffset>
            </wp:positionV>
            <wp:extent cx="1474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on page 6 of this prospectus and any similar section contained in the applicable prospectus supplement and any related free writing prospectus, and under similar headings in the other documents that are incorporated by reference into this prospectus, as described on page 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146050</wp:posOffset>
            </wp:positionV>
            <wp:extent cx="1474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129540</wp:posOffset>
            </wp:positionV>
            <wp:extent cx="1474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date of this prospectus is January 27, 2025</w:t>
      </w:r>
    </w:p>
    <w:p>
      <w:pPr>
        <w:sectPr>
          <w:pgSz w:w="11900" w:h="16838" w:orient="portrait"/>
          <w:cols w:equalWidth="0" w:num="1">
            <w:col w:w="11000"/>
          </w:cols>
          <w:pgMar w:left="440" w:top="272" w:right="45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7"/>
          </w:tcPr>
          <w:p>
            <w:pPr>
              <w:spacing w:after="0"/>
              <w:rPr>
                <w:sz w:val="17"/>
                <w:szCs w:val="17"/>
                <w:color w:val="auto"/>
              </w:rPr>
            </w:pP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1"/>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586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3800" w:type="dxa"/>
            <w:vAlign w:val="bottom"/>
            <w:gridSpan w:val="14"/>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bl>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THIS PROSPECTUS</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or SEC, utilizing a “shelf” registration process. Under this shelf registration process, we may, from time to time, sell any combination of the securities described in this prospectus in one or more offerings up to a total aggregate offering price of $300,000,000. This prospectus provides you with a general description of the securities we may offer.</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29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The distribution of this prospectus and any related prospectus supplement or free writing prospectuses and the offering of our securities in certain jurisdictions may be restricted by law. Persons outside the United States who come into possession of this prospectus and any related prospectus supplement or free writing prospectuses must inform themselves about, and observe any restrictions relating to, the offering of our securities and the distribution of this prospectus and any related prospectus supplement outside the United States</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take no responsibility for, and can provide no assurance as to the reliability of, any other information that others may give you.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Our business, financial condition, results of operations and prospects may have changed since those dates.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obtained the industry and market data in this prospectus, including the information incorporated by reference herein, from our own research as well as from industry and general publications, surveys and studies conducted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30" w:name="page31"/>
    <w:bookmarkEnd w:id="3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third parties. These data involve a number of assumptions and limitations, and you are cautioned not to give undue weight to such estimates.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and information incorporated by reference herein. These and other factors could cause results to differ materially from those expressed in the estimates made by the independent parties and by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this prospectus, the terms “we,” “us,” “our,” and our “company” refer to Tempest Therapeutics, Inc. and its subsidiaries.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255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74865" cy="6225540"/>
                    </a:xfrm>
                    <a:prstGeom prst="rect">
                      <a:avLst/>
                    </a:prstGeom>
                    <a:noFill/>
                  </pic:spPr>
                </pic:pic>
              </a:graphicData>
            </a:graphic>
          </wp:anchor>
        </w:drawing>
        <w:t>SUMMARY</w:t>
      </w:r>
    </w:p>
    <w:p>
      <w:pPr>
        <w:spacing w:after="0" w:line="2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moving into late-stage development with a diverse portfolio of targeted and immune-mediated product candidates with the potential to be first-in-class treatments for a wide range of cancers. Our novel programs range from early research to the lead program, amezalpat (previously known as TPST-1120), that is poised to begin a pivotal study in first-line hepatocellular carcinoma, or HCC, cancer. 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two clinical-stage therapeutic product candidates are amezalpat and TPST-1495, which we believe are the first clinical-stage molecules designed to inhibit their respective targets. Amezalpat is a selective antagonist of peroxisome proliferator-activated receptor alpha, or PPARα, for which we recently released new and positive data results from our randomized Phase 1b/2 study in first-line hepatocellular carcinoma, or HCC, on June 20, 2024, and which we plan to advance into a Phase 3 clinical trial in HCC, subject to ongoing discussions with the U.S. Food and Drug Administration, or FDA. TPST-1495, a dual antagonist of the EP2 and EP4 receptors of prostaglandin E2, is in the process of completing its Phase 1 trials and we are working with the Cancer Prevention Clinical Trials Network on a National Cancer Institute -funded Phase 2 study and subject to final approval from the consortium, plan to start the study in the second half of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in the applicable prospectus supplement and contained in our most recent Annual Report on Form 10-K and in our most recent Quarterly Report on Form 10-Q, as well as any amendments thereto reflected in subsequent filings with the SEC, before you invest in our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Additionally, as a smaller reporting company, we may continue to take advantage of the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20"/>
          </w:cols>
          <w:pgMar w:left="620" w:top="455" w:right="659" w:bottom="1440" w:gutter="0" w:footer="0" w:header="0"/>
        </w:sectPr>
      </w:pPr>
    </w:p>
    <w:bookmarkStart w:id="32" w:name="page33"/>
    <w:bookmarkEnd w:id="32"/>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25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74865" cy="6525895"/>
                    </a:xfrm>
                    <a:prstGeom prst="rect">
                      <a:avLst/>
                    </a:prstGeom>
                    <a:noFill/>
                  </pic:spPr>
                </pic:pic>
              </a:graphicData>
            </a:graphic>
          </wp:anchor>
        </w:drawing>
        <w:t>exception from compliance with the auditor attestation requirements of Section 404 of the Sarbanes-Oxley Act of 2002, as amended.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Tempest was founded in 2011 and is currently incorporated in Delaware with headquarters in Brisbane, California. We are a clinical-stage biotechnology company moving into late-stage development with a diverse portfolio of first-in-class targeted and immune-mediated product candidates with the potential to treat a wide range of cancers. Our philosophy is to build a company based upon not only good ideas and creative science, but also upon the efficient translation of those ideas into therapies that will improve patients’ lives.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Tempest logo and other trademarks or service marks of Tempest Therapeutics, Inc. appearing in this prospectus are the property of Tempest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2000 Sierra Point Parkway, Suite 400, Brisbane, CA 94005. Our telephone number is (415) 798-8589. Our website is located at http://www.tempesttx.com. We do not incorporate by reference into this prospectus the information on, or accessible through, our website, and you should not consider it as part of this prospectus.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offer any of the securities described in this prospectus, either individually or in combination, up to a total dollar amount of $300,000,000, from time to time under this prospectus, together with the applicable prospectus supplement and any related free writing prospectuses, at prices and on terms to be determined by market conditions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89" w:lineRule="exact"/>
        <w:rPr>
          <w:sz w:val="20"/>
          <w:szCs w:val="20"/>
          <w:color w:val="auto"/>
        </w:rPr>
      </w:pPr>
    </w:p>
    <w:p>
      <w:pPr>
        <w:ind w:left="940" w:hanging="41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940" w:right="320" w:hanging="415"/>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7"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20"/>
          </w:cols>
          <w:pgMar w:left="620" w:top="459" w:right="659" w:bottom="1440" w:gutter="0" w:footer="0" w:header="0"/>
        </w:sectPr>
      </w:pPr>
    </w:p>
    <w:bookmarkStart w:id="33" w:name="page34"/>
    <w:bookmarkEnd w:id="3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4081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74865" cy="4408170"/>
                    </a:xfrm>
                    <a:prstGeom prst="rect">
                      <a:avLst/>
                    </a:prstGeom>
                    <a:noFill/>
                  </pic:spPr>
                </pic:pic>
              </a:graphicData>
            </a:graphic>
          </wp:anchor>
        </w:drawing>
        <w:t>The applicable prospectus supplement and any related free writing prospectuses that we may authorize to be provided to you may also add, update or change any of the information contained in this prospectus or in the documents we have incorporated by reference. However, no prospectus supplement or free writing prospectuses will offer a security that is not registered and described in this prospectus at the time of the effectiveness of the registration statement of which this prospectus is a part.</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underwriters or dealers, reserve the right to accept or reject all or part of any proposed purchase of securities. If we do offer securities to or through agents, underwriters or dealers, we will include in the applicable prospectus supplement:</w:t>
      </w:r>
    </w:p>
    <w:p>
      <w:pPr>
        <w:spacing w:after="0" w:line="81" w:lineRule="exact"/>
        <w:rPr>
          <w:sz w:val="20"/>
          <w:szCs w:val="20"/>
          <w:color w:val="auto"/>
        </w:rPr>
      </w:pPr>
    </w:p>
    <w:p>
      <w:pPr>
        <w:ind w:left="940" w:hanging="415"/>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underwriters or dealers;</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3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or for any other purpose we describe in the applicable prospectus supplement.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 The applicable prospectus supplement will contain information, where applicable, as to other listings, if any, on the Nasdaq Capital Market or other securities exchange of the securities covered by the applicable prospectus supplement.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20"/>
          </w:cols>
          <w:pgMar w:left="620" w:top="459" w:right="6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 FACTORS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deciding whether to invest in our common stock, you should consider carefully the risks and uncertainties described below and discussed under the heading “Risk Factors” contained in our most recent Annual Report on Form 10-K, and in our subsequent Quarterly Reports on Form 10-Q, as well as any amendments thereto reflected in subsequent filings with the SEC, which are incorporated by reference into this prospectus in their entirety, together with other information in this prospectus, any related prospectus supplement, the documents incorporated by reference and any free writing prospectuses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as amended, or the Securities Act, and Section 21E of the Exchange Act. The words “may,” “might,” “will,” “could,” “would,” “should,” “expect,” “intend,” “plan,” “objective,” “anticipate,” “believe,” “estimate,” “predict,” “project,” “potential,” “continue” and “ongoing,” or the negative of these terms, or other comparable terminology are intended to identify forward-looking statements, but are not the exclusive means of identifying such statements.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may include, but are not limited to, statements about:</w:t>
      </w:r>
    </w:p>
    <w:p>
      <w:pPr>
        <w:spacing w:after="0" w:line="94" w:lineRule="exact"/>
        <w:rPr>
          <w:sz w:val="20"/>
          <w:szCs w:val="20"/>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amezalpat, TPST-1495 and any future product candidates;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130" w:lineRule="exact"/>
        <w:rPr>
          <w:rFonts w:ascii="Times New Roman" w:cs="Times New Roman" w:eastAsia="Times New Roman" w:hAnsi="Times New Roman"/>
          <w:sz w:val="18"/>
          <w:szCs w:val="18"/>
          <w:color w:val="auto"/>
        </w:rPr>
      </w:pPr>
    </w:p>
    <w:p>
      <w:pPr>
        <w:ind w:left="960" w:right="82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our obligations under our term loan with Oxford, or to obtain a waiver from Oxford for any failure to comply with the covenants contained in such term loan agreement;</w:t>
      </w:r>
    </w:p>
    <w:p>
      <w:pPr>
        <w:spacing w:after="0" w:line="67"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 and</w:t>
      </w:r>
    </w:p>
    <w:p>
      <w:pPr>
        <w:spacing w:after="0" w:line="130"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76"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36" w:name="page37"/>
    <w:bookmarkEnd w:id="3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w:t>
      </w:r>
    </w:p>
    <w:p>
      <w:pPr>
        <w:spacing w:after="0" w:line="18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(as supplemented or amended), the documents incorporated by reference or any free writing prospectus prepared by or on behalf of us or to which we have referred you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7" w:name="page38"/>
    <w:bookmarkEnd w:id="3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PROCEEDS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40" w:top="266" w:right="5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CAPITAL STOCK</w:t>
      </w:r>
    </w:p>
    <w:p>
      <w:pPr>
        <w:spacing w:after="0" w:line="22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restated certificate of incorporation, as amended, and amended and restated bylaws. This description also summarizes relevant provisions of the General Corporation Law of the State of Delaware, or “DGCL.” Therefore, please carefully consider the actual provisions of the restated certificate of incorporation, as amended, and amended and restated bylaws, which have been filed with the SEC as exhibits to the registration statement of which this prospectus forms a part, and the DGCL.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restated certificate authorizes us to issue up to 100,000,000 shares of common stock, $0.001 par value per share, and 5,000,000 shares of preferred stock, $0.001 par value per share, all of which shares of preferred stock are undesignated. Our board of directors may establish the rights and preferences of the preferred stock from time to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 See “Preferred Stock Purchase Rights” below.</w:t>
      </w:r>
    </w:p>
    <w:p>
      <w:pPr>
        <w:spacing w:after="0" w:line="1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from time to time, direct the issuance of shares of up to 5,000,000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Our board of directors will fix the designations, voting powers, preferences and rights of each series, as well as the qualifications, limitations or restrictions thereof, of the preferred stock of each series that we offer under this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39" w:name="page40"/>
    <w:bookmarkEnd w:id="39"/>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85" w:lineRule="exact"/>
        <w:rPr>
          <w:sz w:val="20"/>
          <w:szCs w:val="20"/>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81"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General Corporation Law of the State of Delaware, or DGCL, the state of our incorporation, provides that the holders of preferred stock will have the right to vote separately as a class (or, in some cases, as a series) on 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0" w:name="page41"/>
    <w:bookmarkEnd w:id="40"/>
    <w:p>
      <w:pPr>
        <w:ind w:right="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Purchase Rights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10, 2023, our board of directors declared a dividend of one preferred share purchase right (each a “Purchase Right,” and collectively, the “Purchase Rights”) to purchase one-thousandth of one share of our newly designated Preferred Shares (as defined below) for each outstanding share of our common stock to the stockholders of record as of the close of business on October 23, 2023 (the “Record Date”), and adopted a limited duration stockholder rights plan (the “Rights Plan”), effective immediately, as set forth in the Rights Agreement, dated as of October 10, 2023 (the “Rights Agreement”), by and between the Company and Computershare Trust Company, N.A., as rights agent (“Rights Agent”). The Rights Agent currently serves as our transfer agent with respect to our common stock and also has been appointed transfer agent with respect to the Series A Junior Participating Preferred Stock, par value $0.001 per share (each, a “Preferred Share” and collectively, the “Preferred Shares”), if any, that may be issued pursuant to the exercise of Purchase Rights under the Rights Agreement. The Purchase Rights will expire on October 10, 2024 or, if our stockholders approve the Rights Plan, on October 10, 2026 (“Final Expiration Date”), unless the Purchase Rights are earlier redeemed or exchanged by the Company. We do not have any obligation under the Rights Agreement to seek stockholder approval for the Rights Plan.</w:t>
      </w:r>
    </w:p>
    <w:p>
      <w:pPr>
        <w:spacing w:after="0" w:line="1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general terms, the Rights Agreement works by imposing a significant penalty upon any person or group that acquires beneficial ownership of 10% (15% in the case of a passive institutional investor) or more of the outstanding shares of our common stock without the approval of the Board. The Rights Agreement was adopted in response to the significant and ongoing dislocation in the trading price of our common stock and not in response to a specific takeover threat. Our board adopted the Rights Agreement to enable all stockholders of the Company to realize the long-term value of their investment. The Rights Agreement should reduce the likelihood that any person or group gains control of Tempest through open market accumulation without paying all stockholders an appropriate control premium or without providing the board sufficient time to make informed judgments and take actions that are in the best interests of all stockholders. The Rights Agreement does not prevent the board from engaging with parties or accepting an acquisition proposal if the board believes that it is in the best interests of Tempest and its stockholders. The Rights Agreement is similar to other plans adopted by publicly held companies in comparable circumstances.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Purchase Rights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Purchase Rights will not be exercisable and will trade with shares of our common stock until the earlier to occur of (a) the tenth calendar day (or such later date as may be determined by the board) after a person or group acquires beneficial ownership of 10% (15% in the case of a passive institutional investor) or more of our outstanding common stock (an “Acquiring Person”) or (b) the tenth business day (or such later date as may be determined by action of the Board prior to such time as any person or entity becomes an Acquiring Person) following the date of commencement of, or the first announcement of, an intention to commence, a tender offer or exchange offer, the consummation of which would result in any person or entity or group of persons or entities acting in concert becoming an Acquiring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term “Acquiring Person” is subject to certain customary exceptions whereby certain stockholders that would have otherwise been an Acquiring Person are excluded from the definition of “Acquiring Person.” Any stockholders with beneficial ownership of our common stock above the applicable threshold as of the time of this announcement are grandfathered at their current ownership levels but are not permitted to increase their ownership without triggering the Purchase Rights. Prior to exercise, the Purchase Right does not give its holder any dividend, voting or liquidation rights.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41" w:name="page42"/>
    <w:bookmarkEnd w:id="41"/>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 when the Purchase Rights separate from our common stock and become exercisable is referred to herein as the “Distribution Date.” Until that date, common stock certificates or, in the case of uncertificated shares, notations in the book-entry account system, will evidence the Purchase Rights, and any transfer of shares of our common stock will constitute a transfer of Purchase Rights. After the Distribution Date, the Purchase Rights will be evidenced by separate book-entry credits or by Purchase Rights certificates that the Company will mail to all eligible, certificated holders of our common stock. Any Purchase Rights held by an Acquiring Person are null and void and may not be exercised.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After the Distribution Date, each Purchase Right will entitle the holder to purchase one-thousandth (1/1000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a Preferred Share for $25.00, subject to adjustment (the “Exercise Price”). Each one-thousandth (1/1000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a Preferred Share has economic terms similar to that of one share of our common stock. The Exercise Price payable, and the number of Preferred Shares or other securities or other property issuable upon exercise of the Purchase Rights will be subject to adjustment from time to time to prevent dilution in the event of a stock dividend on, or a subdivision, combination or reclassification of, the Preferred Shares. The exercise of Purchase Rights to purchase Preferred Shares will at all times be subject to the availability of a sufficient number of authorized but unissued Preferred Shares. Notwithstanding the foregoing, with certain exceptions, no adjustment in the Exercise Price will be required until cumulative adjustments require an adjustment of at least 1% in such Exercise Price. No fractional Preferred Shares will be issued (other than fractions which are integral multiples of the number of one one-hundredth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of a Preferred Share issuable upon the exercise of one Purchase Right, which may, at our election, be evidenced by depositary receipts), and in lieu thereof, an adjustment in cash will be made based on the market price of the Preferred Shares on the last trading day prior to the date of exercise.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Ownership</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Certain synthetic interests in securities created by derivative positions — whether or not such interests are considered to be ownership of underlying shares of our common stock or are reportable for purposes of Regulation 13D of the Securities Exchange Act of 1934, as amended — are treated as beneficial ownership of the number of shares of our common stock equivalent to the economic exposure created by the derivative position, to the extent actual shares of our common stock are directly or indirectly held by counterparties to the derivatives contracts. Swaps dealers unassociated with any control intent or intent to evade the purposes of the Rights Agreement are excepted from such imputed beneficial ownership. In addition, shares held by affiliates and associates of an Acquiring Person, including shares that are subject of, or the reference securities for, or that underline, any derivative position of such persons, will be deemed to be beneficially owned by the Acquiring Person. In addition, any securities beneficially owned by a third party with whom the Acquiring Person has any agreement, arrangement or understanding (whether or not in writing) (i) for the purpose of acquiring, holding or voting securities of the Company or (ii) to cooperate in obtaining, changing or influencing control of the Company, will be deemed to be beneficially owned by the Acquiring Person.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a Person or Group Becoming an Acquiring Person</w:t>
      </w:r>
    </w:p>
    <w:p>
      <w:pPr>
        <w:spacing w:after="0" w:line="133" w:lineRule="exact"/>
        <w:rPr>
          <w:sz w:val="20"/>
          <w:szCs w:val="20"/>
          <w:color w:val="auto"/>
        </w:rPr>
      </w:pPr>
    </w:p>
    <w:p>
      <w:pPr>
        <w:ind w:left="960" w:hanging="424"/>
        <w:spacing w:after="0" w:line="284"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Flip-In</w:t>
      </w:r>
      <w:r>
        <w:rPr>
          <w:rFonts w:ascii="Times New Roman" w:cs="Times New Roman" w:eastAsia="Times New Roman" w:hAnsi="Times New Roman"/>
          <w:sz w:val="18"/>
          <w:szCs w:val="18"/>
          <w:color w:val="auto"/>
        </w:rPr>
        <w:t>. If a person or group becomes an Acquiring Person, all holders of Purchase Rights except the Acquiring Person or its affiliates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Exercise Price, purchase shares of Company Common Stock with a market value of twice the Exercise Price.</w:t>
      </w:r>
    </w:p>
    <w:p>
      <w:pPr>
        <w:spacing w:after="0" w:line="63" w:lineRule="exact"/>
        <w:rPr>
          <w:rFonts w:ascii="Times New Roman" w:cs="Times New Roman" w:eastAsia="Times New Roman" w:hAnsi="Times New Roman"/>
          <w:sz w:val="18"/>
          <w:szCs w:val="18"/>
          <w:color w:val="auto"/>
        </w:rPr>
      </w:pPr>
    </w:p>
    <w:p>
      <w:pPr>
        <w:ind w:left="960" w:right="40" w:hanging="424"/>
        <w:spacing w:after="0" w:line="267"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lieu of “flip-in” feature described above, the Board may, at its option at any time after a person or group becomes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Person, exchange the Purchase Rights (other than Purchase Rights owned by the Acquiring Person or its affiliates), in whole or in part, for shares of our common stock at an exchange ratio of one share of our common stock per Purchase Right (subject to adjustment).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2" w:name="page43"/>
    <w:bookmarkEnd w:id="42"/>
    <w:p>
      <w:pPr>
        <w:ind w:left="960" w:right="80" w:hanging="424"/>
        <w:spacing w:after="0" w:line="267"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Flip-Over</w:t>
      </w:r>
      <w:r>
        <w:rPr>
          <w:rFonts w:ascii="Times New Roman" w:cs="Times New Roman" w:eastAsia="Times New Roman" w:hAnsi="Times New Roman"/>
          <w:sz w:val="18"/>
          <w:szCs w:val="18"/>
          <w:color w:val="auto"/>
        </w:rPr>
        <w:t>. If the Company is later acquired in a merger or similar transaction after the Distribution Date, all holders of Purchase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the Acquiring Person or its affiliates may purchase, for the Exercise Price, a number of shares of our common stock of the person engaging in the transaction having a market value of twice the Exercise Price.</w:t>
      </w:r>
    </w:p>
    <w:p>
      <w:pPr>
        <w:spacing w:after="0" w:line="279"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17"/>
          <w:szCs w:val="17"/>
          <w:b w:val="1"/>
          <w:bCs w:val="1"/>
          <w:i w:val="1"/>
          <w:iCs w:val="1"/>
          <w:color w:val="auto"/>
        </w:rPr>
        <w:t>Company Preferred Share Provision</w:t>
      </w:r>
    </w:p>
    <w:p>
      <w:pPr>
        <w:spacing w:after="0" w:line="133"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18"/>
          <w:szCs w:val="18"/>
          <w:color w:val="auto"/>
        </w:rPr>
        <w:t>Each Preferred Share, if issued:</w:t>
      </w:r>
    </w:p>
    <w:p>
      <w:pPr>
        <w:spacing w:after="0" w:line="131" w:lineRule="exact"/>
        <w:rPr>
          <w:sz w:val="20"/>
          <w:szCs w:val="20"/>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any dividend is declared on our common stock, entitle the holder to a preferential quarterly dividend payment equal to 1,000 times the aggregate per share price of all cash and non-cash dividends declared per share of our common stock;</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the holder upon liquidation either to receive $1,000 plus an amount equal to accrued and unpaid dividends and distributions thereon or an aggregate amount per share equal to 1,000 times the aggregate amount to be distributed per share to holders of our common stock;</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1,000 votes, voting together with the our common stock;</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our common stock are exchanged via merger, consolidation, or a similar transaction, will entitle the holder to a per share payment equal to 1,000 times the amount of consideration received per share of our common stock;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would rank junior to any other series of the Company’s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one-thousandth interest in a Preferred Share is intended to approximate the value of one share of our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Rights will expire on the Final Expiration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board may redeem the Purchase Rights for $0.001 per Purchase Right at any time prior to the earlier of (A) such time as any person or group becomes an Acquiring Person or (B) the close of business on the Final Expiration Date. Following the expiration of the above periods, the Purchase Rights become nonredeemable. If the board redeems any Purchase Rights, it must redeem all of the Purchase Rights. Once the Purchase Rights are redeemed, the only right of the holders of Purchase Rights will be to receive the redemption price of $0.001 per Purchase Right. The redemption price will be adjusted if the Company effects a stock split or stock dividend of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Provisions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Rights will have the benefit of certain customary anti-dilution provisions.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121"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The terms of the Rights Agreement may be amended by the board without the consent of the holders of the Purchase Rights. After a person or group becomes an Acquiring Person, the board may not amend the Rights Agreement in a way that adversely affects holders of the Purchase Rights.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440" w:top="268" w:right="5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Rights Agreement does not contain any dead-hand, slow-hand, no-hand or similar feature that limits the ability of a future board to redeem the Purchase Rights. Until a Purchase Right is exercised, the holder thereof, as such, will have no rights as a stockholder of the Company, including, without limitation, the right to vote or to receive dividends.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45" w:lineRule="exact"/>
        <w:rPr>
          <w:sz w:val="20"/>
          <w:szCs w:val="20"/>
          <w:color w:val="auto"/>
        </w:rPr>
      </w:pPr>
    </w:p>
    <w:p>
      <w:pPr>
        <w:ind w:left="960" w:right="18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960" w:right="40" w:hanging="424"/>
        <w:spacing w:after="0" w:line="258"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960" w:right="20" w:hanging="424"/>
        <w:spacing w:after="0" w:line="224"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/3% of the outstanding voting stock that is not owned by the interested stockholder.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restated certificate and by-laws divide our board of directors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of directors, including a vacancy resulting from an enlargement of our board of directors, may be filled only by vote of a majority of our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44" w:name="page45"/>
    <w:bookmarkEnd w:id="44"/>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then in office. Furthermore, our restated certificate provides that the authorized number of directors may be changed only by the resolution of our board of directors, subject to the rights of any holders of preferred stock to elect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 Advance Notice Requirements for Stockholder Proposals and Director Nominations; Stockholder Action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 Majority Voting</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of directors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shall, to the fullest extent permitted by applicable law, be the sole and exclusive forum for (A) any derivative action or proceeding brought on behalf of the Company; (B) any action asserting a claim of breach of a fiduciary duty owed by any director, officer or other employee of the Company to the Company or the Company’s stockholders; (C) any action asserting a claim against the Company or any director or officer or other employee of the Company arising pursuant to any provision of the DGCL, our restated certificate or our bylaws; or (D) any action asserting a claim against the Company or any director or officer or other employee of the Company governed by the internal affairs doctrine.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with offices at 250 Royall Street, Canton, Massachusetts 02021. The transfer agent for any series of preferred stock that we may offer under this prospectus will be named and described in the prospectus supplement for that series.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66" w:right="4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DEBT SECURITIES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sectPr>
      </w:pPr>
    </w:p>
    <w:bookmarkStart w:id="47" w:name="page48"/>
    <w:bookmarkEnd w:id="47"/>
    <w:p>
      <w:pPr>
        <w:ind w:left="424" w:right="120" w:hanging="424"/>
        <w:spacing w:after="0" w:line="261"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424" w:right="200" w:hanging="424"/>
        <w:spacing w:after="0" w:line="266"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424" w:right="460" w:hanging="424"/>
        <w:spacing w:after="0" w:line="266"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424" w:right="1020" w:hanging="424"/>
        <w:spacing w:after="0" w:line="282"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424" w:right="380" w:hanging="424"/>
        <w:spacing w:after="0" w:line="282"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4884" w:right="140" w:hanging="4884"/>
        <w:spacing w:after="0" w:line="454" w:lineRule="auto"/>
        <w:tabs>
          <w:tab w:leader="none" w:pos="4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19</w:t>
      </w:r>
    </w:p>
    <w:p>
      <w:pPr>
        <w:sectPr>
          <w:pgSz w:w="11900" w:h="16838" w:orient="portrait"/>
          <w:cols w:equalWidth="0" w:num="1">
            <w:col w:w="10464"/>
          </w:cols>
          <w:pgMar w:left="976" w:top="270" w:right="459" w:bottom="1440" w:gutter="0" w:footer="0" w:header="0"/>
        </w:sectPr>
      </w:pPr>
    </w:p>
    <w:bookmarkStart w:id="48" w:name="page49"/>
    <w:bookmarkEnd w:id="48"/>
    <w:p>
      <w:pPr>
        <w:ind w:left="960" w:right="8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960" w:right="80" w:hanging="424"/>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960" w:right="80" w:hanging="424"/>
        <w:spacing w:after="0" w:line="261"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49" w:name="page50"/>
    <w:bookmarkEnd w:id="49"/>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50" w:name="page51"/>
    <w:bookmarkEnd w:id="50"/>
    <w:p>
      <w:pPr>
        <w:ind w:left="960" w:right="160" w:hanging="424"/>
        <w:spacing w:after="0" w:line="261"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960" w:right="760" w:hanging="424"/>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960" w:right="140" w:hanging="424"/>
        <w:spacing w:after="0" w:line="266"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51" w:name="page52"/>
    <w:bookmarkEnd w:id="51"/>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960" w:right="200" w:hanging="424"/>
        <w:spacing w:after="0" w:line="266"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70"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and Paying Agents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WARRANTS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54" w:name="page55"/>
    <w:bookmarkEnd w:id="54"/>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960" w:hanging="424"/>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960" w:right="660" w:hanging="424"/>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440" w:top="270" w:right="5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RIGHTS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rights that we may offer under this prospectus and the related rights agreements. While the terms we have summarized below will apply generally to any rights that we may offer under this prospectus, we will describe the particular terms of any rights in more detail in the applicable prospectus supplement. The terms of any rights offered under a prospectus supplement may differ from the terms described below.</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any rights certificate or rights agreement that describes the terms of the rights we are offering, and any supplemental agreements, before the issuance of the related rights. The following summaries of material terms and provisions of the rights are subject to, and qualified in their entirety by reference to, all the provisions of any rights certificate or rights agreement and any supplemental agreements applicable to particular rights. We urge you to read the applicable prospectus supplements related to the particular rights that we may offer under this prospectus, as well as any related free writing prospectuses and the complete rights certificate or rights agreement and any supplemental agreements that contain the terms of the rights.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may issue rights to purchase our equity or debt securities described in this prospectus. We may offer rights separately or together with one or more securities offered hereby and may or may not be transferable by the shareholder receiving the rights in such offering, as described in the applicable prospectus supplement. In connection with any offering of rights, we may enter into a standby agreement with one or more underwriters or other purchasers pursuant to which the underwriter or other purchasers may be required to purchase any securities remaining unsubscribed for after such offering.</w:t>
      </w:r>
    </w:p>
    <w:p>
      <w:pPr>
        <w:spacing w:after="0" w:line="18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specific terms of any offering of rights for which this prospectus is being delivered, including the following:</w:t>
      </w:r>
    </w:p>
    <w:p>
      <w:pPr>
        <w:spacing w:after="0" w:line="67" w:lineRule="exact"/>
        <w:rPr>
          <w:sz w:val="20"/>
          <w:szCs w:val="20"/>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rights;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equity or debt securities upon the exercise of the rights;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rights issued to each shareholder;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equity or debt securities that may be purchased per each right;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the terms, procedures and limitations relating to the exchange and exercise of the rights;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shall commence, and the date on which the rights shall expire;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may include an over-subscription privilege with respect to unsubscribed securities; and</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agent, if any, for any rights we offer will be set forth in the applicable prospectus supplement.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66" w:right="4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UNITS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related to the particular series of units that we may offer under this prospectus, as well as any related free writing prospectuses and the complete unit agreement and any supplemental agreements that contain the terms of the units.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960" w:right="280" w:hanging="42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U.S. federal income tax considerations and material U.K. tax considerations relevant to the units;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the sections entitled “Description of Capital Stock,” “Description of Debt Securities,” “Description of Warrants” and “Description of Rights” will apply to each unit, as applicable, and to any shares of capital stock, debt security, warrant or right included in each unit, as applicable.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the unit agent, if any, for any units we offer will be set forth in the applicable prospectus supplement.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66"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Enforceability of Rights by Holders of Units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66" w:right="479"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OWNERSHIP OF SECURITIES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66" w:right="479" w:bottom="1440" w:gutter="0" w:footer="0" w:header="0"/>
        </w:sectPr>
      </w:pPr>
    </w:p>
    <w:bookmarkStart w:id="59" w:name="page60"/>
    <w:bookmarkEnd w:id="5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legal holder, if that is permitted in the future;</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Considerations for Global Securities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960" w:right="40" w:hanging="42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we provide otherwise in the applicable prospectus supplement, a global security will terminate when the following special situations occur:</w:t>
      </w:r>
    </w:p>
    <w:p>
      <w:pPr>
        <w:spacing w:after="0" w:line="131" w:lineRule="exact"/>
        <w:rPr>
          <w:sz w:val="20"/>
          <w:szCs w:val="20"/>
          <w:color w:val="auto"/>
        </w:rPr>
      </w:pPr>
    </w:p>
    <w:p>
      <w:pPr>
        <w:ind w:left="960" w:right="260" w:hanging="424"/>
        <w:spacing w:after="0" w:line="282"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66" w:right="439" w:bottom="1440" w:gutter="0" w:footer="0" w:header="0"/>
        </w:sectPr>
      </w:pPr>
    </w:p>
    <w:bookmarkStart w:id="61" w:name="page62"/>
    <w:bookmarkEnd w:id="6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20"/>
          </w:cols>
          <w:pgMar w:left="440" w:top="270" w:right="63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 OF DISTRIBUTION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1" w:lineRule="exact"/>
        <w:rPr>
          <w:sz w:val="20"/>
          <w:szCs w:val="20"/>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Capital Market or any other securities exchange or quotation or trading service on which such securities may be listed, quoted or traded at the time of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“at the market” offerings, if any, may be conducted by underwriters acting as principal or agent.</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securities underwritten or purchased by each of them;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securities. If a dealer is used in the sale of securities, we or an underwriter will sell the securities to the dealer, as principal. The dealer may then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440" w:top="266" w:right="499" w:bottom="1440" w:gutter="0" w:footer="0" w:header="0"/>
        </w:sectPr>
      </w:pPr>
    </w:p>
    <w:bookmarkStart w:id="63" w:name="page64"/>
    <w:bookmarkEnd w:id="63"/>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5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MATTERS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Cooley LLP, Seattle, Washington.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Copies of certain information filed by us with the SEC are also available on our website at www.tempesttx.com. Information contained in or accessible through our website does not constitute a part of this prospectus and is not incorporated by reference in this prospectus.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001-35890. The documents incorporated by reference into this prospectus contain important information that you should read about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131" w:lineRule="exact"/>
        <w:rPr>
          <w:sz w:val="20"/>
          <w:szCs w:val="20"/>
          <w:color w:val="auto"/>
        </w:rPr>
      </w:pPr>
    </w:p>
    <w:p>
      <w:pPr>
        <w:ind w:left="960" w:hanging="424"/>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99">
        <w:r>
          <w:rPr>
            <w:rFonts w:ascii="Times New Roman" w:cs="Times New Roman" w:eastAsia="Times New Roman" w:hAnsi="Times New Roman"/>
            <w:sz w:val="18"/>
            <w:szCs w:val="18"/>
            <w:u w:val="single" w:color="auto"/>
            <w:color w:val="0000EE"/>
          </w:rPr>
          <w:t>March 19,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2023 from our Definitive Proxy Statement on Schedule 14A, filed with the SEC on </w:t>
      </w:r>
      <w:hyperlink r:id="rId100">
        <w:r>
          <w:rPr>
            <w:rFonts w:ascii="Times New Roman" w:cs="Times New Roman" w:eastAsia="Times New Roman" w:hAnsi="Times New Roman"/>
            <w:sz w:val="18"/>
            <w:szCs w:val="18"/>
            <w:u w:val="single" w:color="auto"/>
            <w:color w:val="0000EE"/>
          </w:rPr>
          <w:t>April 23, 2024</w:t>
        </w:r>
      </w:hyperlink>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66" w:right="439" w:bottom="1440" w:gutter="0" w:footer="0" w:header="0"/>
        </w:sectPr>
      </w:pPr>
    </w:p>
    <w:bookmarkStart w:id="65" w:name="page66"/>
    <w:bookmarkEnd w:id="65"/>
    <w:p>
      <w:pPr>
        <w:ind w:left="960" w:hanging="424"/>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our Quarterly Report on Form 10-Q for the quarter ended March 31, 2024, filed with the SEC on </w:t>
      </w:r>
      <w:hyperlink r:id="rId102">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03">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4">
        <w:r>
          <w:rPr>
            <w:rFonts w:ascii="Times New Roman" w:cs="Times New Roman" w:eastAsia="Times New Roman" w:hAnsi="Times New Roman"/>
            <w:sz w:val="18"/>
            <w:szCs w:val="18"/>
            <w:u w:val="single" w:color="auto"/>
            <w:color w:val="0000EE"/>
          </w:rPr>
          <w:t>June 20, 2024</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jc w:val="both"/>
        <w:ind w:left="960" w:right="40" w:hanging="424"/>
        <w:spacing w:after="0" w:line="266"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the registration statement on </w:t>
      </w:r>
      <w:hyperlink r:id="rId10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registering our common stock under Section 12 of the Exchange Act, which was filed with the SEC on April 25, 2013, as updated by </w:t>
      </w:r>
      <w:hyperlink r:id="rId106">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2023.</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We also incorporate by reference into this prospectus any future filings (other than current reports furnished under Item 2.02 or Item 7.01 of</w:t>
      </w:r>
    </w:p>
    <w:p>
      <w:pPr>
        <w:spacing w:after="0" w:line="27" w:lineRule="exact"/>
        <w:rPr>
          <w:rFonts w:ascii="Times New Roman" w:cs="Times New Roman" w:eastAsia="Times New Roman" w:hAnsi="Times New Roman"/>
          <w:sz w:val="18"/>
          <w:szCs w:val="18"/>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Form 8-K and exhibits filed on such form that are related to such items unless such Form 8-K expressly provides to the contrary)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87"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2000 Sierra Point Parkway, Suite 400, Brisbane, CA 94005, telephone: (415) 798-8589.</w:t>
      </w:r>
    </w:p>
    <w:p>
      <w:pPr>
        <w:spacing w:after="0" w:line="180" w:lineRule="exact"/>
        <w:rPr>
          <w:rFonts w:ascii="Times New Roman" w:cs="Times New Roman" w:eastAsia="Times New Roman" w:hAnsi="Times New Roman"/>
          <w:sz w:val="18"/>
          <w:szCs w:val="18"/>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108"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00"/>
          </w:cols>
          <w:pgMar w:left="440" w:top="270" w:right="55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3079750</wp:posOffset>
            </wp:positionH>
            <wp:positionV relativeFrom="page">
              <wp:posOffset>612140</wp:posOffset>
            </wp:positionV>
            <wp:extent cx="1388745" cy="12255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388745"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405,000 Shares of Common Stock</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Prefunded Warrants to Purchase up to 334,000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2437130</wp:posOffset>
            </wp:positionV>
            <wp:extent cx="1474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i w:val="1"/>
          <w:iCs w:val="1"/>
          <w:color w:val="auto"/>
        </w:rPr>
        <w:t>H.C. Wainwright &amp; Co.</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440055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499745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415"/>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lowerRoman"/>
      <w:start w:val="2"/>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jpe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101"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jpe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7" Type="http://schemas.openxmlformats.org/officeDocument/2006/relationships/hyperlink" Target="http://www.sec.gov/Archives/edgar/data/1544227/000119312524181673/d873142ds3.htm" TargetMode="External"/><Relationship Id="rId18" Type="http://schemas.openxmlformats.org/officeDocument/2006/relationships/hyperlink" Target="http://www.sec.gov/Archives/edgar/data/1544227/000119312525012238/d873142ds3a.htm" TargetMode="External"/><Relationship Id="rId19" Type="http://schemas.openxmlformats.org/officeDocument/2006/relationships/hyperlink" Target="http://www.sec.gov/Archives/edgar/data/1544227/999999999525000195/xslEFFECTX01/primary_doc.xml" TargetMode="External"/><Relationship Id="rId25" Type="http://schemas.openxmlformats.org/officeDocument/2006/relationships/hyperlink" Target="http://www.sec.gov/ix?doc=/Archives/edgar/data/1544227/000095017025070441/tpst-20250331.htm" TargetMode="External"/><Relationship Id="rId29" Type="http://schemas.openxmlformats.org/officeDocument/2006/relationships/hyperlink" Target="http://www.sec.gov/ix?doc=/Archives/edgar/data/1544227/000095017025046144/tpst-20241231.htm" TargetMode="External"/><Relationship Id="rId30" Type="http://schemas.openxmlformats.org/officeDocument/2006/relationships/hyperlink" Target="http://www.sec.gov/ix?doc=/Archives/edgar/data/1544227/000095017025070441/tpst-20250331.htm#item_1a_risk_factors" TargetMode="External"/><Relationship Id="rId46" Type="http://schemas.openxmlformats.org/officeDocument/2006/relationships/hyperlink" Target="http://www.sec.gov/ix?doc=/Archives/edgar/data/1544227/000095017025046144/tpst-20241231.htm#section21" TargetMode="External"/><Relationship Id="rId47" Type="http://schemas.openxmlformats.org/officeDocument/2006/relationships/hyperlink" Target="http://www.sec.gov/ix?doc=/Archives/edgar/data/1544227/000119312525107127/d920870d10ka.htm" TargetMode="External"/><Relationship Id="rId48" Type="http://schemas.openxmlformats.org/officeDocument/2006/relationships/hyperlink" Target="http://www.sec.gov/ix?doc=/Archives/edgar/data/1544227/000119312525073987/d905141d8k.htm" TargetMode="External"/><Relationship Id="rId49" Type="http://schemas.openxmlformats.org/officeDocument/2006/relationships/hyperlink" Target="http://www.sec.gov/ix?doc=/Archives/edgar/data/1544227/000119312525076938/d906762d8k.htm" TargetMode="External"/><Relationship Id="rId50" Type="http://schemas.openxmlformats.org/officeDocument/2006/relationships/hyperlink" Target="http://www.sec.gov/ix?doc=/Archives/edgar/data/1544227/000119312525085773/d792758d8k.htm" TargetMode="External"/><Relationship Id="rId51" Type="http://schemas.openxmlformats.org/officeDocument/2006/relationships/hyperlink" Target="http://www.sec.gov/ix?doc=/Archives/edgar/data/1544227/000119312525098817/d935409d8k.htm" TargetMode="External"/><Relationship Id="rId52" Type="http://schemas.openxmlformats.org/officeDocument/2006/relationships/hyperlink" Target="http://www.sec.gov/ix?doc=/Archives/edgar/data/1544227/000119312525137041/d17737d8k.htm" TargetMode="External"/><Relationship Id="rId53" Type="http://schemas.openxmlformats.org/officeDocument/2006/relationships/hyperlink" Target="http://www.sec.gov/Archives/edgar/data/1544227/000110465913033085/a13-9660_28a12b.htm" TargetMode="External"/><Relationship Id="rId54" Type="http://schemas.openxmlformats.org/officeDocument/2006/relationships/hyperlink" Target="http://www.sec.gov/Archives/edgar/data/1544227/000095017025046144/tpst-ex4_1.htm" TargetMode="External"/><Relationship Id="rId99" Type="http://schemas.openxmlformats.org/officeDocument/2006/relationships/hyperlink" Target="http://www.sec.gov/ix?doc=/Archives/edgar/data/1544227/000095017024033555/tpst-20231231.htm" TargetMode="External"/><Relationship Id="rId100" Type="http://schemas.openxmlformats.org/officeDocument/2006/relationships/hyperlink" Target="http://www.sec.gov/Archives/edgar/data/1544227/000119312524106959/d240250ddef14a.htm" TargetMode="External"/><Relationship Id="rId102" Type="http://schemas.openxmlformats.org/officeDocument/2006/relationships/hyperlink" Target="http://www.sec.gov/ix?doc=/Archives/edgar/data/1544227/000095017024057072/tpst-20240331.htm" TargetMode="External"/><Relationship Id="rId103" Type="http://schemas.openxmlformats.org/officeDocument/2006/relationships/hyperlink" Target="http://www.sec.gov/ix?doc=/Archives/edgar/data/1544227/000119312524161685/d853541d8k.htm" TargetMode="External"/><Relationship Id="rId104" Type="http://schemas.openxmlformats.org/officeDocument/2006/relationships/hyperlink" Target="http://www.sec.gov/ix?doc=/Archives/edgar/data/1544227/000119312524164015/d857887d8k.htm" TargetMode="External"/><Relationship Id="rId105" Type="http://schemas.openxmlformats.org/officeDocument/2006/relationships/hyperlink" Target="http://www.sec.gov/Archives/edgar/data/0001544227/000110465913033085/a13-9660_28a12b.htm" TargetMode="External"/><Relationship Id="rId106" Type="http://schemas.openxmlformats.org/officeDocument/2006/relationships/hyperlink" Target="http://www.sec.gov/Archives/edgar/data/1544227/000095017024033555/tpst-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2025-06-12T08:15:55Z</dcterms:created>
  <dcterms:modified xsi:type="dcterms:W3CDTF">2025-06-12T08:15:55Z</dcterms:modified>
</cp:coreProperties>
</file>