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688340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-228600</wp:posOffset>
            </wp:positionV>
            <wp:extent cx="1045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5845"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96520</wp:posOffset>
            </wp:positionV>
            <wp:extent cx="10458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35" w:lineRule="exact"/>
        <w:rPr>
          <w:sz w:val="24"/>
          <w:szCs w:val="24"/>
          <w:color w:val="auto"/>
        </w:rPr>
      </w:pPr>
    </w:p>
    <w:p>
      <w:pPr>
        <w:ind w:left="700" w:right="340" w:hanging="469"/>
        <w:spacing w:after="0" w:line="254" w:lineRule="auto"/>
        <w:tabs>
          <w:tab w:leader="none" w:pos="7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8" w:lineRule="exact"/>
        <w:rPr>
          <w:sz w:val="24"/>
          <w:szCs w:val="24"/>
          <w:color w:val="auto"/>
        </w:rPr>
      </w:pPr>
    </w:p>
    <w:p>
      <w:pPr>
        <w:ind w:left="700" w:right="340" w:hanging="469"/>
        <w:spacing w:after="0" w:line="262" w:lineRule="auto"/>
        <w:tabs>
          <w:tab w:leader="none" w:pos="70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30" w:lineRule="exact"/>
        <w:rPr>
          <w:sz w:val="24"/>
          <w:szCs w:val="24"/>
          <w:color w:val="auto"/>
        </w:rPr>
      </w:pPr>
    </w:p>
    <w:p>
      <w:pPr>
        <w:ind w:left="3800"/>
        <w:spacing w:after="0"/>
        <w:tabs>
          <w:tab w:leader="none" w:pos="6560" w:val="left"/>
          <w:tab w:leader="none" w:pos="73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r>
        <w:rPr>
          <w:sz w:val="20"/>
          <w:szCs w:val="20"/>
          <w:color w:val="auto"/>
        </w:rPr>
        <w:tab/>
      </w:r>
      <w:r>
        <w:rPr>
          <w:rFonts w:ascii="Times New Roman" w:cs="Times New Roman" w:eastAsia="Times New Roman" w:hAnsi="Times New Roman"/>
          <w:sz w:val="16"/>
          <w:szCs w:val="16"/>
          <w:b w:val="1"/>
          <w:bCs w:val="1"/>
          <w:color w:val="FFFFFF"/>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3743960</wp:posOffset>
            </wp:positionH>
            <wp:positionV relativeFrom="paragraph">
              <wp:posOffset>-3175</wp:posOffset>
            </wp:positionV>
            <wp:extent cx="9601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No. 001-35890</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Tempest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-289560</wp:posOffset>
            </wp:positionV>
            <wp:extent cx="10458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69215</wp:posOffset>
            </wp:positionV>
            <wp:extent cx="10458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22" w:lineRule="exact"/>
        <w:rPr>
          <w:sz w:val="24"/>
          <w:szCs w:val="24"/>
          <w:color w:val="auto"/>
        </w:rPr>
      </w:pPr>
    </w:p>
    <w:tbl>
      <w:tblPr>
        <w:tblLayout w:type="fixed"/>
        <w:tblInd w:w="2900" w:type="dxa"/>
        <w:tblCellMar>
          <w:top w:w="0" w:type="dxa"/>
          <w:left w:w="0" w:type="dxa"/>
          <w:bottom w:w="0" w:type="dxa"/>
          <w:right w:w="0" w:type="dxa"/>
        </w:tblCellMar>
      </w:tblPr>
      <w:tr>
        <w:trPr>
          <w:trHeight w:val="212"/>
        </w:trPr>
        <w:tc>
          <w:tcPr>
            <w:tcW w:w="3080" w:type="dxa"/>
            <w:vAlign w:val="bottom"/>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6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45-1472564</w:t>
            </w:r>
          </w:p>
        </w:tc>
      </w:tr>
      <w:tr>
        <w:trPr>
          <w:trHeight w:val="283"/>
        </w:trPr>
        <w:tc>
          <w:tcPr>
            <w:tcW w:w="3080" w:type="dxa"/>
            <w:vAlign w:val="bottom"/>
          </w:tcPr>
          <w:p>
            <w:pPr>
              <w:jc w:val="center"/>
              <w:ind w:right="35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166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rPr>
              <w:t>(I.R.S. Employer</w:t>
            </w:r>
          </w:p>
        </w:tc>
      </w:tr>
      <w:tr>
        <w:trPr>
          <w:trHeight w:val="284"/>
        </w:trPr>
        <w:tc>
          <w:tcPr>
            <w:tcW w:w="3080" w:type="dxa"/>
            <w:vAlign w:val="bottom"/>
          </w:tcPr>
          <w:p>
            <w:pPr>
              <w:jc w:val="center"/>
              <w:ind w:right="35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166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283"/>
        </w:trPr>
        <w:tc>
          <w:tcPr>
            <w:tcW w:w="3080" w:type="dxa"/>
            <w:vAlign w:val="bottom"/>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2000 Sierra Point Parkway, Suite 400</w:t>
            </w:r>
          </w:p>
        </w:tc>
        <w:tc>
          <w:tcPr>
            <w:tcW w:w="1660" w:type="dxa"/>
            <w:vAlign w:val="bottom"/>
          </w:tcPr>
          <w:p>
            <w:pPr>
              <w:spacing w:after="0"/>
              <w:rPr>
                <w:sz w:val="24"/>
                <w:szCs w:val="24"/>
                <w:color w:val="auto"/>
              </w:rPr>
            </w:pPr>
          </w:p>
        </w:tc>
      </w:tr>
      <w:tr>
        <w:trPr>
          <w:trHeight w:val="283"/>
        </w:trPr>
        <w:tc>
          <w:tcPr>
            <w:tcW w:w="3080" w:type="dxa"/>
            <w:vAlign w:val="bottom"/>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Brisbane, California</w:t>
            </w:r>
          </w:p>
        </w:tc>
        <w:tc>
          <w:tcPr>
            <w:tcW w:w="16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94005</w:t>
            </w:r>
          </w:p>
        </w:tc>
      </w:tr>
      <w:tr>
        <w:trPr>
          <w:trHeight w:val="284"/>
        </w:trPr>
        <w:tc>
          <w:tcPr>
            <w:tcW w:w="3080" w:type="dxa"/>
            <w:vAlign w:val="bottom"/>
          </w:tcPr>
          <w:p>
            <w:pPr>
              <w:jc w:val="center"/>
              <w:ind w:right="35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66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w w:val="98"/>
              </w:rPr>
              <w:t>(Zip Code)</w:t>
            </w:r>
          </w:p>
        </w:tc>
      </w:tr>
    </w:tbl>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(415) 798-8589</w:t>
      </w:r>
    </w:p>
    <w:p>
      <w:pPr>
        <w:spacing w:after="0" w:line="122"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3"/>
          <w:szCs w:val="13"/>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72390</wp:posOffset>
            </wp:positionV>
            <wp:extent cx="10458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31" w:lineRule="exact"/>
        <w:rPr>
          <w:sz w:val="24"/>
          <w:szCs w:val="24"/>
          <w:color w:val="auto"/>
        </w:rPr>
      </w:pPr>
    </w:p>
    <w:tbl>
      <w:tblPr>
        <w:tblLayout w:type="fixed"/>
        <w:tblInd w:w="120" w:type="dxa"/>
        <w:tblCellMar>
          <w:top w:w="0" w:type="dxa"/>
          <w:left w:w="0" w:type="dxa"/>
          <w:bottom w:w="0" w:type="dxa"/>
          <w:right w:w="0" w:type="dxa"/>
        </w:tblCellMar>
      </w:tblPr>
      <w:tr>
        <w:trPr>
          <w:trHeight w:val="166"/>
        </w:trPr>
        <w:tc>
          <w:tcPr>
            <w:tcW w:w="3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580" w:type="dxa"/>
            <w:vAlign w:val="bottom"/>
            <w:gridSpan w:val="2"/>
          </w:tcPr>
          <w:p>
            <w:pPr>
              <w:ind w:left="1580"/>
              <w:spacing w:after="0"/>
              <w:rPr>
                <w:sz w:val="20"/>
                <w:szCs w:val="20"/>
                <w:color w:val="auto"/>
              </w:rPr>
            </w:pPr>
            <w:r>
              <w:rPr>
                <w:rFonts w:ascii="Times New Roman" w:cs="Times New Roman" w:eastAsia="Times New Roman" w:hAnsi="Times New Roman"/>
                <w:sz w:val="13"/>
                <w:szCs w:val="13"/>
                <w:b w:val="1"/>
                <w:bCs w:val="1"/>
                <w:color w:val="auto"/>
              </w:rPr>
              <w:t>Trading</w:t>
            </w:r>
          </w:p>
        </w:tc>
        <w:tc>
          <w:tcPr>
            <w:tcW w:w="2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Name of each exchange</w:t>
            </w:r>
          </w:p>
        </w:tc>
      </w:tr>
      <w:tr>
        <w:trPr>
          <w:trHeight w:val="259"/>
        </w:trPr>
        <w:tc>
          <w:tcPr>
            <w:tcW w:w="358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200" w:type="dxa"/>
            <w:vAlign w:val="bottom"/>
          </w:tcPr>
          <w:p>
            <w:pPr>
              <w:spacing w:after="0"/>
              <w:rPr>
                <w:sz w:val="22"/>
                <w:szCs w:val="22"/>
                <w:color w:val="auto"/>
              </w:rPr>
            </w:pPr>
          </w:p>
        </w:tc>
        <w:tc>
          <w:tcPr>
            <w:tcW w:w="338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3"/>
                <w:szCs w:val="13"/>
                <w:b w:val="1"/>
                <w:bCs w:val="1"/>
                <w:color w:val="auto"/>
              </w:rPr>
              <w:t>Symbol(s)</w:t>
            </w:r>
          </w:p>
        </w:tc>
        <w:tc>
          <w:tcPr>
            <w:tcW w:w="200" w:type="dxa"/>
            <w:vAlign w:val="bottom"/>
          </w:tcPr>
          <w:p>
            <w:pPr>
              <w:spacing w:after="0"/>
              <w:rPr>
                <w:sz w:val="22"/>
                <w:szCs w:val="22"/>
                <w:color w:val="auto"/>
              </w:rPr>
            </w:pPr>
          </w:p>
        </w:tc>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on which registered</w:t>
            </w:r>
          </w:p>
        </w:tc>
      </w:tr>
      <w:tr>
        <w:trPr>
          <w:trHeight w:val="227"/>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$0.001 par value</w:t>
            </w:r>
          </w:p>
        </w:tc>
        <w:tc>
          <w:tcPr>
            <w:tcW w:w="200" w:type="dxa"/>
            <w:vAlign w:val="bottom"/>
          </w:tcPr>
          <w:p>
            <w:pPr>
              <w:spacing w:after="0"/>
              <w:rPr>
                <w:sz w:val="19"/>
                <w:szCs w:val="19"/>
                <w:color w:val="auto"/>
              </w:rPr>
            </w:pPr>
          </w:p>
        </w:tc>
        <w:tc>
          <w:tcPr>
            <w:tcW w:w="3580" w:type="dxa"/>
            <w:vAlign w:val="bottom"/>
            <w:gridSpan w:val="2"/>
          </w:tcPr>
          <w:p>
            <w:pPr>
              <w:ind w:left="1520"/>
              <w:spacing w:after="0"/>
              <w:rPr>
                <w:sz w:val="20"/>
                <w:szCs w:val="20"/>
                <w:color w:val="auto"/>
              </w:rPr>
            </w:pPr>
            <w:r>
              <w:rPr>
                <w:rFonts w:ascii="Times New Roman" w:cs="Times New Roman" w:eastAsia="Times New Roman" w:hAnsi="Times New Roman"/>
                <w:sz w:val="14"/>
                <w:szCs w:val="14"/>
                <w:color w:val="auto"/>
              </w:rPr>
              <w:t>TPST</w:t>
            </w:r>
          </w:p>
        </w:tc>
        <w:tc>
          <w:tcPr>
            <w:tcW w:w="2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Series A Junior Participating Preferred Purchase Rights</w:t>
            </w:r>
          </w:p>
        </w:tc>
        <w:tc>
          <w:tcPr>
            <w:tcW w:w="200" w:type="dxa"/>
            <w:vAlign w:val="bottom"/>
          </w:tcPr>
          <w:p>
            <w:pPr>
              <w:spacing w:after="0"/>
              <w:rPr>
                <w:sz w:val="17"/>
                <w:szCs w:val="17"/>
                <w:color w:val="auto"/>
              </w:rPr>
            </w:pPr>
          </w:p>
        </w:tc>
        <w:tc>
          <w:tcPr>
            <w:tcW w:w="3580" w:type="dxa"/>
            <w:vAlign w:val="bottom"/>
            <w:gridSpan w:val="2"/>
          </w:tcPr>
          <w:p>
            <w:pPr>
              <w:ind w:left="1560"/>
              <w:spacing w:after="0"/>
              <w:rPr>
                <w:sz w:val="20"/>
                <w:szCs w:val="20"/>
                <w:color w:val="auto"/>
              </w:rPr>
            </w:pPr>
            <w:r>
              <w:rPr>
                <w:rFonts w:ascii="Times New Roman" w:cs="Times New Roman" w:eastAsia="Times New Roman" w:hAnsi="Times New Roman"/>
                <w:sz w:val="14"/>
                <w:szCs w:val="14"/>
                <w:color w:val="auto"/>
              </w:rPr>
              <w:t>N/A</w:t>
            </w:r>
          </w:p>
        </w:tc>
        <w:tc>
          <w:tcPr>
            <w:tcW w:w="2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68" w:lineRule="exact"/>
        <w:rPr>
          <w:sz w:val="24"/>
          <w:szCs w:val="24"/>
          <w:color w:val="auto"/>
        </w:rPr>
      </w:pPr>
    </w:p>
    <w:p>
      <w:pPr>
        <w:ind w:right="220"/>
        <w:spacing w:after="0" w:line="17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100"/>
        <w:spacing w:after="0" w:line="16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40"/>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80" w:type="dxa"/>
        <w:tblCellMar>
          <w:top w:w="0" w:type="dxa"/>
          <w:left w:w="0" w:type="dxa"/>
          <w:bottom w:w="0" w:type="dxa"/>
          <w:right w:w="0" w:type="dxa"/>
        </w:tblCellMar>
      </w:tblPr>
      <w:tr>
        <w:trPr>
          <w:trHeight w:val="239"/>
        </w:trPr>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42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44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Accelerated filer</w:t>
            </w:r>
          </w:p>
        </w:tc>
        <w:tc>
          <w:tcPr>
            <w:tcW w:w="2060" w:type="dxa"/>
            <w:vAlign w:val="bottom"/>
          </w:tcPr>
          <w:p>
            <w:pPr>
              <w:ind w:left="19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42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44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060" w:type="dxa"/>
            <w:vAlign w:val="bottom"/>
          </w:tcPr>
          <w:p>
            <w:pPr>
              <w:ind w:left="19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57"/>
        </w:trPr>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142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4420" w:type="dxa"/>
            <w:vAlign w:val="bottom"/>
          </w:tcPr>
          <w:p>
            <w:pPr>
              <w:spacing w:after="0"/>
              <w:rPr>
                <w:sz w:val="22"/>
                <w:szCs w:val="22"/>
                <w:color w:val="auto"/>
              </w:rPr>
            </w:pPr>
          </w:p>
        </w:tc>
        <w:tc>
          <w:tcPr>
            <w:tcW w:w="2060" w:type="dxa"/>
            <w:vAlign w:val="bottom"/>
          </w:tcPr>
          <w:p>
            <w:pPr>
              <w:spacing w:after="0"/>
              <w:rPr>
                <w:sz w:val="22"/>
                <w:szCs w:val="22"/>
                <w:color w:val="auto"/>
              </w:rPr>
            </w:pPr>
          </w:p>
        </w:tc>
      </w:tr>
    </w:tbl>
    <w:p>
      <w:pPr>
        <w:spacing w:after="0" w:line="73" w:lineRule="exact"/>
        <w:rPr>
          <w:sz w:val="24"/>
          <w:szCs w:val="24"/>
          <w:color w:val="auto"/>
        </w:rPr>
      </w:pPr>
    </w:p>
    <w:p>
      <w:pPr>
        <w:spacing w:after="0" w:line="17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660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Registrant’s Common Stock, $0.001 par value per share, outstanding as of May 8, 2025 was 3,682,428.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635000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20" w:type="dxa"/>
            <w:vAlign w:val="bottom"/>
            <w:gridSpan w:val="10"/>
          </w:tcPr>
          <w:p>
            <w:pPr>
              <w:jc w:val="center"/>
              <w:ind w:right="3860"/>
              <w:spacing w:after="0"/>
              <w:rPr>
                <w:sz w:val="20"/>
                <w:szCs w:val="20"/>
                <w:color w:val="auto"/>
              </w:rPr>
            </w:pPr>
            <w:r>
              <w:rPr>
                <w:rFonts w:ascii="Times New Roman" w:cs="Times New Roman" w:eastAsia="Times New Roman" w:hAnsi="Times New Roman"/>
                <w:sz w:val="16"/>
                <w:szCs w:val="16"/>
                <w:b w:val="1"/>
                <w:bCs w:val="1"/>
                <w:color w:val="auto"/>
              </w:rPr>
              <w:t>INDEX TO FORM 10-Q</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411"/>
        </w:trPr>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50"/>
        </w:trPr>
        <w:tc>
          <w:tcPr>
            <w:tcW w:w="10660" w:type="dxa"/>
            <w:vAlign w:val="bottom"/>
            <w:gridSpan w:val="22"/>
          </w:tcPr>
          <w:p>
            <w:pPr>
              <w:ind w:left="80"/>
              <w:spacing w:after="0"/>
              <w:rPr>
                <w:sz w:val="20"/>
                <w:szCs w:val="20"/>
                <w:color w:val="auto"/>
              </w:rPr>
            </w:pPr>
            <w:r>
              <w:rPr>
                <w:rFonts w:ascii="Times New Roman" w:cs="Times New Roman" w:eastAsia="Times New Roman" w:hAnsi="Times New Roman"/>
                <w:sz w:val="18"/>
                <w:szCs w:val="18"/>
                <w:color w:val="0000FF"/>
              </w:rPr>
              <w:t>Special Note Regarding Forward-Looking Statements</w:t>
            </w:r>
          </w:p>
        </w:tc>
        <w:tc>
          <w:tcPr>
            <w:tcW w:w="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0000FF"/>
                <w:w w:val="99"/>
              </w:rPr>
              <w:t>3</w:t>
            </w:r>
          </w:p>
        </w:tc>
        <w:tc>
          <w:tcPr>
            <w:tcW w:w="240" w:type="dxa"/>
            <w:vAlign w:val="bottom"/>
          </w:tcPr>
          <w:p>
            <w:pPr>
              <w:spacing w:after="0"/>
              <w:rPr>
                <w:sz w:val="21"/>
                <w:szCs w:val="21"/>
                <w:color w:val="auto"/>
              </w:rPr>
            </w:pPr>
          </w:p>
        </w:tc>
      </w:tr>
      <w:tr>
        <w:trPr>
          <w:trHeight w:val="250"/>
        </w:trPr>
        <w:tc>
          <w:tcPr>
            <w:tcW w:w="80" w:type="dxa"/>
            <w:vAlign w:val="bottom"/>
          </w:tcPr>
          <w:p>
            <w:pPr>
              <w:spacing w:after="0"/>
              <w:rPr>
                <w:sz w:val="21"/>
                <w:szCs w:val="21"/>
                <w:color w:val="auto"/>
              </w:rPr>
            </w:pPr>
          </w:p>
        </w:tc>
        <w:tc>
          <w:tcPr>
            <w:tcW w:w="760" w:type="dxa"/>
            <w:vAlign w:val="bottom"/>
            <w:tcBorders>
              <w:top w:val="single" w:sz="8" w:color="0000FF"/>
            </w:tcBorders>
          </w:tcPr>
          <w:p>
            <w:pPr>
              <w:spacing w:after="0"/>
              <w:rPr>
                <w:sz w:val="21"/>
                <w:szCs w:val="21"/>
                <w:color w:val="auto"/>
              </w:rPr>
            </w:pPr>
          </w:p>
        </w:tc>
        <w:tc>
          <w:tcPr>
            <w:tcW w:w="500" w:type="dxa"/>
            <w:vAlign w:val="bottom"/>
            <w:tcBorders>
              <w:top w:val="single" w:sz="8" w:color="0000FF"/>
            </w:tcBorders>
          </w:tcPr>
          <w:p>
            <w:pPr>
              <w:spacing w:after="0"/>
              <w:rPr>
                <w:sz w:val="21"/>
                <w:szCs w:val="21"/>
                <w:color w:val="auto"/>
              </w:rPr>
            </w:pPr>
          </w:p>
        </w:tc>
        <w:tc>
          <w:tcPr>
            <w:tcW w:w="580" w:type="dxa"/>
            <w:vAlign w:val="bottom"/>
            <w:tcBorders>
              <w:top w:val="single" w:sz="8" w:color="0000FF"/>
            </w:tcBorders>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380" w:type="dxa"/>
            <w:vAlign w:val="bottom"/>
            <w:tcBorders>
              <w:top w:val="single" w:sz="8" w:color="0000FF"/>
            </w:tcBorders>
          </w:tcPr>
          <w:p>
            <w:pPr>
              <w:spacing w:after="0"/>
              <w:rPr>
                <w:sz w:val="21"/>
                <w:szCs w:val="21"/>
                <w:color w:val="auto"/>
              </w:rPr>
            </w:pPr>
          </w:p>
        </w:tc>
        <w:tc>
          <w:tcPr>
            <w:tcW w:w="460" w:type="dxa"/>
            <w:vAlign w:val="bottom"/>
            <w:tcBorders>
              <w:top w:val="single" w:sz="8" w:color="0000FF"/>
            </w:tcBorders>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320" w:type="dxa"/>
            <w:vAlign w:val="bottom"/>
          </w:tcPr>
          <w:p>
            <w:pPr>
              <w:spacing w:after="0"/>
              <w:rPr>
                <w:sz w:val="21"/>
                <w:szCs w:val="21"/>
                <w:color w:val="auto"/>
              </w:rPr>
            </w:pPr>
          </w:p>
        </w:tc>
        <w:tc>
          <w:tcPr>
            <w:tcW w:w="312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color w:val="0000FF"/>
              </w:rPr>
              <w:t>PART I — FINANCIAL INFORMATION</w:t>
            </w:r>
          </w:p>
        </w:tc>
        <w:tc>
          <w:tcPr>
            <w:tcW w:w="3260" w:type="dxa"/>
            <w:vAlign w:val="bottom"/>
            <w:gridSpan w:val="6"/>
          </w:tcPr>
          <w:p>
            <w:pPr>
              <w:spacing w:after="0"/>
              <w:rPr>
                <w:sz w:val="21"/>
                <w:szCs w:val="21"/>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5</w:t>
            </w:r>
          </w:p>
        </w:tc>
        <w:tc>
          <w:tcPr>
            <w:tcW w:w="240" w:type="dxa"/>
            <w:vAlign w:val="bottom"/>
          </w:tcPr>
          <w:p>
            <w:pPr>
              <w:spacing w:after="0"/>
              <w:rPr>
                <w:sz w:val="21"/>
                <w:szCs w:val="21"/>
                <w:color w:val="auto"/>
              </w:rPr>
            </w:pPr>
          </w:p>
        </w:tc>
      </w:tr>
      <w:tr>
        <w:trPr>
          <w:trHeight w:val="250"/>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Item 1.</w:t>
            </w:r>
          </w:p>
        </w:tc>
        <w:tc>
          <w:tcPr>
            <w:tcW w:w="9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5</w:t>
            </w:r>
          </w:p>
        </w:tc>
        <w:tc>
          <w:tcPr>
            <w:tcW w:w="240" w:type="dxa"/>
            <w:vAlign w:val="bottom"/>
          </w:tcPr>
          <w:p>
            <w:pPr>
              <w:spacing w:after="0"/>
              <w:rPr>
                <w:sz w:val="21"/>
                <w:szCs w:val="21"/>
                <w:color w:val="auto"/>
              </w:rPr>
            </w:pPr>
          </w:p>
        </w:tc>
      </w:tr>
      <w:tr>
        <w:trPr>
          <w:trHeight w:val="20"/>
        </w:trPr>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March 31, 2025 and December 31, 2024</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5</w:t>
            </w:r>
          </w:p>
        </w:tc>
        <w:tc>
          <w:tcPr>
            <w:tcW w:w="240" w:type="dxa"/>
            <w:vAlign w:val="bottom"/>
          </w:tcPr>
          <w:p>
            <w:pPr>
              <w:spacing w:after="0"/>
              <w:rPr>
                <w:sz w:val="21"/>
                <w:szCs w:val="21"/>
                <w:color w:val="auto"/>
              </w:rPr>
            </w:pPr>
          </w:p>
        </w:tc>
      </w:tr>
      <w:tr>
        <w:trPr>
          <w:trHeight w:val="20"/>
        </w:trPr>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Months Ended March 31, 2025 and 2024</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6</w:t>
            </w:r>
          </w:p>
        </w:tc>
        <w:tc>
          <w:tcPr>
            <w:tcW w:w="240" w:type="dxa"/>
            <w:vAlign w:val="bottom"/>
          </w:tcPr>
          <w:p>
            <w:pPr>
              <w:spacing w:after="0"/>
              <w:rPr>
                <w:sz w:val="21"/>
                <w:szCs w:val="21"/>
                <w:color w:val="auto"/>
              </w:rPr>
            </w:pPr>
          </w:p>
        </w:tc>
      </w:tr>
      <w:tr>
        <w:trPr>
          <w:trHeight w:val="20"/>
        </w:trPr>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1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Months Ended March 31, 2025 and 2024</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7</w:t>
            </w:r>
          </w:p>
        </w:tc>
        <w:tc>
          <w:tcPr>
            <w:tcW w:w="240" w:type="dxa"/>
            <w:vAlign w:val="bottom"/>
          </w:tcPr>
          <w:p>
            <w:pPr>
              <w:spacing w:after="0"/>
              <w:rPr>
                <w:sz w:val="21"/>
                <w:szCs w:val="21"/>
                <w:color w:val="auto"/>
              </w:rPr>
            </w:pPr>
          </w:p>
        </w:tc>
      </w:tr>
      <w:tr>
        <w:trPr>
          <w:trHeight w:val="20"/>
        </w:trPr>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2025 and 2024</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8</w:t>
            </w:r>
          </w:p>
        </w:tc>
        <w:tc>
          <w:tcPr>
            <w:tcW w:w="240" w:type="dxa"/>
            <w:vAlign w:val="bottom"/>
          </w:tcPr>
          <w:p>
            <w:pPr>
              <w:spacing w:after="0"/>
              <w:rPr>
                <w:sz w:val="21"/>
                <w:szCs w:val="21"/>
                <w:color w:val="auto"/>
              </w:rPr>
            </w:pPr>
          </w:p>
        </w:tc>
      </w:tr>
      <w:tr>
        <w:trPr>
          <w:trHeight w:val="20"/>
        </w:trPr>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9</w:t>
            </w:r>
          </w:p>
        </w:tc>
        <w:tc>
          <w:tcPr>
            <w:tcW w:w="240" w:type="dxa"/>
            <w:vAlign w:val="bottom"/>
          </w:tcPr>
          <w:p>
            <w:pPr>
              <w:spacing w:after="0"/>
              <w:rPr>
                <w:sz w:val="21"/>
                <w:szCs w:val="21"/>
                <w:color w:val="auto"/>
              </w:rPr>
            </w:pPr>
          </w:p>
        </w:tc>
      </w:tr>
      <w:tr>
        <w:trPr>
          <w:trHeight w:val="20"/>
        </w:trPr>
        <w:tc>
          <w:tcPr>
            <w:tcW w:w="840" w:type="dxa"/>
            <w:vAlign w:val="bottom"/>
            <w:gridSpan w:val="2"/>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Item 2.</w:t>
            </w:r>
          </w:p>
        </w:tc>
        <w:tc>
          <w:tcPr>
            <w:tcW w:w="9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19</w:t>
            </w:r>
          </w:p>
        </w:tc>
        <w:tc>
          <w:tcPr>
            <w:tcW w:w="240" w:type="dxa"/>
            <w:vAlign w:val="bottom"/>
          </w:tcPr>
          <w:p>
            <w:pPr>
              <w:spacing w:after="0"/>
              <w:rPr>
                <w:sz w:val="21"/>
                <w:szCs w:val="21"/>
                <w:color w:val="auto"/>
              </w:rPr>
            </w:pPr>
          </w:p>
        </w:tc>
      </w:tr>
      <w:tr>
        <w:trPr>
          <w:trHeight w:val="20"/>
        </w:trPr>
        <w:tc>
          <w:tcPr>
            <w:tcW w:w="840" w:type="dxa"/>
            <w:vAlign w:val="bottom"/>
            <w:gridSpan w:val="2"/>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5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Item 3.</w:t>
            </w:r>
          </w:p>
        </w:tc>
        <w:tc>
          <w:tcPr>
            <w:tcW w:w="9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26</w:t>
            </w:r>
          </w:p>
        </w:tc>
        <w:tc>
          <w:tcPr>
            <w:tcW w:w="240" w:type="dxa"/>
            <w:vAlign w:val="bottom"/>
          </w:tcPr>
          <w:p>
            <w:pPr>
              <w:spacing w:after="0"/>
              <w:rPr>
                <w:sz w:val="21"/>
                <w:szCs w:val="21"/>
                <w:color w:val="auto"/>
              </w:rPr>
            </w:pPr>
          </w:p>
        </w:tc>
      </w:tr>
      <w:tr>
        <w:trPr>
          <w:trHeight w:val="20"/>
        </w:trPr>
        <w:tc>
          <w:tcPr>
            <w:tcW w:w="840" w:type="dxa"/>
            <w:vAlign w:val="bottom"/>
            <w:gridSpan w:val="2"/>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560" w:type="dxa"/>
            <w:vAlign w:val="bottom"/>
            <w:tcBorders>
              <w:left w:val="single" w:sz="8" w:color="0000FF"/>
            </w:tcBorders>
          </w:tcPr>
          <w:p>
            <w:pPr>
              <w:spacing w:after="0" w:line="20" w:lineRule="exact"/>
              <w:rPr>
                <w:sz w:val="1"/>
                <w:szCs w:val="1"/>
                <w:color w:val="auto"/>
              </w:rPr>
            </w:pPr>
          </w:p>
        </w:tc>
        <w:tc>
          <w:tcPr>
            <w:tcW w:w="342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Item 4.</w:t>
            </w:r>
          </w:p>
        </w:tc>
        <w:tc>
          <w:tcPr>
            <w:tcW w:w="9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26</w:t>
            </w:r>
          </w:p>
        </w:tc>
        <w:tc>
          <w:tcPr>
            <w:tcW w:w="240" w:type="dxa"/>
            <w:vAlign w:val="bottom"/>
          </w:tcPr>
          <w:p>
            <w:pPr>
              <w:spacing w:after="0"/>
              <w:rPr>
                <w:sz w:val="21"/>
                <w:szCs w:val="21"/>
                <w:color w:val="auto"/>
              </w:rPr>
            </w:pPr>
          </w:p>
        </w:tc>
      </w:tr>
      <w:tr>
        <w:trPr>
          <w:trHeight w:val="520"/>
        </w:trPr>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PART II — OTHER INFORMATION</w:t>
            </w:r>
          </w:p>
        </w:tc>
        <w:tc>
          <w:tcPr>
            <w:tcW w:w="3420" w:type="dxa"/>
            <w:vAlign w:val="bottom"/>
            <w:gridSpan w:val="7"/>
          </w:tcPr>
          <w:p>
            <w:pPr>
              <w:spacing w:after="0"/>
              <w:rPr>
                <w:sz w:val="24"/>
                <w:szCs w:val="24"/>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28</w:t>
            </w:r>
          </w:p>
        </w:tc>
        <w:tc>
          <w:tcPr>
            <w:tcW w:w="240" w:type="dxa"/>
            <w:vAlign w:val="bottom"/>
          </w:tcPr>
          <w:p>
            <w:pPr>
              <w:spacing w:after="0"/>
              <w:rPr>
                <w:sz w:val="24"/>
                <w:szCs w:val="24"/>
                <w:color w:val="auto"/>
              </w:rPr>
            </w:pPr>
          </w:p>
        </w:tc>
      </w:tr>
      <w:tr>
        <w:trPr>
          <w:trHeight w:val="250"/>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Item 1.</w:t>
            </w:r>
          </w:p>
        </w:tc>
        <w:tc>
          <w:tcPr>
            <w:tcW w:w="9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28</w:t>
            </w:r>
          </w:p>
        </w:tc>
        <w:tc>
          <w:tcPr>
            <w:tcW w:w="240" w:type="dxa"/>
            <w:vAlign w:val="bottom"/>
          </w:tcPr>
          <w:p>
            <w:pPr>
              <w:spacing w:after="0"/>
              <w:rPr>
                <w:sz w:val="21"/>
                <w:szCs w:val="21"/>
                <w:color w:val="auto"/>
              </w:rPr>
            </w:pPr>
          </w:p>
        </w:tc>
      </w:tr>
      <w:tr>
        <w:trPr>
          <w:trHeight w:val="20"/>
        </w:trPr>
        <w:tc>
          <w:tcPr>
            <w:tcW w:w="840" w:type="dxa"/>
            <w:vAlign w:val="bottom"/>
            <w:gridSpan w:val="2"/>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80" w:type="dxa"/>
            <w:vAlign w:val="bottom"/>
            <w:gridSpan w:val="8"/>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Item 1A.</w:t>
            </w:r>
          </w:p>
        </w:tc>
        <w:tc>
          <w:tcPr>
            <w:tcW w:w="9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28</w:t>
            </w:r>
          </w:p>
        </w:tc>
        <w:tc>
          <w:tcPr>
            <w:tcW w:w="240" w:type="dxa"/>
            <w:vAlign w:val="bottom"/>
          </w:tcPr>
          <w:p>
            <w:pPr>
              <w:spacing w:after="0"/>
              <w:rPr>
                <w:sz w:val="21"/>
                <w:szCs w:val="21"/>
                <w:color w:val="auto"/>
              </w:rPr>
            </w:pPr>
          </w:p>
        </w:tc>
      </w:tr>
      <w:tr>
        <w:trPr>
          <w:trHeight w:val="20"/>
        </w:trPr>
        <w:tc>
          <w:tcPr>
            <w:tcW w:w="840" w:type="dxa"/>
            <w:vAlign w:val="bottom"/>
            <w:gridSpan w:val="2"/>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80" w:type="dxa"/>
            <w:vAlign w:val="bottom"/>
            <w:gridSpan w:val="8"/>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Item 2.</w:t>
            </w:r>
          </w:p>
        </w:tc>
        <w:tc>
          <w:tcPr>
            <w:tcW w:w="9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80</w:t>
            </w:r>
          </w:p>
        </w:tc>
        <w:tc>
          <w:tcPr>
            <w:tcW w:w="240" w:type="dxa"/>
            <w:vAlign w:val="bottom"/>
          </w:tcPr>
          <w:p>
            <w:pPr>
              <w:spacing w:after="0"/>
              <w:rPr>
                <w:sz w:val="21"/>
                <w:szCs w:val="21"/>
                <w:color w:val="auto"/>
              </w:rPr>
            </w:pPr>
          </w:p>
        </w:tc>
      </w:tr>
      <w:tr>
        <w:trPr>
          <w:trHeight w:val="20"/>
        </w:trPr>
        <w:tc>
          <w:tcPr>
            <w:tcW w:w="840" w:type="dxa"/>
            <w:vAlign w:val="bottom"/>
            <w:gridSpan w:val="2"/>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980" w:type="dxa"/>
            <w:vAlign w:val="bottom"/>
            <w:gridSpan w:val="8"/>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Item 3.</w:t>
            </w:r>
          </w:p>
        </w:tc>
        <w:tc>
          <w:tcPr>
            <w:tcW w:w="9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80</w:t>
            </w:r>
          </w:p>
        </w:tc>
        <w:tc>
          <w:tcPr>
            <w:tcW w:w="240" w:type="dxa"/>
            <w:vAlign w:val="bottom"/>
          </w:tcPr>
          <w:p>
            <w:pPr>
              <w:spacing w:after="0"/>
              <w:rPr>
                <w:sz w:val="21"/>
                <w:szCs w:val="21"/>
                <w:color w:val="auto"/>
              </w:rPr>
            </w:pPr>
          </w:p>
        </w:tc>
      </w:tr>
      <w:tr>
        <w:trPr>
          <w:trHeight w:val="20"/>
        </w:trPr>
        <w:tc>
          <w:tcPr>
            <w:tcW w:w="840" w:type="dxa"/>
            <w:vAlign w:val="bottom"/>
            <w:gridSpan w:val="2"/>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7000" w:type="dxa"/>
            <w:vAlign w:val="bottom"/>
            <w:gridSpan w:val="1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Item 4.</w:t>
            </w:r>
          </w:p>
        </w:tc>
        <w:tc>
          <w:tcPr>
            <w:tcW w:w="9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80</w:t>
            </w:r>
          </w:p>
        </w:tc>
        <w:tc>
          <w:tcPr>
            <w:tcW w:w="240" w:type="dxa"/>
            <w:vAlign w:val="bottom"/>
          </w:tcPr>
          <w:p>
            <w:pPr>
              <w:spacing w:after="0"/>
              <w:rPr>
                <w:sz w:val="21"/>
                <w:szCs w:val="21"/>
                <w:color w:val="auto"/>
              </w:rPr>
            </w:pPr>
          </w:p>
        </w:tc>
      </w:tr>
      <w:tr>
        <w:trPr>
          <w:trHeight w:val="20"/>
        </w:trPr>
        <w:tc>
          <w:tcPr>
            <w:tcW w:w="840" w:type="dxa"/>
            <w:vAlign w:val="bottom"/>
            <w:gridSpan w:val="2"/>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60" w:type="dxa"/>
            <w:vAlign w:val="bottom"/>
            <w:gridSpan w:val="1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Item 5.</w:t>
            </w:r>
          </w:p>
        </w:tc>
        <w:tc>
          <w:tcPr>
            <w:tcW w:w="9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80</w:t>
            </w:r>
          </w:p>
        </w:tc>
        <w:tc>
          <w:tcPr>
            <w:tcW w:w="240" w:type="dxa"/>
            <w:vAlign w:val="bottom"/>
          </w:tcPr>
          <w:p>
            <w:pPr>
              <w:spacing w:after="0"/>
              <w:rPr>
                <w:sz w:val="21"/>
                <w:szCs w:val="21"/>
                <w:color w:val="auto"/>
              </w:rPr>
            </w:pPr>
          </w:p>
        </w:tc>
      </w:tr>
      <w:tr>
        <w:trPr>
          <w:trHeight w:val="20"/>
        </w:trPr>
        <w:tc>
          <w:tcPr>
            <w:tcW w:w="840" w:type="dxa"/>
            <w:vAlign w:val="bottom"/>
            <w:gridSpan w:val="2"/>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020" w:type="dxa"/>
            <w:vAlign w:val="bottom"/>
            <w:gridSpan w:val="1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Item 6.</w:t>
            </w:r>
          </w:p>
        </w:tc>
        <w:tc>
          <w:tcPr>
            <w:tcW w:w="93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Exhibits</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81</w:t>
            </w:r>
          </w:p>
        </w:tc>
        <w:tc>
          <w:tcPr>
            <w:tcW w:w="240" w:type="dxa"/>
            <w:vAlign w:val="bottom"/>
          </w:tcPr>
          <w:p>
            <w:pPr>
              <w:spacing w:after="0"/>
              <w:rPr>
                <w:sz w:val="21"/>
                <w:szCs w:val="21"/>
                <w:color w:val="auto"/>
              </w:rPr>
            </w:pPr>
          </w:p>
        </w:tc>
      </w:tr>
      <w:tr>
        <w:trPr>
          <w:trHeight w:val="250"/>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FF"/>
              </w:rPr>
              <w:t>Signatures</w:t>
            </w:r>
          </w:p>
        </w:tc>
        <w:tc>
          <w:tcPr>
            <w:tcW w:w="580" w:type="dxa"/>
            <w:vAlign w:val="bottom"/>
            <w:tcBorders>
              <w:top w:val="single" w:sz="8" w:color="0000FF"/>
            </w:tcBorders>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655"/>
        </w:trPr>
        <w:tc>
          <w:tcPr>
            <w:tcW w:w="8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4340" w:type="dxa"/>
            <w:vAlign w:val="bottom"/>
            <w:gridSpan w:val="11"/>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763"/>
        </w:trPr>
        <w:tc>
          <w:tcPr>
            <w:tcW w:w="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(including within the meaning of Section 21E of the Securities Exchange Act of 1934, as amended, and Section 27A of the Securities Act of 1933, as amended (the “Securities Act”)) about us and our industry that involve substantial risks and uncertainties. These statements may discuss goals, intentions and expectations as to future plans, trends, events, results of operations or financial condition, or otherwise, based on current beliefs of our management, as well as assumptions made by, and information currently available to, our management. Forward-looking statements generally include statements that are predictive in nature and depend upon or refer to future events or conditions, and include words such as “may,” “will,” “should,” “would,” “could,” “expect,” “anticipate,” “plan,” “likely,” “believe,” “estimate,” “intend,” and other similar expressions. Statements that are not historical facts are forward-looking statements. Forward-looking statements are based on current beliefs and assumptions that are subject to risks and uncertainties and are not guarantees of future performance. Actual results could differ materially from those contained in any forward-looking statement as a result of various factors, including, without limitation: whether we are successful in implementing our strategic review (which includes our plans to advance our clinical-stage programs and maximize stockholder value); our strategies, prospects, plans, expectations or objectives for future operations; the progress, scope or timing of the development of our product candidates; the benefits that may be derived from any future products or the commercial or market opportunity with respect to any of our future products; our ability to protect our intellectual property rights; our anticipated operations, financial position, ability to raise capital to fund operations, revenues, costs or expenses; statements regarding future economic conditions or performance; statements of belief and any statement of assumptions underlying any of the foregoing. These risks and uncertainties include, but are not limited to, the risks included in this Quarterly Report on Form 10-Q under Part II, Item 1A, “Risk Factors.” Other sections of this Quarterly Report on Form 10-Q, as well as our other disclosures and filings,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update or revise any forward-looking statements contained in this report, whether as a result of new information, future events or otherwise.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 contained in this Quarterly Report on Form 10-Q include, but are not limited to, statements about:</w:t>
      </w:r>
    </w:p>
    <w:p>
      <w:pPr>
        <w:spacing w:after="0" w:line="185" w:lineRule="exact"/>
        <w:rPr>
          <w:sz w:val="20"/>
          <w:szCs w:val="20"/>
          <w:color w:val="auto"/>
        </w:rPr>
      </w:pPr>
    </w:p>
    <w:p>
      <w:pPr>
        <w:ind w:left="280" w:hanging="272"/>
        <w:spacing w:after="0" w:line="261" w:lineRule="auto"/>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exploration of strategic alternatives to maximize stockholder value, in a timely manner or at all, and whether we will be able to obtain sufficient funding to complete this process and whether any such transactions would generate value for stockholders;</w:t>
      </w:r>
    </w:p>
    <w:p>
      <w:pPr>
        <w:ind w:left="280" w:hanging="272"/>
        <w:spacing w:after="0"/>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future growth and our ability to manage such growth;</w:t>
      </w:r>
    </w:p>
    <w:p>
      <w:pPr>
        <w:spacing w:after="0" w:line="9" w:lineRule="exact"/>
        <w:rPr>
          <w:rFonts w:ascii="Times New Roman" w:cs="Times New Roman" w:eastAsia="Times New Roman" w:hAnsi="Times New Roman"/>
          <w:sz w:val="18"/>
          <w:szCs w:val="18"/>
          <w:color w:val="auto"/>
        </w:rPr>
      </w:pPr>
    </w:p>
    <w:p>
      <w:pPr>
        <w:ind w:left="280" w:hanging="272"/>
        <w:spacing w:after="0" w:line="250" w:lineRule="auto"/>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obtain regulatory approval for and commercialize amezalpat (previously known as TPST-1120) and TPST-1495 and any future product candidates;</w:t>
      </w:r>
    </w:p>
    <w:p>
      <w:pPr>
        <w:ind w:left="280" w:hanging="272"/>
        <w:spacing w:after="0"/>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9"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9"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regulatory approval, efficacy and commercialization of competing products;</w:t>
      </w:r>
    </w:p>
    <w:p>
      <w:pPr>
        <w:spacing w:after="0" w:line="9"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sales and marketing capabilities or enter into agreements with third parties to market and sell our product candidates;</w:t>
      </w:r>
    </w:p>
    <w:p>
      <w:pPr>
        <w:spacing w:after="0" w:line="9" w:lineRule="exact"/>
        <w:rPr>
          <w:rFonts w:ascii="Times New Roman" w:cs="Times New Roman" w:eastAsia="Times New Roman" w:hAnsi="Times New Roman"/>
          <w:sz w:val="18"/>
          <w:szCs w:val="18"/>
          <w:color w:val="auto"/>
        </w:rPr>
      </w:pPr>
    </w:p>
    <w:p>
      <w:pPr>
        <w:ind w:left="280" w:hanging="272"/>
        <w:spacing w:after="0" w:line="250" w:lineRule="auto"/>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regulatory approval for our product candidates or future product candidates in the United States and in any foreign countries in which we make seek to do business;</w:t>
      </w:r>
    </w:p>
    <w:p>
      <w:pPr>
        <w:ind w:left="280" w:hanging="272"/>
        <w:spacing w:after="0"/>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hire our board of directors, senior management, or operational personnel;</w:t>
      </w:r>
    </w:p>
    <w:p>
      <w:pPr>
        <w:spacing w:after="0" w:line="9"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our corporate infrastructure, including our ability to design and maintain an effective system of internal controls;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80" w:hanging="272"/>
        <w:spacing w:after="0" w:line="261" w:lineRule="auto"/>
        <w:tabs>
          <w:tab w:leader="none" w:pos="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 and overall fluctuations in the financial markets in the United States and abroad, including as a result of bank failures, the imposition of tariffs in the United States and abroad, public health crises or geopolitical tensions;</w:t>
      </w:r>
    </w:p>
    <w:p>
      <w:pPr>
        <w:ind w:left="280" w:hanging="272"/>
        <w:spacing w:after="0"/>
        <w:tabs>
          <w:tab w:leader="none" w:pos="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regarding the period during which we will qualify as a smaller reporting company under the federal securities laws; and</w:t>
      </w:r>
    </w:p>
    <w:p>
      <w:pPr>
        <w:spacing w:after="0" w:line="9" w:lineRule="exact"/>
        <w:rPr>
          <w:rFonts w:ascii="Times New Roman" w:cs="Times New Roman" w:eastAsia="Times New Roman" w:hAnsi="Times New Roman"/>
          <w:sz w:val="18"/>
          <w:szCs w:val="18"/>
          <w:color w:val="auto"/>
        </w:rPr>
      </w:pPr>
    </w:p>
    <w:p>
      <w:pPr>
        <w:ind w:left="280" w:hanging="272"/>
        <w:spacing w:after="0" w:line="260" w:lineRule="auto"/>
        <w:tabs>
          <w:tab w:leader="none" w:pos="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maintain and enforce intellectual property protection for our products and technology, as well as our ability to operate our business without infringing, misappropriating or otherwise violating the intellectual property rights of others.</w:t>
      </w:r>
    </w:p>
    <w:p>
      <w:pPr>
        <w:spacing w:after="0" w:line="1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read this Quarterly Report on Form 10-Q as well as the documents that we reference in, and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the context suggests otherwise, references in this Quarterly Report on Form 10-Q to “Tempest,” “the Company,” “we,” “us,” and “our” refer to Tempest Therapeutics, Inc. and, where appropriate, its subsidiaries.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6"/>
          <w:szCs w:val="16"/>
          <w:b w:val="1"/>
          <w:bCs w:val="1"/>
          <w:color w:val="auto"/>
        </w:rPr>
        <w:t>TEMPEST THERAPEUTICS, INC.</w:t>
      </w:r>
    </w:p>
    <w:p>
      <w:pPr>
        <w:spacing w:after="0" w:line="1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1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7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3"/>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21,511</w:t>
            </w:r>
          </w:p>
        </w:tc>
        <w:tc>
          <w:tcPr>
            <w:tcW w:w="1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30,268</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tcPr>
          <w:p>
            <w:pPr>
              <w:spacing w:after="0"/>
              <w:rPr>
                <w:sz w:val="18"/>
                <w:szCs w:val="18"/>
                <w:color w:val="auto"/>
              </w:rPr>
            </w:pPr>
          </w:p>
        </w:tc>
      </w:tr>
      <w:tr>
        <w:trPr>
          <w:trHeight w:val="210"/>
        </w:trPr>
        <w:tc>
          <w:tcPr>
            <w:tcW w:w="74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22,433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31,474</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 net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8,643</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18"/>
                <w:szCs w:val="18"/>
                <w:color w:val="auto"/>
              </w:rPr>
            </w:pPr>
          </w:p>
        </w:tc>
      </w:tr>
      <w:tr>
        <w:trPr>
          <w:trHeight w:val="250"/>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32,164</w:t>
            </w:r>
          </w:p>
        </w:tc>
        <w:tc>
          <w:tcPr>
            <w:tcW w:w="16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41,488</w:t>
            </w:r>
          </w:p>
        </w:tc>
        <w:tc>
          <w:tcPr>
            <w:tcW w:w="100" w:type="dxa"/>
            <w:vAlign w:val="bottom"/>
            <w:shd w:val="clear" w:color="auto" w:fill="CFF0FC"/>
          </w:tcPr>
          <w:p>
            <w:pPr>
              <w:spacing w:after="0"/>
              <w:rPr>
                <w:sz w:val="21"/>
                <w:szCs w:val="21"/>
                <w:color w:val="auto"/>
              </w:rPr>
            </w:pPr>
          </w:p>
        </w:tc>
      </w:tr>
      <w:tr>
        <w:trPr>
          <w:trHeight w:val="196"/>
        </w:trPr>
        <w:tc>
          <w:tcPr>
            <w:tcW w:w="74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loan payable (net of discount and issuance costs of $38 and $74, respectively)</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6,354</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00" w:type="dxa"/>
            <w:vAlign w:val="bottom"/>
          </w:tcPr>
          <w:p>
            <w:pPr>
              <w:spacing w:after="0"/>
              <w:rPr>
                <w:sz w:val="18"/>
                <w:szCs w:val="18"/>
                <w:color w:val="auto"/>
              </w:rPr>
            </w:pPr>
          </w:p>
        </w:tc>
      </w:tr>
      <w:tr>
        <w:trPr>
          <w:trHeight w:val="216"/>
        </w:trPr>
        <w:tc>
          <w:tcPr>
            <w:tcW w:w="74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payable</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14,220</w:t>
            </w:r>
          </w:p>
        </w:tc>
        <w:tc>
          <w:tcPr>
            <w:tcW w:w="100" w:type="dxa"/>
            <w:vAlign w:val="bottom"/>
          </w:tcPr>
          <w:p>
            <w:pPr>
              <w:spacing w:after="0"/>
              <w:rPr>
                <w:sz w:val="18"/>
                <w:szCs w:val="18"/>
                <w:color w:val="auto"/>
              </w:rPr>
            </w:pPr>
          </w:p>
        </w:tc>
      </w:tr>
      <w:tr>
        <w:trPr>
          <w:trHeight w:val="216"/>
        </w:trPr>
        <w:tc>
          <w:tcPr>
            <w:tcW w:w="7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7,854</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22,362</w:t>
            </w:r>
          </w:p>
        </w:tc>
        <w:tc>
          <w:tcPr>
            <w:tcW w:w="100" w:type="dxa"/>
            <w:vAlign w:val="bottom"/>
          </w:tcPr>
          <w:p>
            <w:pPr>
              <w:spacing w:after="0"/>
              <w:rPr>
                <w:sz w:val="18"/>
                <w:szCs w:val="18"/>
                <w:color w:val="auto"/>
              </w:rPr>
            </w:pPr>
          </w:p>
        </w:tc>
      </w:tr>
      <w:tr>
        <w:trPr>
          <w:trHeight w:val="210"/>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48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$0.001 par value; 100,000,000 shares authorized; 3,519,602 and 3,382,432 shares</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xml:space="preserve">issued and outstanding at March 31, 2025 and December 31, 2024, respectively </w:t>
            </w:r>
            <w:r>
              <w:rPr>
                <w:rFonts w:ascii="Times New Roman" w:cs="Times New Roman" w:eastAsia="Times New Roman" w:hAnsi="Times New Roman"/>
                <w:sz w:val="12"/>
                <w:szCs w:val="12"/>
                <w:color w:val="auto"/>
              </w:rPr>
              <w:t>(1)</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0"/>
                <w:szCs w:val="20"/>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r>
              <w:rPr>
                <w:rFonts w:ascii="Times New Roman" w:cs="Times New Roman" w:eastAsia="Times New Roman" w:hAnsi="Times New Roman"/>
                <w:sz w:val="12"/>
                <w:szCs w:val="12"/>
                <w:color w:val="auto"/>
              </w:rPr>
              <w:t>(1)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226,229</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(217,966)</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(207,106)</w:t>
            </w:r>
          </w:p>
        </w:tc>
      </w:tr>
      <w:tr>
        <w:trPr>
          <w:trHeight w:val="209"/>
        </w:trPr>
        <w:tc>
          <w:tcPr>
            <w:tcW w:w="748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11,133</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19,126</w:t>
            </w:r>
          </w:p>
        </w:tc>
        <w:tc>
          <w:tcPr>
            <w:tcW w:w="100" w:type="dxa"/>
            <w:vAlign w:val="bottom"/>
            <w:tcBorders>
              <w:top w:val="single" w:sz="8" w:color="CFF0FC"/>
            </w:tcBorders>
          </w:tcPr>
          <w:p>
            <w:pPr>
              <w:spacing w:after="0"/>
              <w:rPr>
                <w:sz w:val="18"/>
                <w:szCs w:val="18"/>
                <w:color w:val="auto"/>
              </w:rPr>
            </w:pPr>
          </w:p>
        </w:tc>
      </w:tr>
      <w:tr>
        <w:trPr>
          <w:trHeight w:val="230"/>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32,164</w:t>
            </w: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41,488</w:t>
            </w:r>
          </w:p>
        </w:tc>
        <w:tc>
          <w:tcPr>
            <w:tcW w:w="100" w:type="dxa"/>
            <w:vAlign w:val="bottom"/>
            <w:shd w:val="clear" w:color="auto" w:fill="CFF0FC"/>
          </w:tcPr>
          <w:p>
            <w:pPr>
              <w:spacing w:after="0"/>
              <w:rPr>
                <w:sz w:val="19"/>
                <w:szCs w:val="19"/>
                <w:color w:val="auto"/>
              </w:rPr>
            </w:pPr>
          </w:p>
        </w:tc>
      </w:tr>
      <w:tr>
        <w:trPr>
          <w:trHeight w:val="20"/>
        </w:trPr>
        <w:tc>
          <w:tcPr>
            <w:tcW w:w="74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-2699385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-2682240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-2699385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-2682240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-1576705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-1293495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-316230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right="600" w:firstLine="8"/>
        <w:spacing w:after="0" w:line="260"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including shares issued and outstanding have been adjusted to reflect the one-for-thirteen stock split effected in April 2025. See Note 1, Organization and Description of the Business, for details.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6"/>
          <w:szCs w:val="16"/>
          <w:b w:val="1"/>
          <w:bCs w:val="1"/>
          <w:color w:val="auto"/>
        </w:rPr>
        <w:t>TEMPEST THERAPEUTICS, INC.</w:t>
      </w:r>
    </w:p>
    <w:p>
      <w:pPr>
        <w:spacing w:after="0" w:line="2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w:t>
      </w:r>
    </w:p>
    <w:p>
      <w:pPr>
        <w:spacing w:after="0" w:line="1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0" w:type="dxa"/>
            <w:vAlign w:val="bottom"/>
            <w:gridSpan w:val="7"/>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199"/>
        </w:trPr>
        <w:tc>
          <w:tcPr>
            <w:tcW w:w="770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7,627</w:t>
            </w:r>
          </w:p>
        </w:tc>
        <w:tc>
          <w:tcPr>
            <w:tcW w:w="100" w:type="dxa"/>
            <w:vAlign w:val="bottom"/>
          </w:tcPr>
          <w:p>
            <w:pPr>
              <w:spacing w:after="0"/>
              <w:rPr>
                <w:sz w:val="18"/>
                <w:szCs w:val="18"/>
                <w:color w:val="auto"/>
              </w:rPr>
            </w:pPr>
          </w:p>
        </w:tc>
        <w:tc>
          <w:tcPr>
            <w:tcW w:w="54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4,340</w:t>
            </w:r>
          </w:p>
        </w:tc>
      </w:tr>
      <w:tr>
        <w:trPr>
          <w:trHeight w:val="216"/>
        </w:trPr>
        <w:tc>
          <w:tcPr>
            <w:tcW w:w="77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Pr>
          <w:p>
            <w:pPr>
              <w:spacing w:after="0"/>
              <w:rPr>
                <w:sz w:val="18"/>
                <w:szCs w:val="18"/>
                <w:color w:val="auto"/>
              </w:rPr>
            </w:pP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(10,936)</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(7,974)</w:t>
            </w: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8"/>
                <w:szCs w:val="18"/>
                <w:color w:val="auto"/>
              </w:rPr>
            </w:pP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(161)</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(368)</w:t>
            </w:r>
          </w:p>
        </w:tc>
      </w:tr>
      <w:tr>
        <w:trPr>
          <w:trHeight w:val="216"/>
        </w:trPr>
        <w:tc>
          <w:tcPr>
            <w:tcW w:w="7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income and other income (expense), net</w:t>
            </w:r>
          </w:p>
        </w:tc>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237</w:t>
            </w:r>
          </w:p>
        </w:tc>
        <w:tc>
          <w:tcPr>
            <w:tcW w:w="180" w:type="dxa"/>
            <w:vAlign w:val="bottom"/>
            <w:shd w:val="clear" w:color="auto" w:fill="CFF0FC"/>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438</w:t>
            </w:r>
          </w:p>
        </w:tc>
      </w:tr>
      <w:tr>
        <w:trPr>
          <w:trHeight w:val="209"/>
        </w:trPr>
        <w:tc>
          <w:tcPr>
            <w:tcW w:w="7700" w:type="dxa"/>
            <w:vAlign w:val="bottom"/>
            <w:tcBorders>
              <w:top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top w:val="single" w:sz="8" w:color="CCEEFF"/>
            </w:tcBorders>
          </w:tcPr>
          <w:p>
            <w:pPr>
              <w:spacing w:after="0"/>
              <w:rPr>
                <w:sz w:val="18"/>
                <w:szCs w:val="18"/>
                <w:color w:val="auto"/>
              </w:rPr>
            </w:pPr>
          </w:p>
        </w:tc>
      </w:tr>
      <w:tr>
        <w:trPr>
          <w:trHeight w:val="210"/>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(10,860)</w:t>
            </w:r>
          </w:p>
        </w:tc>
        <w:tc>
          <w:tcPr>
            <w:tcW w:w="180" w:type="dxa"/>
            <w:vAlign w:val="bottom"/>
          </w:tcPr>
          <w:p>
            <w:pPr>
              <w:spacing w:after="0"/>
              <w:rPr>
                <w:sz w:val="18"/>
                <w:szCs w:val="18"/>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(7,904)</w:t>
            </w:r>
          </w:p>
        </w:tc>
      </w:tr>
      <w:tr>
        <w:trPr>
          <w:trHeight w:val="20"/>
        </w:trPr>
        <w:tc>
          <w:tcPr>
            <w:tcW w:w="77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7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of common stock, RSUs and pre-funded warrants basic and diluted</w:t>
            </w:r>
            <w:r>
              <w:rPr>
                <w:rFonts w:ascii="Times New Roman" w:cs="Times New Roman" w:eastAsia="Times New Roman" w:hAnsi="Times New Roman"/>
                <w:sz w:val="12"/>
                <w:szCs w:val="12"/>
                <w:color w:val="auto"/>
              </w:rPr>
              <w:t>(1)</w:t>
            </w:r>
          </w:p>
        </w:tc>
        <w:tc>
          <w:tcPr>
            <w:tcW w:w="340" w:type="dxa"/>
            <w:vAlign w:val="bottom"/>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3"/>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(3.16)</w:t>
            </w:r>
          </w:p>
        </w:tc>
        <w:tc>
          <w:tcPr>
            <w:tcW w:w="180" w:type="dxa"/>
            <w:vAlign w:val="bottom"/>
            <w:shd w:val="clear" w:color="auto" w:fill="CFF0FC"/>
          </w:tcPr>
          <w:p>
            <w:pPr>
              <w:spacing w:after="0"/>
              <w:rPr>
                <w:sz w:val="20"/>
                <w:szCs w:val="20"/>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(4.62)</w:t>
            </w:r>
          </w:p>
        </w:tc>
      </w:tr>
      <w:tr>
        <w:trPr>
          <w:trHeight w:val="178"/>
        </w:trPr>
        <w:tc>
          <w:tcPr>
            <w:tcW w:w="7700" w:type="dxa"/>
            <w:vAlign w:val="bottom"/>
            <w:tcBorders>
              <w:top w:val="single" w:sz="8" w:color="CFF0FC"/>
            </w:tcBorders>
          </w:tcPr>
          <w:p>
            <w:pPr>
              <w:spacing w:after="0" w:line="178" w:lineRule="exact"/>
              <w:rPr>
                <w:sz w:val="20"/>
                <w:szCs w:val="20"/>
                <w:color w:val="auto"/>
              </w:rPr>
            </w:pPr>
            <w:r>
              <w:rPr>
                <w:rFonts w:ascii="Times New Roman" w:cs="Times New Roman" w:eastAsia="Times New Roman" w:hAnsi="Times New Roman"/>
                <w:sz w:val="18"/>
                <w:szCs w:val="18"/>
                <w:color w:val="auto"/>
              </w:rPr>
              <w:t>Weighted-average shares of common stock, RSUs and pre-funded warrants outstanding,</w:t>
            </w:r>
          </w:p>
        </w:tc>
        <w:tc>
          <w:tcPr>
            <w:tcW w:w="3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34"/>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and diluted</w:t>
            </w:r>
            <w:r>
              <w:rPr>
                <w:rFonts w:ascii="Times New Roman" w:cs="Times New Roman" w:eastAsia="Times New Roman" w:hAnsi="Times New Roman"/>
                <w:sz w:val="12"/>
                <w:szCs w:val="12"/>
                <w:color w:val="auto"/>
              </w:rPr>
              <w:t>(1)</w:t>
            </w:r>
          </w:p>
        </w:tc>
        <w:tc>
          <w:tcPr>
            <w:tcW w:w="34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3,437,671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1,710,323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-1456690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-1456690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-899795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-899795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-607695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-299720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-282575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-282575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right="940" w:firstLine="8"/>
        <w:spacing w:after="0" w:line="260"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including shares of common stock, have been adjusted to reflect the one-for-thirteen stock split effected in April 2025. See Note 1, Organization and Description of the Business, for details.</w:t>
      </w:r>
    </w:p>
    <w:p>
      <w:pPr>
        <w:spacing w:after="0" w:line="18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TEMPEST THERAPEUTICS, INC.</w:t>
      </w:r>
    </w:p>
    <w:p>
      <w:pPr>
        <w:spacing w:after="0" w:line="28"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spacing w:after="0" w:line="1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amounts)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5"/>
        </w:trPr>
        <w:tc>
          <w:tcPr>
            <w:tcW w:w="4000" w:type="dxa"/>
            <w:vAlign w:val="bottom"/>
          </w:tcPr>
          <w:p>
            <w:pPr>
              <w:spacing w:after="0"/>
              <w:rPr>
                <w:sz w:val="24"/>
                <w:szCs w:val="24"/>
                <w:color w:val="auto"/>
              </w:rPr>
            </w:pPr>
          </w:p>
        </w:tc>
        <w:tc>
          <w:tcPr>
            <w:tcW w:w="2720" w:type="dxa"/>
            <w:vAlign w:val="bottom"/>
            <w:gridSpan w:val="6"/>
            <w:vMerge w:val="restart"/>
          </w:tcPr>
          <w:p>
            <w:pPr>
              <w:jc w:val="right"/>
              <w:ind w:right="8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5"/>
        </w:trPr>
        <w:tc>
          <w:tcPr>
            <w:tcW w:w="4000" w:type="dxa"/>
            <w:vAlign w:val="bottom"/>
          </w:tcPr>
          <w:p>
            <w:pPr>
              <w:spacing w:after="0"/>
              <w:rPr>
                <w:sz w:val="17"/>
                <w:szCs w:val="17"/>
                <w:color w:val="auto"/>
              </w:rPr>
            </w:pPr>
          </w:p>
        </w:tc>
        <w:tc>
          <w:tcPr>
            <w:tcW w:w="2720" w:type="dxa"/>
            <w:vAlign w:val="bottom"/>
            <w:gridSpan w:val="6"/>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0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196"/>
        </w:trPr>
        <w:tc>
          <w:tcPr>
            <w:tcW w:w="400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ind w:right="226"/>
              <w:spacing w:after="0"/>
              <w:rPr>
                <w:sz w:val="20"/>
                <w:szCs w:val="20"/>
                <w:color w:val="auto"/>
              </w:rPr>
            </w:pPr>
            <w:r>
              <w:rPr>
                <w:rFonts w:ascii="Times New Roman" w:cs="Times New Roman" w:eastAsia="Times New Roman" w:hAnsi="Times New Roman"/>
                <w:sz w:val="16"/>
                <w:szCs w:val="16"/>
                <w:b w:val="1"/>
                <w:bCs w:val="1"/>
                <w:color w:val="auto"/>
              </w:rPr>
              <w:t>Shares</w:t>
            </w:r>
            <w:r>
              <w:rPr>
                <w:rFonts w:ascii="Times New Roman" w:cs="Times New Roman" w:eastAsia="Times New Roman" w:hAnsi="Times New Roman"/>
                <w:sz w:val="10"/>
                <w:szCs w:val="10"/>
                <w:b w:val="1"/>
                <w:bCs w:val="1"/>
                <w:color w:val="auto"/>
              </w:rPr>
              <w:t>(1)</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147"/>
              <w:spacing w:after="0"/>
              <w:rPr>
                <w:sz w:val="20"/>
                <w:szCs w:val="20"/>
                <w:color w:val="auto"/>
              </w:rPr>
            </w:pPr>
            <w:r>
              <w:rPr>
                <w:rFonts w:ascii="Times New Roman" w:cs="Times New Roman" w:eastAsia="Times New Roman" w:hAnsi="Times New Roman"/>
                <w:sz w:val="16"/>
                <w:szCs w:val="16"/>
                <w:b w:val="1"/>
                <w:bCs w:val="1"/>
                <w:color w:val="auto"/>
              </w:rPr>
              <w:t>Amount</w:t>
            </w:r>
            <w:r>
              <w:rPr>
                <w:rFonts w:ascii="Times New Roman" w:cs="Times New Roman" w:eastAsia="Times New Roman" w:hAnsi="Times New Roman"/>
                <w:sz w:val="10"/>
                <w:szCs w:val="10"/>
                <w:b w:val="1"/>
                <w:bCs w:val="1"/>
                <w:color w:val="auto"/>
              </w:rPr>
              <w:t>(1)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05"/>
              <w:spacing w:after="0"/>
              <w:rPr>
                <w:sz w:val="20"/>
                <w:szCs w:val="20"/>
                <w:color w:val="auto"/>
              </w:rPr>
            </w:pPr>
            <w:r>
              <w:rPr>
                <w:rFonts w:ascii="Times New Roman" w:cs="Times New Roman" w:eastAsia="Times New Roman" w:hAnsi="Times New Roman"/>
                <w:sz w:val="16"/>
                <w:szCs w:val="16"/>
                <w:b w:val="1"/>
                <w:bCs w:val="1"/>
                <w:color w:val="auto"/>
              </w:rPr>
              <w:t>Capital</w:t>
            </w:r>
            <w:r>
              <w:rPr>
                <w:rFonts w:ascii="Times New Roman" w:cs="Times New Roman" w:eastAsia="Times New Roman" w:hAnsi="Times New Roman"/>
                <w:sz w:val="10"/>
                <w:szCs w:val="10"/>
                <w:b w:val="1"/>
                <w:bCs w:val="1"/>
                <w:color w:val="auto"/>
              </w:rPr>
              <w:t>(1)</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0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 December 31, 2024</w:t>
            </w:r>
          </w:p>
        </w:tc>
        <w:tc>
          <w:tcPr>
            <w:tcW w:w="132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3,382,432</w:t>
            </w:r>
          </w:p>
        </w:tc>
        <w:tc>
          <w:tcPr>
            <w:tcW w:w="280" w:type="dxa"/>
            <w:vAlign w:val="bottom"/>
            <w:gridSpan w:val="2"/>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3</w:t>
            </w:r>
          </w:p>
        </w:tc>
        <w:tc>
          <w:tcPr>
            <w:tcW w:w="280" w:type="dxa"/>
            <w:vAlign w:val="bottom"/>
            <w:gridSpan w:val="2"/>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FF0FC"/>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226,229</w:t>
            </w: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(207,106)</w:t>
            </w:r>
          </w:p>
        </w:tc>
        <w:tc>
          <w:tcPr>
            <w:tcW w:w="2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19,126</w:t>
            </w:r>
          </w:p>
        </w:tc>
        <w:tc>
          <w:tcPr>
            <w:tcW w:w="0" w:type="dxa"/>
            <w:vAlign w:val="bottom"/>
          </w:tcPr>
          <w:p>
            <w:pPr>
              <w:spacing w:after="0"/>
              <w:rPr>
                <w:sz w:val="1"/>
                <w:szCs w:val="1"/>
                <w:color w:val="auto"/>
              </w:rPr>
            </w:pPr>
          </w:p>
        </w:tc>
      </w:tr>
      <w:tr>
        <w:trPr>
          <w:trHeight w:val="126"/>
        </w:trPr>
        <w:tc>
          <w:tcPr>
            <w:tcW w:w="4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in connection with at-the-market</w:t>
            </w:r>
          </w:p>
        </w:tc>
        <w:tc>
          <w:tcPr>
            <w:tcW w:w="13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133,521</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1,443</w:t>
            </w:r>
          </w:p>
        </w:tc>
        <w:tc>
          <w:tcPr>
            <w:tcW w:w="100" w:type="dxa"/>
            <w:vAlign w:val="bottom"/>
          </w:tcPr>
          <w:p>
            <w:pPr>
              <w:spacing w:after="0"/>
              <w:rPr>
                <w:sz w:val="10"/>
                <w:szCs w:val="10"/>
                <w:color w:val="auto"/>
              </w:rPr>
            </w:pPr>
          </w:p>
        </w:tc>
        <w:tc>
          <w:tcPr>
            <w:tcW w:w="11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1,444</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offering (net of issuance costs of $84)</w:t>
            </w:r>
          </w:p>
        </w:tc>
        <w:tc>
          <w:tcPr>
            <w:tcW w:w="13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3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1,389</w:t>
            </w:r>
          </w:p>
        </w:tc>
        <w:tc>
          <w:tcPr>
            <w:tcW w:w="1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1,389</w:t>
            </w:r>
          </w:p>
        </w:tc>
        <w:tc>
          <w:tcPr>
            <w:tcW w:w="0" w:type="dxa"/>
            <w:vAlign w:val="bottom"/>
          </w:tcPr>
          <w:p>
            <w:pPr>
              <w:spacing w:after="0"/>
              <w:rPr>
                <w:sz w:val="1"/>
                <w:szCs w:val="1"/>
                <w:color w:val="auto"/>
              </w:rPr>
            </w:pPr>
          </w:p>
        </w:tc>
      </w:tr>
      <w:tr>
        <w:trPr>
          <w:trHeight w:val="148"/>
        </w:trPr>
        <w:tc>
          <w:tcPr>
            <w:tcW w:w="4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under equity plan awards</w:t>
            </w:r>
          </w:p>
        </w:tc>
        <w:tc>
          <w:tcPr>
            <w:tcW w:w="13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3,649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2"/>
                <w:szCs w:val="12"/>
                <w:color w:val="auto"/>
              </w:rPr>
            </w:pPr>
          </w:p>
        </w:tc>
        <w:tc>
          <w:tcPr>
            <w:tcW w:w="11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48"/>
        </w:trPr>
        <w:tc>
          <w:tcPr>
            <w:tcW w:w="40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3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(10,860)</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(10,860)</w:t>
            </w:r>
          </w:p>
        </w:tc>
        <w:tc>
          <w:tcPr>
            <w:tcW w:w="0" w:type="dxa"/>
            <w:vAlign w:val="bottom"/>
          </w:tcPr>
          <w:p>
            <w:pPr>
              <w:spacing w:after="0"/>
              <w:rPr>
                <w:sz w:val="1"/>
                <w:szCs w:val="1"/>
                <w:color w:val="auto"/>
              </w:rPr>
            </w:pPr>
          </w:p>
        </w:tc>
      </w:tr>
      <w:tr>
        <w:trPr>
          <w:trHeight w:val="142"/>
        </w:trPr>
        <w:tc>
          <w:tcPr>
            <w:tcW w:w="4000" w:type="dxa"/>
            <w:vAlign w:val="bottom"/>
            <w:tcBorders>
              <w:top w:val="single" w:sz="8" w:color="CFF0FC"/>
              <w:bottom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BALANCE — March 31, 2025</w:t>
            </w:r>
          </w:p>
        </w:tc>
        <w:tc>
          <w:tcPr>
            <w:tcW w:w="12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3,519,602</w:t>
            </w:r>
          </w:p>
        </w:tc>
        <w:tc>
          <w:tcPr>
            <w:tcW w:w="120" w:type="dxa"/>
            <w:vAlign w:val="bottom"/>
            <w:tcBorders>
              <w:top w:val="single" w:sz="8" w:color="CFF0FC"/>
              <w:bottom w:val="single" w:sz="8" w:color="CFF0FC"/>
            </w:tcBorders>
          </w:tcPr>
          <w:p>
            <w:pPr>
              <w:spacing w:after="0"/>
              <w:rPr>
                <w:sz w:val="12"/>
                <w:szCs w:val="12"/>
                <w:color w:val="auto"/>
              </w:rPr>
            </w:pPr>
          </w:p>
        </w:tc>
        <w:tc>
          <w:tcPr>
            <w:tcW w:w="120" w:type="dxa"/>
            <w:vAlign w:val="bottom"/>
            <w:tcBorders>
              <w:top w:val="single" w:sz="8" w:color="CFF0FC"/>
              <w:bottom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top w:val="single" w:sz="8" w:color="CFF0FC"/>
              <w:bottom w:val="single" w:sz="8" w:color="CFF0FC"/>
            </w:tcBorders>
          </w:tcPr>
          <w:p>
            <w:pPr>
              <w:spacing w:after="0"/>
              <w:rPr>
                <w:sz w:val="12"/>
                <w:szCs w:val="12"/>
                <w:color w:val="auto"/>
              </w:rPr>
            </w:pPr>
          </w:p>
        </w:tc>
        <w:tc>
          <w:tcPr>
            <w:tcW w:w="100" w:type="dxa"/>
            <w:vAlign w:val="bottom"/>
            <w:tcBorders>
              <w:top w:val="single" w:sz="8" w:color="CFF0FC"/>
              <w:bottom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229,095</w:t>
            </w:r>
          </w:p>
        </w:tc>
        <w:tc>
          <w:tcPr>
            <w:tcW w:w="220" w:type="dxa"/>
            <w:vAlign w:val="bottom"/>
            <w:tcBorders>
              <w:top w:val="single" w:sz="8" w:color="CFF0FC"/>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(217,966)</w:t>
            </w:r>
          </w:p>
        </w:tc>
        <w:tc>
          <w:tcPr>
            <w:tcW w:w="120" w:type="dxa"/>
            <w:vAlign w:val="bottom"/>
            <w:tcBorders>
              <w:top w:val="single" w:sz="8" w:color="CFF0FC"/>
              <w:bottom w:val="single" w:sz="8" w:color="CFF0FC"/>
            </w:tcBorders>
          </w:tcPr>
          <w:p>
            <w:pPr>
              <w:spacing w:after="0"/>
              <w:rPr>
                <w:sz w:val="12"/>
                <w:szCs w:val="12"/>
                <w:color w:val="auto"/>
              </w:rPr>
            </w:pPr>
          </w:p>
        </w:tc>
        <w:tc>
          <w:tcPr>
            <w:tcW w:w="80" w:type="dxa"/>
            <w:vAlign w:val="bottom"/>
            <w:tcBorders>
              <w:top w:val="single" w:sz="8" w:color="CFF0FC"/>
              <w:bottom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11,133</w:t>
            </w:r>
          </w:p>
        </w:tc>
        <w:tc>
          <w:tcPr>
            <w:tcW w:w="100" w:type="dxa"/>
            <w:vAlign w:val="bottom"/>
            <w:tcBorders>
              <w:top w:val="single" w:sz="8" w:color="CFF0FC"/>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Three Months Ended March 31, 2024</w:t>
            </w: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400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4000" w:type="dxa"/>
            <w:vAlign w:val="bottom"/>
          </w:tcPr>
          <w:p>
            <w:pPr>
              <w:spacing w:after="0"/>
              <w:rPr>
                <w:sz w:val="24"/>
                <w:szCs w:val="24"/>
                <w:color w:val="auto"/>
              </w:rPr>
            </w:pPr>
          </w:p>
        </w:tc>
        <w:tc>
          <w:tcPr>
            <w:tcW w:w="2720" w:type="dxa"/>
            <w:vAlign w:val="bottom"/>
            <w:gridSpan w:val="6"/>
            <w:vMerge w:val="restart"/>
          </w:tcPr>
          <w:p>
            <w:pPr>
              <w:jc w:val="right"/>
              <w:ind w:right="9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05"/>
        </w:trPr>
        <w:tc>
          <w:tcPr>
            <w:tcW w:w="4000" w:type="dxa"/>
            <w:vAlign w:val="bottom"/>
          </w:tcPr>
          <w:p>
            <w:pPr>
              <w:spacing w:after="0"/>
              <w:rPr>
                <w:sz w:val="17"/>
                <w:szCs w:val="17"/>
                <w:color w:val="auto"/>
              </w:rPr>
            </w:pPr>
          </w:p>
        </w:tc>
        <w:tc>
          <w:tcPr>
            <w:tcW w:w="2720" w:type="dxa"/>
            <w:vAlign w:val="bottom"/>
            <w:gridSpan w:val="6"/>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0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196"/>
        </w:trPr>
        <w:tc>
          <w:tcPr>
            <w:tcW w:w="400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ind w:right="246"/>
              <w:spacing w:after="0"/>
              <w:rPr>
                <w:sz w:val="20"/>
                <w:szCs w:val="20"/>
                <w:color w:val="auto"/>
              </w:rPr>
            </w:pPr>
            <w:r>
              <w:rPr>
                <w:rFonts w:ascii="Times New Roman" w:cs="Times New Roman" w:eastAsia="Times New Roman" w:hAnsi="Times New Roman"/>
                <w:sz w:val="16"/>
                <w:szCs w:val="16"/>
                <w:b w:val="1"/>
                <w:bCs w:val="1"/>
                <w:color w:val="auto"/>
              </w:rPr>
              <w:t>Shares</w:t>
            </w:r>
            <w:r>
              <w:rPr>
                <w:rFonts w:ascii="Times New Roman" w:cs="Times New Roman" w:eastAsia="Times New Roman" w:hAnsi="Times New Roman"/>
                <w:sz w:val="10"/>
                <w:szCs w:val="10"/>
                <w:b w:val="1"/>
                <w:bCs w:val="1"/>
                <w:color w:val="auto"/>
              </w:rPr>
              <w:t>(1)</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167"/>
              <w:spacing w:after="0"/>
              <w:rPr>
                <w:sz w:val="20"/>
                <w:szCs w:val="20"/>
                <w:color w:val="auto"/>
              </w:rPr>
            </w:pPr>
            <w:r>
              <w:rPr>
                <w:rFonts w:ascii="Times New Roman" w:cs="Times New Roman" w:eastAsia="Times New Roman" w:hAnsi="Times New Roman"/>
                <w:sz w:val="16"/>
                <w:szCs w:val="16"/>
                <w:b w:val="1"/>
                <w:bCs w:val="1"/>
                <w:color w:val="auto"/>
              </w:rPr>
              <w:t>Amount</w:t>
            </w:r>
            <w:r>
              <w:rPr>
                <w:rFonts w:ascii="Times New Roman" w:cs="Times New Roman" w:eastAsia="Times New Roman" w:hAnsi="Times New Roman"/>
                <w:sz w:val="10"/>
                <w:szCs w:val="10"/>
                <w:b w:val="1"/>
                <w:bCs w:val="1"/>
                <w:color w:val="auto"/>
              </w:rPr>
              <w:t>(1)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05"/>
              <w:spacing w:after="0"/>
              <w:rPr>
                <w:sz w:val="20"/>
                <w:szCs w:val="20"/>
                <w:color w:val="auto"/>
              </w:rPr>
            </w:pPr>
            <w:r>
              <w:rPr>
                <w:rFonts w:ascii="Times New Roman" w:cs="Times New Roman" w:eastAsia="Times New Roman" w:hAnsi="Times New Roman"/>
                <w:sz w:val="16"/>
                <w:szCs w:val="16"/>
                <w:b w:val="1"/>
                <w:bCs w:val="1"/>
                <w:color w:val="auto"/>
              </w:rPr>
              <w:t>Capital</w:t>
            </w:r>
            <w:r>
              <w:rPr>
                <w:rFonts w:ascii="Times New Roman" w:cs="Times New Roman" w:eastAsia="Times New Roman" w:hAnsi="Times New Roman"/>
                <w:sz w:val="10"/>
                <w:szCs w:val="10"/>
                <w:b w:val="1"/>
                <w:bCs w:val="1"/>
                <w:color w:val="auto"/>
              </w:rPr>
              <w:t>(1)</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85"/>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0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 December 31, 2023</w:t>
            </w:r>
          </w:p>
        </w:tc>
        <w:tc>
          <w:tcPr>
            <w:tcW w:w="1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1,695,788</w:t>
            </w:r>
          </w:p>
        </w:tc>
        <w:tc>
          <w:tcPr>
            <w:tcW w:w="12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192,029</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(165,263)</w:t>
            </w:r>
          </w:p>
        </w:tc>
        <w:tc>
          <w:tcPr>
            <w:tcW w:w="2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26,768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in connection with at-the-market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4,329</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offering (net of issuance costs of $8)</w:t>
            </w:r>
          </w:p>
        </w:tc>
        <w:tc>
          <w:tcPr>
            <w:tcW w:w="1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3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1,318</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1,318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under equity plan awards</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8,901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3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(7,904)</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(7,904)</w:t>
            </w:r>
          </w:p>
        </w:tc>
        <w:tc>
          <w:tcPr>
            <w:tcW w:w="0" w:type="dxa"/>
            <w:vAlign w:val="bottom"/>
          </w:tcPr>
          <w:p>
            <w:pPr>
              <w:spacing w:after="0"/>
              <w:rPr>
                <w:sz w:val="1"/>
                <w:szCs w:val="1"/>
                <w:color w:val="auto"/>
              </w:rPr>
            </w:pPr>
          </w:p>
        </w:tc>
      </w:tr>
      <w:tr>
        <w:trPr>
          <w:trHeight w:val="142"/>
        </w:trPr>
        <w:tc>
          <w:tcPr>
            <w:tcW w:w="4000" w:type="dxa"/>
            <w:vAlign w:val="bottom"/>
            <w:tcBorders>
              <w:top w:val="single" w:sz="8" w:color="CFF0FC"/>
              <w:bottom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BALANCE — March 31, 2024</w:t>
            </w:r>
          </w:p>
        </w:tc>
        <w:tc>
          <w:tcPr>
            <w:tcW w:w="12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1,709,018</w:t>
            </w:r>
          </w:p>
        </w:tc>
        <w:tc>
          <w:tcPr>
            <w:tcW w:w="120" w:type="dxa"/>
            <w:vAlign w:val="bottom"/>
            <w:tcBorders>
              <w:top w:val="single" w:sz="8" w:color="CFF0FC"/>
            </w:tcBorders>
          </w:tcPr>
          <w:p>
            <w:pPr>
              <w:spacing w:after="0"/>
              <w:rPr>
                <w:sz w:val="12"/>
                <w:szCs w:val="12"/>
                <w:color w:val="auto"/>
              </w:rPr>
            </w:pPr>
          </w:p>
        </w:tc>
        <w:tc>
          <w:tcPr>
            <w:tcW w:w="120" w:type="dxa"/>
            <w:vAlign w:val="bottom"/>
            <w:tcBorders>
              <w:top w:val="single" w:sz="8" w:color="CFF0FC"/>
              <w:bottom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top w:val="single" w:sz="8" w:color="CFF0FC"/>
            </w:tcBorders>
          </w:tcPr>
          <w:p>
            <w:pPr>
              <w:spacing w:after="0"/>
              <w:rPr>
                <w:sz w:val="12"/>
                <w:szCs w:val="12"/>
                <w:color w:val="auto"/>
              </w:rPr>
            </w:pPr>
          </w:p>
        </w:tc>
        <w:tc>
          <w:tcPr>
            <w:tcW w:w="100" w:type="dxa"/>
            <w:vAlign w:val="bottom"/>
            <w:tcBorders>
              <w:top w:val="single" w:sz="8" w:color="CFF0FC"/>
              <w:bottom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193,797</w:t>
            </w:r>
          </w:p>
        </w:tc>
        <w:tc>
          <w:tcPr>
            <w:tcW w:w="220" w:type="dxa"/>
            <w:vAlign w:val="bottom"/>
            <w:tcBorders>
              <w:top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(173,167)</w:t>
            </w:r>
          </w:p>
        </w:tc>
        <w:tc>
          <w:tcPr>
            <w:tcW w:w="120" w:type="dxa"/>
            <w:vAlign w:val="bottom"/>
            <w:tcBorders>
              <w:top w:val="single" w:sz="8" w:color="CFF0FC"/>
              <w:bottom w:val="single" w:sz="8" w:color="CFF0FC"/>
            </w:tcBorders>
          </w:tcPr>
          <w:p>
            <w:pPr>
              <w:spacing w:after="0"/>
              <w:rPr>
                <w:sz w:val="12"/>
                <w:szCs w:val="12"/>
                <w:color w:val="auto"/>
              </w:rPr>
            </w:pPr>
          </w:p>
        </w:tc>
        <w:tc>
          <w:tcPr>
            <w:tcW w:w="80" w:type="dxa"/>
            <w:vAlign w:val="bottom"/>
            <w:tcBorders>
              <w:top w:val="single" w:sz="8" w:color="CFF0FC"/>
              <w:bottom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20,632</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-1748155</wp:posOffset>
            </wp:positionV>
            <wp:extent cx="774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-1748155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-1748155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-1748155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-1748155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-128270</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-128270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-128270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-128270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right="620" w:firstLine="8"/>
        <w:spacing w:after="0" w:line="260"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issued and outstanding have been adjusted to reflect the one-for-thirteen stock split effected in April 2025. See Note 1, Organization and Description of the Business, for details.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40" w:type="dxa"/>
            <w:vAlign w:val="bottom"/>
          </w:tcPr>
          <w:p>
            <w:pPr>
              <w:jc w:val="center"/>
              <w:ind w:left="3511"/>
              <w:spacing w:after="0"/>
              <w:rPr>
                <w:sz w:val="20"/>
                <w:szCs w:val="20"/>
                <w:color w:val="auto"/>
              </w:rPr>
            </w:pPr>
            <w:r>
              <w:rPr>
                <w:rFonts w:ascii="Times New Roman" w:cs="Times New Roman" w:eastAsia="Times New Roman" w:hAnsi="Times New Roman"/>
                <w:sz w:val="16"/>
                <w:szCs w:val="16"/>
                <w:b w:val="1"/>
                <w:bCs w:val="1"/>
                <w:color w:val="auto"/>
              </w:rPr>
              <w:t>TEMPEST THERAPEUTICS, INC.</w:t>
            </w: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jc w:val="center"/>
              <w:ind w:left="3531"/>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jc w:val="center"/>
              <w:ind w:left="3471"/>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640" w:type="dxa"/>
            <w:vAlign w:val="bottom"/>
          </w:tcPr>
          <w:p>
            <w:pPr>
              <w:jc w:val="center"/>
              <w:ind w:left="3531"/>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960" w:type="dxa"/>
            <w:vAlign w:val="bottom"/>
          </w:tcPr>
          <w:p>
            <w:pPr>
              <w:spacing w:after="0"/>
              <w:rPr>
                <w:sz w:val="18"/>
                <w:szCs w:val="18"/>
                <w:color w:val="auto"/>
              </w:rPr>
            </w:pPr>
          </w:p>
        </w:tc>
        <w:tc>
          <w:tcPr>
            <w:tcW w:w="15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Three Months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40" w:type="dxa"/>
            <w:vAlign w:val="bottom"/>
            <w:gridSpan w:val="3"/>
            <w:vMerge w:val="continue"/>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6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rPr>
              <w:t>Ended March 31,</w:t>
            </w: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64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(10,860)</w:t>
            </w:r>
          </w:p>
        </w:tc>
        <w:tc>
          <w:tcPr>
            <w:tcW w:w="62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(7,904)</w:t>
            </w: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expense</w:t>
            </w:r>
          </w:p>
        </w:tc>
        <w:tc>
          <w:tcPr>
            <w:tcW w:w="9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lease expense</w:t>
            </w:r>
          </w:p>
        </w:tc>
        <w:tc>
          <w:tcPr>
            <w:tcW w:w="9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Non-cash interest and other expense, net</w:t>
            </w:r>
          </w:p>
        </w:tc>
        <w:tc>
          <w:tcPr>
            <w:tcW w:w="9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7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9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(263)</w:t>
            </w: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9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(1,001)</w:t>
            </w:r>
          </w:p>
        </w:tc>
        <w:tc>
          <w:tcPr>
            <w:tcW w:w="0" w:type="dxa"/>
            <w:vAlign w:val="bottom"/>
          </w:tcPr>
          <w:p>
            <w:pPr>
              <w:spacing w:after="0"/>
              <w:rPr>
                <w:sz w:val="1"/>
                <w:szCs w:val="1"/>
                <w:color w:val="auto"/>
              </w:rPr>
            </w:pPr>
          </w:p>
        </w:tc>
      </w:tr>
      <w:tr>
        <w:trPr>
          <w:trHeight w:val="216"/>
        </w:trPr>
        <w:tc>
          <w:tcPr>
            <w:tcW w:w="7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payable</w:t>
            </w:r>
          </w:p>
        </w:tc>
        <w:tc>
          <w:tcPr>
            <w:tcW w:w="9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6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(96)</w:t>
            </w:r>
          </w:p>
        </w:tc>
        <w:tc>
          <w:tcPr>
            <w:tcW w:w="6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0"/>
        </w:trPr>
        <w:tc>
          <w:tcPr>
            <w:tcW w:w="76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9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(8,036)</w:t>
            </w:r>
          </w:p>
        </w:tc>
        <w:tc>
          <w:tcPr>
            <w:tcW w:w="6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(7,186)</w:t>
            </w:r>
          </w:p>
        </w:tc>
        <w:tc>
          <w:tcPr>
            <w:tcW w:w="0" w:type="dxa"/>
            <w:vAlign w:val="bottom"/>
          </w:tcPr>
          <w:p>
            <w:pPr>
              <w:spacing w:after="0"/>
              <w:rPr>
                <w:sz w:val="1"/>
                <w:szCs w:val="1"/>
                <w:color w:val="auto"/>
              </w:rPr>
            </w:pPr>
          </w:p>
        </w:tc>
      </w:tr>
      <w:tr>
        <w:trPr>
          <w:trHeight w:val="209"/>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6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9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9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09"/>
        </w:trPr>
        <w:tc>
          <w:tcPr>
            <w:tcW w:w="76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6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Proceeds from the issuance of common stock in connection with at-the-market offering, net of issuance</w:t>
            </w:r>
          </w:p>
        </w:tc>
        <w:tc>
          <w:tcPr>
            <w:tcW w:w="9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w:t>
            </w:r>
          </w:p>
        </w:tc>
        <w:tc>
          <w:tcPr>
            <w:tcW w:w="96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2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loan</w:t>
            </w:r>
          </w:p>
        </w:tc>
        <w:tc>
          <w:tcPr>
            <w:tcW w:w="9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(2,198)</w:t>
            </w:r>
          </w:p>
        </w:tc>
        <w:tc>
          <w:tcPr>
            <w:tcW w:w="6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the issuance of common stock under equity plan awards</w:t>
            </w:r>
          </w:p>
        </w:tc>
        <w:tc>
          <w:tcPr>
            <w:tcW w:w="96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Cash provided by (used in) financing activities</w:t>
            </w:r>
          </w:p>
        </w:tc>
        <w:tc>
          <w:tcPr>
            <w:tcW w:w="9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(721)</w:t>
            </w: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9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(8,757)</w:t>
            </w:r>
          </w:p>
        </w:tc>
        <w:tc>
          <w:tcPr>
            <w:tcW w:w="6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(6,904)</w:t>
            </w: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9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30,711</w:t>
            </w:r>
          </w:p>
        </w:tc>
        <w:tc>
          <w:tcPr>
            <w:tcW w:w="28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960" w:type="dxa"/>
            <w:vAlign w:val="bottom"/>
            <w:tcBorders>
              <w:bottom w:val="single" w:sz="8" w:color="auto"/>
            </w:tcBorders>
            <w:shd w:val="clear" w:color="auto" w:fill="CFF0FC"/>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21,954</w:t>
            </w:r>
          </w:p>
        </w:tc>
        <w:tc>
          <w:tcPr>
            <w:tcW w:w="28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32,769</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4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9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6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paid for interest</w:t>
            </w:r>
          </w:p>
        </w:tc>
        <w:tc>
          <w:tcPr>
            <w:tcW w:w="960" w:type="dxa"/>
            <w:vAlign w:val="bottom"/>
            <w:tcBorders>
              <w:bottom w:val="single" w:sz="8" w:color="auto"/>
            </w:tcBorders>
            <w:shd w:val="clear" w:color="auto" w:fill="CFF0FC"/>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8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6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Cash paid for business taxes</w:t>
            </w:r>
          </w:p>
        </w:tc>
        <w:tc>
          <w:tcPr>
            <w:tcW w:w="960" w:type="dxa"/>
            <w:vAlign w:val="bottom"/>
          </w:tcPr>
          <w:p>
            <w:pPr>
              <w:jc w:val="right"/>
              <w:ind w:right="77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-2339340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-2339340</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-1765300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-1765300</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-1071245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-1071245</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-496570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-479425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-496570</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-479425</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-187960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-170815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-187960</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TEMPEST THERAPEUTICS, INC.</w:t>
      </w:r>
    </w:p>
    <w:p>
      <w:pPr>
        <w:spacing w:after="0" w:line="18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are in thousands, except share and per share data)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THE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Tempest Therapeutics, Inc. (“Tempest” or the “Company”) is a clinical-stage biotechnology company moving into late-stage development with a diverse portfolio of targeted and immune-mediated product candidates with the potential to be first-in-class treatments for a wide range of cancers. Tempest’s novel programs range from early research to the lead program, amezalpat (previously known as TPST-1120), that is poised to begin a pivotal study in first-line liver cancer. Tempest is also developing other potential product candidates in its Discovery Research group. The Company is headquartered in Brisbane, California.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3, 2024, the Company held a special meeting of stockholders at which its stockholders approved a proposal to effect an amendment to the Company’s Restated Certificate of Incorporation to implement a reverse stock split. On April 4, 2025, the Company’s board of directors approved the filing of a certificate of amendment to the Company’s Restated Certificate of Incorporation with the Secretary of State of the State of Delaware to affect the one-for-thirteen (1:13) reverse stock split of its outstanding common stock (the "Reverse Stock Split").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8, 2025, the Company effected the Reverse Stock Split. Pursuant to their terms, a proportionate adjustment was made to the per share exercise price and number of shares issuable under all of the Company’s outstanding options and warrants, and the number of shares authorized for issuance pursuant to the Company’s equity incentive plans have been reduced proportionately. The Reverse Stock Split did not reduce the number of authorized shares of common stock and did not alter the par value.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fractional shares were issued as a result of the Reverse Stock Split. Stockholders of record who would have otherwise been entitled to receive a fractional share received a cash payment in lieu thereof. The Reverse Stock Split affected all stockholders proportionately and did not affect any stockholder’s percentage ownership of the Company’s common stock (except to the extent that the Reverse Stock Split resulted in any stockholder owning only a fractional share).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incurred operating losses since inception. As of March 31, 2025, the Company had $21.5 million of cash and cash equivalents. While the Company has begun to implement cost reductions in 2025, the Company has finite cash resources available to fund its operations. In April 2025, the Company announced plans to explore a full range of strategic alternatives to advance its promising clinical stage programs and maximize stockholder value. Strategic alternatives under consideration may include, but are not limited to, mergers, acquisitions, partnerships, joint ventures, licensing arrangements or other strategic transactions. The Company has retained MTS Health Partners, L.P., an internationally recognized financial advisor with substantial experience in the biotechnology industry, to support it with the strategic evaluation process. If a strategic alternative is not available, the Company will be required to take additional actions to fund the Company’s operations, or it may be forced to wind down its operations. As part of the cost reductions, the Company reduced its workforce by 21 of 26 full-time employees, which became effective April 30, 2025.</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expects that its existing cash and cash equivalents plus the net proceeds of $1.2 million from the Company’s ATM Program (as described below) will fund the Company’s projected operating expense requirements through less than 12 months from the date our consolidated financial statements were available to be issued. Accordingly, there is substantial doubt about the Company’s ability to continue to operate as a going concern for a period of 12 months from the date of issuance of these condensed financial statements. The accompanying financial statements were prepared on a going concern basis, which</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contemplates the realization of assets and the satisfaction of liabilities in the normal course of business. These financial statements do not include any separate adjustments relating to the recovery of recorded assets or the classification of liabilities; however, such adjustments may be necessary in the future when the Company is unable to continue as a going concern.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ATM Program</w:t>
      </w:r>
    </w:p>
    <w:p>
      <w:pPr>
        <w:spacing w:after="0" w:line="229" w:lineRule="exact"/>
        <w:rPr>
          <w:sz w:val="20"/>
          <w:szCs w:val="20"/>
          <w:color w:val="auto"/>
        </w:rPr>
      </w:pPr>
    </w:p>
    <w:p>
      <w:pPr>
        <w:jc w:val="both"/>
        <w:ind w:right="380"/>
        <w:spacing w:after="0" w:line="253" w:lineRule="auto"/>
        <w:rPr>
          <w:sz w:val="20"/>
          <w:szCs w:val="20"/>
          <w:color w:val="auto"/>
        </w:rPr>
      </w:pPr>
      <w:r>
        <w:rPr>
          <w:rFonts w:ascii="Times New Roman" w:cs="Times New Roman" w:eastAsia="Times New Roman" w:hAnsi="Times New Roman"/>
          <w:sz w:val="18"/>
          <w:szCs w:val="18"/>
          <w:color w:val="auto"/>
        </w:rPr>
        <w:t>On July 23, 2021, the Company entered into a sales agreement with Jefferies LLC (“Jefferies”), pursuant to which the Company may sell, from time to time at its sole discretion through Jefferies, as its sales agent, shares of its common stock having, up to an aggregate sales price of $100.0 million of its common stock through Jefferies (the “Prior ATM Program”). As of June 20, 2024, the Company had sold an aggregate 9,017,110 shares of its common stock for gross proceeds of $42.7 million ($41.5 million net of commissions and estimated expenses) under the Prior ATM Program. On June 20, 2024, the Company and Jefferies terminated the Prior ATM Program and entered a new Open Market Sale Agreement (the “Sales Agreement”) to sell shares of common stock from time to time through Jefferies acting as sales agent (the “ATM Program”). The Company will pay Jefferies a commission up to 3.0% of the gross sales proceeds of any shares of its common stock sold through Jefferies under the ATM Program and also has provided Jefferies with indemnification and contribution rights. Pursuant to the prospectus supplement dated June 20, 2024 filed by the Company with the U.S. Securities and Exchange Commission (“SEC”), the Company was able to offer and sell up to $205,000,000 of its shares of common stock pursuant to the Sales Agreement. As of March 31, 2025, the Company has sold an aggregate of 133,521 shares of its common stock for proceeds of $1.5 million, pursuant to the ATM Program. As of March 31, 2025, $13.0 million remained available for sale under the ATM Program. Between March 31, 2025 and April 30, 2025, the Company sold 156,028 shares of its common stock for proceeds of $1.2 million, pursuant to the ATM Program. As of April 30, 2025, $11.8 million remained available for sale under the ATM Program.</w:t>
      </w:r>
    </w:p>
    <w:p>
      <w:pPr>
        <w:spacing w:after="0" w:line="187" w:lineRule="exact"/>
        <w:rPr>
          <w:sz w:val="20"/>
          <w:szCs w:val="20"/>
          <w:color w:val="auto"/>
        </w:rPr>
      </w:pPr>
    </w:p>
    <w:p>
      <w:pPr>
        <w:jc w:val="both"/>
        <w:ind w:right="380"/>
        <w:spacing w:after="0" w:line="261" w:lineRule="auto"/>
        <w:rPr>
          <w:sz w:val="20"/>
          <w:szCs w:val="20"/>
          <w:color w:val="auto"/>
        </w:rPr>
      </w:pPr>
      <w:r>
        <w:rPr>
          <w:rFonts w:ascii="Times New Roman" w:cs="Times New Roman" w:eastAsia="Times New Roman" w:hAnsi="Times New Roman"/>
          <w:sz w:val="18"/>
          <w:szCs w:val="18"/>
          <w:color w:val="auto"/>
        </w:rPr>
        <w:t>Under current SEC regulations, if at any time the Company's public float is less than $75.0 million, and for so long as the Company’s public float remains less than $75.0 million, the amount the Company can raise through primary public offerings of securities in any 12-month period using shelf registration statements is limited to an aggregate of one-third of the Company's public float, which is referred to as the baby shelf rules. On February 6, 2025, the Company filed a prospectus supplement with the SEC limiting the availability under the ATM Program to $14.5 million.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Significant Accounting Policies</w:t>
      </w:r>
      <w:r>
        <w:rPr>
          <w:rFonts w:ascii="Times New Roman" w:cs="Times New Roman" w:eastAsia="Times New Roman" w:hAnsi="Times New Roman"/>
          <w:sz w:val="18"/>
          <w:szCs w:val="18"/>
          <w:color w:val="auto"/>
        </w:rPr>
        <w:t>—The Company’s significant accounting policies are described in Note 2, “Summary of Significant Accounting Policies,”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Company’s Annual Report on Form 10-K filed with the U.S. Securities and Exchange Commission (“SEC”) on March 27, 2025. There have been no material changes to the significant accounting policies during the three month period ended March 31, 2025.</w:t>
      </w:r>
    </w:p>
    <w:p>
      <w:pPr>
        <w:spacing w:after="0" w:line="13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Basis of Presentation</w:t>
      </w:r>
      <w:r>
        <w:rPr>
          <w:rFonts w:ascii="Times New Roman" w:cs="Times New Roman" w:eastAsia="Times New Roman" w:hAnsi="Times New Roman"/>
          <w:sz w:val="18"/>
          <w:szCs w:val="18"/>
          <w:color w:val="auto"/>
        </w:rPr>
        <w:t>—The unaudited interim Condensed Consolidated Financial Statements have been prepared pursuant to the rules and regulations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U.S. Securities and Exchange Commission. Accordingly, certain information and footnote disclosures normally included in annual financial statements prepared in accordance with generally accepted accounting principles in the United States (“GAAP”) have been omitted. These unaudited interim Condensed Consolidated Financial Statements should be read in conjunction with the Company’s audited Consolidated Financial Statements and notes included in the company’s Annual Report on Form 10-K for the year ended December 31, 2024.</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prepared the accompanying Condensed Consolidated Financial Statements on the same basis as the audited financial statements, and the unaudited interim financial statements include, in the Company’s opinion, all adjustments, consisting only of normal recurring adjustments that the Company considers necessary for a fair presentation of its financial position and results of operations for these periods.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references to common stock, warrants to purchase common stock, options to purchase common stock, share data, per share data and related information contained in the consolidated financial statements have been retrospectively adjusted to reflect the effect of the Reverse Stock Split for all periods presented.</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Use of Estimates</w:t>
      </w: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reported amounts of assets, liabilities, and the disclosure of contingent assets and liabilities at the date of the financial statements and the reported amounts of expenses during the reporting period. On an ongoing basis, the Company evaluates its estimates and assumptions, including those related to research and development accruals, recoverability of long-lived assets, right-of-use assets, lease obligations, stock-based compensation and income taxes uncertainties and valuation allowances. 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those estimates.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Company’s fair value hierarchy for assets measured at fair value on a recurring basis: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6"/>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As of March 31, 2025</w:t>
            </w: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21,511</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8"/>
                <w:szCs w:val="18"/>
                <w:color w:val="auto"/>
              </w:rPr>
            </w:pPr>
          </w:p>
        </w:tc>
        <w:tc>
          <w:tcPr>
            <w:tcW w:w="5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21,511</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5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30,268</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8"/>
                <w:szCs w:val="18"/>
                <w:color w:val="auto"/>
              </w:rPr>
            </w:pPr>
          </w:p>
        </w:tc>
        <w:tc>
          <w:tcPr>
            <w:tcW w:w="5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30,268</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BALANCE SHEET COMPONENTS</w:t>
            </w: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0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5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4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4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580" w:type="dxa"/>
            <w:vAlign w:val="bottom"/>
            <w:tcBorders>
              <w:right w:val="single" w:sz="8" w:color="CCEEFF"/>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shd w:val="clear" w:color="auto" w:fill="CCEEFF"/>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Prepaid research and development costs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5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right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1,206</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0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5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4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4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580" w:type="dxa"/>
            <w:vAlign w:val="bottom"/>
            <w:tcBorders>
              <w:right w:val="single" w:sz="8" w:color="CCEEFF"/>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shd w:val="clear" w:color="auto" w:fill="CCEEFF"/>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1,485</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10"/>
        </w:trPr>
        <w:tc>
          <w:tcPr>
            <w:tcW w:w="5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Property and equipment</w:t>
            </w: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58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100" w:type="dxa"/>
            <w:vAlign w:val="bottom"/>
            <w:shd w:val="clear" w:color="auto" w:fill="CCEEFF"/>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(1,320)</w:t>
            </w:r>
          </w:p>
        </w:tc>
        <w:tc>
          <w:tcPr>
            <w:tcW w:w="0" w:type="dxa"/>
            <w:vAlign w:val="bottom"/>
          </w:tcPr>
          <w:p>
            <w:pPr>
              <w:spacing w:after="0"/>
              <w:rPr>
                <w:sz w:val="1"/>
                <w:szCs w:val="1"/>
                <w:color w:val="auto"/>
              </w:rPr>
            </w:pPr>
          </w:p>
        </w:tc>
      </w:tr>
      <w:tr>
        <w:trPr>
          <w:trHeight w:val="250"/>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equipment—net</w:t>
            </w:r>
          </w:p>
        </w:tc>
        <w:tc>
          <w:tcPr>
            <w:tcW w:w="5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top w:val="single" w:sz="8" w:color="auto"/>
              <w:bottom w:val="single" w:sz="8" w:color="auto"/>
              <w:right w:val="single" w:sz="8" w:color="CCEEFF"/>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-4062730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-4062730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-4062730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-4062730</wp:posOffset>
            </wp:positionV>
            <wp:extent cx="77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-3359785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-3359785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-3359785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-3359785</wp:posOffset>
            </wp:positionV>
            <wp:extent cx="77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-1851025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-24765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the three months ended March 31, 2025 and 2024 were $68 and $88,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liabilities consist of the following: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4960" w:type="dxa"/>
            <w:vAlign w:val="bottom"/>
          </w:tcPr>
          <w:p>
            <w:pPr>
              <w:spacing w:after="0"/>
              <w:rPr>
                <w:sz w:val="18"/>
                <w:szCs w:val="18"/>
                <w:color w:val="auto"/>
              </w:rPr>
            </w:pPr>
          </w:p>
        </w:tc>
        <w:tc>
          <w:tcPr>
            <w:tcW w:w="3960" w:type="dxa"/>
            <w:vAlign w:val="bottom"/>
            <w:gridSpan w:val="2"/>
          </w:tcPr>
          <w:p>
            <w:pPr>
              <w:jc w:val="right"/>
              <w:ind w:right="117"/>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r>
      <w:tr>
        <w:trPr>
          <w:trHeight w:val="216"/>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other liabilities</w:t>
            </w:r>
          </w:p>
        </w:tc>
        <w:tc>
          <w:tcPr>
            <w:tcW w:w="284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CEEFF"/>
          </w:tcPr>
          <w:p>
            <w:pPr>
              <w:jc w:val="right"/>
              <w:ind w:right="957"/>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1,701</w:t>
            </w:r>
          </w:p>
        </w:tc>
        <w:tc>
          <w:tcPr>
            <w:tcW w:w="100" w:type="dxa"/>
            <w:vAlign w:val="bottom"/>
            <w:shd w:val="clear" w:color="auto" w:fill="CCEEFF"/>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Accrued clinical trial liability</w:t>
            </w:r>
          </w:p>
        </w:tc>
        <w:tc>
          <w:tcPr>
            <w:tcW w:w="2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3,284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1,391</w:t>
            </w:r>
          </w:p>
        </w:tc>
      </w:tr>
      <w:tr>
        <w:trPr>
          <w:trHeight w:val="249"/>
        </w:trPr>
        <w:tc>
          <w:tcPr>
            <w:tcW w:w="4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8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957"/>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4,985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-25400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-8255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7600" w:firstLine="8"/>
        <w:spacing w:after="0" w:line="479" w:lineRule="auto"/>
        <w:tabs>
          <w:tab w:leader="none" w:pos="1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Facilities Lease Agreements</w:t>
      </w:r>
    </w:p>
    <w:p>
      <w:pPr>
        <w:spacing w:after="0" w:line="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 January 2022, the Company entered into a new 8-year office lease agreement for a 20,116 square feet facility in Brisbane, California (“Brisbane Lease”). The lease commenced in December 2022.</w:t>
      </w:r>
    </w:p>
    <w:p>
      <w:pPr>
        <w:spacing w:after="0" w:line="16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 of March 31, 2025 and December 31, 2024, the balance of the operating lease right of use assets were $8,376 and $8,643, respectively, and the related operating lease liability were $8,915 and $9,011, respectively, as shown in the accompanying consolidated balance sheets.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 expense was $486 and $685 for the three months ended March 31, 2025 and 2024,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future minimum lease payments under the Company's operating lease liabilities were as follows: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Year Ending</w:t>
            </w:r>
          </w:p>
        </w:tc>
        <w:tc>
          <w:tcPr>
            <w:tcW w:w="180" w:type="dxa"/>
            <w:vAlign w:val="bottom"/>
          </w:tcPr>
          <w:p>
            <w:pPr>
              <w:spacing w:after="0"/>
              <w:rPr>
                <w:sz w:val="18"/>
                <w:szCs w:val="18"/>
                <w:color w:val="auto"/>
              </w:rPr>
            </w:pPr>
          </w:p>
        </w:tc>
        <w:tc>
          <w:tcPr>
            <w:tcW w:w="18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Total Commitment</w:t>
            </w:r>
          </w:p>
        </w:tc>
      </w:tr>
      <w:tr>
        <w:trPr>
          <w:trHeight w:val="209"/>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 (excluding three months ended March 31, 2025)</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12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2028 and beyond</w:t>
            </w: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6,410</w:t>
            </w:r>
          </w:p>
        </w:tc>
        <w:tc>
          <w:tcPr>
            <w:tcW w:w="120" w:type="dxa"/>
            <w:vAlign w:val="bottom"/>
          </w:tcPr>
          <w:p>
            <w:pPr>
              <w:spacing w:after="0"/>
              <w:rPr>
                <w:sz w:val="18"/>
                <w:szCs w:val="18"/>
                <w:color w:val="auto"/>
              </w:rPr>
            </w:pPr>
          </w:p>
        </w:tc>
      </w:tr>
      <w:tr>
        <w:trPr>
          <w:trHeight w:val="210"/>
        </w:trPr>
        <w:tc>
          <w:tcPr>
            <w:tcW w:w="9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8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11,726</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80" w:type="dxa"/>
            <w:vAlign w:val="bottom"/>
          </w:tcPr>
          <w:p>
            <w:pPr>
              <w:spacing w:after="0"/>
              <w:rPr>
                <w:sz w:val="18"/>
                <w:szCs w:val="18"/>
                <w:color w:val="auto"/>
              </w:rPr>
            </w:pPr>
          </w:p>
        </w:tc>
        <w:tc>
          <w:tcPr>
            <w:tcW w:w="1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(2,811)</w:t>
            </w:r>
          </w:p>
        </w:tc>
      </w:tr>
      <w:tr>
        <w:trPr>
          <w:trHeight w:val="209"/>
        </w:trPr>
        <w:tc>
          <w:tcPr>
            <w:tcW w:w="9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Present value of operating lease obligations</w:t>
            </w:r>
          </w:p>
        </w:tc>
        <w:tc>
          <w:tcPr>
            <w:tcW w:w="180" w:type="dxa"/>
            <w:vAlign w:val="bottom"/>
            <w:tcBorders>
              <w:top w:val="single" w:sz="8" w:color="auto"/>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8,915</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80" w:type="dxa"/>
            <w:vAlign w:val="bottom"/>
          </w:tcPr>
          <w:p>
            <w:pPr>
              <w:spacing w:after="0"/>
              <w:rPr>
                <w:sz w:val="18"/>
                <w:szCs w:val="18"/>
                <w:color w:val="auto"/>
              </w:rPr>
            </w:pPr>
          </w:p>
        </w:tc>
        <w:tc>
          <w:tcPr>
            <w:tcW w:w="1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(1,061)</w:t>
            </w:r>
          </w:p>
        </w:tc>
      </w:tr>
      <w:tr>
        <w:trPr>
          <w:trHeight w:val="249"/>
        </w:trPr>
        <w:tc>
          <w:tcPr>
            <w:tcW w:w="9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operating lease obligations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7,854</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Related to this Brisbane Lease agreement, the Company entered into a letter of credit with a bank to deposit $388 in a separate account that is classified as restricted cash to serve as security rent deposit. This amount is included in other noncurrent assets in the accompanying consolidated balance sheets as of March 31,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LOAN PAYABLE</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January 15, 2021, the Company entered into a loan agreement with Oxford Finance LLC (the “Lender”) to borrow a term loan amount of $35,000 to be funded in three tranches (as amended, the “Loan Agreement”). Tranche A of $15,000 was wired to the Company on January 15, 2021. Tranche B of $10,000 expired on March 31, 2022. Tranche C of $10,000 is available at the Lender’s option.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23, 2022, the Company entered into a First Amendment to the Loan Agreement. The amendment modified the Loan Agreement as follows:</w:t>
      </w:r>
    </w:p>
    <w:p>
      <w:pPr>
        <w:spacing w:after="0" w:line="27" w:lineRule="exact"/>
        <w:rPr>
          <w:sz w:val="20"/>
          <w:szCs w:val="20"/>
          <w:color w:val="auto"/>
        </w:rPr>
      </w:pPr>
    </w:p>
    <w:p>
      <w:pPr>
        <w:jc w:val="both"/>
        <w:ind w:firstLine="8"/>
        <w:spacing w:after="0" w:line="253" w:lineRule="auto"/>
        <w:tabs>
          <w:tab w:leader="none" w:pos="2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Millendo Therapeutics US, Inc., a Delaware corporation and wholly owned subsidiary of the Company (“Millendo”), were joined as co-borrowers under the Loan Agreement; (ii) the interest-only repayment period was extended through December 31, 2023 (which interest-only period may be further extended through June 30, 2024 under certain circumstances); and (iii) a security interest in all of the assets of the Company, TempestTx and Millendo, including any intellectual property, was granted to the Lender. In addition, the Lender permitted a one-time prepayment in the amount of $5.0 million, which the Company paid on December 23, 2022.</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the amendment to the Loan Agreement, the term loan would have matured on August 1, 2025 and had an annual floating interest rate of 7.15% which is an Index Rate plus 7.10%. Index Rate is the greater of (i) 1-Month CME Term SOFR or (ii) 0.05%. In the fourth quarter of 2023, the Company achieved the circumstances necessary to extend the interest-only repayment period through June 30, 2024. Monthly principal payments of $733 were required to begin on July 1, 2024. Related to this borrowing, the Company recorded loan discounts totaling $898 and paid $95 of debt issuance costs. These amounts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would be amortized as additional interest expense over the life of the loan. As of March 31, 2025, the balance of the loan payable (net of debt issuance costs) was $4.2 million. The carrying value of the loan approximates fair value (Level 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8, 2025, the Company repaid the remaining principal and accrued interest of $3.5 million. Refer to Note 12 for further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2025 and 2024, total interest expense was $161 and $368, respectively.</w:t>
      </w:r>
    </w:p>
    <w:p>
      <w:pPr>
        <w:spacing w:after="0" w:line="181" w:lineRule="exact"/>
        <w:rPr>
          <w:sz w:val="20"/>
          <w:szCs w:val="20"/>
          <w:color w:val="auto"/>
        </w:rPr>
      </w:pPr>
    </w:p>
    <w:p>
      <w:pPr>
        <w:ind w:right="8740" w:firstLine="8"/>
        <w:spacing w:after="0" w:line="503" w:lineRule="auto"/>
        <w:tabs>
          <w:tab w:leader="none" w:pos="1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Authorized Stock</w:t>
      </w: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authorized to issue 100,000,000 shares of common stock, par value of $0.001 per share, and 5,000,000 shares of preferred stock, 100,000 of which have been designated as Series A Participating Preferred Stock (the “Series A Preferred Stock”), par value of $0.001 per share pursuant to the Company’s adoption the Rights Plan (as defined below). No shares of the Company’s Series A Participating Preferred Stock were outstanding as of March 31, 2025 and 2024. Stockholders are entitled to dividends as declared by the Board of Directors, subject to rights of holders of all classes of stock outstanding having priority rights as to dividends. There have been no dividends declared to date. The holders of each share of common stock are entitled to one vote and the holders of each share of Series A Preferred Stock, if issued, are entitled to 1,000 votes. Except for effecting or validating certain specific actions intended to protect the preferred stockholders, the holders of common stock vote together with preferred stockholders.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Plan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10, 2023, the Company’s Board of Directors adopted a limited duration stockholder rights plan (the “Rights Plan”), effective immediately, and declared a dividend of one preferred share purchase right (a “Right”) for each outstanding share of the Company’s common stock. The dividend was effective as of October 23, 2023 (the “Record Date”) with respect to stockholders of record on that date. The Rights will also attach to new common stock issued after the Record Date. Each Right entitles the registered holder to purchase from the Company one one-thousandth of a share of the Series A Preferred Stock at a price of $25.00 per one one-thousandth of a preferred share, subject to adjustment. The descriptions and terms of the Rights are set forth in a Rights Agreement, dated as of October 10, 2023 (the “Rights Agreement"), between the Company and Computershare Trust Company, NA.</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9, 2024, the Company entered into Amendment No. 1 (the “Amendment”) to the Rights Agreement. The Amendment extends the Final Expiration Date of the Rights Agreement until immediately following the Company’s 2025 Annual Meeting of Stockholders or, if the Company’s stockholders approve the Rights Plan at or prior to such meeting, to October 10, 2026, unless the Rights are earlier redeemed or exchanged by the Company. The Company does not have any obligation under the Rights Agreement to seek stockholder approval for the Rights Agreement.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5, 2024, the Company entered into Amendment No. 2 (the “Second Amendment”) to the Rights Agreement. The Second Amendment makes certain technical amendments to the rights and obligations of the Company’s Board of Directors to administer and make determinations with respect to the Rights Agreement and the rights issued thereunder. The Rights Agreement otherwise remains unmodified and in full force and effect in accordance with its terms.</w:t>
      </w:r>
    </w:p>
    <w:p>
      <w:pPr>
        <w:spacing w:after="0" w:line="149" w:lineRule="exact"/>
        <w:rPr>
          <w:sz w:val="20"/>
          <w:szCs w:val="20"/>
          <w:color w:val="auto"/>
        </w:rPr>
      </w:pPr>
    </w:p>
    <w:p>
      <w:pPr>
        <w:ind w:right="8220" w:firstLine="8"/>
        <w:spacing w:after="0" w:line="479" w:lineRule="auto"/>
        <w:tabs>
          <w:tab w:leader="none" w:pos="1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Equity Plans</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2011, Private Tempest adopted the 2011 Equity Incentive Plan (the “2011 Plan), and in 2017, Private Tempest adopted the 2017 Equity Incentive Plan (the “2017 Plan”), and together with the 2011 Plan, the “Tempest Prior Plans.” The Tempest Prior Plans have been terminated and no additional grants may be made under either plan. All stock awards granted under the Tempest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Prior Plans will remain subject to the terms of the applicable prior plan. As a result of the merger with Millendo, the Tempest Prior Plans were assumed by the Company.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29, 2019, the Board of Millendo adopted the 2019 Equity Incentive Plan (the “2019 Plan”), subject to approval by the Company’s stockholders, and became effective with such stockholder approval on June 11, 2019. On June 17, 2022, the Company’s stockholders approved the Amended and Restated 2019 Equity Incentive Plan (the “A&amp;R 2019 Plan”), which amended and restated the 2019 Plan and was the successor to, and replacement of, the 2019 Plan.</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of Tempest adopted the Amended and Restated 2023 Equity Incentive Plan (the “2023 Plan”) on April 30, 2023, subject to approval by the Company’s stockholders. On June 15, 2023, the Company’s stockholders approved the 2023 Plan, which amended and restated the A&amp;R 2019 Plan and will be a successor to, and replacement of, the A&amp;R 2019 Plan. The number of shares of the Company's common stock reserved for issuance under the 2023 Plan will automatically increase on January 1st of each year, for a period of 10 years, from January 1, 2024 continuing through January 1, 2033, by 4% of the total number of shares of the Company's common stock outstanding on December 31st of the preceding calendar year, or a lesser number of shares as may be determined by the Board of Directors. Accordingly, on January 1, 2025, the common stock reserved for issuance was increased by 135,297 shares. As of March 31, 2025, there were 47,745 shares available for future grant under the 2023 Plan.</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2023 Plan allows the Company to grant stock awards to employees, directors and consultants of the Company, including incentive stock options (“ISOs”), non-qualified stock options (“NSOs”), stock appreciation rights, restricted stock awards, restricted stock unit awards and other stock awards.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of Tempest adopted the 2023 Inducement Plan (“2023 Inducement Plan”) on June 21, 2023, pursuant to which the Company reserved 88,461 shares of its common stock to be used exclusively for grants of awards to individuals who were not previously employees or directors of the Company, as an inducement material to the individual’s entry into employment with the Company within the meaning of Rule 5635(c)(4) of the Nasdaq Listing Rules. The 2023 Inducement Plan was approved by the Company’s Board of Directors without stockholder approval in accordance with such rule. As of March 31, 2025, there were 67,615 shares available for future grant under the 2023 Inducement Plan.</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measures employee and non-employee stock-based awards at grant date fair value and records compensation expense on a straight-line basis over the vesting period of the award.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Ownership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Millendo Board adopted the 2019 Employee Stock Purchase Plan on April 29, 2019, which became effective upon stockholder approval on June 11, 2019. On June 17, 2022, the Company’s stockholders approved the Amended and Restated 2019 Employee Stock Purchase Plan (the “2019 ESPP”). The 2019 ESPP enables employees to purchase shares of the Company's common stock through offerings of rights to purchase the Company's common stock to all eligible employees.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2019 ESPP provides that the number of shares of common stock reserved for issuance under the 2019 ESPP will automatically increase on January 1, 2023 and continuing through (and including) January 1, 2029, by the lesser of 1.5% of the total number of shares of Common Stock outstanding on December 31st of the preceding calendar year, (ii) 38,461 shares of Common Stock, or (iii) such lesser number of shares of Common Stock as determined by the Board of Directors (which may be zero). On January 1, 2025, the common stock reserved for issuance was increased by 38,461 shares.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2025, 70,914 shares of common stock remained available for future issuance under the 2019 ESPP. During the three months ended March 31, 2025, 3,649 shares of common stock were issued under the 2019 ESPP.</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Options to purchase the Company’s common stock may be granted at a price not less than the fair market value in the case of both NSOs and ISOs, except for an options holder who owns more than 10% of the voting power of all classes of stock of the Company, in which case the exercise price shall be no less than 110% of the fair market value per share on the grant date. Stock options granted under the Plans generally vest over four years and expire no later than ten (10) years from the date of grant. Vested options can be exercised at any time.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shows the stock option activities for the three months ended March 31, 2025 and 2024:</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60" w:type="dxa"/>
            <w:vAlign w:val="bottom"/>
            <w:gridSpan w:val="6"/>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Weighted-Average</w:t>
            </w:r>
          </w:p>
        </w:tc>
        <w:tc>
          <w:tcPr>
            <w:tcW w:w="0" w:type="dxa"/>
            <w:vAlign w:val="bottom"/>
          </w:tcPr>
          <w:p>
            <w:pPr>
              <w:spacing w:after="0"/>
              <w:rPr>
                <w:sz w:val="1"/>
                <w:szCs w:val="1"/>
                <w:color w:val="auto"/>
              </w:rPr>
            </w:pPr>
          </w:p>
        </w:tc>
      </w:tr>
      <w:tr>
        <w:trPr>
          <w:trHeight w:val="203"/>
        </w:trPr>
        <w:tc>
          <w:tcPr>
            <w:tcW w:w="5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60" w:type="dxa"/>
            <w:vAlign w:val="bottom"/>
            <w:gridSpan w:val="6"/>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3"/>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0" w:type="dxa"/>
            <w:vAlign w:val="bottom"/>
          </w:tcPr>
          <w:p>
            <w:pPr>
              <w:spacing w:after="0"/>
              <w:rPr>
                <w:sz w:val="1"/>
                <w:szCs w:val="1"/>
                <w:color w:val="auto"/>
              </w:rPr>
            </w:pPr>
          </w:p>
        </w:tc>
      </w:tr>
      <w:tr>
        <w:trPr>
          <w:trHeight w:val="215"/>
        </w:trPr>
        <w:tc>
          <w:tcPr>
            <w:tcW w:w="5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2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451"/>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Balance—December 31, 2024</w:t>
            </w: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99"/>
              </w:rPr>
              <w:t>320,013</w:t>
            </w:r>
          </w:p>
        </w:tc>
        <w:tc>
          <w:tcPr>
            <w:tcW w:w="2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86.06</w:t>
            </w:r>
          </w:p>
        </w:tc>
        <w:tc>
          <w:tcPr>
            <w:tcW w:w="0" w:type="dxa"/>
            <w:vAlign w:val="bottom"/>
          </w:tcPr>
          <w:p>
            <w:pPr>
              <w:spacing w:after="0"/>
              <w:rPr>
                <w:sz w:val="1"/>
                <w:szCs w:val="1"/>
                <w:color w:val="auto"/>
              </w:rPr>
            </w:pPr>
          </w:p>
        </w:tc>
      </w:tr>
      <w:tr>
        <w:trPr>
          <w:trHeight w:val="216"/>
        </w:trPr>
        <w:tc>
          <w:tcPr>
            <w:tcW w:w="5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130,091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11.20</w:t>
            </w: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Cancelled and forfeited</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5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Balance—March 31, 2025</w:t>
            </w:r>
          </w:p>
        </w:tc>
        <w:tc>
          <w:tcPr>
            <w:tcW w:w="1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450,104</w:t>
            </w:r>
          </w:p>
        </w:tc>
        <w:tc>
          <w:tcPr>
            <w:tcW w:w="24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64.44</w:t>
            </w:r>
          </w:p>
        </w:tc>
        <w:tc>
          <w:tcPr>
            <w:tcW w:w="0" w:type="dxa"/>
            <w:vAlign w:val="bottom"/>
          </w:tcPr>
          <w:p>
            <w:pPr>
              <w:spacing w:after="0"/>
              <w:rPr>
                <w:sz w:val="1"/>
                <w:szCs w:val="1"/>
                <w:color w:val="auto"/>
              </w:rPr>
            </w:pPr>
          </w:p>
        </w:tc>
      </w:tr>
      <w:tr>
        <w:trPr>
          <w:trHeight w:val="413"/>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Balance—December 31, 2023</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273,393</w:t>
            </w:r>
          </w:p>
        </w:tc>
        <w:tc>
          <w:tcPr>
            <w:tcW w:w="2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94.64</w:t>
            </w: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51,136</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60.06</w:t>
            </w:r>
          </w:p>
        </w:tc>
        <w:tc>
          <w:tcPr>
            <w:tcW w:w="0" w:type="dxa"/>
            <w:vAlign w:val="bottom"/>
          </w:tcPr>
          <w:p>
            <w:pPr>
              <w:spacing w:after="0"/>
              <w:rPr>
                <w:sz w:val="1"/>
                <w:szCs w:val="1"/>
                <w:color w:val="auto"/>
              </w:rPr>
            </w:pPr>
          </w:p>
        </w:tc>
      </w:tr>
      <w:tr>
        <w:trPr>
          <w:trHeight w:val="216"/>
        </w:trPr>
        <w:tc>
          <w:tcPr>
            <w:tcW w:w="5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(6,284)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24.83</w:t>
            </w: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Cancelled and forfeited</w:t>
            </w: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(15,287)</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108.03</w:t>
            </w:r>
          </w:p>
        </w:tc>
        <w:tc>
          <w:tcPr>
            <w:tcW w:w="0" w:type="dxa"/>
            <w:vAlign w:val="bottom"/>
          </w:tcPr>
          <w:p>
            <w:pPr>
              <w:spacing w:after="0"/>
              <w:rPr>
                <w:sz w:val="1"/>
                <w:szCs w:val="1"/>
                <w:color w:val="auto"/>
              </w:rPr>
            </w:pPr>
          </w:p>
        </w:tc>
      </w:tr>
      <w:tr>
        <w:trPr>
          <w:trHeight w:val="209"/>
        </w:trPr>
        <w:tc>
          <w:tcPr>
            <w:tcW w:w="57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Balance—March 31, 2024</w:t>
            </w:r>
          </w:p>
        </w:tc>
        <w:tc>
          <w:tcPr>
            <w:tcW w:w="118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500" w:type="dxa"/>
            <w:vAlign w:val="bottom"/>
            <w:tcBorders>
              <w:top w:val="single" w:sz="8" w:color="CFF0FC"/>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302,958</w:t>
            </w:r>
          </w:p>
        </w:tc>
        <w:tc>
          <w:tcPr>
            <w:tcW w:w="24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120" w:type="dxa"/>
            <w:vAlign w:val="bottom"/>
            <w:tcBorders>
              <w:top w:val="single" w:sz="8" w:color="CFF0FC"/>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86.84</w:t>
            </w:r>
          </w:p>
        </w:tc>
        <w:tc>
          <w:tcPr>
            <w:tcW w:w="0" w:type="dxa"/>
            <w:vAlign w:val="bottom"/>
          </w:tcPr>
          <w:p>
            <w:pPr>
              <w:spacing w:after="0"/>
              <w:rPr>
                <w:sz w:val="1"/>
                <w:szCs w:val="1"/>
                <w:color w:val="auto"/>
              </w:rPr>
            </w:pPr>
          </w:p>
        </w:tc>
      </w:tr>
      <w:tr>
        <w:trPr>
          <w:trHeight w:val="20"/>
        </w:trPr>
        <w:tc>
          <w:tcPr>
            <w:tcW w:w="71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at March 31, 2025:</w:t>
            </w:r>
          </w:p>
        </w:tc>
        <w:tc>
          <w:tcPr>
            <w:tcW w:w="5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180" w:type="dxa"/>
            <w:vAlign w:val="bottom"/>
            <w:gridSpan w:val="3"/>
            <w:vMerge w:val="continue"/>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5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Remaining</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Contractual</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215"/>
        </w:trPr>
        <w:tc>
          <w:tcPr>
            <w:tcW w:w="5760" w:type="dxa"/>
            <w:vAlign w:val="bottom"/>
          </w:tcPr>
          <w:p>
            <w:pPr>
              <w:spacing w:after="0"/>
              <w:rPr>
                <w:sz w:val="18"/>
                <w:szCs w:val="18"/>
                <w:color w:val="auto"/>
              </w:rPr>
            </w:pPr>
          </w:p>
        </w:tc>
        <w:tc>
          <w:tcPr>
            <w:tcW w:w="11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40" w:type="dxa"/>
            <w:vAlign w:val="bottom"/>
          </w:tcPr>
          <w:p>
            <w:pPr>
              <w:spacing w:after="0"/>
              <w:rPr>
                <w:sz w:val="18"/>
                <w:szCs w:val="18"/>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Life (In Years)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Intrinsic Value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w:t>
            </w: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450,104</w:t>
            </w:r>
          </w:p>
        </w:tc>
        <w:tc>
          <w:tcPr>
            <w:tcW w:w="1320" w:type="dxa"/>
            <w:vAlign w:val="bottom"/>
            <w:gridSpan w:val="3"/>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8.46</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5"/>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64.44</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450,104</w:t>
            </w:r>
          </w:p>
        </w:tc>
        <w:tc>
          <w:tcPr>
            <w:tcW w:w="132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8.46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64.44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Exercisable</w:t>
            </w: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159,769</w:t>
            </w:r>
          </w:p>
        </w:tc>
        <w:tc>
          <w:tcPr>
            <w:tcW w:w="1320" w:type="dxa"/>
            <w:vAlign w:val="bottom"/>
            <w:gridSpan w:val="3"/>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7.44</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5"/>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86.16</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-2356485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-2339340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-1645285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and 2024, the Company granted employees and non-employees stock options to purchase 130,091 and 51,136 shares of common stock, respectively, with a weighted-average grant date fair value of $11.20 and $60.06 per share, respectively. As of March 31, 2025 and 2024, total unrecognized compensation costs related to unvested employee stock options were $12,242 and $15,833, respectively. These costs are expected to be recognized over a weighted-average period of approximately 2.5 years and 3.3 years, respectively.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estimated the fair value of stock options using the Black-Scholes option pricing valuation model. The fair value of employee and non-employee stock options is being amortized on the straight-line basis over the requisite service period of the awards. The fair value of employee and non-employee stock options was estimated using the following assumptions for the three months ended March 31, 2025 and 2024:</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left="7720"/>
        <w:spacing w:after="0"/>
        <w:rPr>
          <w:sz w:val="20"/>
          <w:szCs w:val="20"/>
          <w:color w:val="auto"/>
        </w:rPr>
      </w:pPr>
      <w:r>
        <w:rPr>
          <w:rFonts w:ascii="Times New Roman" w:cs="Times New Roman" w:eastAsia="Times New Roman" w:hAnsi="Times New Roman"/>
          <w:sz w:val="18"/>
          <w:szCs w:val="18"/>
          <w:b w:val="1"/>
          <w:bCs w:val="1"/>
          <w:color w:val="auto"/>
        </w:rPr>
        <w:t>For the Three Months</w:t>
      </w:r>
    </w:p>
    <w:p>
      <w:pPr>
        <w:spacing w:after="0" w:line="31" w:lineRule="exact"/>
        <w:rPr>
          <w:sz w:val="20"/>
          <w:szCs w:val="20"/>
          <w:color w:val="auto"/>
        </w:rPr>
      </w:pPr>
    </w:p>
    <w:p>
      <w:pPr>
        <w:jc w:val="center"/>
        <w:ind w:left="7720"/>
        <w:spacing w:after="0"/>
        <w:rPr>
          <w:sz w:val="20"/>
          <w:szCs w:val="20"/>
          <w:color w:val="auto"/>
        </w:rPr>
      </w:pPr>
      <w:r>
        <w:rPr>
          <w:rFonts w:ascii="Times New Roman" w:cs="Times New Roman" w:eastAsia="Times New Roman" w:hAnsi="Times New Roman"/>
          <w:sz w:val="18"/>
          <w:szCs w:val="18"/>
          <w:b w:val="1"/>
          <w:bCs w:val="1"/>
          <w:color w:val="auto"/>
        </w:rPr>
        <w:t>Ended 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40" w:type="dxa"/>
            <w:vAlign w:val="bottom"/>
          </w:tcPr>
          <w:p>
            <w:pPr>
              <w:spacing w:after="0"/>
              <w:rPr>
                <w:sz w:val="17"/>
                <w:szCs w:val="17"/>
                <w:color w:val="auto"/>
              </w:rPr>
            </w:pPr>
          </w:p>
        </w:tc>
        <w:tc>
          <w:tcPr>
            <w:tcW w:w="1660" w:type="dxa"/>
            <w:vAlign w:val="bottom"/>
            <w:tcBorders>
              <w:top w:val="single" w:sz="8" w:color="auto"/>
              <w:bottom w:val="single" w:sz="8" w:color="auto"/>
            </w:tcBorders>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top w:val="single" w:sz="8" w:color="auto"/>
            </w:tcBorders>
          </w:tcPr>
          <w:p>
            <w:pPr>
              <w:spacing w:after="0"/>
              <w:rPr>
                <w:sz w:val="17"/>
                <w:szCs w:val="17"/>
                <w:color w:val="auto"/>
              </w:rPr>
            </w:pPr>
          </w:p>
        </w:tc>
        <w:tc>
          <w:tcPr>
            <w:tcW w:w="1660" w:type="dxa"/>
            <w:vAlign w:val="bottom"/>
            <w:tcBorders>
              <w:top w:val="single" w:sz="8" w:color="auto"/>
              <w:bottom w:val="single" w:sz="8" w:color="auto"/>
            </w:tcBorders>
          </w:tcPr>
          <w:p>
            <w:pPr>
              <w:jc w:val="right"/>
              <w:ind w:right="595"/>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6.0 - 6.1</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 - 116%</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 - 4.4%</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 - 3.9%</w:t>
            </w:r>
          </w:p>
        </w:tc>
      </w:tr>
      <w:tr>
        <w:trPr>
          <w:trHeight w:val="234"/>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Dividends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Expected Term</w:t>
      </w:r>
      <w:r>
        <w:rPr>
          <w:rFonts w:ascii="Times New Roman" w:cs="Times New Roman" w:eastAsia="Times New Roman" w:hAnsi="Times New Roman"/>
          <w:sz w:val="18"/>
          <w:szCs w:val="18"/>
          <w:color w:val="auto"/>
        </w:rPr>
        <w:t>—The expected term of options granted represents the period of time that the options are expected to be outstanding. Due to the lack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historical exercise history, the expected term of the Company’s employee stock options has been determined utilizing the simplified method for awards that qualify as plain-vanilla options.</w:t>
      </w:r>
    </w:p>
    <w:p>
      <w:pPr>
        <w:spacing w:after="0" w:line="13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Expected Volatility</w:t>
      </w:r>
      <w:r>
        <w:rPr>
          <w:rFonts w:ascii="Times New Roman" w:cs="Times New Roman" w:eastAsia="Times New Roman" w:hAnsi="Times New Roman"/>
          <w:sz w:val="18"/>
          <w:szCs w:val="18"/>
          <w:color w:val="auto"/>
        </w:rPr>
        <w:t>—The expected stock price volatility assumption was determined by examining the historical volatilities for industry peers,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did not have any trading history for the Company’s common stock. The Company will continue to analyze the historical stock price volatility and expected term assumption as more historical data for the Company’s common stock becomes available.</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Risk-Free Interest Rate</w:t>
      </w:r>
      <w:r>
        <w:rPr>
          <w:rFonts w:ascii="Times New Roman" w:cs="Times New Roman" w:eastAsia="Times New Roman" w:hAnsi="Times New Roman"/>
          <w:sz w:val="18"/>
          <w:szCs w:val="18"/>
          <w:color w:val="auto"/>
        </w:rPr>
        <w:t>—The risk-free interest rate assumption is based on the U.S. Treasury instruments whose term was consistent with the expected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term of the Company’s stock options.</w:t>
      </w:r>
    </w:p>
    <w:p>
      <w:pPr>
        <w:spacing w:after="0" w:line="11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Dividends</w:t>
      </w:r>
      <w:r>
        <w:rPr>
          <w:rFonts w:ascii="Times New Roman" w:cs="Times New Roman" w:eastAsia="Times New Roman" w:hAnsi="Times New Roman"/>
          <w:sz w:val="18"/>
          <w:szCs w:val="18"/>
          <w:color w:val="auto"/>
        </w:rPr>
        <w:t>—The Company has not paid any cash dividends on common stock since inception and does not anticipate paying any dividends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foreseeable future. Consequently, an expected dividend yield of zero was used.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stock-based compensation expense recognized in the Company’s condensed consolidated statement of operations for the three months ended March 31, 2025:</w:t>
      </w:r>
    </w:p>
    <w:p>
      <w:pPr>
        <w:spacing w:after="0" w:line="158"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210"/>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920" w:type="dxa"/>
            <w:vAlign w:val="bottom"/>
            <w:gridSpan w:val="2"/>
            <w:shd w:val="clear" w:color="auto" w:fill="CFF0FC"/>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589</w:t>
            </w:r>
          </w:p>
        </w:tc>
        <w:tc>
          <w:tcPr>
            <w:tcW w:w="540" w:type="dxa"/>
            <w:vAlign w:val="bottom"/>
            <w:gridSpan w:val="2"/>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546</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772</w:t>
            </w:r>
          </w:p>
        </w:tc>
      </w:tr>
      <w:tr>
        <w:trPr>
          <w:trHeight w:val="250"/>
        </w:trPr>
        <w:tc>
          <w:tcPr>
            <w:tcW w:w="4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8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RETIREMENT PLAN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participates in a qualified 401(k) Plan sponsored by its professional service organization. The retirement plan is a defined contribution plan covering eligible employees. Participants may contribute a portion of their annual compensation limited to a maximum annual amount set by the Internal Revenue Service. During the three months ended March 31, 2025 and 2024, the Company contributed $80 and $51 to the 401(k) Plan, respectively.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NET LOSS PER SHARE</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Company’s basis in diluted net loss per share, as adjusted to give effect to the reverse stock split for the three months ended March 31, 2025 and 2024 (in thousands, except share and per share amounts):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60" w:type="dxa"/>
            <w:vAlign w:val="bottom"/>
            <w:gridSpan w:val="5"/>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199"/>
        </w:trPr>
        <w:tc>
          <w:tcPr>
            <w:tcW w:w="7560" w:type="dxa"/>
            <w:vAlign w:val="bottom"/>
            <w:tcBorders>
              <w:bottom w:val="single" w:sz="8" w:color="CCEEFF"/>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210"/>
        </w:trPr>
        <w:tc>
          <w:tcPr>
            <w:tcW w:w="7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(10,860)</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(7,904)</w:t>
            </w:r>
          </w:p>
        </w:tc>
      </w:tr>
      <w:tr>
        <w:trPr>
          <w:trHeight w:val="216"/>
        </w:trPr>
        <w:tc>
          <w:tcPr>
            <w:tcW w:w="7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2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3,437,671</w:t>
            </w:r>
          </w:p>
        </w:tc>
        <w:tc>
          <w:tcPr>
            <w:tcW w:w="3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1,710,323</w:t>
            </w:r>
          </w:p>
        </w:tc>
      </w:tr>
      <w:tr>
        <w:trPr>
          <w:trHeight w:val="20"/>
        </w:trPr>
        <w:tc>
          <w:tcPr>
            <w:tcW w:w="7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shares used in computing basic and diluted net loss per share</w:t>
            </w:r>
          </w:p>
        </w:tc>
        <w:tc>
          <w:tcPr>
            <w:tcW w:w="3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3,437,671</w:t>
            </w: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1,710,323</w:t>
            </w:r>
          </w:p>
        </w:tc>
      </w:tr>
      <w:tr>
        <w:trPr>
          <w:trHeight w:val="20"/>
        </w:trPr>
        <w:tc>
          <w:tcPr>
            <w:tcW w:w="75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6"/>
        </w:trPr>
        <w:tc>
          <w:tcPr>
            <w:tcW w:w="7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attributable to common stockholders—basic and diluted</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(3.16)</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(4.62)</w:t>
            </w:r>
          </w:p>
        </w:tc>
      </w:tr>
      <w:tr>
        <w:trPr>
          <w:trHeight w:val="20"/>
        </w:trPr>
        <w:tc>
          <w:tcPr>
            <w:tcW w:w="7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-187960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March 31, 2025 and 2024, the Company’s potentially dilutive securities included unvested stock warrants and stock options, which have been excluded from the computation of diluted net loss per share attributable to common stockholders as the effect would be anti-dilutive. The issuance of pre-funded warrants and vested RSUs have been included in the computation of basic and diluted net loss per share attributable to common stockholders. Based on the amounts outstanding as of March 31, 2025 and 2024, the Company excluded the following potential common shares from the computation of diluted net loss per share attributable to common stockholders because including them would have had an anti-dilutive effect, as adjusted to give effect to the reverse stock split:</w:t>
      </w:r>
    </w:p>
    <w:p>
      <w:pPr>
        <w:spacing w:after="0" w:line="183"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8"/>
          <w:szCs w:val="18"/>
          <w:b w:val="1"/>
          <w:bCs w:val="1"/>
          <w:color w:val="auto"/>
        </w:rPr>
        <w:t>As of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60" w:type="dxa"/>
            <w:vAlign w:val="bottom"/>
            <w:tcBorders>
              <w:bottom w:val="single" w:sz="8" w:color="CCEEFF"/>
            </w:tcBorders>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209"/>
        </w:trPr>
        <w:tc>
          <w:tcPr>
            <w:tcW w:w="87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99"/>
              </w:rPr>
              <w:t>450,104</w:t>
            </w:r>
          </w:p>
        </w:tc>
        <w:tc>
          <w:tcPr>
            <w:tcW w:w="1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302,958</w:t>
            </w:r>
          </w:p>
        </w:tc>
      </w:tr>
      <w:tr>
        <w:trPr>
          <w:trHeight w:val="216"/>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0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464</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464</w:t>
            </w:r>
          </w:p>
        </w:tc>
      </w:tr>
      <w:tr>
        <w:trPr>
          <w:trHeight w:val="20"/>
        </w:trPr>
        <w:tc>
          <w:tcPr>
            <w:tcW w:w="7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7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99"/>
              </w:rPr>
              <w:t>450,568</w:t>
            </w:r>
          </w:p>
        </w:tc>
        <w:tc>
          <w:tcPr>
            <w:tcW w:w="1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303,422</w:t>
            </w:r>
          </w:p>
        </w:tc>
      </w:tr>
      <w:tr>
        <w:trPr>
          <w:trHeight w:val="20"/>
        </w:trPr>
        <w:tc>
          <w:tcPr>
            <w:tcW w:w="75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-25400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operates and manages its business as one reportable and operating segment, which is the business of discovery and development of small molecule drugs to treat cancers. The Company’s chief operating decision maker (“CODM”) is its Chief Executive Officer. The determination of a single business segment is consistent with the consolidated financial information regularly reviewed by the CODM for purposes of assessing performance, allocating resources and planning and forecasting future periods.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the Company has not generated revenue, the CODM assesses Company performance through the achievement of research goals towards advancing the Company’s product candidates through stages of development. As such, the CODM is regularly provided with budgeted and forecasted expense information as well as the Company’s Consolidated Financial Statements which is used to determine the Company’s liquidity needs and pipeline resource allocation.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CODM regularly reviews and evaluates research and development expenses and uses consolidated net loss, as reported on the Company’s Consolidated Statements of Operations, to assess the performance of the segment and to allocate resources. The consolidated net loss and significant segment expenses reviewed by the CODM are reported on the Company’s Consolidated Statements of Operations for the three months ended March 31, 2025 and 2024. The measure of segment assets is reported on the Consolidated Balance Sheet as total assets. The CODM monitors the Company's cash and cash equivalents as reported on the Consolidated Balance Sheets.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financial information required for segment reporting that is provided to the chief operating decision maker is contained within the financial statements and notes to financial statements.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Reduction in Force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17, 2025, the Company adopted a plan to extend its capital resources in connection with initiating the previously announced process to explore a full range of strategic alternatives. As part of the plan, the Company reduced its workforce by 21 of 26 full-time employees, effective April 30, 2025. The Company anticipates that key employees within this group will transition to consulting agreements and continue to be available to the Company. The Company estimates that it will incur $1.5 million of cash expenditures, consisting primarily of one-time severance payments, benefits and other related costs, with the majority of such costs to be incurred in the second quarter of 2025. The estimate excludes non-cash charges associated with equity-based compensation related to accelerated vesting of awards which cannot be estimated at this time and is not expected to be material.</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Repayment of Debt</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8, 2025, using cash on hand, the Company made a repayment of $3.5 million in full satisfaction of the aggregate outstanding amount, including accrued interest and exit fees as of such date, under the Loan Agreement with the Lender. The payoff amount paid by the Company in connection with the termination of the Loan Agreement was pursuant to a payoff letter with the Lender and included payment of $0.6 million as an exit fee. Upon making the repayment, the Loan Agreement was terminated in accordance with its terms and all liens and security interests granted thereunder to secure the obligations were released. Refer to Note 6 for further information regarding the Loan Agreement.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8, 2025, the Company effected the one-for-thirteen (1:13) Reverse Stock Split. Pursuant to their terms, a proportionate adjustment was made to the per share exercise price and number of shares issuable under all of the Company’s outstanding options and warrants, and the number of shares authorized for issuance pursuant to the Company’s equity incentive plans have been reduced proportionately, with any fractional shares rounded down to the next whole share. The Reverse Stock Split did not reduce the number of authorized shares of common stock and did not alter the par value. No fractional shares were issued as a result of the Reverse Stock Split. Stockholders of record who would have otherwise been entitled to receive a fractional share received a cash payment in lieu thereof.</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of our financial condition and results of operations in conjunction with our unaudited condensed financial statements and the notes thereto included elsewhere in this Quarterly Report on Form 10-Q, and our audited consolidated financial statements and related notes for the year ended December 31, 2024, filed with the U.S. Securities and Exchange Commission ("SEC") on March 27, 2025. This discussion and other parts of this report contains forward-looking statements that involve risks and uncertainties, such as our plans, objectives, expectations, intentions, and beliefs, as well as assumptions made by, and information currently available to, our management. Our actual results could differ materially from those discussed in these forward-looking statements. Factors that could cause or contribute to such differences include, but are not limited to, those discussed in the section of this report entitled “Risk Factors,” under Part II, Item 1A of this report and those discussed in our other disclosures and filings with the SEC.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clinical-stage biotechnology company with a diverse portfolio of targeted and immune-mediated product candidates with the potential to be first-in-class to treat a wide range of cancers. Our novel programs range from early research to the lead program, amezalpat (previously known as TPST-1120), that, subject to the need for additional resources, is ready to begin a pivotal study in first-line hepatocellular carcinoma (“HCC”). In addition to amezalpat, our second clinical-stage therapeutic product candidate is TPST-1495, which we expect to start a Phase 2 study in Familial Adenomatous Polyposis (“FAP”) this year. We believe both amezalpat and TPST-1495 are the first clinical-stage molecules designed to inhibit their respective targets.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philosophy is to build a company based upon not only good ideas and creative science, but also upon the efficient translation of those ideas into therapies that will improve patients’ lives. Each of our programs are designed to provide different and independent approaches to fighting cancer, providing a portfolio of truly diversified assets. Given market conditions, in April 2025, we announced plans to explore a full range of strategic alternatives to advance our promising programs.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Amezalpat (TPST-1120) Clinical Update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Amezalpat is an oral, small molecule, selective antagonist of peroxisome proliferator-activated receptor alpha (“PPARα”) being developed for the treatment of first-line unresectable or metastatic HCC.</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2024, we unveiled positive survival data from the ongoing global randomized Phase 1b/2 clinical study demonstrating that amezalpat delivered a six-month improvement in median overall survival (“OS”) with a hazard ratio (“HR”) of 0.65 when combined with atezolizumab and bevacizumab in comparison to atezolizumab and bevacizumab alone, the standard of care, in the first-line treatment of patients with unresectable or metastatic HCC. Additionally, the survival benefit was preserved across key subpopulations, including patients with PD-L1 negative disease and β-catenin mutated disease, consistent with amezalpat’s proposed mechanism of action targeting both tumor cells directly and the patient’s immune system.</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August 2024, we announced the successful completion of our end-of-Phase 2 meeting with the U.S. Food and Drug Administration (“FDA”) regarding the development of amezalpat for the treatment of first-line unresectable or metastatic HCC. The FDA provided positive feedback on the pivotal Phase 3 clinical trial design, which closely mirrors the positive randomized Phase 2 study. The planned Phase 3 trial is designed to use the current, Phase 2 amezalpat dose and schedule in combination with atezolizumab and bevacizumab and will be compared to atezolizumab and bevacizumab alone, the standard of care. The primary endpoint of the trial will be OS. Additionally, the FDA agreed to a pre-specified early efficacy analysis, which, if met, would potentially reduce the time to primary read-out by up to eight months.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2024, we received a “Study May Proceed” letter from the FDA, authorizing the initiation of our pivotal Phase 3 trial. In January 2025, the FDA granted Orphan Drug Designation (“ODD”) for amezalpat for the treatment of patients with HCC. In February 2025, the FDA granted Fast Track Designation (“FTD”), underscoring the agency’s recognition of the urgent need for new treatment options for HCC. These designations provide potential regulatory benefits, including increased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engagement with the FDA, eligibility for accelerated approval and priority review, and, for ODD, potential market exclusivity upon approval.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TPST-1495</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second clinical program, TPST-1495, is a novel, small-molecule dual antagonist of the EP2 and EP4 receptors of prostaglandin E2 (“PGE2”), a pathway implicated in multiple cancers. Our development strategy for TPST-1495 includes evaluation in FAP, a rare genetic disorder that significantly increases the risk of gastrointestinal cancers and for which there are no approved systemic therapies. Given that prostaglandin signaling is also implicated in FAP and based on positive preclinical data in a relevant mouse model, we believe there is strong mechanistic support for this approach.</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2025, the Cancer Prevention Clinical Trials Network (“CP-CTNet”) received a “Study May Proceed” letter from the FDA, authorizing the initiation of a National Cancer Institute (“NCI”)-funded Phase 2 clinical trial evaluating TPST-1495 in patients with FAP. This trial, run by CP-CTNet and financially supported by the NCI’s Division of Cancer Prevention, underscores the urgent need for innovative cancer prevention strategies in high-risk patient populations. The Phase 2 study is expected to begin in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Future Milestones</w:t>
      </w:r>
    </w:p>
    <w:p>
      <w:pPr>
        <w:spacing w:after="0" w:line="229" w:lineRule="exact"/>
        <w:rPr>
          <w:sz w:val="20"/>
          <w:szCs w:val="20"/>
          <w:color w:val="auto"/>
        </w:rPr>
      </w:pPr>
    </w:p>
    <w:p>
      <w:pPr>
        <w:jc w:val="both"/>
        <w:ind w:left="1000" w:right="500" w:hanging="483"/>
        <w:spacing w:after="0" w:line="258"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need for additional resources, advance amezalpat into a pivotal Phase 3 study in first-line HCC patients where amezalpat will be studied in a combination treatment and compared to a standard-of-care therapy. We believe the continued positive results from the ongoing randomized Phase 1b/2 study provides strategic opportunities for us, and we received positive feedback from the FDA and European Medicines Agency (“EMA”) on the pivotal Phase 3 clinical trial design. The program may also may warrant further development in RCC and CCA based on the Phase 1 data presented at ASCO 2022.</w:t>
      </w:r>
    </w:p>
    <w:p>
      <w:pPr>
        <w:spacing w:after="0" w:line="183" w:lineRule="exact"/>
        <w:rPr>
          <w:rFonts w:ascii="Times New Roman" w:cs="Times New Roman" w:eastAsia="Times New Roman" w:hAnsi="Times New Roman"/>
          <w:sz w:val="18"/>
          <w:szCs w:val="18"/>
          <w:color w:val="auto"/>
        </w:rPr>
      </w:pPr>
    </w:p>
    <w:p>
      <w:pPr>
        <w:ind w:left="1000" w:hanging="483"/>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Explore TPST-1495 in a Phase 2 study in patients with FAP with the CP-CTNet in 2025.</w:t>
      </w:r>
    </w:p>
    <w:p>
      <w:pPr>
        <w:spacing w:after="0" w:line="225" w:lineRule="exact"/>
        <w:rPr>
          <w:rFonts w:ascii="Times New Roman" w:cs="Times New Roman" w:eastAsia="Times New Roman" w:hAnsi="Times New Roman"/>
          <w:sz w:val="18"/>
          <w:szCs w:val="18"/>
          <w:color w:val="auto"/>
        </w:rPr>
      </w:pPr>
    </w:p>
    <w:p>
      <w:pPr>
        <w:jc w:val="both"/>
        <w:ind w:left="1000" w:right="520" w:hanging="483"/>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Explore strategic and business development opportunities to maximize the potential of our pipeline and extend financial resources. We believe that our pipeline has broad potential reach and partnerships that bring in additional expertise and/or geographic presence could be important to increase the likelihood of success. We currently own all rights to our programs.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8, 2025, we effected a one-for-thirteen (1:13) reverse stock split (the “Reverse Stock Split”). Pursuant to their terms, a proportionate adjustment was made to the per share exercise price and number of shares issuable under all of the Company’s outstanding options and warrants, and the number of shares authorized for issuance pursuant to the Company’s equity incentive plans have been reduced proportionately. The Reverse Stock Split did not reduce the number of authorized shares of common stock and did not alter the par value.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share and per share amounts of common stock presented in this Quarterly Report on Form 10-Q have been retroactively adjusted to reflect the Reverse Stock Split. Refer to Note 12 of our unaudited condensed financial statements and the notes thereto included elsewhere in this Quarterly Report on Form 10-Q for further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Review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2025, we announced plans to explore a full range of strategic alternatives to advance its promising clinical stage programs and maximize stockholder value. Strategic alternatives under consideration may include, but are not limited to, mergers, acquisition, partnerships, joint ventures, licensing arrangements or other strategic transactions. We have retained MTS Health Partners, L.P., an internationally recognized financial advisor with substantial experience in the biotechnology industry,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support us with the strategic evaluation process. We have not set a timetable for completion of the process for evaluating strategic alternatives and do not intend to disclose further developments or guidance on the status of its programs or the process for evaluating strategic alternatives unless and until it is determined that further disclosure is appropriate or necessary.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Reduction in Force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2025, we adopted a plan to extend our capital resources. As part of the plan, we reduced our workforce by 21 of 26 full-time employees, which became effective April 30, 2025. We anticipate that key employees within this group will transition to consulting agreements and continue to be available to us. We estimate that we will incur $1.5 million of cash expenditures, consisting primarily of one-time severance payments, benefits and other related costs (excluding non-cash charges associated with equity-based compensation), with the majority of such costs to be incurred in the second quarter of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Nasdaq Compliance</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On December 27, 2024, we received a letter from the Listing Qualifications Staff of The Nasdaq Stock Market LLC (“Nasdaq”) notifying us that for the last 30 consecutive business days, the bid price of our common stock had closed below $1.00 per share, the minimum closing bid price required by the continued listing requirements of Nasdaq Listing Rule 5550(a)(2). Following the Reverse Stock Split described above, on April 24, 2025, we received a formal notification from Nasdaq confirming that we have regained compliance with Nasdaq Listing Rule 5550(a)(2).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March 31, 2025, we had cash and cash equivalents totaling $21.5 million compared to $30.3 million as of December 31, 2024. We have incurred operating losses since inception and our accumulated deficit as of March 31, 2025 is $218.0 million. We expect that our existing cash and cash equivalents plus the proceeds of $1.2 million from our ATM Program (as described below) will fund our projected operating expense requirements through less than 12 months from the date our consolidated financial statements were available to be issued. These conditions and the events described above under “—Recent Events” raise substantial doubt regarding our ability to continue as a going concern for a period of 12 months from the date of the issuance of the unaudited condensed financial statements included elsewhere in this Quarterly Report on Form 10-Q. We plan to address our operating cash flow requirements through the recently announced strategic review and implementation of cash preservation activities, including the recent reduction in force, to reduce discretionary spending.</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a strategic alternative is not available to us, we will be required to take additional actions to fund the Company’s operations or we may be forced to wind down our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represent costs incurred to conduct research and development, such as the development of our product candidates.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 all research and development costs as they are incurred. Research and development expenses consist primarily of the following:</w:t>
      </w:r>
    </w:p>
    <w:p>
      <w:pPr>
        <w:spacing w:after="0" w:line="225" w:lineRule="exact"/>
        <w:rPr>
          <w:sz w:val="20"/>
          <w:szCs w:val="20"/>
          <w:color w:val="auto"/>
        </w:rPr>
      </w:pPr>
    </w:p>
    <w:p>
      <w:pPr>
        <w:ind w:left="1500" w:hanging="369"/>
        <w:spacing w:after="0"/>
        <w:tabs>
          <w:tab w:leader="none" w:pos="1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benefits and stock-based compensation;</w:t>
      </w:r>
    </w:p>
    <w:p>
      <w:pPr>
        <w:spacing w:after="0" w:line="225"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costs;</w:t>
      </w:r>
    </w:p>
    <w:p>
      <w:pPr>
        <w:spacing w:after="0" w:line="225"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occupancy;</w:t>
      </w:r>
    </w:p>
    <w:p>
      <w:pPr>
        <w:spacing w:after="0" w:line="225"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materials and supplies;</w:t>
      </w:r>
    </w:p>
    <w:p>
      <w:pPr>
        <w:spacing w:after="0" w:line="225"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contracted research and manufacturing;</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500" w:hanging="369"/>
        <w:spacing w:after="0"/>
        <w:tabs>
          <w:tab w:leader="none" w:pos="1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arrangements; and</w:t>
      </w:r>
    </w:p>
    <w:p>
      <w:pPr>
        <w:spacing w:after="0" w:line="225"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incurred to advance our research and development activities.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largest component of our operating expenses has historically been the investment in research and development activities. We expect research and development expenses will increase in the future as we advance our product candidates into and through clinical trials and pursues regulatory approvals, which will require a significant investment in costs of clinical trials, regulatory support and contract manufacturing and inventory build-up.</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process of conducting clinical trials necessary to obtain regulatory approval is costly and time consuming. We may never succeed in timely developing and achieving regulatory approval for our product candidates. The probability of success of our product candidates may be affected by numerous factors, including clinical data, competition, manufacturing capability and commercial viability. As a result, we are unable to determine the duration and completion costs of our development projects or when and to what extent we will generate revenue from the commercialization and sale of any of our product candidates.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of employee-related expenses, including salaries, benefits, travel and non-cash stock-based compensation, for our personnel in executive, finance and accounting, and other administrative functions, as well as fees paid for legal, accounting and tax services, consulting fees and facilities costs not otherwise included in research and development expenses. Legal costs include general corporate legal fees and patent costs. We expect to continue to incur expenses as a result of being a public company, including expenses related to compliance with the rules and regulations of the SEC and Nasdaq, additional insurance, investor relations and other administrative expenses and professional services.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 Net</w:t>
      </w:r>
    </w:p>
    <w:p>
      <w:pPr>
        <w:spacing w:after="0" w:line="229" w:lineRule="exact"/>
        <w:rPr>
          <w:sz w:val="20"/>
          <w:szCs w:val="20"/>
          <w:color w:val="auto"/>
        </w:rPr>
      </w:pPr>
    </w:p>
    <w:p>
      <w:pPr>
        <w:ind w:right="620"/>
        <w:spacing w:after="0" w:line="459" w:lineRule="auto"/>
        <w:rPr>
          <w:sz w:val="20"/>
          <w:szCs w:val="20"/>
          <w:color w:val="auto"/>
        </w:rPr>
      </w:pPr>
      <w:r>
        <w:rPr>
          <w:rFonts w:ascii="Times New Roman" w:cs="Times New Roman" w:eastAsia="Times New Roman" w:hAnsi="Times New Roman"/>
          <w:sz w:val="18"/>
          <w:szCs w:val="18"/>
          <w:color w:val="auto"/>
        </w:rPr>
        <w:t xml:space="preserve">Other (expense) income, net consists primarily of interest expense, interest income, and various income or expense items of a non-recurring nature. </w:t>
      </w:r>
      <w:r>
        <w:rPr>
          <w:rFonts w:ascii="Times New Roman" w:cs="Times New Roman" w:eastAsia="Times New Roman" w:hAnsi="Times New Roman"/>
          <w:sz w:val="18"/>
          <w:szCs w:val="18"/>
          <w:b w:val="1"/>
          <w:bCs w:val="1"/>
          <w:color w:val="auto"/>
        </w:rPr>
        <w:t>Results of Operations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2025 and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operating results for the three months ended March 31,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Increase/</w:t>
            </w:r>
          </w:p>
        </w:tc>
        <w:tc>
          <w:tcPr>
            <w:tcW w:w="0" w:type="dxa"/>
            <w:vAlign w:val="bottom"/>
          </w:tcPr>
          <w:p>
            <w:pPr>
              <w:spacing w:after="0"/>
              <w:rPr>
                <w:sz w:val="1"/>
                <w:szCs w:val="1"/>
                <w:color w:val="auto"/>
              </w:rPr>
            </w:pPr>
          </w:p>
        </w:tc>
      </w:tr>
      <w:tr>
        <w:trPr>
          <w:trHeight w:val="255"/>
        </w:trPr>
        <w:tc>
          <w:tcPr>
            <w:tcW w:w="5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560" w:type="dxa"/>
            <w:vAlign w:val="bottom"/>
            <w:gridSpan w:val="6"/>
          </w:tcPr>
          <w:p>
            <w:pPr>
              <w:jc w:val="right"/>
              <w:ind w:right="81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22"/>
                <w:szCs w:val="22"/>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185"/>
        </w:trPr>
        <w:tc>
          <w:tcPr>
            <w:tcW w:w="5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6"/>
          </w:tcPr>
          <w:p>
            <w:pPr>
              <w:jc w:val="right"/>
              <w:ind w:right="115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6"/>
                <w:szCs w:val="16"/>
                <w:color w:val="auto"/>
              </w:rPr>
            </w:pPr>
          </w:p>
        </w:tc>
        <w:tc>
          <w:tcPr>
            <w:tcW w:w="1080" w:type="dxa"/>
            <w:vAlign w:val="bottom"/>
            <w:vMerge w:val="restart"/>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200" w:type="dxa"/>
            <w:vAlign w:val="bottom"/>
            <w:vMerge w:val="restart"/>
          </w:tcPr>
          <w:p>
            <w:pPr>
              <w:spacing w:after="0"/>
              <w:rPr>
                <w:sz w:val="16"/>
                <w:szCs w:val="16"/>
                <w:color w:val="auto"/>
              </w:rPr>
            </w:pPr>
          </w:p>
        </w:tc>
        <w:tc>
          <w:tcPr>
            <w:tcW w:w="1260" w:type="dxa"/>
            <w:vAlign w:val="bottom"/>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2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440" w:type="dxa"/>
            <w:vAlign w:val="bottom"/>
            <w:gridSpan w:val="3"/>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w w:val="97"/>
              </w:rPr>
              <w:t>except percentages)</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7,627</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79"/>
              <w:spacing w:after="0"/>
              <w:rPr>
                <w:sz w:val="20"/>
                <w:szCs w:val="20"/>
                <w:color w:val="auto"/>
              </w:rPr>
            </w:pPr>
            <w:r>
              <w:rPr>
                <w:rFonts w:ascii="Times New Roman" w:cs="Times New Roman" w:eastAsia="Times New Roman" w:hAnsi="Times New Roman"/>
                <w:sz w:val="18"/>
                <w:szCs w:val="18"/>
                <w:color w:val="auto"/>
              </w:rPr>
              <w:t>4,340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3,287</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3,309</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8"/>
                <w:szCs w:val="18"/>
                <w:color w:val="auto"/>
              </w:rPr>
              <w:t>3,634</w:t>
            </w: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(325)</w:t>
            </w: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55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(10,936)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(7,974)</w:t>
            </w: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2,962</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(207)</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income and other income (expense), net</w:t>
            </w: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(201)</w:t>
            </w: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55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79"/>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
        </w:trPr>
        <w:tc>
          <w:tcPr>
            <w:tcW w:w="55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(10,860)</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(7,904)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2,956</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552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-1893570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-1893570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-1893570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-1893570</wp:posOffset>
            </wp:positionV>
            <wp:extent cx="1454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-1336675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-1336675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-1336675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-1336675</wp:posOffset>
            </wp:positionV>
            <wp:extent cx="1454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-1053465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-1053465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-1053465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-1053465</wp:posOffset>
            </wp:positionV>
            <wp:extent cx="14541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research and development expenses for the three months ended March 31, 2025 and 2024 were primarily incurred in connection with our most advanced product candidate, amezalpat. Our internal resources, employees and infrastructure are not directly tied to any one research and drug discovery project and our resources have been typically deployed across multiple projects.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our research and development expenses by program for the three months ended March 31,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16"/>
        </w:trPr>
        <w:tc>
          <w:tcPr>
            <w:tcW w:w="5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Increase/</w:t>
            </w:r>
          </w:p>
        </w:tc>
      </w:tr>
      <w:tr>
        <w:trPr>
          <w:trHeight w:val="222"/>
        </w:trPr>
        <w:tc>
          <w:tcPr>
            <w:tcW w:w="5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80" w:type="dxa"/>
            <w:vAlign w:val="bottom"/>
            <w:gridSpan w:val="5"/>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212"/>
        </w:trPr>
        <w:tc>
          <w:tcPr>
            <w:tcW w:w="5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2"/>
        </w:trPr>
        <w:tc>
          <w:tcPr>
            <w:tcW w:w="5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200" w:type="dxa"/>
            <w:vAlign w:val="bottom"/>
            <w:gridSpan w:val="2"/>
          </w:tcPr>
          <w:p>
            <w:pPr>
              <w:spacing w:after="0"/>
              <w:rPr>
                <w:sz w:val="17"/>
                <w:szCs w:val="17"/>
                <w:color w:val="auto"/>
              </w:rPr>
            </w:pPr>
          </w:p>
        </w:tc>
        <w:tc>
          <w:tcPr>
            <w:tcW w:w="12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220" w:type="dxa"/>
            <w:vAlign w:val="bottom"/>
          </w:tcPr>
          <w:p>
            <w:pPr>
              <w:spacing w:after="0"/>
              <w:rPr>
                <w:sz w:val="17"/>
                <w:szCs w:val="17"/>
                <w:color w:val="auto"/>
              </w:rPr>
            </w:pPr>
          </w:p>
        </w:tc>
      </w:tr>
      <w:tr>
        <w:trPr>
          <w:trHeight w:val="196"/>
        </w:trPr>
        <w:tc>
          <w:tcPr>
            <w:tcW w:w="5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440" w:type="dxa"/>
            <w:vAlign w:val="bottom"/>
            <w:gridSpan w:val="4"/>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w w:val="97"/>
              </w:rPr>
              <w:t>except percentages)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TPST-1120</w:t>
            </w:r>
          </w:p>
        </w:tc>
        <w:tc>
          <w:tcPr>
            <w:tcW w:w="760" w:type="dxa"/>
            <w:vAlign w:val="bottom"/>
            <w:shd w:val="clear" w:color="auto" w:fill="CFF0FC"/>
          </w:tcPr>
          <w:p>
            <w:pPr>
              <w:jc w:val="right"/>
              <w:ind w:right="597"/>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4,218</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57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882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3,336</w:t>
            </w:r>
          </w:p>
        </w:tc>
        <w:tc>
          <w:tcPr>
            <w:tcW w:w="1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378%</w:t>
            </w: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TPST-1495</w:t>
            </w:r>
          </w:p>
        </w:tc>
        <w:tc>
          <w:tcPr>
            <w:tcW w:w="760" w:type="dxa"/>
            <w:vAlign w:val="bottom"/>
          </w:tcPr>
          <w:p>
            <w:pPr>
              <w:spacing w:after="0"/>
              <w:rPr>
                <w:sz w:val="18"/>
                <w:szCs w:val="18"/>
                <w:color w:val="auto"/>
              </w:rPr>
            </w:pPr>
          </w:p>
        </w:tc>
        <w:tc>
          <w:tcPr>
            <w:tcW w:w="6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5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596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Preclinical and other</w:t>
            </w:r>
          </w:p>
        </w:tc>
        <w:tc>
          <w:tcPr>
            <w:tcW w:w="76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472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53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10"/>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candidate specific research costs</w:t>
            </w: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4,795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w w:val="98"/>
              </w:rPr>
              <w:t>1,950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2,845</w:t>
            </w:r>
          </w:p>
        </w:tc>
        <w:tc>
          <w:tcPr>
            <w:tcW w:w="10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5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 and other costs</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98"/>
              </w:rPr>
              <w:t>1,766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 and depreciation</w:t>
            </w: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624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5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7"/>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7,627</w:t>
            </w:r>
          </w:p>
        </w:tc>
        <w:tc>
          <w:tcPr>
            <w:tcW w:w="100" w:type="dxa"/>
            <w:vAlign w:val="bottom"/>
            <w:shd w:val="clear" w:color="auto" w:fill="CCEEFF"/>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4,340</w:t>
            </w:r>
          </w:p>
        </w:tc>
        <w:tc>
          <w:tcPr>
            <w:tcW w:w="100" w:type="dxa"/>
            <w:vAlign w:val="bottom"/>
            <w:shd w:val="clear" w:color="auto" w:fill="CCEEFF"/>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w:t>
            </w:r>
          </w:p>
        </w:tc>
        <w:tc>
          <w:tcPr>
            <w:tcW w:w="100" w:type="dxa"/>
            <w:vAlign w:val="bottom"/>
            <w:shd w:val="clear" w:color="auto" w:fill="CCEEFF"/>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w:t>
            </w:r>
          </w:p>
        </w:tc>
      </w:tr>
      <w:tr>
        <w:trPr>
          <w:trHeight w:val="20"/>
        </w:trPr>
        <w:tc>
          <w:tcPr>
            <w:tcW w:w="53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-591185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-591185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-591185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-591185</wp:posOffset>
            </wp:positionV>
            <wp:extent cx="14541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-25400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-7620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-25400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-25400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-25400</wp:posOffset>
            </wp:positionV>
            <wp:extent cx="14541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-7620</wp:posOffset>
            </wp:positionV>
            <wp:extent cx="14541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1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by $3.3 million to $7.6 million for the three months ended March 31, 2025, compared to three months ended March 31, 2024, which was primarily attributable to an increase in costs incurred from engaging contract research and manufacturing organizations in preparation for our pivotal Phase 3 trial of amezalpat for the treatment of first-line HCC.</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three months ended March 31,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16"/>
        </w:trPr>
        <w:tc>
          <w:tcPr>
            <w:tcW w:w="5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Increase/</w:t>
            </w:r>
          </w:p>
        </w:tc>
      </w:tr>
      <w:tr>
        <w:trPr>
          <w:trHeight w:val="222"/>
        </w:trPr>
        <w:tc>
          <w:tcPr>
            <w:tcW w:w="5520" w:type="dxa"/>
            <w:vAlign w:val="bottom"/>
          </w:tcPr>
          <w:p>
            <w:pPr>
              <w:spacing w:after="0"/>
              <w:rPr>
                <w:sz w:val="19"/>
                <w:szCs w:val="19"/>
                <w:color w:val="auto"/>
              </w:rPr>
            </w:pPr>
          </w:p>
        </w:tc>
        <w:tc>
          <w:tcPr>
            <w:tcW w:w="2180" w:type="dxa"/>
            <w:vAlign w:val="bottom"/>
            <w:gridSpan w:val="5"/>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212"/>
        </w:trPr>
        <w:tc>
          <w:tcPr>
            <w:tcW w:w="552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2"/>
        </w:trPr>
        <w:tc>
          <w:tcPr>
            <w:tcW w:w="552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200" w:type="dxa"/>
            <w:vAlign w:val="bottom"/>
          </w:tcPr>
          <w:p>
            <w:pPr>
              <w:spacing w:after="0"/>
              <w:rPr>
                <w:sz w:val="17"/>
                <w:szCs w:val="17"/>
                <w:color w:val="auto"/>
              </w:rPr>
            </w:pPr>
          </w:p>
        </w:tc>
        <w:tc>
          <w:tcPr>
            <w:tcW w:w="12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220" w:type="dxa"/>
            <w:vAlign w:val="bottom"/>
          </w:tcPr>
          <w:p>
            <w:pPr>
              <w:spacing w:after="0"/>
              <w:rPr>
                <w:sz w:val="17"/>
                <w:szCs w:val="17"/>
                <w:color w:val="auto"/>
              </w:rPr>
            </w:pPr>
          </w:p>
        </w:tc>
      </w:tr>
      <w:tr>
        <w:trPr>
          <w:trHeight w:val="196"/>
        </w:trPr>
        <w:tc>
          <w:tcPr>
            <w:tcW w:w="5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440" w:type="dxa"/>
            <w:vAlign w:val="bottom"/>
            <w:gridSpan w:val="4"/>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w w:val="97"/>
              </w:rPr>
              <w:t>except percentages)</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outside services</w:t>
            </w:r>
          </w:p>
        </w:tc>
        <w:tc>
          <w:tcPr>
            <w:tcW w:w="760" w:type="dxa"/>
            <w:vAlign w:val="bottom"/>
            <w:shd w:val="clear" w:color="auto" w:fill="CFF0FC"/>
          </w:tcPr>
          <w:p>
            <w:pPr>
              <w:jc w:val="right"/>
              <w:ind w:right="597"/>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4,292</w:t>
            </w:r>
          </w:p>
        </w:tc>
        <w:tc>
          <w:tcPr>
            <w:tcW w:w="1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57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w w:val="98"/>
              </w:rPr>
              <w:t>1,446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2,846</w:t>
            </w:r>
          </w:p>
        </w:tc>
        <w:tc>
          <w:tcPr>
            <w:tcW w:w="1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197%</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expense</w:t>
            </w: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1,640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w w:val="98"/>
              </w:rPr>
              <w:t>1,124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516</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shd w:val="clear" w:color="auto" w:fill="CCEEFF"/>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546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43</w:t>
            </w:r>
          </w:p>
        </w:tc>
        <w:tc>
          <w:tcPr>
            <w:tcW w:w="1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Consulting and professional services</w:t>
            </w: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487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shd w:val="clear" w:color="auto" w:fill="CCEEFF"/>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737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(119)</w:t>
            </w: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55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1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760" w:type="dxa"/>
            <w:vAlign w:val="bottom"/>
          </w:tcPr>
          <w:p>
            <w:pPr>
              <w:jc w:val="right"/>
              <w:ind w:right="597"/>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7,627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57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w w:val="98"/>
              </w:rPr>
              <w:t>4,340</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3,287</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w:t>
            </w:r>
          </w:p>
        </w:tc>
      </w:tr>
      <w:tr>
        <w:trPr>
          <w:trHeight w:val="20"/>
        </w:trPr>
        <w:tc>
          <w:tcPr>
            <w:tcW w:w="55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-170815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-170815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-170815</wp:posOffset>
            </wp:positionV>
            <wp:extent cx="14541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45415"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decreased by $0.3 million to $3.3 million for the three months ended March 31, 2025, compared to the three months ended March 31, 2024. The decrease was primarily due to a decrease in consulting services.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and 2024, other income (expense), net consisted of total interest expense of $161 thousand and $368 thousand, respectively, related to the loan with Oxford Finance, LLC (“Oxford”, and such loan the “Oxford Loan”), and interest income of $237 thousand and $438 thousand,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inception through March 31, 2025, our operations have been financed primarily by proceeds from the sale of</w:t>
      </w:r>
    </w:p>
    <w:p>
      <w:pPr>
        <w:spacing w:after="0" w:line="27" w:lineRule="exact"/>
        <w:rPr>
          <w:sz w:val="20"/>
          <w:szCs w:val="20"/>
          <w:color w:val="auto"/>
        </w:rPr>
      </w:pPr>
    </w:p>
    <w:p>
      <w:pPr>
        <w:ind w:right="2200"/>
        <w:spacing w:after="0" w:line="260" w:lineRule="auto"/>
        <w:rPr>
          <w:sz w:val="20"/>
          <w:szCs w:val="20"/>
          <w:color w:val="auto"/>
        </w:rPr>
      </w:pPr>
      <w:r>
        <w:rPr>
          <w:rFonts w:ascii="Times New Roman" w:cs="Times New Roman" w:eastAsia="Times New Roman" w:hAnsi="Times New Roman"/>
          <w:sz w:val="18"/>
          <w:szCs w:val="18"/>
          <w:color w:val="auto"/>
        </w:rPr>
        <w:t>our common stock, convertible preferred stock and issuance of debt. As of March 31, 2025, we had $21.5 million in cash and cash equivalents and an accumulated deficit of $218.0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lack of operating revenue or cash inflows and our cash resources at March 31, 2025 raise substantial doubt as to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ability to continue as a going concern. See “—Funding Requirements” below for additional information on our future capital needs.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Agreement with Oxford Finance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15, 2021, we entered into a loan and security agreement, as amended from time to time, with Oxford to borrow a term loan amount of $35.0 million to be funded in three tranches (the “Loan Agreement”). On April 8, 2025, we repaid $3.5 million in full satisfaction of the aggregate outstanding amount, including accrued interest and exit fees as of such date. As a result of the repayment, all liens and security interests were terminated.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entered into a sales agreement with Jefferies LLC, pursuant to which we may sell, from time to time at our sole discretion through Jefferies, as our sales agent, shares of our common stock (the “ATM Program”). Any shares of our common stock sold will be issued pursuant to our shelf registration statement on Form S-3 (File No. 333-280918). As of March 31, 2025, we have sold an aggregate of 133,521 shares of our common stock for proceeds of $1.5 million pursuant to the ATM Program. As of March 31, 2025, $13.0 million remained available for sale under the ATM Program. Between March 31, 2025 and April 30, 2025, we sold 156,028 shares of our common stock for proceeds of $1.2 million pursuant to the ATM Program. As of April 30, 2025, we had $11.8 million available for sale under the ATM Program.</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date of this Form 10-Q, our public float was less than $75.0 million. As a result, we are subject to the limitations of General Instruction I.B.6 to Form S-3 until such time as our public float exceeds $75 million, which means we only have the capacity to sell shares up to one-third of our public float under the S-3 Registration Statement, including the ATM program, in any twelve-month period. On February 6, 2025, we filed a prospectus supplement with the SEC limiting the availability under the ATM Program to $14.5 million.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three months ended March 31, 2025 and 2024:</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7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7"/>
                <w:szCs w:val="17"/>
                <w:color w:val="auto"/>
              </w:rPr>
            </w:pPr>
          </w:p>
        </w:tc>
      </w:tr>
      <w:tr>
        <w:trPr>
          <w:trHeight w:val="196"/>
        </w:trPr>
        <w:tc>
          <w:tcPr>
            <w:tcW w:w="7560" w:type="dxa"/>
            <w:vAlign w:val="bottom"/>
            <w:tcBorders>
              <w:bottom w:val="single" w:sz="8" w:color="CCEEFF"/>
            </w:tcBorders>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(in</w:t>
            </w:r>
          </w:p>
        </w:tc>
        <w:tc>
          <w:tcPr>
            <w:tcW w:w="88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85"/>
              </w:rPr>
              <w:t>thousands)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1140" w:type="dxa"/>
            <w:vAlign w:val="bottom"/>
            <w:gridSpan w:val="2"/>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(8,036)</w:t>
            </w:r>
          </w:p>
        </w:tc>
        <w:tc>
          <w:tcPr>
            <w:tcW w:w="780" w:type="dxa"/>
            <w:vAlign w:val="bottom"/>
            <w:gridSpan w:val="2"/>
            <w:shd w:val="clear" w:color="auto" w:fill="CFF0FC"/>
          </w:tcPr>
          <w:p>
            <w:pPr>
              <w:jc w:val="center"/>
              <w:ind w:right="34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(7,186)</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(168)</w:t>
            </w: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provided by (used in) financing activities</w:t>
            </w:r>
          </w:p>
        </w:tc>
        <w:tc>
          <w:tcPr>
            <w:tcW w:w="200" w:type="dxa"/>
            <w:vAlign w:val="bottom"/>
            <w:tcBorders>
              <w:right w:val="single" w:sz="8" w:color="CFF0FC"/>
            </w:tcBorders>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450</w:t>
            </w:r>
          </w:p>
        </w:tc>
      </w:tr>
      <w:tr>
        <w:trPr>
          <w:trHeight w:val="20"/>
        </w:trPr>
        <w:tc>
          <w:tcPr>
            <w:tcW w:w="7560" w:type="dxa"/>
            <w:vAlign w:val="bottom"/>
            <w:shd w:val="clear" w:color="auto" w:fill="CFF0FC"/>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140" w:type="dxa"/>
            <w:vAlign w:val="bottom"/>
            <w:gridSpan w:val="2"/>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(8,757)</w:t>
            </w:r>
          </w:p>
        </w:tc>
        <w:tc>
          <w:tcPr>
            <w:tcW w:w="7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(6,904)</w:t>
            </w:r>
          </w:p>
        </w:tc>
      </w:tr>
      <w:tr>
        <w:trPr>
          <w:trHeight w:val="20"/>
        </w:trPr>
        <w:tc>
          <w:tcPr>
            <w:tcW w:w="7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operating activities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operating activities for the three months ended March 31, 2025 was $8.0 million, consisting of a net loss of $10.9 million, add back of non-cash adjustments for depreciation, stock-based compensation, non-cash operating lease expense and other non-cash items totaling $1.8 million, plus changes in operating assets and liabilities of $1.1 million.</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operating activities for the three months ended March 31, 2024 was $7.2 million, consisting of a net loss of $7.9 million, add back of non-cash adjustments for depreciation, stock-based compensation, non-cash operating lease expense and other non-cash items totaling $1.9 million, plus changes in operating assets and liabilities of $1.2 million.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for the three months ended March 31, 2025 and 2024 was related to purchases of property and equipment, primarily related to laboratory and computer equipment.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financing activities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for the three months ended March 31, 2025 was related to Oxford loan principle payments of $2.2 million, offset by proceeds from the issuance of common stock of $1.4 million.</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for the three months ended March 31, 2024 was related to proceeds from the issuance of common stock of $450 thousand.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primary use of cash is to fund operating expenses, which has historically consisted primarily of research and development expenditures related to our therapeutic discovery and preclinical development efforts and clinical activities, and to a lesser extent, general and administrative expenditures. Currently, our primary use of cash is headcount cost and lease and overhead expenses as we explore strategic alternatives. Cash used to fund operating expenses is impacted by the timing of when we pay these expenses, as reflected in the change in our outstanding accounts payable and accrued expenses.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material cash requirements primarily relate to the maturities of the principal obligations under our long-term debt, operating leases for office space, trade payables, and accrued expenses. As of March 31, 2025, we had $13.2 million payable within 12 months, including the current loan payable (net of discount and issuance costs) of $4.2 million due to Oxford under the Loan Agreement and $1.1 million related to the Brisbane Lease. On April 8, 2025, we made a repayment of $3.5 million in full satisfaction of the aggregate outstanding amount, including accrued interest and exit fees as of such date, under the Loan Agreement. Additionally, related to the reduction in force executed in April 2025, we estimate that we will incur $1.5 million of cash expenditures, consisting primarily of one-time severance payments, benefits and other related costs (excluding</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non-cash charges associated with equity-based compensation), with the majority of such costs to be incurred in the second quarter of 2025. Refer to Notes 5, 6 and 12 to our Condensed Consolidated Financial Statements for additional information.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Except as disclosed above, we have no long-term debt and no material non-cancelable purchase commitments with service providers, as we have generally contracted on a cancelable, purchase-order basis. We enter into contracts in the normal course of business with equipment and reagent vendors, CROs, CMOs and other third parties for clinical trials, preclinical research studies and testing and manufacturing services. These contracts are cancelable by us upon prior notice. Payments due upon cancellation consist only of payments for services provided or expenses incurred, including noncancelable obligations of our service providers, up to the date of cancellation.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significant changes to our critical accounting policies since December 31, 2024. For a description of critical accounting policies that affect our significant judgments and estimates used in the preparation of our unaudited condensed consolidated financial statements, refer to Item 7 “Management's Discussion and Analysis of Financial Condition and Results of Operations” contained in our Annual Report on Form 10-K.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2 to our Condensed Consolidated Financial Statements for a description of recent accounting pronouncements applicable to our Condensed Consolidated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 Status and a Non-Accelerated Filer</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of the Securities Exchange Act of 1934, or the Exchange Act, meaning that the market value of our shares held by non-affiliates is less than $700 million and our annual revenue was less than $100 million during the most recently completed fiscal year. We may continue to be a smaller reporting company if either (i) the market value of our shares held by non-affiliates is less than $250 million or (ii) our annual revenue was less than $100 million during the most recently completed fiscal year for which audited financial statements are available as of the determination date and the market value of our shares held by non-affiliates is less than $700 million. As a smaller reporting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If investors consider our common stock less attractive as a result of our election to use the scaled-back disclosure permitted for smaller reporting companies, there may be a less active trading market for our common stock and our share price may be more volatile.</w:t>
      </w:r>
    </w:p>
    <w:p>
      <w:pPr>
        <w:spacing w:after="0" w:line="1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as a non-accelerated filer, we may continue to take advantage of the exception from compliance with the auditor attestation requirements of Section 404 of the Sarbanes-Oxley Act of 2002, as amended.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 for smaller reporting companies.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principal executive officer and principal financial officer,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(principal executive officer) and Chief Financial Officer &amp; Head of Corporate Strategy (principal financial officer), evaluated the effectiveness of our disclosure controls and procedures (as defined in Rules 13a-15(e) and 15d-15(e) under the Exchange Act), as of the end of the period covered by this Quarterly Report. Based on such evaluation, our Chief Executive Officer and Chief Financial Officer &amp; Head of Corporate Strategy have concluded that as of March 31, 2025, our disclosure controls and procedures were effective at the reasonable assurance level.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changes in internal control over financial reporting during the quarter ended March 31, 2025 that have materially affected, or are reasonably likely to materially affect, our internal control over financial reporting.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Information pertaining to legal proceedings is provided in Note 5 to the Condensed Consolidated Financial Statements contained in this report and is incorporated by reference herein.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Our business involves significant risks, some of which are described below. You should carefully consider the risks described below, together with all of the other information contained in this Quarterly Report on Form 10-Q, including the section entitled “Management’s Discussion and Analysis of Financial Condition and Results of Operations” and the financial statements and the related notes. Any of these events could cause the trading price of our common stock to decline, which would cause you to lose all or part of your investment. The occurrence of any of the following risks could have a material adverse effect on our business, financial condition, results of operations and future growth prospects or cause our actual results to differ materially from those contained in forward-looking statements we have made or may make from time to time.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Selected Risks Associated with Our Business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any one of which could materially adversely affect our business, financial condition, operating results, and prospects. You should read this summary together with the more detailed description of each risk factor contained below.</w:t>
      </w:r>
    </w:p>
    <w:p>
      <w:pPr>
        <w:spacing w:after="0" w:line="162" w:lineRule="exact"/>
        <w:rPr>
          <w:sz w:val="20"/>
          <w:szCs w:val="20"/>
          <w:color w:val="auto"/>
        </w:rPr>
      </w:pPr>
    </w:p>
    <w:p>
      <w:pPr>
        <w:ind w:left="1020" w:right="16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substantial doubt regarding our ability to continue as a going concern. We will require substantial additional funding to finance our operations, which may not be available on acceptable terms or at all. Failure to obtain this necessary capital when needed may force us to delay, limit or terminate our product development efforts or our operations.</w:t>
      </w:r>
    </w:p>
    <w:p>
      <w:pPr>
        <w:spacing w:after="0" w:line="1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activities to evaluate and pursue potential strategic alternatives may not result in any transaction or enhance stockholder value.</w:t>
      </w:r>
    </w:p>
    <w:p>
      <w:pPr>
        <w:spacing w:after="0" w:line="225" w:lineRule="exact"/>
        <w:rPr>
          <w:rFonts w:ascii="Times New Roman" w:cs="Times New Roman" w:eastAsia="Times New Roman" w:hAnsi="Times New Roman"/>
          <w:sz w:val="18"/>
          <w:szCs w:val="18"/>
          <w:color w:val="auto"/>
        </w:rPr>
      </w:pPr>
    </w:p>
    <w:p>
      <w:pPr>
        <w:jc w:val="both"/>
        <w:ind w:left="1020" w:right="8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operating losses, and we may not achieve or sustain profitability. We anticipate that we will continue to incur losses for the foreseeable future. If we fail to obtain additional funding to conduct our planned research and development efforts, we could be forced to delay, reduce or eliminate our product development programs or commercial development efforts.</w:t>
      </w:r>
    </w:p>
    <w:p>
      <w:pPr>
        <w:spacing w:after="0" w:line="175"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recently implemented corporate restructuring intended to optimize our resource allocation and contain costs may not have the benefits we expect;</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capital may cause dilution to our stockholders, restrict our operations or require us to relinquish proprietary rights.</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expand our development and regulatory capabilities, and as a result, we may encounter difficulties in managing our growth, which could disrupt our operations.</w:t>
      </w:r>
    </w:p>
    <w:p>
      <w:pPr>
        <w:spacing w:after="0" w:line="161" w:lineRule="exact"/>
        <w:rPr>
          <w:rFonts w:ascii="Times New Roman" w:cs="Times New Roman" w:eastAsia="Times New Roman" w:hAnsi="Times New Roman"/>
          <w:sz w:val="18"/>
          <w:szCs w:val="18"/>
          <w:color w:val="auto"/>
        </w:rPr>
      </w:pPr>
    </w:p>
    <w:p>
      <w:pPr>
        <w:ind w:left="1020" w:right="80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develop, obtain regulatory approval for and commercialize amezalpat, TPST-1495, or any of our future product candidates, or if we experience significant delays in doing so, our business will be materially harmed.</w:t>
      </w:r>
    </w:p>
    <w:p>
      <w:pPr>
        <w:spacing w:after="0" w:line="161"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in preclinical studies and earlier clinical trials for our product candidates may not be indicative of the results that may be obtained in later clinical trials, which may delay or prevent obtaining regulatory approval.</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expand our pipeline of product candidates and develop marketable products.</w:t>
      </w:r>
    </w:p>
    <w:p>
      <w:pPr>
        <w:spacing w:after="0" w:line="225"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our product candidates, including TPST-1495 and amezalpat, will depend upon their degree of market acceptance by providers, patients, patient advocacy groups, third-party payors and the general medical community.</w:t>
      </w:r>
    </w:p>
    <w:p>
      <w:pPr>
        <w:spacing w:after="0" w:line="161"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rely on third parties to manufacture our clinical product supplies, and we may have to rely on third parties to produce and process our product candidates, if approved.</w:t>
      </w:r>
    </w:p>
    <w:p>
      <w:pPr>
        <w:spacing w:after="0" w:line="161" w:lineRule="exact"/>
        <w:rPr>
          <w:rFonts w:ascii="Times New Roman" w:cs="Times New Roman" w:eastAsia="Times New Roman" w:hAnsi="Times New Roman"/>
          <w:sz w:val="18"/>
          <w:szCs w:val="18"/>
          <w:color w:val="auto"/>
        </w:rPr>
      </w:pPr>
    </w:p>
    <w:p>
      <w:pPr>
        <w:ind w:left="1020" w:right="34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in an environment of rapid technological change, and it is possible that our competitors may achieve regulatory approval before us or develop therapies that are more advanced or effective than ours, which may harm our business, financial condition and ability to successfully market or commercialize TPST-1495, amezalpat, and any future product candidates.</w:t>
      </w:r>
    </w:p>
    <w:p>
      <w:pPr>
        <w:spacing w:after="0" w:line="175"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establish sales and marketing capabilities or enter into agreements with third parties to market and sell our product candidates, we may be unable to generate any revenues.</w:t>
      </w:r>
    </w:p>
    <w:p>
      <w:pPr>
        <w:spacing w:after="0" w:line="161"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finding strategic collaborators for continuing development of certain of our future product candidates or successfully commercializing or competing in the market for certain indications.</w:t>
      </w:r>
    </w:p>
    <w:p>
      <w:pPr>
        <w:spacing w:after="0" w:line="161"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regulatory approval process is lengthy and time-consuming, and we may experience significant delays in the clinical development and regulatory approval of our product candidates.</w:t>
      </w:r>
    </w:p>
    <w:p>
      <w:pPr>
        <w:spacing w:after="0" w:line="161"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in part on our ability to obtain, maintain and protect our intellectual property. It is difficult and costly to protect our proprietary rights and technology, and we may not be able to ensure their protection.</w:t>
      </w:r>
    </w:p>
    <w:p>
      <w:pPr>
        <w:spacing w:after="0" w:line="161"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owned and in-licensed patents and patent applications may not provide sufficient protection of our product candidates or result in any competitive advantage.</w:t>
      </w:r>
    </w:p>
    <w:p>
      <w:pPr>
        <w:spacing w:after="0" w:line="161"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the shares of our common stock has been and is likely to continue to be volatile, and purchasers of our common stock could incur substantial losses.</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completed a reverse stock split of our shares of common stock, which may reduce and may limit the market trading liquidity of the shares due to the reduced number of shares outstanding and may potentially have an anti-takeover effect.</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Unstable market and economic conditions may have serious adverse consequences on our business, financial condition and share price.</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is thinly traded and our stockholders may be unable to sell their shares quickly or at market price.</w:t>
      </w:r>
    </w:p>
    <w:p>
      <w:pPr>
        <w:spacing w:after="0" w:line="225"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proper and effective internal controls, our ability to produce accurate financial statements on a timely basis could be impaired.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Needs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is substantial doubt regarding our ability to continue as a going concern. We will require significant additional funding to finance our operations, which may not be available on acceptable terms or at all. Failure to obtain this necessary capital when needed may force us to delay, limit or terminate our product development efforts or our operations.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existing cash of $21.5 million as of March 31, 2025, plus the net proceeds of $1.2 million from our ATM Program, is expected to fund our operations through less than 12 months from the date our consolidated financial statements are available to be issued. While we have begun to implement cost reductions in 2025, we have finite cash resources available to fund our operations. As part of cost reductions, we reduced our workforce by 21 of 26 full-time employees on April 30, 2025. In April 2025, we announced plans to explore a full range of strategic alternatives to advance our promising clinical stage programs and maximize stockholder value. Strategic alternatives under consideration may include, but are not limited to, mergers, acquisitions, partnerships, joint ventures, licensing arrangements or other strategic transactions. We have retained MTS Health Partners, L.P., an internationally recognized financial advisor with substantial experience in the biotechnology industry, to support us with the strategic evaluation process. If a strategic alternative is not available, we will be required to take additional actions, including a potential wind down of our operations.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date, we have not generated product revenues from our activities and have incurred substantial operating losses. We expect that we will continue to generate substantial operating losses for the foreseeable future until we complete development and approval of one of our product candidates.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Adequate additional financing may not be available to us on acceptable terms, or at all. Our ability to raise additional capital has been adversely impacted by potential worsening global economic conditions, inflation expectations, and the recent disruptions to and volatility in the credit and financial markets in the United States and worldwide resulting from geopolitical tensions.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conditions raise substantial doubt about our ability to continue as a going concern. We have evaluated the significance of the uncertainty regarding our financial condition in relation to our ability to meet our obligations, which has raised substantial doubt about our ability to continue as a going concern. Our existing cash resources will not be sufficient to enable us to fund the anticipated level of operations through 12 months from the date the accompanying financial statements are issued. There can be no assurances that we will be able to secure additional financing or a strategic alternative. In the event we do not, we may be required to wind down our operations and our stockholders will lose their investment.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activities to evaluate and pursue potential strategic alternatives may not result in any transaction or enhance stockholder value.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begun evaluating and exploring a variety of strategic alternatives focused on maximizing stockholder value, including, but not limited to, an acquisition, merger, reverse merger, other business combination, sales of assets or other strategic transactions. Our ability to successfully execute on a strategic alternative is dependent on a number of factors and we may not be able to execute upon a transaction or other strategic alternative upon favorable terms within an advantageous timeframe and recognize significant value for our assets, if at all. Additionally, the negotiation and consummation of a transaction or other strategic alternative may be costly and time-consuming. Any executed strategic alternative may not maximize or even enhance stockholder value, could result in total costs and expenses that are greater than expected, could make it more difficult to attract and retain qualified personnel and may disrupt our operations, each of which could have a material adverse effect on our business.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market price of our common stock may reflect a market assumption that a strategic alternative will occur, and a failure to complete a strategic alternative could result in negative investor perceptions and could cause a decline in the market price of our common stock, which could adversely affect our ability to access the equity and financial markets, as well as our ability to explore and enter into different strategic alternatives. There can be no certainty that any strategic alternative will be completed, be on attractive terms, enhance stockholder value or deliver the anticipated benefits, and successful integration or execution of the strategic alternatives will be subject to additional risks. In addition, potential strategic alternatives that require stockholder</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approval may not be approved by our stockholders. If we do not successfully consummate a strategic alternative, our board of directors may decide to pursue a dissolution and liquidation of our company. In such an event, the amount of cash available for distribution to our stockholders will depend heavily on the timing of such liquidation, the amount of cash that will need to be reserved for commitments and contingent liabilities. Depending on these factors, the amount available for distribution to our common stockholders could be as low as zero and result in a total loss of investment to our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proprietary rights.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public or private equity or debt financings, third-party funding, marketing and distribution arrangements, as well as other collaborations, strategic alliances and licensing arrangements, or any combination of these approaches. We do not have any committed external source of funds. We have a sales agreement with Jefferies LLC (“Jefferies”) for an at-the-market offering program (the “ATM Program”), pursuant to which we may sell up to an aggregate of $14.5 million of our common stock. To the extent that we raise additional capital through the sale of equity or convertible debt securities, your ownership interest may be further diluted, and the terms of these securities may include liquidation or other preferences that adversely affect your rights as a stockholder. In addition, we may issue equity or debt securities as consideration for obtaining rights to additional compounds.</w:t>
      </w:r>
    </w:p>
    <w:p>
      <w:pPr>
        <w:spacing w:after="0" w:line="18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Debt and equity financings, if available, may involve agreements that include covenants limiting or restricting our ability to take specific actions, such as redeeming our shares, making investments, incurring additional debt, making capital expenditures, declaring dividends or placing limitations on our ability to acquire, sell or license intellectual property rights and other operating restrictions that could negatively impact our ability to conduct our business. For example, our obligations under the Loan Agreement with Oxford were secured by a security interest in all of our assets, including our intellectual property. In addition, the Loan Agreement contained customary covenants that, subject to specific exceptions, restricted our ability to, among other things, declare dividends or redeem or repurchase equity interests, incur additional liens, make loans and investments, incur additional indebtedness, engage in mergers, acquisitions and asset sales, transact with affiliates, undergo a change in control, add or change business locations, or engage in businesses that were not related to our existing business. Using cash on hand, on April 8, 2025, we repaid $3.5 million in full satisfaction of the aggregate outstanding amount, including accrued interest and exit fees as of such date. Upon making such repayment, the Loan Agreement was terminated in accordance with its terms and all liens and security interests were terminated.</w:t>
      </w:r>
    </w:p>
    <w:p>
      <w:pPr>
        <w:spacing w:after="0" w:line="19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addition, if we raise additional capital through future collaborations, strategic alliances or third-party licensing arrangements, we may have to relinquish future revenue streams, research programs or product candidates, or grant licenses on terms that may not be favorable to us.</w:t>
      </w:r>
    </w:p>
    <w:p>
      <w:pPr>
        <w:spacing w:after="0" w:line="162"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If we are unable to raise additional capital when needed, we may be required to delay, limit, reduce or terminate our drug development or future commercialization efforts, or grant rights to develop and market product candidates that we would otherwise develop and market ourselves.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recently implemented corporate restructuring intended to optimize our resource allocation and contain costs may not have the benefits we expect.</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April 2025, we implemented a corporate restructuring plans designed to optimize our resource allocation and contain costs. In connection with the restructuring plan, we reduced our workforce by 21 of 26 full-time employees, which was completed by the end of April 2025. These reductions in workforce may yield unintended consequences and costs, such as the loss of institutional knowledge and expertise, attrition beyond our intended workforce reduction, a decrease in morale among our remaining employees, and the risk that we may not achieve the anticipated benefits of the restructuring, all of which may have an adverse effect on our results of operations or financial condition. In addition, while positions have been eliminated, certain functions necessary to our reduced operations will remain, and we may be unsuccessful in distributing the</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duties and obligations of departed employees among our remaining employees. Our failure to successfully accomplish any of the above activities and goals may have a material adverse impact on our business,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raise capital may be limited by applicable laws and regulations.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Using a shelf registration statement on Form S-3 to raise additional capital generally takes less time and is less expensive than other means, such as conducting an offering under a Form S-1 registration statement. However, our ability to raise capital using a shelf registration statement may be limited by, among other things, SEC rules and regulations. Under SEC rules and regulations, if our public float (the market value of our common stock held by non-affiliates) is less than $75.0 million, then the aggregate market value of securities sold by us or on our behalf under our Form S-3 in any 12-month period is limited to an aggregate of one-third of our public float. As our public float is currently less than $75.0 million, we are currently subject to this limitation. If our ability to utilize a Form S-3 registration statement for a primary offering of our securities continues to be limited to one-third of our public float, we may need to conduct such an offering pursuant to an exemption from registration under the Securities Act or under a Form S-1 registration statement, which would increase the cost of raising additional capital relative to utilizing a Form S-3 registration statement.</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we may not achieve or sustain profitability. We anticipate that we will continue to incur losses for the foreseeable future. If we fail to obtain additional funding to conduct our planned research and development efforts, we could be forced to delay, reduce or eliminate our product development programs or commercial development efforts.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 clinical-stage biotechnology company with a limited operating history. Biotechnology product development is a highly speculative undertaking and involves a substantial degree of risk. Our operations to date have been limited primarily to organizing and staffing, business planning, raising capital, acquiring and developing product and technology rights, manufacturing, and conducting research and development activities for our product candidates. We have never generated any revenue from product sales, and we have not obtained regulatory approvals for any of our product candidates. We incurred net losses of $10.9 million and $7.9 million for the years ended March 31, 2025 and 2024, respectively. As of March 31, 2025, we had an accumulated deficit of $218.0 million. Substantially all of our operating losses have resulted from costs incurred in connection with our research and development programs and from general and administrative costs associated with our operations. We expect to continue to incur significant expenses and operating losses over the next several years and for the foreseeable future as we continue to conduct research and development, clinical testing, regulatory compliance activities, manufacturing activities, and, if any of our product candidates is approved, sales and marketing activities. Our prior losses, combined with our expected future losses, have had and will continue to have an adverse effect on our stockholders’ equity and working capital.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for you to evaluate the success of our business to date and to assess our future viability.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operations to date have been limited to organizing and staffing, business planning, raising capital, acquiring our technology, identifying potential product candidates, undertaking research and preclinical studies of our product candidates, manufacturing, and establishing licensing arrangements. We have not yet demonstrated the ability to complete clinical trials of our product candidates, obtain marketing approvals, manufacture a commercial scale product or conduct sales and marketing activities necessary for successful commercialization. Consequently, any predictions you make about our future success or viability may not be as accurate as they could be if we had a longer operating history.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as a new business, we may encounter unforeseen expenses, difficulties, complications, delays and other known and unknown factors. We will need to transition from a company with a licensing and research focus to a company that is also capable of supporting clinical development and commercial activities. We may not be successful in such a transition.</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Strategy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attract and retain highly skilled employees to succeed.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harm our results of operations and increase our capabilities to successfully commercialize our product candidates. In particular, we believe that our future success is highly dependent upon the contributions of our senior management, particularly our Chief Executive Officer and President, Stephen Brady and our Chief Medical Officer, Sam Whiting. The loss of services of Messrs. Brady or Whiting, or any of our other senior management, could delay or prevent the successful development of our product pipeline, completion of our planned clinical trials or the commercialization of our product candidates, if approved. The competition for qualified personnel in the biotechnology field is intense and as a result, we may be unable to continue to attract and retain qualified personnel necessary for the development of our business or to recruit suitable replacement personnel.</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acquisitions or strategic alliances could disrupt our business and harm our financial condition and results of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assure you that, following any such acquisition, we will achieve the expected synergies to justify the transaction. The risks we face in connection with acquisitions, include:</w:t>
      </w:r>
    </w:p>
    <w:p>
      <w:pPr>
        <w:spacing w:after="0" w:line="187"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addressing acquisition integration challenges;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coordination of research and development efforts;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from the acquired company;</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relationships with strategic partners as a result of product acquisitions or strategic positioning resulting from the acquisition;</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challenges associated with integrating employees from the acquired company into our organization;</w:t>
      </w:r>
    </w:p>
    <w:p>
      <w:pPr>
        <w:spacing w:after="0" w:line="225"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or improve controls, procedures and policies at a business that prior to the acquisition may have lacked sufficiently effective controls, procedures and policies;</w:t>
      </w:r>
    </w:p>
    <w:p>
      <w:pPr>
        <w:spacing w:after="0" w:line="161"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activities of the acquired company before the acquisition, including intellectual property infringement claims, violation of laws, commercial disputes, tax liabilities and other known liabilities;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write-offs or charges; and</w:t>
      </w:r>
    </w:p>
    <w:p>
      <w:pPr>
        <w:spacing w:after="0" w:line="225"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in connection with the acquired company, including claims from terminated employees, customers, former stockholders or other third parties.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failure to address these risks or other problems encountered in connection with our past or future acquisitions or strategic alliances could cause us to fail to realize the anticipated benefits of these transactions, cause us to incur unanticipated liabilities and harm the business generally. There is also a risk that future acquisitions will result in the incurrence of debt, contingent liabilities, amortization expenses or incremental operating expenses, any of which could harm our financial condition or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tax credit carryforwards may be subject to limitations.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ability to use our federal and state net operating losses (“NOLs”) to offset potential future taxable income and related income taxes that would otherwise be due is dependent upon our generation of future taxable income, and we cannot predict with certainty when, or whether, we will generate sufficient taxable income to use all of our NOLs.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Section 382 and Section 383 of the Code and corresponding provisions of state law, if a corporation undergoes an “ownership change,” its ability to use its pre-change NOL carryforwards and other pre-change tax attributes (such as research tax credits) to offset its post-change income or taxes may be limited. A Section 382 “ownership change” is generally defined as a greater than 50 percentage point change (by value) in its equity ownership by certain stockholders over a three-year period. We may have experienced ownership changes in the past, including as a result of the merger with Millendo, and may experience ownership changes in the future due to subsequent shifts in our stock ownership (some of which are outside of our control). Furthermore, the merger constituted an ownership change (within the meaning of Section 382 of the Code) of Millendo which may have eliminated or otherwise substantially limited our ability to use Millendo’s federal and state NOLs to offset our future taxable income. Consequently, even if we achieve profitability, we may not be able to utilize a material portion of Tempest Tx, Inc. (our predecessor), Millendo’s or our combined NOL carryforwards and other tax attributes, which could have a material adverse effect on cash flow and results of operations. Similar provisions of state tax law may also apply to limit our ability to use of accumulated state tax attributes. There is also a risk that due to regulatory changes, such as suspensions on the use of NOLs, or other unforeseen reasons, our existing NOLs could expire or otherwise be unavailable to offset future income tax liabilities.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Product Development and Regulatory Approval</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obtain regulatory approval for and commercialize TPST-1495, amezalpat, or any of our future product candidates, or if we experience significant delays in doing so, our business will be materially harmed.</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plan to invest a substantial amount of our efforts and financial resources in our current lead product candidates, TPST-1495, a dual EP2/EP4 prostaglandin (“PGE2”) receptor antagonist, and amezalpat, a peroxisome proliferator-activated receptor alpha (“PPARα”) antagonist for the treatment of various cancers. We have initiated Phase 1 clinical trials of TPST-1495 and amezalpat for the treatment of advanced solid tumors. We received positive feedback from the FDA on our potential pivotal Phase 3 trial design for amezalpat for HCC during the third quarter of 2024. Any delay in our ability to proceed to a pivotal trial for amezalpat will add time and expense to the development pathway and adversely impact the timing and potential for profitability. Our ability to generate product revenue will depend heavily on the successful development and eventual commercialization of TPST-1495 and amezalpat and any future product candidates, which may never occur. We currently generate no revenue from sales of any product and we may never be able to develop or commercialize a marketable product.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of our programs and product candidates will require further clinical and/or preclinical development, regulatory approval in multiple jurisdictions, obtaining preclinical, clinical and commercial manufacturing supply, capacity and expertise, building of a commercial organization, substantial investment and significant marketing efforts before we generate any revenue from</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product sales. TPST-1495 and amezalpat and any future product candidates must be authorized for marketing by the FDA, the Health Products and Food Branch of Health Canada (“HPFB”), the European Medicines Agency (“EMA”), and certain other foreign regulatory agencies before we may commercialize any of our product candidates in the United States, Canada, European Union, or other jurisdictions.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success of TPST-1495 and amezalpat and any future product candidates depends on multiple factors, including:</w:t>
      </w:r>
    </w:p>
    <w:p>
      <w:pPr>
        <w:spacing w:after="0" w:line="225" w:lineRule="exact"/>
        <w:rPr>
          <w:sz w:val="20"/>
          <w:szCs w:val="20"/>
          <w:color w:val="auto"/>
        </w:rPr>
      </w:pPr>
    </w:p>
    <w:p>
      <w:pPr>
        <w:jc w:val="both"/>
        <w:ind w:left="1020" w:right="12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preclinical studies, including those compliant with Good Laboratory Practice (“GLP”), or GLP toxicology studies, biodistribution studies and minimum effective dose studies in animals, and successful enrollment and completion of clinical trials compliant with current Good Clinical Practices (“GCPs”);</w:t>
      </w:r>
    </w:p>
    <w:p>
      <w:pPr>
        <w:spacing w:after="0" w:line="175"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Investigational New Drug applications or other regulatory applications, that allow commencement of our planned clinical trials or future clinical trials for our product candidates in relevant territories;</w:t>
      </w:r>
    </w:p>
    <w:p>
      <w:pPr>
        <w:spacing w:after="0" w:line="161"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relationships with contract research organizations (“CROs”) and clinical sites for the clinical development of our product candidates, both in the United States and internationally;</w:t>
      </w:r>
    </w:p>
    <w:p>
      <w:pPr>
        <w:spacing w:after="0" w:line="161"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arrangements with third-party contract manufacturing organizations (“CMOs”) for key materials used in our manufacturing processes and to establish backup sources for clinical and large-scale commercial supply;</w:t>
      </w:r>
    </w:p>
    <w:p>
      <w:pPr>
        <w:spacing w:after="0" w:line="161"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results from our clinical programs that are supportive of safety and efficacy and provide an acceptable risk-benefit profile for our product candidates in the intended patient populations;</w:t>
      </w:r>
    </w:p>
    <w:p>
      <w:pPr>
        <w:spacing w:after="0" w:line="161"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regulatory approvals from applicable regulatory authorities, including those necessary for pricing and reimbursement of our product candidates;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and maintenance of patent and trade secret protection and regulatory exclusivity for our product candidates;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launch of our product candidates, if and when approved, whether alone or in collaboration with others;</w:t>
      </w:r>
    </w:p>
    <w:p>
      <w:pPr>
        <w:spacing w:after="0" w:line="225"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 candidates, if and when approved, by patients, patient advocacy groups, third-party payors and the general medical community;</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compete with developers of other therapies available in the market;</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and maintenance of adequate reimbursement from third-party payors for our product candidates;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or in-license additional product candidates;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prosecution, maintenance, enforcement and defense of intellectual property rights and claims;</w:t>
      </w:r>
    </w:p>
    <w:p>
      <w:pPr>
        <w:spacing w:after="0" w:line="225"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a continued acceptable safety profile of our product candidates following approval, including meeting any post-marketing commitments or requirements imposed by or agreed to with applicable regulatory authorities;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factors surrounding the approval process, such as government shutdowns; or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020" w:right="16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such as the Russia-Ukraine war and the war in Israel, natural disasters including earthquakes, typhoons, floods and fires, and public health crises.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do not succeed in one or more of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Success in preclinical studies and earlier clinical trials for our product candidates may not be indicative of the results that may be obtained in later clinical trials, which may delay or prevent obtaining regulatory approval.</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Clinical development is expensive and can take many years to complete, and our outcome is inherently uncertain. Failure can occur at any time during the clinical trial process. Success in preclinical studies and early clinical trials may not be predictive of results in later-stage clinical trials, and successful results from early or small clinical trials may not be replicated or show as favorable an outcome in later-stage or larger clinical trials, even if successful. We will be required to demonstrate through adequate and well-controlled clinical trials that our product candidates are safe and effective for their intended uses before we can seek regulatory approvals for their commercial sale. The conduct of Phase 3 trials and the submission of a New Drug Application (“NDA”) is a complicated process. We have not previously completed any pivotal clinical trials, have limited experience in preparing, submitting and supporting regulatory filings, and have not previously submitted an NDA. Consequently, we may be unable to successfully and efficiently execute and complete necessary clinical trials and other requirements in a way that leads to NDA submission and approval of any product candidate we are developing.</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Even if our clinical trials demonstrate acceptable safety and efficacy of TPST-1495 and amezalpat or any future product candidates and such product candidates receive regulatory approval, the labeling we obtain through negotiations with the FDA or foreign regulatory authorities may not include data on secondary endpoints and may not provide us with a competitive advantage over other products approved for the same or similar indications.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Many companies in the biotechnology industry have suffered significant setbacks in late-stage clinical trials after achieving positive results in early-stage development, and there is a high failure rate for product candidates proceeding through clinical trials. In addition, different methodologies, assumptions and applications we utilize to assess particular safety or efficacy parameters may yield different statistical results. Even if we believe the data collected from clinical trials of our product candidates are promising, these data may not be sufficient to support approval by the FDA or foreign regulatory authorities. Preclinical and clinical data can be interpreted in different ways. Accordingly, the FDA or foreign regulatory authorities could interpret these data in different ways from us or our partners, which could delay, limit or prevent regulatory approval. If our study data does not consistently or sufficiently demonstrate the safety or efficacy of any of our product candidates, including TPST-1495 and amezalpat, to the satisfaction of the FDA or foreign regulatory authorities, then the regulatory approvals for such product candidates could be significantly delayed as we work to meet approval requirements, or, if we are not able to meet these requirements, such approvals could be withheld or withdrawn.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experience difficulties in patient enrollment in our clinical trials for a variety of reasons. The timely completion of clinical trials in accordance with our protocols depends, among other things, on our ability to enroll a sufficient number of patients who remain in the study until our conclusion. The enrollment of patients depends on many factors, including:</w:t>
      </w:r>
    </w:p>
    <w:p>
      <w:pPr>
        <w:spacing w:after="0" w:line="176"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defined in the protocol;</w:t>
      </w:r>
    </w:p>
    <w:p>
      <w:pPr>
        <w:spacing w:after="0" w:line="225" w:lineRule="exact"/>
        <w:rPr>
          <w:rFonts w:ascii="Times New Roman" w:cs="Times New Roman" w:eastAsia="Times New Roman" w:hAnsi="Times New Roman"/>
          <w:sz w:val="18"/>
          <w:szCs w:val="18"/>
          <w:color w:val="auto"/>
        </w:rPr>
      </w:pPr>
    </w:p>
    <w:p>
      <w:pPr>
        <w:ind w:left="5540" w:right="4000" w:hanging="5023"/>
        <w:spacing w:after="0" w:line="485" w:lineRule="auto"/>
        <w:tabs>
          <w:tab w:leader="none" w:pos="103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 required for analysis of the trial’s primary endpoints;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study sites;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 and</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our clinical trials will drop out of the trials before the infusion of our product candidates or trial completion.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Delays or failures in planned patient enrollment or retention may result in increased costs, program delays or both, which could have a harmful effect on our ability to develop our product candidates or could render further development impossible. For example, the impact of public health crises or geopolitical tensions, such as the Russia-Ukraine war and the war in Israel, may delay or prevent patients from enrolling or from receiving treatment in accordance with the protocol and the required timelines, which could delay our clinical trials, or prevent us from completing our clinical trials at all.</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some of our clinical trial sites are also being used by some of our competitors, which may reduce the number of patients who are available for our clinical trials in that clinical trial site.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Moreover, because our product candidates represent unproven methods for cancer treatment, potential patients and their doctors may be inclined to use existing therapies rather than enroll patients in our clinical trials.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and preliminary data from our clinical trials that we may announce or publish from time to time may change as more patient data becomes available and are subject to audit and verification procedures that could result in material changes in the final data.</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we may publish interim or preliminary data from our clinical studies. Interim data from clinical trials that we may complete are subject to the risk that one or more of the clinical outcomes may materially change as patient enrollment continues and more patient data become available.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Preliminary or interim data also remain subject to audit and verification procedures that may result in the final data being materially different from the preliminary data we previously published. As a result, interim and preliminary data should be viewed with caution until the final data is available. Adverse differences between preliminary or interim data and final data could significantly harm our business prospects.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are investigating amezalpat and TPST-1495 in combination with other approved therapies, and we may in the future investigate product candidates in combination with other approved and unapproved therapies, which exposes us to additional risks.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currently investigating and may continue to investigate one or more of our product candidates in combination with one or more other approved or unapproved therapies to treat cancers. Even if any product candidate we develop were to receive marketing approval or be commercialized for use in combination with other existing therapies, we would continue to be subject to the risks that the FDA or comparable foreign regulatory authorities outside of the United States could revoke approval of the therapy used in combination with our product or that safety, efficacy, manufacturing or supply issues could arise with any of those existing therapies, including shortages of those products for use in our intended clinical trials. If the therapies we use in combination with our product candidates are replaced as the standard of care for the indications we choose for any of our product candidates, the FDA or comparable foreign regulatory authorities may require us to conduct additional clinical trials. The occurrence of any of these risks could result in our own products, if approved, being removed from the market or being</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less successful commercially. We also may choose to evaluate our current product candidates or any other future product candidates in combination with one or more cancer therapies that have not yet been approved for marketing by the FDA or comparable foreign regulatory authorities. We will not be able to market and sell our current product candidates or any product candidate we develop in combination with an unapproved cancer therapy for a combination indication if that unapproved therapy does not ultimately obtain marketing approval either alone or in combination with our product. In addition, unapproved cancer therapies face the same risks described with respect to our product candidates currently in development and clinical trials, including the potential for serious adverse effects, delay in their clinical trials and lack of FDA approval. If the FDA or comparable foreign regulatory authorities do not approve these other products or revoke their approval of, or if safety, efficacy, quality, manufacturing or supply issues arise with, the products we choose to evaluate in combination with our product candidate we develop, we may be unable to obtain approval of or market such combination therapy.</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preclinical studies and clinical trials, we cannot predict when, or if, we will obtain regulatory approval to commercialize a product candidate and the approval may be for a narrower indication than we seek.</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Prior to commercialization, TPST-1495, amezalpat and any future product candidates must be approved by the FDA pursuant to an NDA in the United States and pursuant to similar marketing applications by the HPFB, EMA and similar regulatory authorities outside the United States. The process of obtaining marketing approvals, both in the United States and abroad, is expensive and takes many years, if approval is obtained at all, and can vary substantially based upon a variety of factors, including the type, complexity and novelty of the product candidates involved. Failure to obtain marketing approval for a product candidate will prevent us from commercializing the product candidate. We have not received approval to market TPST-1495, amezalpat or any future product candidates from regulatory authorities in any jurisdiction. We have no experience in submitting and supporting the applications necessary to gain marketing approvals, and, in the event regulatory authorities indicate that we may submit such applications, we may be unable to do so as quickly and efficiently as desired.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us from obtaining marketing approval or prevent or limit commercial use. Regulatory authorities have substantial discretion in the approval process and may refuse to accept or file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Approval of TPST-1495 and amezalpat and any future product candidates may be delayed or refused for many reasons, including:</w:t>
      </w:r>
    </w:p>
    <w:p>
      <w:pPr>
        <w:spacing w:after="0" w:line="225"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our product candidates are safe and effective for any of their proposed indications;</w:t>
      </w:r>
    </w:p>
    <w:p>
      <w:pPr>
        <w:spacing w:after="0" w:line="161"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populations studied in clinical trials may not be sufficiently broad or representative to assure efficacy and safety in the populations for which we seek approval;</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our product candidates’ clinical and other benefits outweigh their safety risks;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an NDA or other comparable submission in foreign jurisdictions or to obtain regulatory approval in the United States or elsewhere;</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facilities of third-party manufacturers with which we contract or procure certain service or raw materials, may not be adequate to support approval of our product candidates; and</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Even if our product candidates meet their pre-specified safety and efficacy endpoints in clinical trials, the regulatory authorities may not complete their review processes in a timely manner and may not consider such clinical trial results sufficient to grant,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Regulatory authorities also may approve a product candidate for more limited indications than requested or they may impose significant limitations in the form of narrow indications, warnings, contraindications or Risk Evaluation and Mitigation Strategies (“REMS”). These regulatory authorities may also grant approval subject to the performance of costly post-marketing clinical trials. In addition, regulatory authorities may not approve the labeling claims that are necessary or desirable for the successful commercialization of our product candidates. Any of the foregoing scenarios could materially harm the commercial prospects for our product candidates and adversely affect our business, financial condition, results of operations and prospects.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TPST-1495, amezalpat and any future product candidates may cause undesirable and/or unforeseen side effects or be perceived by the public as unsafe, which could delay or prevent their advancement into clinical trials or regulatory approval, limit the commercial potential or result in significant negative consequences.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is the case with pharmaceuticals generally, it is likely that there may be side effects and adverse events associated with our product candidates’ use. Results of our clinical trials could reveal a high and unacceptable severity and prevalence of side effects or unexpected characteristics. As we continue developing our product candidates and initiate clinical trials of our additional product candidates, serious adverse events (“SAEs”), undesirable side effects, relapse of disease or unexpected characteristics may emerge causing us to abandon these product candidates or limit their development to more narrow uses or subpopulations in which the SAEs or undesirable side effects or other characteristics are less prevalent, less severe or more acceptable from a risk-benefit perspective or in which efficacy is more pronounced or durable.</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any such adverse events occur, our clinical trials could be suspended or terminated and the FDA, the HPFB, the European Commission, the EMA or other regulatory authorities could order us to cease further development of, or deny approval of, our product candidates for any or all targeted indications. Even if we can demonstrate that all future serious adverse events are not product-related, such occurrences could affect patient recruitment or the ability of enrolled patients to complete the trial. Moreover, if we elect, or are required, to not initiate, delay, suspend or terminate any future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adversely affect our business, financial condition, results of operations and prospects significantly, including our ability to successfully sign collaboration or license agreements with external partners. Other treatments for cancers that utilize prostaglandin E2 antagonist or a PPARα antagonist or similar mechanism of action could also generate data that could adversely affect the clinical, regulatory or commercial perception of TPST-1495 and amezalpat and any future product candidates.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Additionally, if any of our product candidates receives marketing approval, the FDA could require us to adopt a REMS to ensure that the benefits of the product outweigh our risks, which may include, for example, a Medication Guide outlining the risks of the product for distribution to patients and a communication plan to health care practitioners, or other elements to assure safe use of the product.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Furthermore, if we or others later identify undesirable side effects caused by our product candidates, several potentially significant negative consequences could result, including:</w:t>
      </w:r>
    </w:p>
    <w:p>
      <w:pPr>
        <w:spacing w:after="0" w:line="162"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suspend or withdraw approvals of such product candidate;</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in the product labeling;</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a product candidate is administered or conduct additional clinical trials;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occurrences may harm our business, financial condition, results of operations and prospects significantly.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expand our pipeline of product candidates and develop marketable products.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research programs and product candidates that we identify for specific indications. Our business depends on our successful development and commercialization of the limited number of internal product candidates we are researching or have in preclinical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obtaining manufacturing supply capability,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develop further product candidates, we may not be able to obtain product revenue in future periods, which would adversely affect our business, prospects, financial condition and results of operations.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our pipeline includes multiple programs, we are primarily focused on our lead product candidates, TPST-1495 and amezalpat, and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 for which we obtain marketing approval will be subject to extensive post-marketing regulatory requirements and could be subject to post-marketing restrictions or withdrawal from the market, and we may be subject to penalties if we fail to comply with regulatory requirements or if we experience unanticipated problems with our product candidates, when and if any of them are approved.</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potential commercialization, including their testing, manufacturing, recordkeeping, labeling, storage, approval, advertising, promotion, sale and distribution, are subject to comprehensive regulation by the FDA and other U.S. and international regulatory authorities. These requirements include submissions of safety and other post-marketing information and reports, registration and listing requirements, requirements relating to manufacturing, including current Good Manufacturing Practices (“cGMP”), quality control, quality assurance and corresponding maintenance of records and documents, including periodic inspections by the FDA and other regulatory authorities and requirements regarding the distribution of samples to providers and recordkeeping. In addition, manufacturers of drug products and their facilities are subject to continual review and periodic, unannounced inspections by the FDA and other regulatory authorities for compliance with cGMP.</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FDA may also impose requirements for costly post-marketing studies or clinical trials and surveillance to monitor the safety or efficacy of any approved product. The FDA closely regulates the post-approval marketing and promotion of drugs to ensure that they are marketed in a manner consistent with the provisions of the approved labeling. The FDA imposes stringent restrictions on manufacturers’ communications regarding use of their products. If we promote our product candidates in a manner inconsistent with FDA-approved labeling or otherwise not in compliance with FDA regulations, we may be subject to enforcement action. Violations of the FFDCA relating to the promotion of prescription drugs may lead to investigations alleging violations of federal and state healthcare fraud and abuse laws, as well as state consumer protection laws and similar laws in international jurisdictions.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our product candidates, manufacturers or manufacturing processes, or failure to comply with regulatory requirements, may yield various results, including:</w:t>
      </w:r>
    </w:p>
    <w:p>
      <w:pPr>
        <w:spacing w:after="0" w:line="162"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 candidates, manufacturers or manufacturing processes;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any approved product from the market;</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 candidates;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 candidates;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our product candidates and generate revenue and could require us to expend significant time and resources in response and could generate negative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publicity. 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it may lose any marketing approval that we have obtained, and we may not achieve or sustain profitability.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Non-compliance with Canadian and European requirements regarding safety monitoring or pharmacovigilance, and with requirements related to the development of products for the pediatric population, can also result in significant financial penalties.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obtain regulatory approval in international jurisdictions would prevent us from marketing our product candidates outside the United States.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market and sell TPST-1495, amezalpat and any future product candidates in other jurisdictions, we must obtain separate marketing approvals and comply with numerous and varying regulatory requirements. The approval procedure varies among countries and can involve additional testing. The time and data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Failure to obtain foreign regulatory approvals or non-compliance with foreign regulatory requirements could result in significant delays, difficulties and costs for us and could delay or prevent the introduction of our product candidates in certain countries.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Our failure to obtain approval of any of our product candidates by regulatory authorities in another country may significantly diminish the commercial prospects of that product candidate and our business prospects could decline.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and Manufacturing</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our product candidates, including TPST-1495 and amezalpat, will depend upon their degree of market acceptance by providers, patients, patient advocacy groups, third-party payors and the general medical community.</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Even if the requisite approvals from the FDA, the HPFB, the EMA and other regulatory authorities internationally are obtained, the commercial success of our product candidates will depend, in part, on the acceptance of providers, patients and third-party payors of drugs designed to act as a dual antagonist of EP2 and EP4 and PPARα antagonists in general, and our product candidates in particular, as medically necessary, cost-effective and safe. In addition, we may face challenges in seeking to establish and grow sales of TPST-1495 and amezalpat or any future product candidates. Any product that we commercialize may not gain acceptance by providers, patients, patient advocacy groups, third-party payors and the general medical community. If these products do not achieve an adequate level of acceptance, we may not generate significant product revenue and may not become profitable.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Even if a potential product displays a favorable efficacy and safety profile in preclinical studies and clinical trials, market acceptance of the product will not be fully known until after it is launched.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pricing, insurance coverage and reimbursement status of newly approved products is uncertain. Failure to obtain or maintain adequate coverage and reimbursement for our product candidates, if approved, could limit our ability to market those products and decrease our ability to generate product revenue.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Successful sales of our product candidates, if approved, depend on the availability of coverage and adequate reimbursement from third-party payors including governmental healthcare programs, such as Medicare and Medicaid, managed care organizations and commercial payors, among others. Significant uncertainty exists as to the coverage and reimbursement status of any product candidates for which we obtain regulatory approval. In addition, because our product candidates represent new approaches to the treatment of cancer, we cannot accurately estimate the potential revenue from our product candidates.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that coverage and reimbursement by third-party payors will be essential for most patients to be able to afford these treatments. Accordingly, sales of our product candidates will depend substantially, both domestically and internationally, on the extent to which the costs of our product candidates will be paid by health maintenance, managed care, pharmacy benefit and similar healthcare management organizations, or will be reimbursed by government payors, private health coverage insurers and other third-party payors. Even if coverage is provided, the established reimbursement amount may not be high enough to allow us to establish or maintain pricing sufficient to realize a sufficient return on our investment.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approved products. In the United States, third-party payors, including private and governmental payors, such as the Medicare and Medicaid programs, play an important role in determining the extent to which new drugs will be covered and reimbursed. The Medicare program covers certain individuals aged 65 or older, disabled or suffering from end-stage renal disease. The Medicaid program, which varies from state-to-state, covers certain individuals and families who have limited financial means. The Medicare and Medicaid programs increasingly are used as models for how private payors and other government payors develop their coverage and reimbursement policies for drugs. One payor’s determination to provide coverage for a drug product, however, does not assure that other payors will also provide coverage for the drug product. Further, a payor’s decision to provide coverage for a drug product does not imply that an adequate reimbursement rate will be approved.</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government and private payors, professional organizations such as the American Medical Association, can influence decisions about coverage and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compared to existing alternatives. Such organizations may set guidelines that limit reimbursement or utilization of our product candidates, if approved. Even if favorable coverage and reimbursement status is attained for one or more product candidates for which our collaborators receive regulatory approval, less favorable coverage policies and reimbursement rates may be implemented in the future.</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therapeutics such as our product candidates. In many countries, particularly the countries of the EU,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 candidates may be reduced compared with the United States and may be insufficient to generate commercially reasonable revenues and profits.</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Moreover, increasing efforts by government and other third-party payors, in the United States and internationally, to cap or reduce healthcare costs may cause such payors to limit both coverage and the level of reimbursement for new products approved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and, as a result, they may not cover or provide adequate payment for our product candidates. We expect to experience pricing pressures in connection with the sale of any of our product candidates due to the trend toward managed healthcare, the increasing influence of certain third-party payors, such as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 Recently there have been instances in which third-party payors have refused to reimburse treatments for patients for whom the treatment is indicated in the FDA-approved product labeling. Even if we are successful in obtaining FDA approval to commercialize our product candidates, we cannot guarantee that we will be able to secure reimbursement for all patients for whom treatment with our product candidates is indicated.</w:t>
      </w:r>
    </w:p>
    <w:p>
      <w:pPr>
        <w:spacing w:after="0" w:line="18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third parties on which we depend to conduct our planned preclinical studies or clinical trials do not perform as contractually required, fail to satisfy regulatory or legal requirements or miss expected deadlines, our development program could be delayed with adverse effects on our business, financial condition, results of operations and prospects.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rely on third-party CROs, CMOs, consultants and others to design, conduct, supervise and monitor key activities relating to, testing, discovery, manufacturing, preclinical studies and clinical trials of our product candidates, and we intend to do the same for future activities relating to existing and future programs. Because we rely on third parties and does not have the ability to conduct all required testing, discovery, manufacturing, preclinical studies or clinical trials independently, we have less control over the timing, quality and other aspects of discovery, manufacturing,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discovery, manufacturing, preclinical studies or clinical trials, resulting in testing, discovery, manufacturing, preclinical studies or clinical trials being delayed or unsuccessful, in whole or in part.</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as well as in accordance with GLP, GCP and other applicable laws, regulations and standards. Our reliance on third parties that we do not control does not relieve us of these responsibilities and requirements. The FDA and other regulatory authorities enforce GCP through periodic inspections of trial sponsors, principal investigators and trial sites. If we or any of these third parties fails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have complied with GCP. In addition, our clinical trials must be conducted with product produced in accordance with cGMP. Our failure to comply with these regulations may require us to repeat clinical trials, which could delay or prevent the receipt of regulatory approvals. Any such event could have an adverse effect on our business, financial condition, results of operations and prospects.</w:t>
      </w:r>
    </w:p>
    <w:p>
      <w:pPr>
        <w:spacing w:after="0" w:line="18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in an environment of rapid technological change, and it is possible that our competitors may achieve regulatory approval before us or develop therapies that are more advanced or effective than our therapies, which may harm our business, financial condition and our ability to successfully market or commercialize TPST-1495, amezalpat, and any future product candidates.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biopharmaceutical industry, and the immuno-oncology industry specifically, is characterized by intense competition and rapid innovation. We are aware of other companies focused on developing cancer therapies in various indications. We may also face competition from large and specialty pharmaceutical and biotechnology companies, academic research institutions,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government agencies and public and private research institutions that conduct research, seek patent protection, and establish collaborative arrangements for research, development, manufacturing and commercialization.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Many of our potential competitors, alone or with their strategic partners, may have substantially greater financial, technical and other resources than we do, such as larger research and development, clinical, marketing and manufacturing organizations. Mergers and acquisitions in the biotechnology and pharmaceutical industries may result in even more resources being concentrated among a smaller number of competitors. Our commercial opportunity could be reduced or eliminated if competitors develop and commercialize products that are safer, more effective, have fewer or less severe side effects, are more convenient or are less expensive than any product candidates that we may develop. Competitors also may obtain FDA or other regulatory approval for their products more rapidly than we may obtain approval for our products, which could result in our competitors establishing a strong market position before we are able to enter the market, if ever. Additionally, new or advanced technologies developed by our competitors may render our current or future product candidates uneconomical or obsolete, and we may not be successful in marketing our product candidates against competitors.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become and remain profitable, we must develop and eventually commercialize product candidates with significant market potential, which will require us to be successful in a range of challenging activities. These activities include, among other things, completing preclinical studies and initiating and completing clinical trials of our product candidates, obtaining marketing approval for these product candidates, manufacturing, marketing and selling those products that are approved and satisfying any post marketing requirements. We may never succeed 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common stock and could impair our ability to raise capital, maintain our research and development efforts, expand our business or continue operations. A decline in the value of our common stock also could cause you to lose all or part of your investment.</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rely on third parties to manufacture our clinical product supplies, and we may have to rely on third parties to produce and process our product candidates, if approved.</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must currently rely on outside vendors to manufacture supplies and process our product candidates. We have not yet manufactured or processed our product candidates on a commercial scale and may not be able to achieve manufacturing and processing and may be unable to create an inventory of mass-produced, off-the-shelf product to satisfy demands for any of our product candidates.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do not yet have sufficient information to reliably estimate the cost of the commercial manufacturing and processing of our product candidates, and the actual cost to manufacture and process our product candidates could materially and adversely affect the commercial viability of our product candidates. As a result, we may never be able to develop a commercially viable product. In addition, we anticipate reliance on a limited number of third-party manufacturers exposes us to the following risks:</w:t>
      </w:r>
    </w:p>
    <w:p>
      <w:pPr>
        <w:spacing w:after="0" w:line="72" w:lineRule="exact"/>
        <w:rPr>
          <w:sz w:val="20"/>
          <w:szCs w:val="20"/>
          <w:color w:val="auto"/>
        </w:rPr>
      </w:pPr>
    </w:p>
    <w:p>
      <w:pPr>
        <w:jc w:val="both"/>
        <w:ind w:left="1020" w:hanging="503"/>
        <w:spacing w:after="0" w:line="261"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identify manufacturers on acceptable terms or at all because the number of potential manufacturers is limited, and the FDA may have questions regarding any replacement contractor. This may require new testing and regulatory interactions. In addition, a new manufacturer would have to be educated in, or develop substantially equivalent processes for, production of our products after receipt of FDA questions, if any.</w:t>
      </w:r>
    </w:p>
    <w:p>
      <w:pPr>
        <w:spacing w:after="0" w:line="71"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manufacturers might be unable to timely formulate and manufacture our product or produce the quantity and quality required to meet our clinical and commercial needs, if any.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manufacturers may not be able to execute our manufacturing procedures appropriately.</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contract manufacturers may not perform as agreed or may not remain in the contract manufacturing business for the time required to supply our clinical trials or to successfully produce, store and distribute our products.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020" w:right="100" w:hanging="503"/>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Manufacturers are subject to ongoing periodic unannounced inspection by the FDA, the Drug Enforcement Administration and corresponding state agencies to ensure strict compliance with cGMP and other government regulations and corresponding foreign standards. We do not have control over third-party manufacturers’ compliance with these regulations and standards.</w:t>
      </w:r>
    </w:p>
    <w:p>
      <w:pPr>
        <w:spacing w:after="0" w:line="6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own, or may have to share, the intellectual property rights to any improvements made by our third-party manufacturers in the manufacturing process for our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manufacturers could breach or terminate their agreement(s) with us.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contract manufacturers would also be subject to the same risks we face in developing our own manufacturing capabilities, as described above. Each of these risks could delay our clinical trials, the approval, if any, of our product candidates by the FDA or the commercialization of our product candidates or result in higher costs or deprive us of potential product revenue. In addition, we will rely on third parties to perform release tests on our product candidates prior to delivery to patients. If these tests are not appropriately done and test data are not reliable, patients could be put at risk of serious harm.</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drugs is complex, and our third-party manufacturers may encounter difficulties in production. If any of our third-party manufacturers encounter such difficulties, our ability to provide adequate supply of our product candidates for clinical trials, our ability to obtain marketing approval, or our ability to provide supply of our product candidates for patients, if approved, could be delayed or stopped.</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intend to establish manufacturing relationships with a limited number of suppliers to manufacture raw materials, the drug substance and finished product of any product candidate for which we are responsible for preclinical or clinical development. Each supplier may require licenses to manufacture such components if such processes are not owned by the supplier or in the public domain. As part of any marketing approval, a manufacturer and its processes are required to be qualified by the FDA prior to regulatory approval. If supply from the approved vendor is interrupted, there could be a significant disruption in commercial supply. An alternative vendor would need to be qualified through an NDA supplement which could result in further delay. The FDA or other regulatory agencies outside of the United States may also require additional studies if a new supplier is relied upon for commercial production. Switching vendors may involve substantial costs and is likely to result in a delay in our desired clinical and commercial timelines.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process of manufacturing drugs is complex, highly regulated and subject to multiple risks. Manufacturing drugs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at the facilities of our manufacturers, such facilities may need to be closed for an extended period of time to investigate and remedy the contamination, which could delay clinical trials and adversely harm our business. Moreover, if the FDA determines that our CMOs are not in compliance with FDA laws and regulations, including those governing cGMP, the FDA may deny an NDA approval until the deficiencies are corrected or we replace the manufacturer in our NDA with a manufacturer that is in compliance. In addition, approved products and the facilities at which they are manufactured are required to maintain ongoing compliance with extensive FDA requirements and the requirements of other similar agencies, including ensuring that quality control and manufacturing procedures conform to cGMP requirements. As such, our CMOs are subject to continual review and periodic inspections to assess compliance with cGMP. Furthermore, although we do not have day-to-day control over the operations of our CMOs, we are responsible for ensuring compliance with applicable laws and regulations, including cGMP.</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requirements for the potential launch of the product or to meet potential future demand. If our manufacturers are unable to produce sufficient quantities for clinical trials or for commercialization, commercialization efforts would be impaired, which would have an adverse effect on our business, financial condition, results of operations and prospects.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we will rely upon a limited number of manufacturers for our product candidates, which may include single-source suppliers for the various steps of manufacture. This reliance on a limited number of manufacturers and the complexity of drug manufacturing and the difficulty of scaling up a manufacturing process could cause the delay of clinical trials, regulatory submissions, required approvals or commercialization of our product candidates, cause us to incur higher costs and prevent us from commercializing our product candidates successfully. Furthermore, if our suppliers fail to deliver the required commercial quantities of materials on a timely basis and at commercially reasonable prices, and we are unable to secure one or more replacement suppliers capable of production in a timely manner at a substantially equivalent cost, our clinical trials may be delayed or we could lose potential revenue.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and marketing capabilities or enter into agreements with third parties to market and sell our product candidates, we may be unable to generate any revenues.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do not have an organization for the sales, marketing and distribution of TPST-1495, amezalpat or any future product candidates, and the cost of establishing and maintaining such an organization may exceed the cost-effectiveness of doing so. To market any products that may be approved, we must build our sales, marketing, managerial and other non-technical capabilities or make arrangements with third parties to perform these services. With respect to certain of our current programs as well as future programs, we may rely completely on an alliance partner for sales and marketing. In addition, although we intend to establish a sales organization if we are able to obtain approval to market any product candidates, we may enter into strategic alliances with third parties to develop and commercialize TPST-1495, amezalpat and any future product candidates, including in markets outside of the United States or for other large markets that are beyond our resources. This will reduce the revenue generated from the sales of these products.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future strategic alliance partners may not dedicate sufficient resources to the commercialization of our product candidates or may otherwise fail in their commercialization due to factors beyond our control. If we are unable to establish effective alliances to enable the sale of our product candidates to healthcare professionals and in geographical regions, including the United States, that will not be covered by our marketing and sales force, or if our potential future strategic alliance partners do not successfully commercialize the product candidates, our ability to generate revenues from product sales will be adversely affected.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are unable to establish adequate sales, marketing and distribution capabilities, whether independently or with third parties, we may not be able to generate sufficient product revenue and may not become profitable. We will be competing with many companies that currently have extensive and well-funded marketing and sales operations. Without an internal team or the support of a third party to perform marketing and sales functions, we may be unable to compete successfully against these more established companies.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finding strategic collaborators for continuing development of certain of our future product candidates or successfully commercializing or competing in the market for certain indications.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future, we may decide to collaborate with non-profit organizations, universities and pharmaceutical and biotechnology companies for the development and potential commercialization of existing and new product candidates. 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drugs, the existence of uncertainty with respect to our ownership of technology, which</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for our product candidate. The terms of any additional collaborations or other arrangements that we may establish may not be favorable to us.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the product candidate for which we are seeking to collaborate, reduce or delay our development program or one or more of our other development programs, delay our potential commercialization or reduce the scope of any sales or marketing activities, or increase our expenditures and undertake development or commercialization activities at our expense. If we elect to increase our expenditures to fund development or commercialization activities on our product candidates,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success of any potential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such collaboration arrangements.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or any failure by our partners to perform their obligations under collaboration agreements, would adversely affect us financially and could harm our business reputation or negatively impact our ability to successfully develop, obtain regulatory approvals for and commercialize our product candidates.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regulatory approval process is lengthy and time consuming, and we may experience significant delays in the clinical development and regulatory approval of our product candidates.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Obtaining FDA approval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Even if we eventually complete clinical testing and receive approval for our product candidates, the FDA may approve our product candidates for a more limited indication or a narrower patient population than originally requested or may impose other prescribing limitations or warnings that limit the product’s commercial potential. We have not submitted for, or obtained, regulatory approval for any product candidate, and it is possible that none of our product candidates will ever obtain regulatory approval. Further, development of our product candidates and/or regulatory approval may be delayed for reasons beyond our control.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also experience delays in obtaining regulatory approvals, including but not limited to:</w:t>
      </w:r>
    </w:p>
    <w:p>
      <w:pPr>
        <w:spacing w:after="0" w:line="225" w:lineRule="exact"/>
        <w:rPr>
          <w:sz w:val="20"/>
          <w:szCs w:val="20"/>
          <w:color w:val="auto"/>
        </w:rPr>
      </w:pPr>
    </w:p>
    <w:p>
      <w:pPr>
        <w:ind w:left="5540" w:right="5520" w:hanging="5023"/>
        <w:spacing w:after="0" w:line="485" w:lineRule="auto"/>
        <w:tabs>
          <w:tab w:leader="none" w:pos="103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authorization to begin a trial, if applicable;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our study protocols and need to conduct additional studies as may be required by a regulator;</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or regulatory delays and changes in regulation or policy relating to the development and commercialization of our product candidate by the FDA or other comparable foreign regulatory authorities;</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meeting regulatory requirements established by the FDA, and other comparable foreign regulatory authorities;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financial resources to commence and complete the planned trials;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the terms of any collaboration agreements we may choose to initiate or conclude;</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 on acceptable terms with prospective CROs and clinical trial sites, the terms of which can be subject to extensive negotiation and may vary significantly among different CROs and trial sites;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third-party contractors, such as CROs, or investigators to comply with regulatory requirements, including GCPs;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trial protocol or dropping out of a trial;</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obtaining the necessary approvals from regulators or institutional review boards (“IRBs”), in order to commence a clinical trial at a prospective trial site, or their suspension or termination of a clinical trial once commenced;</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recruit and enroll suitable patients to participate in a trial;</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patients complete a trial, including having patients enrolled in clinical trials dropping out of the trial before the product candidate is manufactured and returned to the site, or return for post-treatment follow-up;</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having patients complete a trial or return for post-treatment follow-up;</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deviating from trial protocol or dropping out of a trial;</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patient safety concerns that arise during the course of a trial;</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add new clinical trial sites; or</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interpretations of the data generated from our preclinical or clinical trials;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defending intellectual property disputes, including patent infringement actions brought by third parties;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establishing, expanding and scaling manufacturing capabilities;</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manufacture, or obtain from third parties, sufficient quantities of qualified materials under cGMP, for the completion in pre-clinical and clinical studies;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with biopharmaceutical product candidate storage, stability and distribution resulting in global supply chain disruptions;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0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any product candidate for which we may receive regulatory approval in regions where we choose to commercialize our products on our own; or</w:t>
      </w:r>
    </w:p>
    <w:p>
      <w:pPr>
        <w:spacing w:after="0" w:line="161"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unforeseen business disruptions or market fluctuations that delay our product development or clinical trials and increase our costs or expenses, such as business or operational disruptions, delays, or system failures due to malware, unauthorized access, terrorism, war, natural disasters, strikes, geopolitical conflicts (such as the Russia-Ukraine war and the war in Israel), restrictions on trade, import or export restrictions, or public health crises.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could also encounter delays if physicians encounter unresolved ethical issues associated with enrolling patients in clinical trials of our product candidates in lieu of prescribing existing treatments that have established safety and efficacy profiles. Further, a clinical trial may be suspended or terminated by us, the IRBs for the institutions in which such trials are being conducted or by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safety issues or adverse side effects, failure to demonstrate a benefit from using a product candidate, changes in governmental regulations or administrative actions, lack of adequate funding to continue the clinical trial, or based on a recommendation by the Data Safety Monitoring Committee.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Many of the factors that cause, or lead to, a delay in the commencement or completion of clinical trials may ultimately lead to the denial of regulatory approval of our product candidates.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Breakthrough Therapy designation or Fast Track designation by the FDA for one or more of our product candidates but may not receive such designation. Even if we secure such designation, it may not lead to a faster development or regulatory review or approval process and it does not increase the likelihood that our product candidates will receive marketing approval.</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seek Breakthrough Therapy or Fast Track designation for some of our product candidates. In February 2025, we announced that the FDA had granted Fast Track Designation to amezalpat for the treatment of HCC. If a product candidate is intended for the treatment of a serious or life-threatening condition and clinical or preclinical data demonstrate the potential to address unmet medical needs for this condition, the product candidate may be eligible for Fast Track designation. The benefits of Fast Track designation include more frequent meetings with FDA to discuss the drug’s development plan and ensure collection of appropriate data needed to support drug approval, more frequent written communication from FDA about such things as the design of the proposed clinical trials and use of biomarkers, eligibility for Accelerated Approval and Priority Review, if relevant criteria are met, and rolling review, which means that a drug company can submit completed sections of our NDA for review by FDA, rather than waiting until every section of our NDA is completed before the entire application can be reviewed. NDA review usually does not begin until the entire application has been submitted to the FDA.</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breakthrough therapy is defined as a drug that is intended, alone or in combination with one or more other drugs or biologics,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by the FDA may be eligible for all features of Fast Track designation, intensive guidance on an efficient drug development program, beginning as early as Phase 1, and organizational commitment involving senior managers at FDA.</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FDA has broad discretion whether or not to grant these designations, so even if we believe a particular product candidate is eligible, we cannot assure that the FDA would decide to grant the designation. Even if we obtain Fast Track designation and/or Breakthrough Therapy designation for one or more of our product candidates, it may not experience a faster development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process, review or approval compared to non-expedited FDA review procedures. In addition, the FDA may withdraw Fast Track designation or Breakthrough Therapy designation if it believes that the designation is no longer supported. These designations do not guarantee qualification for the FDA’s priority review procedures or a faster review or approval process, including for amezalpat for the treatment of HCC.</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attempt to secure FDA approval of our product candidates through the accelerated approval pathway. If we are unable to obtain accelerated approval, we may be required to conduct additional preclinical studies or clinical trials beyond those that we currently contemplate, which could increase the expense of obtaining, and delay the receipt of, necessary marketing approvals.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developing certain product candidates for the treatment of serious conditions, and therefore may decide to seek approval of such product candidates under the FDA’s accelerated approval pathway. A product may be eligible for accelerated approval if it is designed to treat a serious or life-threatening disease or condition and provides a meaningful therapeutic benefit over existing treatments based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of or lack of alternative treatments. For the purposes of accelerated approval, a surrogate endpoint is a marker, such as a laboratory measurement, radiographic image, physical sign, or other measure that is thought to predict clinical benefit, but is not itself a measure of clinical benefit.</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verity and describe the drug’s anticipated effect on irreversible morbidity or mortality or other clinical benefit. In some cases, the FDA may require that the trial be designed, initiated, and/or fully enrolled prior to approval. If the sponsor fails to conduct such studies in a timely manner, or if such post-approval studies fail to verify the drug’s predicted clinical benefit, or if other evidence demonstrates that our product candidate is not shown to be safe and effective under the conditions of use, the FDA may withdraw its approval of the drug on an expedited basis.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decide to submit an NDA seeking accelerated approval or receive an expedited regulatory designation for any of our product candidates, there can be no assurance that such submission or application will be accepted or that any expedited development, review or approval will be granted on a timely basis, or at all. If any of our competitors were to receive full approval on the basis of a confirmatory trial for an indication for which we are seeking accelerated approval before we receive accelerated approval, the indication we are seeking may no longer qualify as a condition for which there is an unmet medical need and accelerated approval of our product candidate would be more difficult or may not occur.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Failure to obtain accelerated approval or any other form of expedited development, review or approval for our product candidates would result in a longer time period to commercialization of such product candidate, if any, and could increase the cost of development of such product candidate harm our competitive position in the marketplace.</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Although we have received orphan drug designation for amezalpat and may continue to seek orphan drug designation for some or all of our current or future product candidates, we may be unsuccessful in obtaining Orphan Drug Designation for our product candidates or transfer of designations obtained by others for future product candidates, and, even if we obtain such designation, we may be unable to maintain the benefits associated with Orphan Drug Designation, including the potential for market exclusivity.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2025, we received Orphan Drug Designation for amezalpat for the treatment of patients with HCC. We may continue to seek orphan drug designation for one or more of our current or future product candidates, including TPST-1495. The FDA may designate drugs intended to treat relatively small patient populations as orphan drugs. Under the Orphan Drug Act, the FDA may designate a drug as an orphan drug if it is intended to treat a rare disease or condition, which is defined as a patient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population of fewer than 200,000 individuals in the United States, or a patient population greater than 200,000 in the United States when there is no reasonable expectation that the cost of developing and making available the drug in the United States will be recovered from sales in the United States for that drug. Orphan drug designation must be requested before submitting an NDA. In the United States, Orphan Drug Designation entitles a party to financial incentives such as opportunities for tax credits for qualified clinical research costs and exemption from prescription drug user fees. Generally, if a drug with an Orphan Drug Designation subsequently receives the first marketing approval for the indication for which it has such designation, the drug is entitled to a period of marketing exclusivity, which precludes FDA from approving another marketing application for the same drug and indication for that time period, except in limited circumstances. If a competitor is able to obtain orphan drug exclusivity prior to us for a product that constitutes the same active moiety and treats the same indications as our product candidates, we may not be able to obtain approval of our drug by the applicable regulatory authority for a significant period of time unless we are able to show that our drug is clinically superior to the approved drug. The applicable period is seven years in the United States.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seek Orphan Drug Designation for one or more of our product candidates in the United States as part of our business strategy. However, Orphan Drug Designation does not guarantee future orphan drug marketing exclusivity. Even after an orphan drug is approved, the FDA can also subsequently approve a later application for the same drug for the same condition if the FDA concludes that the later drug is clinically superior in that it is shown to be safer in a substantial portion of the target populations, more effective or makes a major contribution to patient care. In addition, a designated orphan drug may not receive orphan drug exclusivity if it is approved for a use that is broader than the indication for which it received orphan designation.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Moreover, orphan drug exclusive marketing rights in the United States may be lost if the FDA later determines that the request for designation was materially defective or if we are unable to manufacture sufficient quantities of the product to meet the needs of patients with the rare disease or condition. Orphan Drug Designation neither shortens the development time or regulatory review time of a drug nor gives the drug any advantage in the regulatory review or approval process.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Enacted and future legislation may increase the difficulty and cost for us to commercialize and obtain marketing approval of our product candidates and may affect the prices we may set.</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2010, the Patient Protection and Affordable Care Act, as amended by the Health Care and Education Reconciliation Act of 2010, or collectively the Affordable Care Act (“ACA”), was enacted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example, on August 16, 2022, the Inflation Reduction Act of 2022 (“IRA”) was signed into law, which among other things, extends enhanced subsidies for individuals purchasing health insurance coverage in ACA through plan year 2025. The IRA also reduces the "donut hole" under the Medicare Part D program beginning in 2025 by significantly lowering the beneficiary maximum out-of-pocket cost and through a newly established manufacturer discount program. In the future, there may be other efforts to challenge, repeal or replace the ACA. It is unclear how many such challenges and the healthcare reform measures of the second Trump administration will impact the ACA and our business. We are continuing to monitor any changes to the ACA that, in turn, may potentially impact our business in the future.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Recently, the cost of prescription pharmaceuticals has been the subject of considerable discussion in the United States at both the federal and state levels. The heightened governmental scrutiny in the United States of pharmaceutical pricing practices in light of the rising cost of prescription drugs and biologics, also has resulted in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For example, the IRA, among other things, (1) directs HHS to negotiate the price of certain high-expenditure, single-source drugs covered under Medicare that have been on the market for at least 7 years (the “Medicare Drug Price Negotiation Program”) and (2) imposes rebates under Medicare Part B and Medicare Part D to penalize price increases that outpace inflation. These provisions began to take effect progressively in fiscal year 2023. On August 15, 2024, HHS announced the agreed-upon price of the first ten drugs that were subject to price negotiations, although the Medicare Drug Price Negotiation Program is currently subject to legal challenges. On January 17, 2025, HHS selected fifteen additional products covered under Part D for price negotiation in 2025. Each year thereafter more Part B and Part D products will become subject to the Medicare Drug Price Negotiation Program.</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current Trump administration is pursuing policies to reduce regulations and expenditures across government including at HHS, the FDA, the National Institutes of Health, CMS and related agencies. These actions, presently directed by executive orders or memoranda from the Office of Management and Budget, may propose policy changes that create additional uncertainty for our business. These actions may, for example, include directives to reduce agency workforce, rescinding a Biden administration executive order tasking the Center for Medicare and Medicaid Innovation (“CMMI”) to consider new payment and healthcare models to limit drug spending and eliminating the Biden administration’s executive order that directed HHS to establishing an AI task force and developing a strategic plan. Further, amounts allocated to federal grants and contracts may be reduced or eliminated. These reductions may also impact the ability of relevant agencies to timely review and approve research and development, manufacturing, and marketing activities, which may delay Tempest’s ability to develop, market and sell any products Tempest may develop. Additionally, in its June 2024 decision in Loper Bright Enterprises v. Raimondo (“Loper Bright”), the U.S. Supreme Court overturned the longstanding Chevron doctrine, under which courts were required to give deference to regulatory agencies’ reasonable interpretations of ambiguous federal statutes. The Loper Bright decision could result in additional legal challenges to current regulations and guidance issued by federal agencies applicable to our operations, including those issued by the FDA. Congress may introduce and ultimately pass health care related legislation that could impact the drug approval process and make changes to the Medicare Drug Price Negotiation Program created under the IRA.</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state level, legislatures and agencies are increasingly passing legislation and implementing regulations designed to control spending on and patient out-of-pocket costs for drug products. These measures include constraints on pricing, discounting and reimbursement; restrictions on certain product access and marketing; cost disclosure and transparency measures that require detailed reporting of drug pricing and marketing information both at product launch and in the event of a price increase; and, in some cases, measures designed to encourage importation from other countries and bulk purchasing.</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that the ACA and the IRA, as well as other healthcare reform measures that may be adopted in the future, particularly in light of the recent U.S. Presidential and Congressional elections,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Legislative and regulatory proposals have also been made to expand post-approval requirements and restrict sales and promotional activities for pharmaceutical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FDA’s ability to review and approve new products may be hindered by a variety of factors, including budget and funding levels, ability to hire and retain key personnel, statutory, regulatory and policy changes and global health concerns.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In addition, government funding of other government agencies that fund research and development activities is subject to the political process, which is inherently fluid and unpredictable. 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ability of the FDA and other government agencies to properly administer their functions is highly dependent on the levels of government funding and the ability to fill key leadership appointments, among various factors. Delays in filling or replacing key positions could significantly impact the ability of the FDA and other agencies to fulfill their functions, and could greatly impact healthcare and the pharmaceutical industry.</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the third parties with whom we work are subject to stringent and evolving U.S. and foreign laws, regulations, and rules, contractual obligations, industry standards, policies and other obligations related to data privacy and security, and our (or the third parties with whom we work) actual or perceived failure to comply with them could harm our business.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collect, receive, store, process, generate, use, transfer, disclose, make accessible, protect, secure, dispose of, transmit, and share (collectively, “process”) a large quantity of personal data and other sensitive information, including proprietary and confidential business data, trade secrets, intellectual property, and patient health information in connection with our preclinical and clinical studies.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United States, there are numerous federal, state, and local privacy and data security laws and regulations governing the processing of personal data, including health information privacy laws, security breach notification laws, personal data privacy laws, consumer protection laws (e.g., Section 5 of the Federal Trade Commission Act), and other similar laws (e.g., wiretapping laws). Each of these laws is subject to varying interpretations and constantly evolving. In addition, we obtain health information from third parties (including research institutions from which it obtains clinical trial data) that are subject to privacy and security requirements under HIPAA, which imposes specific requirements relating to the privacy, security, and transmission of protected health information.</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states have also adopted comprehensive privacy laws and regulations that impose certain obligations on covered businesses, including providing specific disclosures in privacy notices and affording residents with certain rights concerning their personal data. For example, the California Consumer Privacy Act, as amended by the California Privacy Rights Act (collectively, the “CCPA”) gives California residents expanded rights to access and delete their personal data, opt out of certain personal data sharing, and receive detailed information about how their personal information is used. The CCPA provides for civil penalties for violations, as well as a private right of action for data breaches that is expected to increase data breach litigation. Although the CCPA and other comprehensive U.S. state privacy laws exempt some data processed in the context of clinical trials, these developments further complicate compliance efforts if we become subject to those laws, potentially increasing our legal risk and compliance costs for us, and the third parties with whom we work. Similar laws are being considered in several other states, as well as at the federal and local levels, and we expect more states to pass similar laws in the future.</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govern data privacy and security. For example, in Canada, the Personal Information Protection and Electronic Documents Act (“PIPEDA”) and similar provincial</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laws may impose obligations with respect to processing personal data, including health-related information. PIPEDA requires companies to obtain an individual’s consent when collecting, using or disclosing that individual’s personal data. Individuals have the right to access and challenge the accuracy of their personal data held by an organization, and personal data may only be used for the purposes for which it was collected. If an organization intends to use personal data for another purpose, it must again obtain that individual’s consent. Failure to comply with PIPEDA could result in significant fines and penalties.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another example, the European Union’s General Data Protection Regulation (the “EU GDPR”) and the United Kingdom’s GDPR (the “UK GDPR”, and together with the EU GDPR, the “GDPR”) also impose strict requirements for processing personal data and substantial fines for breaches and violations (for example, under the EU GDPR, up to the greater of €20 million or 4% of our annual worldwide gross revenue). Additionally, under the GDPR, companies may face temporary or definitive bans on data processing and other corrective action or private litigation related to processing of personal data brought by classes of data subjects or consumer protection organizations authorized at law to represent their interests.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Regulators in the United States such as the Department of Justice are also increasingly scrutinizing certain personal data transfers and have proposed, and may enact, certain data export restrictions and localization requirements. For example, the “Preventing Access to U.S. Sensitive Personal Data and Government-Related Data by Countries of Concern or Covered Persons” rule (the “Rule”) finalized by the Department of Justice in late 2024 and enacting the Biden Administration’s executive order “Preventing Access to Americans’ Bulk Sensitive Personal Data and United States Government-Related Data by Countries of Concern,” will take effect on April 8, 2025. The Rule prohibits or restricts various categories of transactions involving bulk sensitive personal data between U.S. persons and countries of concern or covered persons. Companies subject to the Rule face the risk of non-compliance with restrictions on transferring bulk sensitive personal data to countries of concern, such as China, Russia, or Iran, or covered persons, which could lead to significant penalties, including civil and criminal charges, as well as reputational damage and operational disruptions.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data privacy and security laws, we are contractually subject to industry standards adopted by industry groups and, we may become subject to such obligations in the future. We are also bound by contractual obligations related to data privacy and security, and our efforts to comply with such obligations may not be successful. We publish privacy policies, marketing materials and other statements concerning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 In addition, these obligations may require us to change our business model.</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Compliance with these obligations is a rigorous and time-intensive process, and we may be required to put in place additional mechanisms designed to ensure compliance with these obligations. If we fail (or are perceived to have failed) to comply with any such obligations, we may face significant consequences, including without limitation government enforcement actions (e.g., investigations, fines and penalties, audits, inspections); litigation (including class-action claims) and mass arbitration demands); additional reporting requirements and/or oversight; bans or restrictions on processing personal data; orders to destroy or not use personal data; imprisonment of company officials; or other consequences that could adversely affect our business, financial condition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those of third parties with whom we work, or our data, are or were compromised, we could experience adverse consequences, including disclosure of sensitive information, damage to our reputation, and significant financial and legal exposure.</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with whom we work, process proprietary, confidential, and sensitive data, including personal data (such as health-related data), intellectual property, trade secrets (collectively, sensitive information). Cyberattacks, malicious internet-based activity, online and offline fraud, and other similar activities threaten the confidentiality, integrity, and availability of our sensitive information and information technology systems, and those of the third parties with whom we work. These threats are increasing in their frequency, sophistication and intensity, have become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are vulnerable to a heightened risk of these attacks, including retaliatory cyberattacks, that could materially disrupt our systems and operations, supply chain, and ability to produce, sell and distribute our goods and services.</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Cyberattacks could include wrongful conduct by hostile foreign governments, industrial espionage, wire fraud and other forms of cyber fraud, the deployment of harmful malware (including as a result of advanced persistent threat intrusions), denial-of-service attacks, social engineering attacks (including through deep-fakes, which are increasingly more difficult to identify as fake, and phishing attacks), malicious code (such as viruses and worms), denial-of-service attacks, credential stuffing attacks, credential harvesting, personnel misconduct or error, ransomware attacks, supply-chain attacks, software bugs, server malfunctions, software or hardware failures, loss of data, attacks enhanced or facilitated by AI or other information technology assets, fraud or other means to threaten confidentiality, integrity and availability of our sensitive information. We and the third parties with whom we work may also experience telecommunications failures, natural disasters, terrorism, war and other similar threats.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particular, severe ransomware attacks are becoming increasingly prevalent and can lead to significant interruptions in our operations, ability to provide our products or services, loss of sensitive information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more of our employees work remotely, the risk of a cybersecurity incident potentially occurring, and our investment in risk mitigations against such an incident, is increasing. For example, there has been an increase in phishing and spam emails as well as social engineering attempts from “hackers.” Future or past business transactions (such as acquisitions or integrations) could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we rely on third parties and their technology to operate critical business systems to process sensitive information, including our CROs, CMOs and other contractors, consultants and law and accounting firms. Our ability to monitor these third parties’ information security practices is limited, and these third parties may not have adequate information security measures in place. If these third parties experience a security incident or other interruption, we could experience adverse consequences. While we may be entitled to damages if our third-party partners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devote resources to protect our information systems, we realize that cyberattacks are a threat, and there can be no assurance that our efforts will prevent information security breaches. We take steps designed to detect, mitigate, and remediate vulnerabilities in our information systems (such as our and the third parties’ with whom we work hardware and software). We have not, and may not in the future, however, detect and remediate all such vulnerabilities including on a timely basis. Further, we have, and may in the future, experience delays in developing and deploying remedial measures and patches designed to address identified vulnerabilities. Vulnerabilities could be exploited and result in a security incident.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the previously identified or similar threats have in the past and may in the future cause a security incident or other interruption that have in the past and may in the future result in unauthorized, unlawful, or accidental acquisition, modification, destruction, loss, alteration, encryption, disclosure of, or access to our sensitive information or our information technology systems, or those of the third parties with whom we work. For example, we have been the target of unsuccessful phishing attempts in the past, and expect such attempts will continue in the future. A security incident or other interruption could disrupt our ability (and that of third parties with whom we work) to provide our services.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expend significant resources or may have to modify our business activities (including our clinical trial activities) to try to protect against security incidents. Certain data privacy and security obligations require us to implement and maintain specific security measures or industry-standard or reasonable security measures to protect our information technology systems and sensitive information. Applicable data privacy and security obligations require us, or we may voluntarily choose, to notify relevant stakeholders, including affected individuals, customers, regulators, and investors, of security incidents, or to take other actions, such as providing credit monitoring and identity theft protection services. Such disclosures and related actions can be costly, and the disclosure or the failure to comply with such requirements could lead to adverse consequences.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 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successful or perceived security incident experienced by us or the third parties with whom we work could cause serious negative consequences for us, including, without limitation, the disruption of operations, the misappropriation of sensitive information, disclosure of corporate strategic plans, material disruption of our development programs and our business operations, government enforcement actions (e.g., investigations, fines, penalties, audits, inspections), additional reporting requirements and/or oversight, restrictions on processing sensitive information, litigation, indemnification obligations,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reputational harm, negative publicity, and other harms. For example, the loss of data from preclinical studies or clinical trials could result in significant delays in our regulatory approval efforts and significantly increase our costs to recover or reproduce the data. To the extent that any disruption or security incident were to result in a loss of, or damage to, our sensitive information or applications, or inappropriate disclosure of such information, we could incur liability, our competitive position could be harmed, and the further development and commercialization of our product candidates could be significantly delayed.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CROs, CMOs and consultants may engage in misconduct or other improper activities, including non-compliance with regulatory standards and requirements and insider trading.</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principal investigators, consultants and commercial partners. Misconduct by these parties could include intentional failures to comply with the regulations of FDA and non-U.S. regulators, to provide accurate information to the FDA and non-U.S. regulators, to comply with healthcare fraud and abuse laws and regulations in the United States and abroad, to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could cause serious harm to our reputation.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or asserting our rights, those actions could have a significant impact on our business, including the imposition of significant fines or other sanctions.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operations and relationships with future customers, providers and third-party payors will be subject to applicable anti-kickback, fraud and abuse and other healthcare laws and regulations, which could expose us to penalties including criminal sanctions, civil penalties, contractual damages, reputational harm and diminished profits and future earnings.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Healthcare providers and third-party payors will play a primary role in the recommendation and prescription of any product candidates for which we obtain marketing approval. Our future arrangements with providers, third-party payors and customers will subject us to broadly applicable fraud and abuse and other healthcare laws and regulations that may constrain the business or financial arrangements and relationships through which we market, sell and distribute any product candidates for which we obtain marketing approval.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Restrictions under applicable U.S. federal and state healthcare laws and regulations include the following:</w:t>
      </w:r>
    </w:p>
    <w:p>
      <w:pPr>
        <w:spacing w:after="0" w:line="225" w:lineRule="exact"/>
        <w:rPr>
          <w:sz w:val="20"/>
          <w:szCs w:val="20"/>
          <w:color w:val="auto"/>
        </w:rPr>
      </w:pPr>
    </w:p>
    <w:p>
      <w:pPr>
        <w:jc w:val="both"/>
        <w:ind w:left="1020" w:hanging="503"/>
        <w:spacing w:after="0" w:line="25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a criminal law that prohibits, among other things, persons and entities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 A person or entity does not need to have actual knowledge of the federal Anti-Kickback Statute or specific intent to violate it in order to have committed a violation. Violations of the federal Anti-Kickback Statute can result in significant civil monetary penalties and criminal fines, as well as imprisonment and exclusion from participation in federal health care programs;</w:t>
      </w:r>
    </w:p>
    <w:p>
      <w:pPr>
        <w:spacing w:after="0" w:line="187"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False Claims Act, imposes significant civil penalties and treble damages,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or services resulting from a violation of the U.S. federal Anti-Kickback Statute constitutes a false or fraudulent claim for purposes of the civil False Claims Act;</w:t>
      </w:r>
    </w:p>
    <w:p>
      <w:pPr>
        <w:spacing w:after="0" w:line="18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Criminal Statute on False Statements Relating to Health Care Matters makes it a crime to knowingly and willfully falsify, conceal, or cover up a material fact, make any materially false, fictitious, or fraudulent statements or representations, or make or use any materially false writing or document knowing the same to contain any materially false, fictitious, or fraudulent statement or entry in connection with the delivery of or payment for healthcare benefits, items, or services;</w:t>
      </w:r>
    </w:p>
    <w:p>
      <w:pPr>
        <w:spacing w:after="0" w:line="179"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authorizes the imposition of substantial civil monetary penalties against an entity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 care programs to provide items or services reimbursable by a federal health care program; (3) violations of the federal Anti-Kickback Statute; or (4) failing to report and return a known overpayment;</w:t>
      </w:r>
    </w:p>
    <w:p>
      <w:pPr>
        <w:spacing w:after="0" w:line="18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imposes criminal and civil liability for, among other things, knowingly and willfully executing or attempting to execute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179"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Sunshine Act requires applicable manufacturers of covered drugs, devices, biologics, and medical supplies for which payment is available under Medicare, Medicaid, or the Children’s Health Insurance Program, among others, to track and report payments and other transfers of value provided during the previous year to U.S. licensed physicians (defined to include doctors, dentists, optometrists, podiatrists, and</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020"/>
        <w:spacing w:after="0" w:line="282" w:lineRule="auto"/>
        <w:rPr>
          <w:sz w:val="20"/>
          <w:szCs w:val="20"/>
          <w:color w:val="auto"/>
        </w:rPr>
      </w:pPr>
      <w:r>
        <w:rPr>
          <w:rFonts w:ascii="Times New Roman" w:cs="Times New Roman" w:eastAsia="Times New Roman" w:hAnsi="Times New Roman"/>
          <w:sz w:val="18"/>
          <w:szCs w:val="18"/>
          <w:color w:val="auto"/>
        </w:rPr>
        <w:t>chiropractors), other healthcare professionals (such as physician assistants and nurse practitioners), and, teaching hospitals, as well as certain ownership and investment interests held by physicians and their immediate family;</w:t>
      </w:r>
    </w:p>
    <w:p>
      <w:pPr>
        <w:spacing w:after="0" w:line="162" w:lineRule="exact"/>
        <w:rPr>
          <w:sz w:val="20"/>
          <w:szCs w:val="20"/>
          <w:color w:val="auto"/>
        </w:rPr>
      </w:pPr>
    </w:p>
    <w:p>
      <w:pPr>
        <w:ind w:left="1020" w:right="560" w:hanging="503"/>
        <w:spacing w:after="0" w:line="26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 and</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54"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from government-funded healthcare programs, such as Medicare and Medicaid, disgorgement, contractual damages, reputational harm, diminished profits and future earnings, and the curtailment or restructuring of our operations. If any of the physicians or other healthcare providers or entities with whom we expect to do business is found to be not in compliance with applicable laws, it may be costly to us in terms of money, time and resources, and we may be subject to criminal, civil or administrative sanctions, including exclusion from government-funded healthcare programs.</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may produce hazardous waste products. We generally contract with third parties for the disposal of these materials and wastes. We will not be able to eliminate the risk of contamination or injury from these materials. In the event of contamination or injury resulting from any use by us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for costs and expenses, we may incur due to injuries to our employees resulting from the use of hazardous materials, this insurance may not provide adequate coverage against potential liabilities.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could materially adversely affect us.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New tax laws or regulations could be enacted at any time, and existing tax laws or regulations could be interpreted, modified or applied in a manner that is adverse to us, which could adversely affect our business and financial condition. For example, legislation enacted in 2017, informally titled the Tax Act, enacted many significant changes to the U.S. tax laws, including changes in corporate tax rates, the utilization of NOLs and other deferred tax assets, the deductibility of expenses, and the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taxation of foreign earnings. Future guidance from the Internal Revenue Service and other tax authorities with respect to the Tax Act may affect us, and certain aspects of the Tax Act could be repealed or modified in future legislation. For example, the Coronavirus Aid, Relief, and Economic Security Act (the “CARES Act”), modified certain provisions of the Tax Act. In addition, it is uncertain if and to what extent various states will conform to the Tax Act, the CARES Act, or any newly enacted federal tax legislation. The impact of changes under the Tax Act, the CARES Act, or future reform legislation could increase our future U.S. tax expense and could have a material adverse impact on our business and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part on our ability to obtain, maintain and protect our intellectual property. It is difficult and costly to protect our proprietary rights and technology, and we may not be able to ensure their protection.</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commercial success will depend in large part on obtaining and maintaining patent, trademark, trade secret and other intellectual property protection of our proprietary technologies and product candidates, which include TPST-1495, amezalpat and any future product candidates we have in development, their respective components, formulations, combination therapies, methods used to manufacture them and methods of treatment, as well as successfully defending our patents and other intellectual property rights against third-party challenges. Our ability to stop unauthorized third parties from making, using, selling, offering to sell, importing or otherwise commercializing our product candidates is dependent upon the extent to which we have rights under valid and enforceable patents or trade secrets that cover these activities. If we are unable to secure and maintain patent protection for any product or technology we develop, or if the scope of the patent protection secured is not sufficiently broad, our competitors could develop and commercialize products and technology similar or identical to our, and our ability to commercialize any product candidates we may develop may be adversely affected.</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patenting process is expensive and time-consuming, and we may not be able to file and prosecute all necessary or desirable patent applications at a reasonable cost or in a timely manner. Additionally, recent reforms and changes at government agencies of the United States and those of non-U.S. jurisdictions could increase the uncertainties and costs surrounding the prosecution or maintenance of our patent applications, and the maintenance, enforcement, or defense of our issued patents. For example, the ability of the USPTO and other applicable patent authorities to properly administer their functions is highly dependent on the levels of funding available to the agency and their ability to retain key personnel and fill key leadership appointments, among various factors. Termination of employees or delays in replacing or hiring for key positions could significantly impact the ability of the USPTO and other applicable patent authorities to fulfill their functions and could greatly impact our ability to timely and adequately prosecute or maintain our patent applications, and our ability to timely and adequately maintain, enforce, or defend our issued patents. In addition, we may not pursue or obtain patent protection in all relevant markets. It is also possible that we will fail to identify patentable aspects of our research and development activities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may be reliant on our licensors or licensees to do so. Our pending and future patent applications may not result in issued patents.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hold or in-licenses may be challenged, narrowed, circumvented or invalidated by third parties. Consequently, we do not know whether any of our platform advances and product candidates will be protectable or remain protected by valid and enforceable patents. In addition, our existing patents and any future patents we obtain may not be sufficiently broad to prevent others from using our technology or from developing competing products and technologies.</w:t>
      </w:r>
    </w:p>
    <w:p>
      <w:pPr>
        <w:spacing w:after="0" w:line="18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and may in the future depend on intellectual property licensed from third parties, and our current or future licensors may not always act in our best interest. If we fail to comply with our obligations under our intellectual property</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licenses, if the licenses are terminated, or if disputes regarding these licenses arise, we could lose significant rights that may be important to our business.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license intellectual property from the Regents of the University of California and may in the future depend on patents, know-how and proprietary technology licensed from third parties. Our licenses to such patents, know-how and proprietary technology may not provide exclusive rights in all relevant fields of use and in all territories in which we may wish to develop or commercialize our products in the future. The agreements under which we license patents, know-how and proprietary technology from others may be complex, and certain provisions in such agreements may be susceptible to multiple interpretations.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in the future need to obtain licenses from third parties to advance our research or allow commercialization of product candidates Tempest may develop. It is possible that we may be unable to obtain any licenses at a reasonable cost or on reasonable terms, if at all. In either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or product candidates.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our current or future licensors fail to adequately protect our licensed intellectual property, our ability to commercialize product candidates could suffer. We may not have complete control over the maintenance, prosecution and litigation of our current or future in-licensed patents and patent applications. For example, we cannot be certain that activities such as the maintenance and prosecution by our current or future licensors have been or will be conducted in compliance with applicable laws and regulations or will result in valid and enforceable patents and other intellectual property rights. It is possible that our current or future licensors’ infringement proceedings or defense activities may be less vigorous than had we conducted them ourselves or may not be conducted in accordance with our best interests.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resolution of any contract interpretation disagreement that may arise could narrow what we might believe to be the scope of our rights to the relevant patents, know-how and proprietary technology, or increase what we believe to be our financial or other obligations under the relevant agreement. Disputes that may arise between us and our current or future licensors regarding intellectual property subject to a license agreement could include disputes regarding:</w:t>
      </w:r>
    </w:p>
    <w:p>
      <w:pPr>
        <w:spacing w:after="0" w:line="180"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on intellectual property of the licensor that is not subject to the licensing agreement;</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product candidates and what activities satisfy those diligence obligations;</w:t>
      </w:r>
    </w:p>
    <w:p>
      <w:pPr>
        <w:spacing w:after="0" w:line="161"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royalty, milestone or other payment obligations that may result from the advancement or commercial sale of any of our product candidates; and</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disputes over intellectual property that we currently license or may license in the future prevent or impair our ability to maintain our licensing arrangements on acceptable terms, we may be unable to successfully develop and commercialize the affected technology or product candidates.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owned and in-licensed patents and patent applications may not provide sufficient protection of our product candidates or result in any competitive advantage.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patent position of biopharmaceutical companies generally is highly uncertain, involves complex legal and factual questions, and has been the subject of much litigation. As a result, the issuance, scope, validity, enforceability and commercial value of our patent rights are highly uncertain. Our pending and future patent applications and those of our licensors may not result in patents being issued which protect our product candidates or which effectively prevent others from commercializing competitive product candidates.</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strength of patents in the biotechnology and 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For example, while our patent applications are pending, we may be subject to a third-party preissuance submission of prior art to the U.S. Patent and Trademark Office (the “USPTO”), or become involved in interference or derivation proceedings, or equivalent proceedings in foreign jurisdictions. Even if patents do successfully issue, third parties may challenge their inventorship, validity, enforceability or scope, including through opposition, revocation, reexamination, post-grant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An adverse determination in any such submission, proceeding or litigation may result in loss of patent rights, loss of exclusivity, patent term adjustment being jeopardized, patent term being reduced, or in patent claims being narrowed, invalidated or held unenforceable, which could limit our ability to stop others from using or commercializing similar or identical technology and products, or limit the duration of the patent protection of our technology and product candidates. Furthermore, even if they are unchallenged, our patents and patent applications may not adequately protect our intellectual property or prevent others from designing around our claims. Moreover, some of our owned and in-licensed patents and patent applications may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If the breadth or strength of protection provided by the patent applications we hold with respect to our product candidates is threatened, it could dissuade companies from collaborating with us to develop, and threaten our ability to commercialize, our product candidates. Further, if we encounter delays in development, testing, and regulatory review of new product candidates, the period of time during which we could market our product candidates under patent protection would be reduced or eliminated.</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Since patent applications in the United States and other countries are confidential for a period of time after filing or until issuance, at any moment in time, we cannot be certain that it was in the past or will be in the future the first to file any patent application related to our product candidates. In addition, some patent applications in the United States may be maintained in secrecy until the patents are issued. As a result, there may be prior art of which we are not aware that may affect the validity or enforceability of a patent claim, and we may be subject to priority disputes. We may be required to disclaim part or all of the term of certain patents or all of the term of certain patent applications.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patent office or other governmental authority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that block our efforts or potentially result in our product candidates or our activities infringing such claims. It is possible that our competitors may have filed, and may in the future file, patent applications covering our products or technology similar to our products and technology. Those patent applications may have priority over our owned and in-licensed patent applications or patents, which could require us to obtain rights to issued patents covering such technologies. The possibility also exists that others will develop products that have the same effect as our product candidates on an independent basis that do not infringe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patents or other intellectual property rights, or will design around the claims of patents that we have had issued that cover our product candidates or their use. Likewise, our currently owned patents and patent applications, if issued as patents, directed to our proprietary technologies and our product candidates are expected to expire from 2033 through 2046, without taking into account any possible patent term adjustments or extensions. Our earliest patents may expire before, or soon after, our first product achieves marketing approval in the United States or foreign jurisdictions. Additionally, we cannot be assured that the USPTO or relevant foreign patent offices will grant any of the pending patent applications we own or in-license currently or in the future. Upon the expiration of our current patents, we may lose the right to exclude others from practicing these inventions. The expiration of these patents could also have a similar material adverse effect on our business, financial condition, results of operations and prospects.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62" w:lineRule="exact"/>
        <w:rPr>
          <w:sz w:val="20"/>
          <w:szCs w:val="20"/>
          <w:color w:val="auto"/>
        </w:rPr>
      </w:pPr>
    </w:p>
    <w:p>
      <w:pPr>
        <w:ind w:left="10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or use compounds that are similar to the active compositions of our product candidates but that are not covered by the claims of our patents;</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APIs in our current product candidates will eventually become commercially available in generic drug products, and no patent protection may be available with regard to formulation or method of use;</w:t>
      </w:r>
    </w:p>
    <w:p>
      <w:pPr>
        <w:spacing w:after="0" w:line="161"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as the case may be, may fail to meet our or our obligations to the U.S. government regarding any patents and patent applications funded by U.S. government grants, leading to the loss or unenforceability of patent rights;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as the case may be, might not have been the first to file patent applications for certain inventions;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result in issued patents;</w:t>
      </w:r>
    </w:p>
    <w:p>
      <w:pPr>
        <w:spacing w:after="0" w:line="225"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prior public disclosures that could invalidate our owned or in-licensed patents, as the case may be, or parts of our owned or in-licensed patents;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others may circumvent our owned or in-licensed patents;</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unpublished applications or patent applications maintained in secrecy that may later issue with claims covering our product candidates or technology similar to ours;</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foreign countries may not protect our, or our current or future licensors’, as the case may be, proprietary rights to the same extent as the laws of the United States;</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claims of our owned or in-licensed issued patents or patent applications, if and when issued, may not adequately cover our product candidates;</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owned or in-licensed issued patents may not provide us with any competitive advantages, may be narrowed in scope, or be held invalid or unenforceable as a result of legal challenges by third parties;</w:t>
      </w:r>
    </w:p>
    <w:p>
      <w:pPr>
        <w:spacing w:after="0" w:line="161"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 of our owned or in-licensed patents or patent applications may become involved with competitors, develop products or processes that design around our patents, or become hostile to us or the patents or patent applications on which they are named as inventors;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1020" w:hanging="503"/>
        <w:spacing w:after="0" w:line="266"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owned or in-licensed patents or patent applications may omit individual(s) that should be listed as inventor(s) or include individual(s) that should not be listed as inventor(s), which may cause these patents or patents issuing from these patent applications to be held invalid or unenforceable or such omitted individuals may grant licenses to third parties;</w:t>
      </w:r>
    </w:p>
    <w:p>
      <w:pPr>
        <w:spacing w:after="0" w:line="17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engaged in scientific collaborations in the past and will continue to do so in the future and our collaborators may develop adjacent or competing products that are outside the scope of our patents;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for which we can obtain patent protection;</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product candidates or diagnostic tests we develop may be covered by third parties’ patents or other exclusive rights; or</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foregoing could have a material adverse effect on our business, financial conditions, results of operations and prospects.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strategy of obtaining rights to key technologies through in-licenses may not be successful.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future growth of our business may depend in part on our ability to in-license or otherwise acquire the rights to additional product candidates and technologies. We cannot assure you that we will be able to in-license or acquire the rights to any product candidates or technologies from third parties on acceptable terms or at all.</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example, our agreements with certain of our third-party research partners provide that improvements developed in the course of our relationship may be owned solely by either we or our third-party research partner, or jointly between us and the third party. If we determine that exclusive rights to such improvements owned solely by a research partner or other third party with whom we collaborate are necessary to commercialize our drug candidates or maintain our competitive advantage, we may need to obtain an exclusive license from such third party in order to use the improvements and continue developing, manufacturing or marketing our drug candidates. We may not be able to obtain such a license on an exclusive basis, on commercially reasonable terms, or at all, which could prevent us from commercializing our drug candidates or allow our competitors or others the opportunity to access technology that is important to our business. We also may need the cooperation of any co-owners of our intellectual property in order to enforce such intellectual property against third parties, and such cooperation may not be provided to us.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in-licensing and acquisition of these technologies is a highly competitive area, and a number of more established companies are also pursuing strategies to license or acquire product candidates or technologies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license rights to us. Furthermore, we may be unable to identify suitable product candidates or technologies within our area of focus. If we are unable to successfully obtain rights to suitable product candidates or technologies, our business and prospects could be materially and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patent protection, we rely upon know-how and trade secret protection, as well as non-disclosure agreements and invention assignment agreements with our employees, consultants and third-parties, to protect our confidential and proprietary information, especially where we do not believe patent protection is appropriate or obtainable.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are to be kept confidential and not disclosed to third parties, except in certain specified circumstances. In the case of employees, the agreements provide that all inventions conceived by the individual, and that are related to our current or planned business or research and development or made during normal working hours, on our premises or using our equipment or proprietary information (or as otherwise permitted by applicable law), are our exclusive property. In the case of consultants and other third parties, the agreements provide that all inventions conceived in connection with the services provided are our exclusive property. However, we cannot guarantee that we have entered into such agreements with each party that may have or have had access to our trade secrets or proprietary technology and processes. We have also adopted policies and conducts training that provides guidance on our expectations, and our advice for best practices, in protecting our trade secrets. Despite these efforts, any of these parties may breach the agreements and disclose our proprietary information, including our trade secrets, and we may not be able to obtain adequate remedies for such breaches.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contractual measures, we try to protect the confidential nature of our proprietary information through other precautions, such as physical and technological security measures. However, trade secrets and know-how can be difficult to protect. These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any recourse we might take against this type of misconduct may not provide an adequate remedy to protect our interests fully. Enforcing a claim that a party illegally disclosed or misappropriated a trade secret can be difficult, expensive, and time-consuming, and the outcome is unpredictable. In addition, trade secrets may be independently developed by others in a manner that could prevent us from receiving legal recourse. If any of our confidential or proprietary information, such as our trade secrets, were to be disclosed or misappropriated, such as through a security incident, or if any of that information was independently developed by a competitor, our competitive position could be harmed. Additionally, certain trade secret and proprietary information may be required to be disclosed in submissions to regulatory authorities. If such authorities do not maintain the confidential basis of such information or disclose it as part of the basis of regulatory approval, our competitive position could be adversely affected.</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courts outside the United States are sometimes less willing to protect trade secrets. If we choose to go to court to stop a third party from using any of our trade secrets, we may incur substantial costs. Even if we are successful, these types of lawsuits may result in substantial cost and require significant time from our scientists and management. Although we take steps to protect our proprietary information and trade secrets, third parties may independently develop substantially equivalent proprietary information and techniques or otherwise gain access to our trade secrets or disclose our technology, through legal or illegal means. As a result, we may not be able to meaningfully protect our trade secrets. Any of the foregoing could have a material adverse effect on our business, financial condition, results of operations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may prevent, delay or otherwise interfere with our product discovery and development efforts.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Our commercial success depends in part on our ability to develop, manufacture, market and sell our product candidates and use our proprietary technologies without infringing, misappropriating or otherwise violating the intellectual property or other proprietary rights of third parties. There is a substantial amount of litigation involving patents and other intellectual property rights in the biotechnology and pharmaceutical industries, as well as administrative proceedings for challenging patents, including interference, derivation,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misappropriate or otherwise violate their intellectual property rights. Numerous U.S. and foreign issued patents and pending patent applications that are owned by third parties exist in the fields in which we are developing our product candidates. As the biotechnology and pharmaceutical industries expand and more patents are issued,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 third parties may allege they have patent rights encompassing our product candidates, technologies or methods.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a third party claims that we infringe, misappropriate or otherwise violate their intellectual property rights, we may face a number of issues, including, but not limited to:</w:t>
      </w:r>
    </w:p>
    <w:p>
      <w:pPr>
        <w:spacing w:after="0" w:line="162" w:lineRule="exact"/>
        <w:rPr>
          <w:sz w:val="20"/>
          <w:szCs w:val="20"/>
          <w:color w:val="auto"/>
        </w:rPr>
      </w:pPr>
    </w:p>
    <w:p>
      <w:pPr>
        <w:ind w:left="1020" w:right="4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and other intellectual property claims that, regardless of merit, may be expensive and time-consuming to litigate and may divert our management’s attention from our core business;</w:t>
      </w:r>
    </w:p>
    <w:p>
      <w:pPr>
        <w:spacing w:after="0" w:line="16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plus the patent owner’s attorneys’ fees;</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prohibiting us from developing, manufacturing, marketing or selling our product candidates, or from using our proprietary technologies, unless the third-party licenses our product rights or proprietary technology to us, which it is not required to do, on commercially reasonable terms or at all;</w:t>
      </w:r>
    </w:p>
    <w:p>
      <w:pPr>
        <w:spacing w:after="0" w:line="17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is available from a third party, we may have to pay substantial royalties, upfront fees and other amounts, and/or grant cross-licenses to intellectual property rights for our product candidates;</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redesign our product candidates or processes so they do not infringe, which may not be possible or may require substantial monetary expenditures and time; and</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including by enforcing our patents against us by filing a patent infringement lawsuit against us. In this regard, patents issued in the United States by law enjoy a presumption of validity that can be rebutted only with evidence that is “clear and convincing,” a heightened standard of proof.</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may be third-party patents of which we are currently unaware of with claims to materials, formulations, methods of manufacture or methods for treatment related to the use or manufacture of our product candidates.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 upon these patents.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any third-party patents were held by a court of competent jurisdiction to cover the manufacturing process of our product candidates, or materials used in or formed during the manufacturing process, or any final product itself, the holders of those patents may be able to block our ability to commercialize our product candidate unless we obtain a license under the applicable patents, or until those patents were to expire or those patents are finally determined to be invalid or unenforceable. Similarly, if any third-party patent were held by a court of competent jurisdiction to cover aspects of our formulations, processes for</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manufacture or methods of use, including combination therapy or patient selection methods, the holders of that patent may be able to block our ability to develop and commercialize the product candidate unless we obtain a license or until such patent expires or is finally determined to be invalid or unenforceable. In either case, a license may not be available on commercially reasonable terms, or at all, particularly if such patent is owned or controlled by one of our primary competitors. If we are unable to obtain a necessary license to a third-party patent on commercially reasonable terms, or at all, our ability to commercialize our product candidates may be impaired or delayed, which could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time and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license of this nature would be available at all or whether it would be available on commercially reasonable terms. Furthermore, even in the absence of litigation, we may need to obtain licenses from third parties to advance our research or allow commercialization of our product candidates and we may fail to obtain any of these licenses at a reasonable cost or on reasonable terms, if at all.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that event, we would be unable to further develop and commercialize our product candidates, which could significantly harm our business.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time-consuming and unsuccessful and could result in a finding that such patents are unenforceable or invalid.</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current or future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patent litigation in the United States, defendant counterclaims alleging invalidity and/or unenforceability are commonplace, and there are numerous grounds upon which a third party can assert invalidity or unenforceability of a patent.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These types of mechanisms include re-examination,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interference proceedings, derivation proceedings, and equivalent proceedings in foreign jurisdictions (e.g., opposition proceedings). These types of proceedings could result in revocation or amendment to our patents such that they no longer cover our product candidates. The outcome for any particular patent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Defense of these types of claims, regardless of their merit, would involve substantial litigation expense and would be a substantial diversion of employee resources from our business.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Conversely, we may choose to challenge the patentability of claims in a third party’s U.S. patent by requesting that the USPTO review the patent claims in re-examination, post-grant review, inter partes review, interference proceedings, derivation proceedings, and equivalent proceedings in foreign jurisdictions (e.g., opposition proceedings), or we may choose to challenge a third party’s patent in patent opposition proceedings in the Canadian Intellectual Property Office (“CIPO”), the European Patent Office (“EPO”), or another foreign patent office. The outcome following legal assertions of invalidity is unpredictable. Additionally, we may be subject to claims of patent infringement during those proceedings, and delays caused by the federal agencies may increase the time period that we are subject to such claims. For example, administrative changes, including reduced staff and budgets experienced by the Patent and Trial Appeal Board, could further delay our ability to timely challenge any such patents. Even if successful, the costs of these opposition proceedings could be substantial, and may consume our time or other resources. If we fail to obtain a favorable result at the USPTO, CIPO, EPO or other patent office then we may be exposed to litigation by a third party alleging that the patent may be infringed by our product candidates or proprietary technologies.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that perception could have a substantial adverse effect on the price of our common stock. Any of the foregoing could have a material adverse effect on our business financial condition, results of operations and prospects.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For example, patents covering methods-of-use are not available in certain foreign countries.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do not have or have not obtained patent protection to develop their own products and, further, may export otherwise infringing products to territories where we have patent protection but where enforcement is not as strong as that in the United States. These products may compete with our product candidates in jurisdictions where we do not have any issued patents and our patent claims or other intellectual property rights may not be effective or sufficient to prevent them from competing.</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management’s efforts and attention from other aspects of our business. Proceedings to enforce our patent rights in foreign jurisdictions could result in substantial costs and divert management’s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Geo-political actions in the United States and in foreign countries (such as, the Russia and Ukraine conflict; retaliatory measures by foreign countries in response to actions by the United States, in particular, tariffs)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the Russia-Ukraine war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a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Also, many foreign countries could threaten to impose retaliatory measures that may adversely impact our intellectual property rights in those countries. For example, on March 14, 2025, Brazil enacted Law No. 15.122/2025 (known as the “Economic Reciprocity Law”), which provides a framework that allows for the suspension of obligations related to foreign entity’s intellectual property rights. Accordingly, our competitive position may be impaired, and our business, financial condition, results of operations and prospects may be adversely affected.</w:t>
      </w:r>
    </w:p>
    <w:p>
      <w:pPr>
        <w:spacing w:after="0" w:line="200" w:lineRule="exact"/>
        <w:rPr>
          <w:sz w:val="20"/>
          <w:szCs w:val="20"/>
          <w:color w:val="auto"/>
        </w:rPr>
      </w:pPr>
    </w:p>
    <w:p>
      <w:pPr>
        <w:spacing w:after="0" w:line="20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assert that our employees or consultants have wrongfully used or disclosed confidential information or misappropriated trade secrets.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industries, we employ individuals who were previously employed at universities or other biopharmaceutical or pharmaceutical companies, including our competitors or potential competitors. Although we try to ensure that our employees and consultants do not use the proprietary information or know-how of others in their work for us, we may be subject to claims that our employees, consultants or independent contractors have inadvertently or otherwise used or disclosed intellectual property, including trade secrets or other proprietary information, of a former employer or other third parties. We may then have to pursue litigation to defend against these claims. If we fail in defending any claims of this nature, in addition to paying monetary damages, we may lose valuable intellectual property rights or personnel. Even if we are successful in defending against these types of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that perception could have a substantial adverse effect on the price of our common stock. This type of litigation or proceeding could substantially increase our operating losses and reduce our resources available for development activities, and we may not have sufficient financial or other resources to adequately conduct this type of litigation or proceedings. For example, some of our competitors may be able to sustain the costs of this type of litigation or proceedings more effectively than we can because of their substantially greater financial resources. In any case, uncertainties resulting from the initiation and continuation of intellectual property litigation or other intellectual property related proceedings could adversely affect our ability to compete in the marketplace.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Periodic maintenance fees on any issued patent are due to be paid to the USPTO and foreign patent agencies in several stages over the lifetime of the patent. The USPTO and various foreign patent agencies also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laws and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Were a noncompliance event to occur, our competitors might be able to enter the market, which would have a material adverse effect on our business financial condition, results of operations and prospects.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United States and in non-U.S. jurisdictions could diminish the value of patents in general, thereby impairing our ability to protect our product candidates.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Past or future patent reform legislation could increase the uncertainties and costs surrounding the prosecution of our patent applications and the enforcement or defense of our issued patents. For example, in March 2013, under the Leahy-Smith America Invents Act (“America Invents Act”), the United States moved from a “first to invent” to a “first-to-file” patent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continue to evolve as the USPTO continues to promulgate new regulations and procedures in connection with the America Invents Act. In addition, the courts have yet to address many of these provisions and the applicability of the act and new regulations on the specific patents discussed in this filing have not been determined and would need to be reviewed. Moreover, the America Invents Act and our implementation could increase the uncertainties and costs surrounding the prosecution of our patent applications and the enforcement or defense of our issued patents.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We cannot predict how decisions by the federal courts, the U.S. Congress or the USPTO may impact the value of our patent rights. For example, the Federal Circuit recently issued a decision involving the interaction of patent term adjustment (PTA), terminal disclaimers, and obviousness-type double patenting. This decision creates uncertainty to the patent terms of certain U.S. patents that share the same priority claim where on expires later than another due to accrued PTA. Depending on decisions by the U.S. Congress, the federal courts and the USPTO, the laws and regulations governing patents could change in unpredictable ways that would weaken our ability to obtain new patents or to enforce our existing patents and patents that we might obtain or license in the future. For example, in the case, Assoc. for Molecular Pathology v. Myriad Genetics, Inc., the U.S. Supreme Court held that certain claims to DNA molecules are not patent-eligible.</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Similarly, other cases by the U.S. Supreme Court have held that certain methods of treatment or diagnosis are not patent-eligible. U.S. law regarding patent-eligibility continues to evolve. While we do not believe that any of our patents will be found invalid based on these changes to U.S. patent law, we cannot predict how future decisions by the courts, the U.S. Congress or</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USPTO may impact the value of our patents and patent applications. Any similar adverse changes in the patent laws of other jurisdictions could also have a material adverse effect on our business, financial condition, results of operations and prospects.</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a further example, as of June 1, 2023, European patent applications and patents may be subjected to the jurisdiction of the Unified Patent Court (UPC). In 2012, the European Union Patent Package (The “EU Patent Package”) regulations were passed with the goal of providing a single pan-European Unitary Patent and a new European UPC for litigation involving European patents. The EU Patent Package was implemented on June 1, 2023. As a result, all European patents, including those issued prior to ratification of the EU Patent Package, now by default automatically fall under the jurisdiction of the UPC. European patent applications will have the option, upon grant of a patent, of becoming a Unitary Patent, which will be subject to the jurisdiction of the UPC. The UPC and Unitary Patent are significant changes in European patent practice. It is uncertain how the UPC will impact granted European patents in the biotechnology and pharmaceutical industries. Our European patent applications, if issued, could be challenged in the UPC. During the first seven years of the UPC’s existence, the UPC legislation allows a patent owner to opt its European patents out of the jurisdiction of the UPC. As the UPC is a new court system, there is no precedent for the court, increasing the uncertainty of any litigation in the UPC. As a single court system can invalidate a European patent, we, where applicable, may opt out of the UPC and as such, each European patent would need to be challenged in each individual country. We may decide to opt out future European patents from the UPC, but doing so may preclude us from realizing the benefits of the UPC. Moreover, if we do not meet all of the opt-out formalities and requirements under the UPC, our future European patents could remain under the jurisdiction of the UPC. The UPC will provide our competitors with a new forum to centrally revoke our European patents, and allow for the possibility of a competitor to obtain pan-European injunctions. Such a loss of patent protection could have a material adverse impact on our business and our ability to commercialize our technology and product candidates due to increased competition and, resultantly, on our financial condition, prospects and results of operations.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Given the amount of time required for the development, testing and regulatory review of new product candidates, patents protecting our product candidates might expire before or shortly after we or our partners commercialize those candidates. As a result, our owned and licensed patent portfolio may not provide us with sufficient rights to exclude others from commercializing products similar or identical to ours.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for any product candidates we may develop, our business may be materially harmed.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 of 1984 (the “Hatch-Waxman Amendments”). The Hatch-Waxman Amendments permit a patent extension term of up to five years as compensation for patent term lost during clinical trials and the FDA regulatory review process. A patent term extension cannot extend the remaining term of a patent beyond a total of 14 years from the date of product approval, only one patent per product may be extended and only those claims covering the approved drug, a method for using it, or a method for manufacturing it may be extended. U.S. and ex-U.S. law concerning patent term extensions and foreign equivalents continue to evolve. Even if we were to seek a patent term extension, it may not be granted because of, for example, the failure to exercise due diligence during the testing phase or regulatory review process, the failure to apply within applicable deadlines, the failure to apply prior to expiration of relevant patents, or any other failure to satisfy applicable requirements. Additionally, administrative changes at the USPTO or other applicable patent authorities, such as reduced hiring</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and/or funding, may result in delays in issuance of a patent or in accrual of patent term extension, thereby reducing the amount of patent term extension that could otherwise be received. Administrative changes (e.g., at the FDA or USPTO) may also lead to delays in review and analysis of requests for patent term extension, which could result in a patent term extension not being timely granted (e.g., before the expiration of the patent). Moreover, the applicable time period of extension or the scope of patent protection afforded could be less than we project or request. If we are unable to obtain patent term extension or term of any such extension is less than we project or request, our competitors may obtain approval of competing products following our patent expiration sooner than expected, and our business, financial condition, results of operations and prospects could be materially harmed.</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Intellectual property discovered through government funded programs may be subject to federal regulations such 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march-in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rights, certain reporting requirements and a preference for U.S.-based companies. Compliance with such regulations may limit our exclusive rights and limit our ability to contract with non-U.S. manufacturers.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patent application in-licensed from the Regents of the University of California has been supported through the use of U.S. government funding awarded by the National Institutes of Health. Although we do not currently own issued patents or pending patent applications that have been generated through the use of U.S. government funding, we may acquire in the future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Recently, the government released a draft framework that may be used by an agency when deciding to exercise its march-in rights for public comments, and as such, the framework for deciding when march-in rights are exercised may change. If the U.S. government exercised its march-in rights in our current or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 and Other General Matters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trading price of the shares of our common stock has been and is likely to continue to be volatile, and purchasers of our common stock could incur substantial losses.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has been and is likely to continue to be volatile. For example, during 2024, the closing price of our common stock on The Nasdaq Capital Market ranged from $0.70 per share to $5.44 per share. Some of the factors that may cause the market price of our common stock to fluctuate include: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and preclinical studies of our product candidates, or those of our competitors or our existing or future collaborators;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and development projections we may provide to the public;</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the financial and development projections of the investment community;</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collaborations, joint ventures or capital commitments by us or our competitors;</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product candidates, clinical studies, manufacturing process or sales and marketing terms;</w:t>
      </w:r>
    </w:p>
    <w:p>
      <w:pPr>
        <w:spacing w:after="0" w:line="161"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reports about our business, or if they issue adverse or misleading opinions regarding our business and stock;</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securities by us or our securityholders in the future;</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raise an adequate amount of capital to fund our operations and continued development of our product candidates;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competitors of new commercial products, clinical progress or lack thereof, significant contracts, commercial relationships or capital commitments;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relating to precision medicine product candidates, including with respect to other products in such markets;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technological innovations or new therapies that compete with our products and services;</w:t>
      </w:r>
    </w:p>
    <w:p>
      <w:pPr>
        <w:spacing w:after="0" w:line="22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 and overall fluctuations in the financial markets in the United States and abroad, including as a result of bank failures, public health crises or geopolitical tensions, such as the Russia-Ukraine war and the armed conflict in Israel and the Gaza Strip; and</w:t>
      </w:r>
    </w:p>
    <w:p>
      <w:pPr>
        <w:spacing w:after="0" w:line="1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our common stock to fluctuate substantially, regardless of our actual operating performance, which may limit or prevent investors from selling their shares at or above the price paid for the shares and may otherwise negatively affect the liquidity of our common stock.</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stockholders have often instituted class action securities litigation against such companies. Furthermore, market volatility may lead to increased shareholder activism if we experience a market valuation that activists believe is not reflective of our intrinsic value. Activist campaigns that contest or conflict with our strategic direction or seek changes in the composition of our board of directors could have an adverse effect on our operating results and financial condition.</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completed a reverse stock split of our shares of common stock, which may reduce and may limit the market trading liquidity of the shares due to the reduced number of shares outstanding and may potentially have an anti-takeover effect.</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completed the Reverse Stock Split of our common stock by a ratio of 1-for-13, effective April 8, 2025. The liquidity of our common stock may be adversely affected by the Reverse Stock Split as a result of the reduced number of shares outstanding following the Reverse Stock Split. In addition, the Reverse Stock Split may increase the number of stockholders who own odd lots of our common stock, creating the potential for such stockholders to experience an increase in the cost of selling their shares and greater difficulty affecting such sales. Reducing the number of outstanding shares of our common stock through the Reverse Stock Split is intended, absent other factors, to increase the per share market price of our common stock. However, other factors, such as our financial results, market conditions and the market perception of our business may adversely affect the market price of our common stock. As a result, there can be no assurance that the Reverse Stock Split will result in the intended benefits, that the market price of our common stock will remain higher following the Reverse Stock Split or that the market price of our common stock will not decrease in the 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may have serious adverse consequences on our business, financial condition and share price.</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global economy, including credit and financial markets, has experienced extreme volatility and disruptions, including severely diminished liquidity and credit availability, declines in consumer confidence, declines in economic growth, increases in unemployment rates, increases in inflation rates and uncertainty about economic stability. For example, the macroeconomic uncertainty and volatile business environment have resulted in ongoing inflation, volatility in the capital markets, significantly reduced liquidity and credit availability, decreases in consumer demand and confidence, declines in economic growth, increases in unemployment rates and uncertainty about economic stability. Our general business strategy may be materially or adversely impacted by if these unpredictable and unstable market conditions continue. Additionally, geopolitical tensions, like the Russia-Ukraine war and the war in Israel, and the imposition of tariffs in the U.S. and abroad, has created extreme volatility in the global capital markets and is expected to have further global economic consequences, including disruptions of the global supply chain and energy markets. Any such volatility and disruptions may have adverse consequences for us or the third parties on whom we rely. If the equity and credit markets deteriorate, including as a result of future bank closures or political unrest, war or a global or domestic recession or the fear thereof,, it may make any necessary debt or equity financing more difficult to obtain in a timely manner or on favorable terms, more costly or more dilutive.</w:t>
      </w:r>
    </w:p>
    <w:p>
      <w:pPr>
        <w:spacing w:after="0" w:line="8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Trade disputes, trade restrictions, tariffs and other political tensions between the U.S. and other countries may also exacerbate unfavorable macroeconomic conditions, including inflationary pressures, foreign exchange volatility, financial market instability, and economic recessions or downturns, which may also negatively impact customer demand for our services, delay renewals or limit expansion opportunities with existing customers, limit our access to capital, or otherwise negatively impact our business and operations. In addition, retaliatory trade policies or anti-U.S. sentiment in certain regions whether driven by trade tensions, political disagreements, or regulatory concerns may make customers and governments more hesitant to adopt solutions offered by U.S.-based providers. This may lead to increased preference for local competitors, changes to government procurement policies, heightened regulatory scrutiny, decreased intellectual property protections, delays in regulatory approvals or other retaliatory regulatory non-tariff policies, the introduction of trade barriers applicable to digital services, which may result in heightened international legal and operational risks and difficulties in attracting and retaining non-U.S. customers, suppliers, employees, partners and investors. Ongoing tariff and macroeconomic uncertainty may also contribute to volatility in the price of our common stock.</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inflation can adversely affect us by increasing our costs, including salary costs. Any significant increases in inflation and related increase in interest rates could have a material adverse effect on our business, results of operations and financial condition. A weak or declining economy could also strain our suppliers and manufacturers, possibly resulting in supply and clinical trial disruption. Any of the foregoing could harm our business and we cannot anticipate all of the ways in which the current economic climate and financial market conditions could adversely impact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common stock is thinly traded and our stockholders may be unable to sell their shares quickly or at market price.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have had periods of high-volume daily trading in our common stock, generally our stock is thinly traded. As a consequence of this lack of liquidity, the trading of relatively small quantities of shares by our stockholders may disproportionately influence the price of those shares in either direction. Our common stock price could, for example, decline significantly as a result of sales of a large number of shares of our common stock on the market without commensurate demand, as compared to a seasoned issuer that could better absorb those sales without adverse impact on its share price, or from the perception that these sales could occur.</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the reduced reporting requirements applicable to smaller reporting companies may make our common stock less attractive to investors.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“smaller reporting company” as defined in Section 12 of the Exchange Act. For as long as we continue to be a smaller reporting company, we may take advantage of exemptions from various reporting requirements that are applicable to other public companies that are not smaller reporting companies, including not being required to comply with the auditor attestation requirements of Section 404 of Sarbanes-Oxley Act of 2002, reduced disclosure obligations regarding executive compensation in our periodic reports and proxy statements, and stockholder approval of any golden parachute payments not previously approved.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Status as a Public Company and Other General Matters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continue to incur increased costs as a result of operating as a public company, and our management is required to devote substantial time to compliance with our public company responsibilities and corporate governance practices.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continue to incur significant legal, accounting and other expenses. The Sarbanes-Oxley Act, the Dodd-Frank Wall Street Reform and Consumer Protection Act, the listing requirements of the Nasdaq Stock Market (Nasdaq) and other applicable securities rules and regulations impose various requirements on public companies. Our management and other personnel need to devote a substantial amount of time to compliance with these requirements. Moreover, these rules and regulations increase our legal and financial compliance costs and will make some activities more time-consuming and costly. We cannot predict or estimate the amount of additional costs we will continue to incur as a public company or the timing of such costs. Once we are no longer a smaller reporting company or otherwise no longer qualifies for applicable exemptions, we will be subject to additional laws and regulations affecting public companies that will increase our costs and the demands on management and could harm our operating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our ability to produce accurate financial statements on a timely basis could be impaired.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the reporting requirements of the Securities Exchange Act of 1934, as amended (the “Exchange Act”), The Sarbanes-Oxley Act, the Dodd-Frank Wall Street Reform and Consumer Protection Act, and the rules and regulations of the stock market on which our common stock is listed. The Sarbanes-Oxley Act requires, among other things, that we maintain effective disclosure controls and procedures and internal control over financial reporting and a report by management on, among other things, the effectiveness of our internal control over financial reporting. We will not be required to have our</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auditors formally attest to the effectiveness of our internal control over financial reporting until we cease to be a smaller reporting company.</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identify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 We cannot assure you that there will not be material weaknesses or significant deficiencies in the internal control over financial reporting in the future.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are not able to comply with the requirements of Section 404 of the Sarbanes-Oxley Act, in a timely manner, or if we are unable to maintain proper and effective internal controls, we may not be able to accurately report our financial condition, results of operations or cash flows.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begins its reporting on internal control over financial reporting, investors may lose confidence in the accuracy and completeness of our financial reports, the market price of our common stock could decline, and we could be subject to sanctions or investigations by Nasdaq Stock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natural disasters and other calamities, including public health crises, and our business continuity and disaster recovery plans may not adequately protect us from a serious disaster.</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Natural disasters could severely disrupt our operations and have a material adverse effect on our business, results of operations, financial condition and prospects. If a natural disaster, fire, hurricane, power outage or other event occurred that prevented us from using all or a significant portion of our headquarters, that damaged critical infrastructure, such as our suppliers’ manufacturing facilities, or that otherwise disrupted operations, such as data storage, it may be difficult or, in certain cases, impossible for us to continue our business for a substantial period of time.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Occurrences of epidemics or pandemics, depending on their scale, may cause different degrees of damage to the national and local economies within our geographic focus. Global economic conditions may be disrupted by widespread outbreaks of infectious or contagious diseases, and such disruption may adversely affect clinical development plans.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entails a significant risk of product liability and our ability to obtain sufficient insurance coverage could have a material and adverse effect on our business, financial condition, results of operations and prospects.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face an inherent risk of product liability exposure related to the testing of our product candidates in clinical trials and will face an even greater risk if we commercialize any of our product candidates. Any such product liability claims may include allegations of defects in manufacturing, defects in design, a failure to warn of dangers inherent in a product, negligence, strict liability or breach of warranty. Claims could also be asserted under U.S. state consumer protection acts. If we cannot successfully defend against claims that our product candidates caused injuries, we could incur substantial liabilities. Regardless of merit or eventual outcome, liability claims may result in:</w:t>
      </w:r>
    </w:p>
    <w:p>
      <w:pPr>
        <w:spacing w:after="0" w:line="183" w:lineRule="exact"/>
        <w:rPr>
          <w:sz w:val="20"/>
          <w:szCs w:val="20"/>
          <w:color w:val="auto"/>
        </w:rPr>
      </w:pPr>
    </w:p>
    <w:p>
      <w:pPr>
        <w:ind w:left="5540" w:right="5340" w:hanging="5023"/>
        <w:spacing w:after="0" w:line="384" w:lineRule="auto"/>
        <w:tabs>
          <w:tab w:leader="none" w:pos="1032"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decreased demand for any product candidates that we may develop;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666115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time and costs to defend the related litigation;</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our collaboration relationships or disputes with our collaborators;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product recalls, withdrawals or labeling restrictions; and</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 candidates that we may develop.</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currently have insurance that we believe is appropriate for our stage of development, we may need to obtain higher levels prior to clinical development or marketing any of our future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 material and adverse effect on our business, financial condition, results of operations and prospects.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certificate of incorporation and by-laws and under Delaware law could make an acquisition of us, which may be beneficial to our stockholders, more difficult and may prevent attempts by our stockholders to replace or remove our current management.</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Provisions in our certificate of incorporation and by-laws may discourage, delay or prevent a merger, acquisition or other change in control of the company that stockholders may consider favorable, including transactions in which our common stockholders might otherwise receive a premium price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87"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not all members of the board are elected at one time;</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the board;</w:t>
      </w:r>
    </w:p>
    <w:p>
      <w:pPr>
        <w:spacing w:after="0" w:line="225"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stockholder proposals that can be acted on at stockholder meetings and for nominations to our board of directors;</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stockholder meetings;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actions by our stockholders by written consent;</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be effected at a duly called stockholders meeting;</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1020" w:hanging="503"/>
        <w:spacing w:after="0" w:line="266"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17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75% of the votes that all our stockholders would be entitled to cast to amend or repeal certain provisions of our certificate of incorporation or by-laws.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in October 2023, we implemented a stockholder rights plan (the “Rights Plan”), also called a “poison pill,” that may have the effect of discouraging or preventing a change of control by, among other things, making it uneconomical for a third party to acquire us without the consent of our board of directors. We amended the Rights Plan on October 9, 2024 and on December 5, 2024. As a result of the amendments, the rights will expire immediately following our 2025 Annual Meeting of Stockholders, or, if our stockholders approve the Rights Plan, on October 10, 2026, unless the rights are earlier redeemed or exchanged by us.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manner prescribed by the statute.</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other employees.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bylaws provide that the Court of Chancery of the State of Delaware is the sole and exclusive forum for any derivative action or proceeding brought on our behalf, any action asserting a breach of fiduciary duty, any action asserting a claim against it arising pursuant to any provisions of the DGCL, our certificate of incorporation or our bylaws, or any action asserting a claim against us that is governed by the internal affairs doctrine. The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the bylaws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that we will pay any cash dividends in the foreseeable future.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current expectation is that we will retain our future earnings, if any, to fund our growth as opposed to paying dividends. As a result, capital appreciation, if any, of our common stock will be your sole source of gain, if any, for the foreseeable future.</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equity research analysts publish about us and our business. We have no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or fails to publish reports on us regularly, demand for our common stock could decrease, which in turn could cause our stock price or trading volume to decline.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Retention Agreement</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13, 2025, we entered into a retention agreement with Justin Trojanowski, our principal accounting officer. Pursuant to the retention agreement, we expect to pay Mr. Trojanowski a cash advance of $100 thousand in May 2025 (the “Retention Bonus”) as consideration for his continued service through July 31, 2025 (the “Retention Period”). In the event that Mr. Trojanowski’s employment with the Company is terminated prior to the end of the Retention Period due to (i) Mr. Trojanowski’s resignation for any reason other than Good Reason, or (ii) by the Company for Cause (each as defined in the Retention Agreement), Mr. Trojanowski will be required to repay to the Company, within ten (10) days following the date of his employment termination, a pro rata amount of the Retention Bonus (the “Retention Bonus Clawback”). The Retention Bonus Clawback will not apply if Mr. Trojanowski’s employment is terminated during the Retention Period due to a termination by the Company without Cause. The Retention Agreement does not modify any existing employment, severance, or other agreement between the Company and Mr. Trojanowski.</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our last fiscal quarter, no director or officer (as defined in Rule 16a-1(f) under the Exchange Act) adopted or terminated a “Rule 10b5-1 trading arrangement” or “non-Rule 10b5-1 trading arrangement,” as each term is defined in Item 408(a) of Regulation S-K.</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incorporated by reference or filed as part of this report.</w:t>
      </w:r>
    </w:p>
    <w:p>
      <w:pPr>
        <w:spacing w:after="0" w:line="262"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36830</wp:posOffset>
            </wp:positionV>
            <wp:extent cx="284607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63" w:lineRule="exact"/>
        <w:rPr>
          <w:sz w:val="20"/>
          <w:szCs w:val="20"/>
          <w:color w:val="auto"/>
        </w:rPr>
      </w:pPr>
    </w:p>
    <w:p>
      <w:pPr>
        <w:ind w:left="10400"/>
        <w:spacing w:after="0"/>
        <w:rPr>
          <w:sz w:val="20"/>
          <w:szCs w:val="20"/>
          <w:color w:val="auto"/>
        </w:rPr>
      </w:pPr>
      <w:r>
        <w:rPr>
          <w:rFonts w:ascii="Times New Roman" w:cs="Times New Roman" w:eastAsia="Times New Roman" w:hAnsi="Times New Roman"/>
          <w:sz w:val="16"/>
          <w:szCs w:val="16"/>
          <w:b w:val="1"/>
          <w:bCs w:val="1"/>
          <w:color w:val="auto"/>
        </w:rPr>
        <w:t>Filed or</w:t>
      </w:r>
    </w:p>
    <w:p>
      <w:pPr>
        <w:spacing w:after="0" w:line="28" w:lineRule="exact"/>
        <w:rPr>
          <w:sz w:val="20"/>
          <w:szCs w:val="20"/>
          <w:color w:val="auto"/>
        </w:rPr>
      </w:pPr>
    </w:p>
    <w:p>
      <w:pPr>
        <w:ind w:left="180"/>
        <w:spacing w:after="0"/>
        <w:tabs>
          <w:tab w:leader="none" w:pos="10300" w:val="left"/>
        </w:tabs>
        <w:rPr>
          <w:sz w:val="20"/>
          <w:szCs w:val="20"/>
          <w:color w:val="auto"/>
        </w:rPr>
      </w:pPr>
      <w:r>
        <w:rPr>
          <w:rFonts w:ascii="Times New Roman" w:cs="Times New Roman" w:eastAsia="Times New Roman" w:hAnsi="Times New Roman"/>
          <w:sz w:val="15"/>
          <w:szCs w:val="15"/>
          <w:b w:val="1"/>
          <w:bCs w:val="1"/>
          <w:color w:val="auto"/>
        </w:rPr>
        <w:t>Exhibit</w:t>
      </w:r>
      <w:r>
        <w:rPr>
          <w:sz w:val="20"/>
          <w:szCs w:val="20"/>
          <w:color w:val="auto"/>
        </w:rPr>
        <w:tab/>
      </w:r>
      <w:r>
        <w:rPr>
          <w:rFonts w:ascii="Times New Roman" w:cs="Times New Roman" w:eastAsia="Times New Roman" w:hAnsi="Times New Roman"/>
          <w:sz w:val="15"/>
          <w:szCs w:val="15"/>
          <w:b w:val="1"/>
          <w:bCs w:val="1"/>
          <w:color w:val="auto"/>
        </w:rPr>
        <w:t>Furnished</w:t>
      </w:r>
    </w:p>
    <w:p>
      <w:pPr>
        <w:spacing w:after="0" w:line="30" w:lineRule="exact"/>
        <w:rPr>
          <w:sz w:val="20"/>
          <w:szCs w:val="20"/>
          <w:color w:val="auto"/>
        </w:rPr>
      </w:pPr>
    </w:p>
    <w:p>
      <w:pPr>
        <w:ind w:left="180"/>
        <w:spacing w:after="0"/>
        <w:tabs>
          <w:tab w:leader="none" w:pos="3060" w:val="left"/>
          <w:tab w:leader="none" w:pos="6880" w:val="left"/>
          <w:tab w:leader="none" w:pos="7480" w:val="left"/>
          <w:tab w:leader="none" w:pos="8560" w:val="left"/>
          <w:tab w:leader="none" w:pos="9280" w:val="left"/>
          <w:tab w:leader="none" w:pos="10340" w:val="left"/>
        </w:tabs>
        <w:rPr>
          <w:sz w:val="20"/>
          <w:szCs w:val="20"/>
          <w:color w:val="auto"/>
        </w:rPr>
      </w:pPr>
      <w:r>
        <w:rPr>
          <w:rFonts w:ascii="Times New Roman" w:cs="Times New Roman" w:eastAsia="Times New Roman" w:hAnsi="Times New Roman"/>
          <w:sz w:val="16"/>
          <w:szCs w:val="16"/>
          <w:b w:val="1"/>
          <w:bCs w:val="1"/>
          <w:color w:val="auto"/>
        </w:rPr>
        <w:t>Number</w:t>
      </w:r>
      <w:r>
        <w:rPr>
          <w:sz w:val="20"/>
          <w:szCs w:val="20"/>
          <w:color w:val="auto"/>
        </w:rPr>
        <w:tab/>
      </w:r>
      <w:r>
        <w:rPr>
          <w:rFonts w:ascii="Times New Roman" w:cs="Times New Roman" w:eastAsia="Times New Roman" w:hAnsi="Times New Roman"/>
          <w:sz w:val="16"/>
          <w:szCs w:val="16"/>
          <w:b w:val="1"/>
          <w:bCs w:val="1"/>
          <w:color w:val="auto"/>
        </w:rPr>
        <w:t>Description of Exhibit</w:t>
      </w:r>
      <w:r>
        <w:rPr>
          <w:sz w:val="20"/>
          <w:szCs w:val="20"/>
          <w:color w:val="auto"/>
        </w:rPr>
        <w:tab/>
      </w:r>
      <w:r>
        <w:rPr>
          <w:rFonts w:ascii="Times New Roman" w:cs="Times New Roman" w:eastAsia="Times New Roman" w:hAnsi="Times New Roman"/>
          <w:sz w:val="16"/>
          <w:szCs w:val="16"/>
          <w:b w:val="1"/>
          <w:bCs w:val="1"/>
          <w:color w:val="auto"/>
        </w:rPr>
        <w:t>Form</w:t>
        <w:tab/>
        <w:t>File Number</w:t>
        <w:tab/>
        <w:t>Exhibit</w:t>
        <w:tab/>
        <w:t>Filing Date</w:t>
      </w:r>
      <w:r>
        <w:rPr>
          <w:sz w:val="20"/>
          <w:szCs w:val="20"/>
          <w:color w:val="auto"/>
        </w:rPr>
        <w:tab/>
      </w:r>
      <w:r>
        <w:rPr>
          <w:rFonts w:ascii="Times New Roman" w:cs="Times New Roman" w:eastAsia="Times New Roman" w:hAnsi="Times New Roman"/>
          <w:sz w:val="16"/>
          <w:szCs w:val="16"/>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124"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80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w w:val="99"/>
              </w:rPr>
              <w:t>3.1</w:t>
            </w:r>
          </w:p>
        </w:tc>
        <w:tc>
          <w:tcPr>
            <w:tcW w:w="5740" w:type="dxa"/>
            <w:vAlign w:val="bottom"/>
            <w:gridSpan w:val="9"/>
          </w:tcPr>
          <w:p>
            <w:pPr>
              <w:spacing w:after="0"/>
              <w:rPr>
                <w:rFonts w:ascii="Times New Roman" w:cs="Times New Roman" w:eastAsia="Times New Roman" w:hAnsi="Times New Roman"/>
                <w:sz w:val="16"/>
                <w:szCs w:val="16"/>
                <w:color w:val="0000FF"/>
              </w:rPr>
            </w:pPr>
            <w:hyperlink r:id="rId215">
              <w:r>
                <w:rPr>
                  <w:rFonts w:ascii="Times New Roman" w:cs="Times New Roman" w:eastAsia="Times New Roman" w:hAnsi="Times New Roman"/>
                  <w:sz w:val="16"/>
                  <w:szCs w:val="16"/>
                  <w:color w:val="0000FF"/>
                </w:rPr>
                <w:t>Restated Certificate of Incorporation of the Registrant, as amended</w:t>
              </w:r>
            </w:hyperlink>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10-Q</w:t>
            </w: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001-35890</w:t>
            </w:r>
          </w:p>
        </w:tc>
        <w:tc>
          <w:tcPr>
            <w:tcW w:w="5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3.1</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5/15/2019</w:t>
            </w:r>
          </w:p>
        </w:tc>
        <w:tc>
          <w:tcPr>
            <w:tcW w:w="0" w:type="dxa"/>
            <w:vAlign w:val="bottom"/>
          </w:tcPr>
          <w:p>
            <w:pPr>
              <w:spacing w:after="0"/>
              <w:rPr>
                <w:sz w:val="1"/>
                <w:szCs w:val="1"/>
                <w:color w:val="auto"/>
              </w:rPr>
            </w:pPr>
          </w:p>
        </w:tc>
      </w:tr>
      <w:tr>
        <w:trPr>
          <w:trHeight w:val="20"/>
        </w:trPr>
        <w:tc>
          <w:tcPr>
            <w:tcW w:w="80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00" w:type="dxa"/>
            <w:vAlign w:val="bottom"/>
          </w:tcPr>
          <w:p>
            <w:pPr>
              <w:spacing w:after="0"/>
              <w:rPr>
                <w:sz w:val="20"/>
                <w:szCs w:val="20"/>
                <w:color w:val="auto"/>
              </w:rPr>
            </w:pPr>
          </w:p>
        </w:tc>
        <w:tc>
          <w:tcPr>
            <w:tcW w:w="5740" w:type="dxa"/>
            <w:vAlign w:val="bottom"/>
            <w:gridSpan w:val="9"/>
          </w:tcPr>
          <w:p>
            <w:pPr>
              <w:spacing w:after="0"/>
              <w:rPr>
                <w:rFonts w:ascii="Times New Roman" w:cs="Times New Roman" w:eastAsia="Times New Roman" w:hAnsi="Times New Roman"/>
                <w:sz w:val="16"/>
                <w:szCs w:val="16"/>
                <w:color w:val="0000FF"/>
              </w:rPr>
            </w:pPr>
            <w:hyperlink r:id="rId216">
              <w:r>
                <w:rPr>
                  <w:rFonts w:ascii="Times New Roman" w:cs="Times New Roman" w:eastAsia="Times New Roman" w:hAnsi="Times New Roman"/>
                  <w:sz w:val="16"/>
                  <w:szCs w:val="16"/>
                  <w:color w:val="0000FF"/>
                </w:rPr>
                <w:t>Certificate of Amendment to the Restated Certificate of Incorporation of the Company,</w:t>
              </w:r>
            </w:hyperlink>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tcPr>
          <w:p>
            <w:pPr>
              <w:jc w:val="center"/>
              <w:ind w:right="119"/>
              <w:spacing w:after="0" w:line="183" w:lineRule="exact"/>
              <w:rPr>
                <w:sz w:val="20"/>
                <w:szCs w:val="20"/>
                <w:color w:val="auto"/>
              </w:rPr>
            </w:pPr>
            <w:r>
              <w:rPr>
                <w:rFonts w:ascii="Times New Roman" w:cs="Times New Roman" w:eastAsia="Times New Roman" w:hAnsi="Times New Roman"/>
                <w:sz w:val="16"/>
                <w:szCs w:val="16"/>
                <w:color w:val="auto"/>
                <w:w w:val="99"/>
              </w:rPr>
              <w:t>3.2</w:t>
            </w:r>
          </w:p>
        </w:tc>
        <w:tc>
          <w:tcPr>
            <w:tcW w:w="5740" w:type="dxa"/>
            <w:vAlign w:val="bottom"/>
            <w:gridSpan w:val="9"/>
          </w:tcPr>
          <w:p>
            <w:pPr>
              <w:spacing w:after="0" w:line="183" w:lineRule="exact"/>
              <w:rPr>
                <w:rFonts w:ascii="Times New Roman" w:cs="Times New Roman" w:eastAsia="Times New Roman" w:hAnsi="Times New Roman"/>
                <w:sz w:val="16"/>
                <w:szCs w:val="16"/>
                <w:color w:val="0000FF"/>
              </w:rPr>
            </w:pPr>
            <w:hyperlink r:id="rId216">
              <w:r>
                <w:rPr>
                  <w:rFonts w:ascii="Times New Roman" w:cs="Times New Roman" w:eastAsia="Times New Roman" w:hAnsi="Times New Roman"/>
                  <w:sz w:val="16"/>
                  <w:szCs w:val="16"/>
                  <w:color w:val="0000FF"/>
                </w:rPr>
                <w:t>as filed with the Secretary of State of the State of Delaware on June 24, 2021</w:t>
              </w:r>
            </w:hyperlink>
          </w:p>
        </w:tc>
        <w:tc>
          <w:tcPr>
            <w:tcW w:w="80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8-K</w:t>
            </w:r>
          </w:p>
        </w:tc>
        <w:tc>
          <w:tcPr>
            <w:tcW w:w="1080" w:type="dxa"/>
            <w:vAlign w:val="bottom"/>
          </w:tcPr>
          <w:p>
            <w:pPr>
              <w:jc w:val="right"/>
              <w:ind w:right="79"/>
              <w:spacing w:after="0" w:line="183" w:lineRule="exact"/>
              <w:rPr>
                <w:sz w:val="20"/>
                <w:szCs w:val="20"/>
                <w:color w:val="auto"/>
              </w:rPr>
            </w:pPr>
            <w:r>
              <w:rPr>
                <w:rFonts w:ascii="Times New Roman" w:cs="Times New Roman" w:eastAsia="Times New Roman" w:hAnsi="Times New Roman"/>
                <w:sz w:val="16"/>
                <w:szCs w:val="16"/>
                <w:color w:val="auto"/>
              </w:rPr>
              <w:t>001-35890</w:t>
            </w:r>
          </w:p>
        </w:tc>
        <w:tc>
          <w:tcPr>
            <w:tcW w:w="580" w:type="dxa"/>
            <w:vAlign w:val="bottom"/>
          </w:tcPr>
          <w:p>
            <w:pPr>
              <w:jc w:val="right"/>
              <w:ind w:right="139"/>
              <w:spacing w:after="0" w:line="183" w:lineRule="exact"/>
              <w:rPr>
                <w:sz w:val="20"/>
                <w:szCs w:val="20"/>
                <w:color w:val="auto"/>
              </w:rPr>
            </w:pPr>
            <w:r>
              <w:rPr>
                <w:rFonts w:ascii="Times New Roman" w:cs="Times New Roman" w:eastAsia="Times New Roman" w:hAnsi="Times New Roman"/>
                <w:sz w:val="16"/>
                <w:szCs w:val="16"/>
                <w:color w:val="auto"/>
              </w:rPr>
              <w:t>3.1</w:t>
            </w:r>
          </w:p>
        </w:tc>
        <w:tc>
          <w:tcPr>
            <w:tcW w:w="9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6/28/2021</w:t>
            </w:r>
          </w:p>
        </w:tc>
        <w:tc>
          <w:tcPr>
            <w:tcW w:w="0" w:type="dxa"/>
            <w:vAlign w:val="bottom"/>
          </w:tcPr>
          <w:p>
            <w:pPr>
              <w:spacing w:after="0"/>
              <w:rPr>
                <w:sz w:val="1"/>
                <w:szCs w:val="1"/>
                <w:color w:val="auto"/>
              </w:rPr>
            </w:pPr>
          </w:p>
        </w:tc>
      </w:tr>
      <w:tr>
        <w:trPr>
          <w:trHeight w:val="20"/>
        </w:trPr>
        <w:tc>
          <w:tcPr>
            <w:tcW w:w="80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0" w:type="dxa"/>
            <w:vAlign w:val="bottom"/>
          </w:tcPr>
          <w:p>
            <w:pPr>
              <w:spacing w:after="0"/>
              <w:rPr>
                <w:sz w:val="20"/>
                <w:szCs w:val="20"/>
                <w:color w:val="auto"/>
              </w:rPr>
            </w:pPr>
          </w:p>
        </w:tc>
        <w:tc>
          <w:tcPr>
            <w:tcW w:w="5740" w:type="dxa"/>
            <w:vAlign w:val="bottom"/>
            <w:gridSpan w:val="9"/>
          </w:tcPr>
          <w:p>
            <w:pPr>
              <w:spacing w:after="0"/>
              <w:rPr>
                <w:rFonts w:ascii="Times New Roman" w:cs="Times New Roman" w:eastAsia="Times New Roman" w:hAnsi="Times New Roman"/>
                <w:sz w:val="16"/>
                <w:szCs w:val="16"/>
                <w:color w:val="0000FF"/>
              </w:rPr>
            </w:pPr>
            <w:hyperlink r:id="rId217">
              <w:r>
                <w:rPr>
                  <w:rFonts w:ascii="Times New Roman" w:cs="Times New Roman" w:eastAsia="Times New Roman" w:hAnsi="Times New Roman"/>
                  <w:sz w:val="16"/>
                  <w:szCs w:val="16"/>
                  <w:color w:val="0000FF"/>
                </w:rPr>
                <w:t>Certificate of Amendment to the Restated Certificate of Incorporation of the Company,</w:t>
              </w:r>
            </w:hyperlink>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tcPr>
          <w:p>
            <w:pPr>
              <w:jc w:val="center"/>
              <w:ind w:right="119"/>
              <w:spacing w:after="0" w:line="183" w:lineRule="exact"/>
              <w:rPr>
                <w:sz w:val="20"/>
                <w:szCs w:val="20"/>
                <w:color w:val="auto"/>
              </w:rPr>
            </w:pPr>
            <w:r>
              <w:rPr>
                <w:rFonts w:ascii="Times New Roman" w:cs="Times New Roman" w:eastAsia="Times New Roman" w:hAnsi="Times New Roman"/>
                <w:sz w:val="16"/>
                <w:szCs w:val="16"/>
                <w:color w:val="auto"/>
                <w:w w:val="99"/>
              </w:rPr>
              <w:t>3.3</w:t>
            </w:r>
          </w:p>
        </w:tc>
        <w:tc>
          <w:tcPr>
            <w:tcW w:w="5740" w:type="dxa"/>
            <w:vAlign w:val="bottom"/>
            <w:gridSpan w:val="9"/>
          </w:tcPr>
          <w:p>
            <w:pPr>
              <w:spacing w:after="0" w:line="183" w:lineRule="exact"/>
              <w:rPr>
                <w:rFonts w:ascii="Times New Roman" w:cs="Times New Roman" w:eastAsia="Times New Roman" w:hAnsi="Times New Roman"/>
                <w:sz w:val="16"/>
                <w:szCs w:val="16"/>
                <w:color w:val="0000FF"/>
              </w:rPr>
            </w:pPr>
            <w:hyperlink r:id="rId217">
              <w:r>
                <w:rPr>
                  <w:rFonts w:ascii="Times New Roman" w:cs="Times New Roman" w:eastAsia="Times New Roman" w:hAnsi="Times New Roman"/>
                  <w:sz w:val="16"/>
                  <w:szCs w:val="16"/>
                  <w:color w:val="0000FF"/>
                </w:rPr>
                <w:t>as filed with the Secretary of State of the State of Delaware on June 25, 2021</w:t>
              </w:r>
            </w:hyperlink>
          </w:p>
        </w:tc>
        <w:tc>
          <w:tcPr>
            <w:tcW w:w="80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8-K</w:t>
            </w:r>
          </w:p>
        </w:tc>
        <w:tc>
          <w:tcPr>
            <w:tcW w:w="1080" w:type="dxa"/>
            <w:vAlign w:val="bottom"/>
          </w:tcPr>
          <w:p>
            <w:pPr>
              <w:jc w:val="right"/>
              <w:ind w:right="79"/>
              <w:spacing w:after="0" w:line="183" w:lineRule="exact"/>
              <w:rPr>
                <w:sz w:val="20"/>
                <w:szCs w:val="20"/>
                <w:color w:val="auto"/>
              </w:rPr>
            </w:pPr>
            <w:r>
              <w:rPr>
                <w:rFonts w:ascii="Times New Roman" w:cs="Times New Roman" w:eastAsia="Times New Roman" w:hAnsi="Times New Roman"/>
                <w:sz w:val="16"/>
                <w:szCs w:val="16"/>
                <w:color w:val="auto"/>
              </w:rPr>
              <w:t>001-35890</w:t>
            </w:r>
          </w:p>
        </w:tc>
        <w:tc>
          <w:tcPr>
            <w:tcW w:w="580" w:type="dxa"/>
            <w:vAlign w:val="bottom"/>
          </w:tcPr>
          <w:p>
            <w:pPr>
              <w:jc w:val="right"/>
              <w:ind w:right="139"/>
              <w:spacing w:after="0" w:line="183" w:lineRule="exact"/>
              <w:rPr>
                <w:sz w:val="20"/>
                <w:szCs w:val="20"/>
                <w:color w:val="auto"/>
              </w:rPr>
            </w:pPr>
            <w:r>
              <w:rPr>
                <w:rFonts w:ascii="Times New Roman" w:cs="Times New Roman" w:eastAsia="Times New Roman" w:hAnsi="Times New Roman"/>
                <w:sz w:val="16"/>
                <w:szCs w:val="16"/>
                <w:color w:val="auto"/>
              </w:rPr>
              <w:t>3.2</w:t>
            </w:r>
          </w:p>
        </w:tc>
        <w:tc>
          <w:tcPr>
            <w:tcW w:w="9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6/28/2021</w:t>
            </w:r>
          </w:p>
        </w:tc>
        <w:tc>
          <w:tcPr>
            <w:tcW w:w="0" w:type="dxa"/>
            <w:vAlign w:val="bottom"/>
          </w:tcPr>
          <w:p>
            <w:pPr>
              <w:spacing w:after="0"/>
              <w:rPr>
                <w:sz w:val="1"/>
                <w:szCs w:val="1"/>
                <w:color w:val="auto"/>
              </w:rPr>
            </w:pPr>
          </w:p>
        </w:tc>
      </w:tr>
      <w:tr>
        <w:trPr>
          <w:trHeight w:val="20"/>
        </w:trPr>
        <w:tc>
          <w:tcPr>
            <w:tcW w:w="80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0" w:type="dxa"/>
            <w:vAlign w:val="bottom"/>
          </w:tcPr>
          <w:p>
            <w:pPr>
              <w:spacing w:after="0"/>
              <w:rPr>
                <w:sz w:val="20"/>
                <w:szCs w:val="20"/>
                <w:color w:val="auto"/>
              </w:rPr>
            </w:pPr>
          </w:p>
        </w:tc>
        <w:tc>
          <w:tcPr>
            <w:tcW w:w="5740" w:type="dxa"/>
            <w:vAlign w:val="bottom"/>
            <w:gridSpan w:val="9"/>
          </w:tcPr>
          <w:p>
            <w:pPr>
              <w:spacing w:after="0"/>
              <w:rPr>
                <w:rFonts w:ascii="Times New Roman" w:cs="Times New Roman" w:eastAsia="Times New Roman" w:hAnsi="Times New Roman"/>
                <w:sz w:val="16"/>
                <w:szCs w:val="16"/>
                <w:color w:val="0000FF"/>
              </w:rPr>
            </w:pPr>
            <w:hyperlink r:id="rId218">
              <w:r>
                <w:rPr>
                  <w:rFonts w:ascii="Times New Roman" w:cs="Times New Roman" w:eastAsia="Times New Roman" w:hAnsi="Times New Roman"/>
                  <w:sz w:val="16"/>
                  <w:szCs w:val="16"/>
                  <w:color w:val="0000FF"/>
                </w:rPr>
                <w:t>Certificate of Designation of Series A Junior Participating Preferred Stock filed with the</w:t>
              </w:r>
            </w:hyperlink>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tcPr>
          <w:p>
            <w:pPr>
              <w:jc w:val="center"/>
              <w:ind w:right="119"/>
              <w:spacing w:after="0" w:line="183" w:lineRule="exact"/>
              <w:rPr>
                <w:sz w:val="20"/>
                <w:szCs w:val="20"/>
                <w:color w:val="auto"/>
              </w:rPr>
            </w:pPr>
            <w:r>
              <w:rPr>
                <w:rFonts w:ascii="Times New Roman" w:cs="Times New Roman" w:eastAsia="Times New Roman" w:hAnsi="Times New Roman"/>
                <w:sz w:val="16"/>
                <w:szCs w:val="16"/>
                <w:color w:val="auto"/>
                <w:w w:val="99"/>
              </w:rPr>
              <w:t>3.4</w:t>
            </w:r>
          </w:p>
        </w:tc>
        <w:tc>
          <w:tcPr>
            <w:tcW w:w="5740" w:type="dxa"/>
            <w:vAlign w:val="bottom"/>
            <w:gridSpan w:val="9"/>
          </w:tcPr>
          <w:p>
            <w:pPr>
              <w:spacing w:after="0" w:line="183" w:lineRule="exact"/>
              <w:rPr>
                <w:rFonts w:ascii="Times New Roman" w:cs="Times New Roman" w:eastAsia="Times New Roman" w:hAnsi="Times New Roman"/>
                <w:sz w:val="16"/>
                <w:szCs w:val="16"/>
                <w:color w:val="0000FF"/>
              </w:rPr>
            </w:pPr>
            <w:hyperlink r:id="rId218">
              <w:r>
                <w:rPr>
                  <w:rFonts w:ascii="Times New Roman" w:cs="Times New Roman" w:eastAsia="Times New Roman" w:hAnsi="Times New Roman"/>
                  <w:sz w:val="16"/>
                  <w:szCs w:val="16"/>
                  <w:color w:val="0000FF"/>
                </w:rPr>
                <w:t>Secretary of State of the State of Delaware on October 10, 2023</w:t>
              </w:r>
            </w:hyperlink>
          </w:p>
        </w:tc>
        <w:tc>
          <w:tcPr>
            <w:tcW w:w="80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8-K</w:t>
            </w:r>
          </w:p>
        </w:tc>
        <w:tc>
          <w:tcPr>
            <w:tcW w:w="1080" w:type="dxa"/>
            <w:vAlign w:val="bottom"/>
          </w:tcPr>
          <w:p>
            <w:pPr>
              <w:jc w:val="right"/>
              <w:ind w:right="79"/>
              <w:spacing w:after="0" w:line="183" w:lineRule="exact"/>
              <w:rPr>
                <w:sz w:val="20"/>
                <w:szCs w:val="20"/>
                <w:color w:val="auto"/>
              </w:rPr>
            </w:pPr>
            <w:r>
              <w:rPr>
                <w:rFonts w:ascii="Times New Roman" w:cs="Times New Roman" w:eastAsia="Times New Roman" w:hAnsi="Times New Roman"/>
                <w:sz w:val="16"/>
                <w:szCs w:val="16"/>
                <w:color w:val="auto"/>
              </w:rPr>
              <w:t>001-35890</w:t>
            </w:r>
          </w:p>
        </w:tc>
        <w:tc>
          <w:tcPr>
            <w:tcW w:w="580" w:type="dxa"/>
            <w:vAlign w:val="bottom"/>
          </w:tcPr>
          <w:p>
            <w:pPr>
              <w:jc w:val="right"/>
              <w:ind w:right="139"/>
              <w:spacing w:after="0" w:line="183" w:lineRule="exact"/>
              <w:rPr>
                <w:sz w:val="20"/>
                <w:szCs w:val="20"/>
                <w:color w:val="auto"/>
              </w:rPr>
            </w:pPr>
            <w:r>
              <w:rPr>
                <w:rFonts w:ascii="Times New Roman" w:cs="Times New Roman" w:eastAsia="Times New Roman" w:hAnsi="Times New Roman"/>
                <w:sz w:val="16"/>
                <w:szCs w:val="16"/>
                <w:color w:val="auto"/>
              </w:rPr>
              <w:t>3.1</w:t>
            </w:r>
          </w:p>
        </w:tc>
        <w:tc>
          <w:tcPr>
            <w:tcW w:w="9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10/11/2023</w:t>
            </w:r>
          </w:p>
        </w:tc>
        <w:tc>
          <w:tcPr>
            <w:tcW w:w="0" w:type="dxa"/>
            <w:vAlign w:val="bottom"/>
          </w:tcPr>
          <w:p>
            <w:pPr>
              <w:spacing w:after="0"/>
              <w:rPr>
                <w:sz w:val="1"/>
                <w:szCs w:val="1"/>
                <w:color w:val="auto"/>
              </w:rPr>
            </w:pPr>
          </w:p>
        </w:tc>
      </w:tr>
      <w:tr>
        <w:trPr>
          <w:trHeight w:val="20"/>
        </w:trPr>
        <w:tc>
          <w:tcPr>
            <w:tcW w:w="80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EE"/>
            </w:tcBorders>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 w:type="dxa"/>
            <w:vAlign w:val="bottom"/>
            <w:vMerge w:val="restart"/>
          </w:tcPr>
          <w:p>
            <w:pPr>
              <w:jc w:val="center"/>
              <w:ind w:right="119"/>
              <w:spacing w:after="0"/>
              <w:rPr>
                <w:sz w:val="20"/>
                <w:szCs w:val="20"/>
                <w:color w:val="auto"/>
              </w:rPr>
            </w:pPr>
            <w:r>
              <w:rPr>
                <w:rFonts w:ascii="Times New Roman" w:cs="Times New Roman" w:eastAsia="Times New Roman" w:hAnsi="Times New Roman"/>
                <w:sz w:val="16"/>
                <w:szCs w:val="16"/>
                <w:color w:val="auto"/>
                <w:w w:val="99"/>
              </w:rPr>
              <w:t>3.6</w:t>
            </w:r>
          </w:p>
        </w:tc>
        <w:tc>
          <w:tcPr>
            <w:tcW w:w="5740" w:type="dxa"/>
            <w:vAlign w:val="bottom"/>
            <w:gridSpan w:val="9"/>
          </w:tcPr>
          <w:p>
            <w:pPr>
              <w:spacing w:after="0"/>
              <w:rPr>
                <w:rFonts w:ascii="Times New Roman" w:cs="Times New Roman" w:eastAsia="Times New Roman" w:hAnsi="Times New Roman"/>
                <w:sz w:val="16"/>
                <w:szCs w:val="16"/>
                <w:color w:val="0000FF"/>
              </w:rPr>
            </w:pPr>
            <w:hyperlink r:id="rId219">
              <w:r>
                <w:rPr>
                  <w:rFonts w:ascii="Times New Roman" w:cs="Times New Roman" w:eastAsia="Times New Roman" w:hAnsi="Times New Roman"/>
                  <w:sz w:val="16"/>
                  <w:szCs w:val="16"/>
                  <w:color w:val="0000FF"/>
                </w:rPr>
                <w:t>Certificate of Amendment to the Restated Certificate of Incorporation of the Company,</w:t>
              </w:r>
            </w:hyperlink>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108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001-35890</w:t>
            </w:r>
          </w:p>
        </w:tc>
        <w:tc>
          <w:tcPr>
            <w:tcW w:w="58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3.1</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4/7/2025</w:t>
            </w:r>
          </w:p>
        </w:tc>
        <w:tc>
          <w:tcPr>
            <w:tcW w:w="0" w:type="dxa"/>
            <w:vAlign w:val="bottom"/>
          </w:tcPr>
          <w:p>
            <w:pPr>
              <w:spacing w:after="0"/>
              <w:rPr>
                <w:sz w:val="1"/>
                <w:szCs w:val="1"/>
                <w:color w:val="auto"/>
              </w:rPr>
            </w:pPr>
          </w:p>
        </w:tc>
      </w:tr>
      <w:tr>
        <w:trPr>
          <w:trHeight w:val="20"/>
        </w:trPr>
        <w:tc>
          <w:tcPr>
            <w:tcW w:w="800" w:type="dxa"/>
            <w:vAlign w:val="bottom"/>
            <w:vMerge w:val="continue"/>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vMerge w:val="continue"/>
          </w:tcPr>
          <w:p>
            <w:pPr>
              <w:spacing w:after="0"/>
              <w:rPr>
                <w:sz w:val="15"/>
                <w:szCs w:val="15"/>
                <w:color w:val="auto"/>
              </w:rPr>
            </w:pPr>
          </w:p>
        </w:tc>
        <w:tc>
          <w:tcPr>
            <w:tcW w:w="5740" w:type="dxa"/>
            <w:vAlign w:val="bottom"/>
            <w:gridSpan w:val="9"/>
          </w:tcPr>
          <w:p>
            <w:pPr>
              <w:spacing w:after="0" w:line="183" w:lineRule="exact"/>
              <w:rPr>
                <w:rFonts w:ascii="Times New Roman" w:cs="Times New Roman" w:eastAsia="Times New Roman" w:hAnsi="Times New Roman"/>
                <w:sz w:val="16"/>
                <w:szCs w:val="16"/>
                <w:color w:val="0000FF"/>
              </w:rPr>
            </w:pPr>
            <w:hyperlink r:id="rId219">
              <w:r>
                <w:rPr>
                  <w:rFonts w:ascii="Times New Roman" w:cs="Times New Roman" w:eastAsia="Times New Roman" w:hAnsi="Times New Roman"/>
                  <w:sz w:val="16"/>
                  <w:szCs w:val="16"/>
                  <w:color w:val="0000FF"/>
                </w:rPr>
                <w:t>as filed with the Secretary of State of the State of Delaware on April 4, 2025</w:t>
              </w:r>
            </w:hyperlink>
          </w:p>
        </w:tc>
        <w:tc>
          <w:tcPr>
            <w:tcW w:w="80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w w:val="99"/>
              </w:rPr>
              <w:t>3.6</w:t>
            </w:r>
          </w:p>
        </w:tc>
        <w:tc>
          <w:tcPr>
            <w:tcW w:w="5740" w:type="dxa"/>
            <w:vAlign w:val="bottom"/>
            <w:gridSpan w:val="9"/>
          </w:tcPr>
          <w:p>
            <w:pPr>
              <w:spacing w:after="0"/>
              <w:rPr>
                <w:rFonts w:ascii="Times New Roman" w:cs="Times New Roman" w:eastAsia="Times New Roman" w:hAnsi="Times New Roman"/>
                <w:sz w:val="16"/>
                <w:szCs w:val="16"/>
                <w:color w:val="0000FF"/>
              </w:rPr>
            </w:pPr>
            <w:hyperlink r:id="rId220">
              <w:r>
                <w:rPr>
                  <w:rFonts w:ascii="Times New Roman" w:cs="Times New Roman" w:eastAsia="Times New Roman" w:hAnsi="Times New Roman"/>
                  <w:sz w:val="16"/>
                  <w:szCs w:val="16"/>
                  <w:color w:val="0000FF"/>
                </w:rPr>
                <w:t>Amended and Restated Bylaws of the Registrant</w:t>
              </w:r>
            </w:hyperlink>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001-35890</w:t>
            </w:r>
          </w:p>
        </w:tc>
        <w:tc>
          <w:tcPr>
            <w:tcW w:w="5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3.1</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9/24/2021</w:t>
            </w:r>
          </w:p>
        </w:tc>
        <w:tc>
          <w:tcPr>
            <w:tcW w:w="0" w:type="dxa"/>
            <w:vAlign w:val="bottom"/>
          </w:tcPr>
          <w:p>
            <w:pPr>
              <w:spacing w:after="0"/>
              <w:rPr>
                <w:sz w:val="1"/>
                <w:szCs w:val="1"/>
                <w:color w:val="auto"/>
              </w:rPr>
            </w:pPr>
          </w:p>
        </w:tc>
      </w:tr>
      <w:tr>
        <w:trPr>
          <w:trHeight w:val="20"/>
        </w:trPr>
        <w:tc>
          <w:tcPr>
            <w:tcW w:w="80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0" w:type="dxa"/>
            <w:vAlign w:val="bottom"/>
          </w:tcPr>
          <w:p>
            <w:pPr>
              <w:spacing w:after="0"/>
              <w:rPr>
                <w:sz w:val="20"/>
                <w:szCs w:val="20"/>
                <w:color w:val="auto"/>
              </w:rPr>
            </w:pPr>
          </w:p>
        </w:tc>
        <w:tc>
          <w:tcPr>
            <w:tcW w:w="574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Rules 13a-14(a) and 15d-14(a)</w:t>
            </w: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3040" w:type="dxa"/>
            <w:vAlign w:val="bottom"/>
            <w:gridSpan w:val="5"/>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5740" w:type="dxa"/>
            <w:vAlign w:val="bottom"/>
            <w:gridSpan w:val="9"/>
          </w:tcPr>
          <w:p>
            <w:pPr>
              <w:spacing w:after="0" w:line="183" w:lineRule="exact"/>
              <w:rPr>
                <w:sz w:val="20"/>
                <w:szCs w:val="20"/>
                <w:color w:val="auto"/>
              </w:rPr>
            </w:pPr>
            <w:r>
              <w:rPr>
                <w:rFonts w:ascii="Times New Roman" w:cs="Times New Roman" w:eastAsia="Times New Roman" w:hAnsi="Times New Roman"/>
                <w:sz w:val="16"/>
                <w:szCs w:val="16"/>
                <w:color w:val="0000FF"/>
              </w:rPr>
              <w:t>promulgated under the Securities Exchange Act of 1934, as adopted pursuant to Section</w:t>
            </w: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3040" w:type="dxa"/>
            <w:vAlign w:val="bottom"/>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tcPr>
          <w:p>
            <w:pPr>
              <w:jc w:val="center"/>
              <w:ind w:right="119"/>
              <w:spacing w:after="0" w:line="183" w:lineRule="exact"/>
              <w:rPr>
                <w:sz w:val="20"/>
                <w:szCs w:val="20"/>
                <w:color w:val="auto"/>
              </w:rPr>
            </w:pPr>
            <w:r>
              <w:rPr>
                <w:rFonts w:ascii="Times New Roman" w:cs="Times New Roman" w:eastAsia="Times New Roman" w:hAnsi="Times New Roman"/>
                <w:sz w:val="16"/>
                <w:szCs w:val="16"/>
                <w:color w:val="auto"/>
                <w:w w:val="99"/>
              </w:rPr>
              <w:t>31.1</w:t>
            </w:r>
          </w:p>
        </w:tc>
        <w:tc>
          <w:tcPr>
            <w:tcW w:w="5740" w:type="dxa"/>
            <w:vAlign w:val="bottom"/>
            <w:gridSpan w:val="9"/>
          </w:tcPr>
          <w:p>
            <w:pPr>
              <w:spacing w:after="0" w:line="183" w:lineRule="exact"/>
              <w:rPr>
                <w:sz w:val="20"/>
                <w:szCs w:val="20"/>
                <w:color w:val="auto"/>
              </w:rPr>
            </w:pPr>
            <w:r>
              <w:rPr>
                <w:rFonts w:ascii="Times New Roman" w:cs="Times New Roman" w:eastAsia="Times New Roman" w:hAnsi="Times New Roman"/>
                <w:sz w:val="16"/>
                <w:szCs w:val="16"/>
                <w:color w:val="0000FF"/>
              </w:rPr>
              <w:t>302 of the Sarbanes-Oxley Act of 2002</w:t>
            </w: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tcBorders>
              <w:right w:val="single" w:sz="8" w:color="0000EE"/>
            </w:tcBorders>
            <w:shd w:val="clear" w:color="auto" w:fill="0000FF"/>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0" w:type="dxa"/>
            <w:vAlign w:val="bottom"/>
          </w:tcPr>
          <w:p>
            <w:pPr>
              <w:spacing w:after="0"/>
              <w:rPr>
                <w:sz w:val="20"/>
                <w:szCs w:val="20"/>
                <w:color w:val="auto"/>
              </w:rPr>
            </w:pPr>
          </w:p>
        </w:tc>
        <w:tc>
          <w:tcPr>
            <w:tcW w:w="574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Rules 13a-14(a) and 15d-14(a)</w:t>
            </w: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4800" w:type="dxa"/>
            <w:vAlign w:val="bottom"/>
            <w:gridSpan w:val="6"/>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5740" w:type="dxa"/>
            <w:vAlign w:val="bottom"/>
            <w:gridSpan w:val="9"/>
          </w:tcPr>
          <w:p>
            <w:pPr>
              <w:spacing w:after="0" w:line="183" w:lineRule="exact"/>
              <w:rPr>
                <w:sz w:val="20"/>
                <w:szCs w:val="20"/>
                <w:color w:val="auto"/>
              </w:rPr>
            </w:pPr>
            <w:r>
              <w:rPr>
                <w:rFonts w:ascii="Times New Roman" w:cs="Times New Roman" w:eastAsia="Times New Roman" w:hAnsi="Times New Roman"/>
                <w:sz w:val="16"/>
                <w:szCs w:val="16"/>
                <w:color w:val="0000FF"/>
              </w:rPr>
              <w:t>promulgated under the Securities Exchange Act of 1934, as adopted pursuant to section</w:t>
            </w: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4880" w:type="dxa"/>
            <w:vAlign w:val="bottom"/>
            <w:gridSpan w:val="7"/>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00" w:type="dxa"/>
            <w:vAlign w:val="bottom"/>
          </w:tcPr>
          <w:p>
            <w:pPr>
              <w:jc w:val="center"/>
              <w:ind w:right="119"/>
              <w:spacing w:after="0" w:line="183" w:lineRule="exact"/>
              <w:rPr>
                <w:sz w:val="20"/>
                <w:szCs w:val="20"/>
                <w:color w:val="auto"/>
              </w:rPr>
            </w:pPr>
            <w:r>
              <w:rPr>
                <w:rFonts w:ascii="Times New Roman" w:cs="Times New Roman" w:eastAsia="Times New Roman" w:hAnsi="Times New Roman"/>
                <w:sz w:val="16"/>
                <w:szCs w:val="16"/>
                <w:color w:val="auto"/>
                <w:w w:val="99"/>
              </w:rPr>
              <w:t>31.2</w:t>
            </w:r>
          </w:p>
        </w:tc>
        <w:tc>
          <w:tcPr>
            <w:tcW w:w="5740" w:type="dxa"/>
            <w:vAlign w:val="bottom"/>
            <w:gridSpan w:val="9"/>
          </w:tcPr>
          <w:p>
            <w:pPr>
              <w:spacing w:after="0" w:line="183" w:lineRule="exact"/>
              <w:rPr>
                <w:sz w:val="20"/>
                <w:szCs w:val="20"/>
                <w:color w:val="auto"/>
              </w:rPr>
            </w:pPr>
            <w:r>
              <w:rPr>
                <w:rFonts w:ascii="Times New Roman" w:cs="Times New Roman" w:eastAsia="Times New Roman" w:hAnsi="Times New Roman"/>
                <w:sz w:val="16"/>
                <w:szCs w:val="16"/>
                <w:color w:val="0000FF"/>
              </w:rPr>
              <w:t>302 of the Sarbanes-Oxley Act of 2002</w:t>
            </w: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tcBorders>
              <w:right w:val="single" w:sz="8" w:color="0000EE"/>
            </w:tcBorders>
            <w:shd w:val="clear" w:color="auto" w:fill="0000FF"/>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0" w:type="dxa"/>
            <w:vAlign w:val="bottom"/>
          </w:tcPr>
          <w:p>
            <w:pPr>
              <w:spacing w:after="0"/>
              <w:rPr>
                <w:sz w:val="20"/>
                <w:szCs w:val="20"/>
                <w:color w:val="auto"/>
              </w:rPr>
            </w:pPr>
          </w:p>
        </w:tc>
        <w:tc>
          <w:tcPr>
            <w:tcW w:w="574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and Principal Financial Officer pursuant to</w:t>
            </w: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4880" w:type="dxa"/>
            <w:vAlign w:val="bottom"/>
            <w:gridSpan w:val="7"/>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5740" w:type="dxa"/>
            <w:vAlign w:val="bottom"/>
            <w:gridSpan w:val="9"/>
          </w:tcPr>
          <w:p>
            <w:pPr>
              <w:spacing w:after="0" w:line="183" w:lineRule="exact"/>
              <w:rPr>
                <w:sz w:val="20"/>
                <w:szCs w:val="20"/>
                <w:color w:val="auto"/>
              </w:rPr>
            </w:pPr>
            <w:r>
              <w:rPr>
                <w:rFonts w:ascii="Times New Roman" w:cs="Times New Roman" w:eastAsia="Times New Roman" w:hAnsi="Times New Roman"/>
                <w:sz w:val="16"/>
                <w:szCs w:val="16"/>
                <w:color w:val="0000FF"/>
              </w:rPr>
              <w:t>Rules 13a-14(b) and 15d-14(b) promulgated under the Securities Exchange Act of 1934</w:t>
            </w: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4880" w:type="dxa"/>
            <w:vAlign w:val="bottom"/>
            <w:gridSpan w:val="7"/>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vMerge w:val="restart"/>
          </w:tcPr>
          <w:p>
            <w:pPr>
              <w:jc w:val="center"/>
              <w:ind w:right="119"/>
              <w:spacing w:after="0"/>
              <w:rPr>
                <w:sz w:val="20"/>
                <w:szCs w:val="20"/>
                <w:color w:val="auto"/>
              </w:rPr>
            </w:pPr>
            <w:r>
              <w:rPr>
                <w:rFonts w:ascii="Times New Roman" w:cs="Times New Roman" w:eastAsia="Times New Roman" w:hAnsi="Times New Roman"/>
                <w:sz w:val="16"/>
                <w:szCs w:val="16"/>
                <w:color w:val="auto"/>
                <w:w w:val="92"/>
              </w:rPr>
              <w:t>32.1</w:t>
            </w:r>
            <w:r>
              <w:rPr>
                <w:rFonts w:ascii="Times New Roman" w:cs="Times New Roman" w:eastAsia="Times New Roman" w:hAnsi="Times New Roman"/>
                <w:sz w:val="21"/>
                <w:szCs w:val="21"/>
                <w:color w:val="auto"/>
                <w:w w:val="92"/>
                <w:vertAlign w:val="superscript"/>
              </w:rPr>
              <w:t>^</w:t>
            </w:r>
          </w:p>
        </w:tc>
        <w:tc>
          <w:tcPr>
            <w:tcW w:w="5740" w:type="dxa"/>
            <w:vAlign w:val="bottom"/>
            <w:gridSpan w:val="9"/>
          </w:tcPr>
          <w:p>
            <w:pPr>
              <w:spacing w:after="0" w:line="183" w:lineRule="exact"/>
              <w:rPr>
                <w:sz w:val="20"/>
                <w:szCs w:val="20"/>
                <w:color w:val="auto"/>
              </w:rPr>
            </w:pPr>
            <w:r>
              <w:rPr>
                <w:rFonts w:ascii="Times New Roman" w:cs="Times New Roman" w:eastAsia="Times New Roman" w:hAnsi="Times New Roman"/>
                <w:sz w:val="16"/>
                <w:szCs w:val="16"/>
                <w:color w:val="0000FF"/>
              </w:rPr>
              <w:t>and 18 U.S.C. Section 1350, as adopted pursuant to section 906 of The Sarbanes-Oxley</w:t>
            </w: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vMerge w:val="continue"/>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4880" w:type="dxa"/>
            <w:vAlign w:val="bottom"/>
            <w:gridSpan w:val="7"/>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vMerge w:val="continue"/>
          </w:tcPr>
          <w:p>
            <w:pPr>
              <w:spacing w:after="0"/>
              <w:rPr>
                <w:sz w:val="15"/>
                <w:szCs w:val="15"/>
                <w:color w:val="auto"/>
              </w:rPr>
            </w:pPr>
          </w:p>
        </w:tc>
        <w:tc>
          <w:tcPr>
            <w:tcW w:w="5740" w:type="dxa"/>
            <w:vAlign w:val="bottom"/>
            <w:gridSpan w:val="9"/>
          </w:tcPr>
          <w:p>
            <w:pPr>
              <w:spacing w:after="0" w:line="183" w:lineRule="exact"/>
              <w:rPr>
                <w:sz w:val="20"/>
                <w:szCs w:val="20"/>
                <w:color w:val="auto"/>
              </w:rPr>
            </w:pPr>
            <w:r>
              <w:rPr>
                <w:rFonts w:ascii="Times New Roman" w:cs="Times New Roman" w:eastAsia="Times New Roman" w:hAnsi="Times New Roman"/>
                <w:sz w:val="16"/>
                <w:szCs w:val="16"/>
                <w:color w:val="0000FF"/>
              </w:rPr>
              <w:t>Act of 2002</w:t>
            </w: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Borders>
              <w:right w:val="single" w:sz="8" w:color="0000EE"/>
            </w:tcBorders>
          </w:tcPr>
          <w:p>
            <w:pPr>
              <w:spacing w:after="0" w:line="20" w:lineRule="exact"/>
              <w:rPr>
                <w:sz w:val="1"/>
                <w:szCs w:val="1"/>
                <w:color w:val="auto"/>
              </w:rPr>
            </w:pPr>
          </w:p>
        </w:tc>
        <w:tc>
          <w:tcPr>
            <w:tcW w:w="780" w:type="dxa"/>
            <w:vAlign w:val="bottom"/>
            <w:tcBorders>
              <w:right w:val="single" w:sz="8" w:color="0000EE"/>
            </w:tcBorders>
            <w:shd w:val="clear" w:color="auto" w:fill="0000FF"/>
          </w:tcPr>
          <w:p>
            <w:pPr>
              <w:spacing w:after="0" w:line="20" w:lineRule="exact"/>
              <w:rPr>
                <w:sz w:val="1"/>
                <w:szCs w:val="1"/>
                <w:color w:val="auto"/>
              </w:rPr>
            </w:pPr>
          </w:p>
        </w:tc>
        <w:tc>
          <w:tcPr>
            <w:tcW w:w="496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00" w:type="dxa"/>
            <w:vAlign w:val="bottom"/>
          </w:tcPr>
          <w:p>
            <w:pPr>
              <w:spacing w:after="0"/>
              <w:rPr>
                <w:sz w:val="20"/>
                <w:szCs w:val="20"/>
                <w:color w:val="auto"/>
              </w:rPr>
            </w:pPr>
          </w:p>
        </w:tc>
        <w:tc>
          <w:tcPr>
            <w:tcW w:w="57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w:t>
            </w: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00" w:type="dxa"/>
            <w:vAlign w:val="bottom"/>
            <w:vMerge w:val="restart"/>
          </w:tcPr>
          <w:p>
            <w:pPr>
              <w:jc w:val="center"/>
              <w:ind w:right="119"/>
              <w:spacing w:after="0"/>
              <w:rPr>
                <w:sz w:val="20"/>
                <w:szCs w:val="20"/>
                <w:color w:val="auto"/>
              </w:rPr>
            </w:pPr>
            <w:r>
              <w:rPr>
                <w:rFonts w:ascii="Times New Roman" w:cs="Times New Roman" w:eastAsia="Times New Roman" w:hAnsi="Times New Roman"/>
                <w:sz w:val="16"/>
                <w:szCs w:val="16"/>
                <w:color w:val="auto"/>
              </w:rPr>
              <w:t>101.INS</w:t>
            </w:r>
          </w:p>
        </w:tc>
        <w:tc>
          <w:tcPr>
            <w:tcW w:w="57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Interactive Data File because its XBRL tags are embedded within the Inline XBRL</w:t>
            </w:r>
          </w:p>
        </w:tc>
        <w:tc>
          <w:tcPr>
            <w:tcW w:w="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0" w:type="dxa"/>
            <w:vAlign w:val="bottom"/>
            <w:vMerge w:val="continue"/>
          </w:tcPr>
          <w:p>
            <w:pPr>
              <w:spacing w:after="0"/>
              <w:rPr>
                <w:sz w:val="18"/>
                <w:szCs w:val="18"/>
                <w:color w:val="auto"/>
              </w:rPr>
            </w:pPr>
          </w:p>
        </w:tc>
        <w:tc>
          <w:tcPr>
            <w:tcW w:w="57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document.</w:t>
            </w: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0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101.SCH</w:t>
            </w:r>
          </w:p>
        </w:tc>
        <w:tc>
          <w:tcPr>
            <w:tcW w:w="57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Taxonomy Extension Schema With Embedded Linkbase Documents</w:t>
            </w:r>
          </w:p>
        </w:tc>
        <w:tc>
          <w:tcPr>
            <w:tcW w:w="8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800" w:type="dxa"/>
            <w:vAlign w:val="bottom"/>
            <w:vMerge w:val="restart"/>
          </w:tcPr>
          <w:p>
            <w:pPr>
              <w:jc w:val="center"/>
              <w:ind w:right="119"/>
              <w:spacing w:after="0"/>
              <w:rPr>
                <w:sz w:val="20"/>
                <w:szCs w:val="20"/>
                <w:color w:val="auto"/>
              </w:rPr>
            </w:pPr>
            <w:r>
              <w:rPr>
                <w:rFonts w:ascii="Times New Roman" w:cs="Times New Roman" w:eastAsia="Times New Roman" w:hAnsi="Times New Roman"/>
                <w:sz w:val="16"/>
                <w:szCs w:val="16"/>
                <w:color w:val="auto"/>
                <w:w w:val="99"/>
              </w:rPr>
              <w:t>104</w:t>
            </w:r>
          </w:p>
        </w:tc>
        <w:tc>
          <w:tcPr>
            <w:tcW w:w="57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Cover Page formatted as inline XBRL with applicable taxonomy extension contained in</w:t>
            </w: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 w:type="dxa"/>
            <w:vAlign w:val="bottom"/>
            <w:vMerge w:val="continue"/>
          </w:tcPr>
          <w:p>
            <w:pPr>
              <w:spacing w:after="0"/>
              <w:rPr>
                <w:sz w:val="18"/>
                <w:szCs w:val="18"/>
                <w:color w:val="auto"/>
              </w:rPr>
            </w:pPr>
          </w:p>
        </w:tc>
        <w:tc>
          <w:tcPr>
            <w:tcW w:w="57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Exhibit 101.</w:t>
            </w: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78"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21"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6"/>
          <w:szCs w:val="16"/>
          <w:color w:val="auto"/>
        </w:rPr>
        <w:t>X</w:t>
      </w:r>
    </w:p>
    <w:p>
      <w:pPr>
        <w:spacing w:after="0" w:line="149" w:lineRule="exact"/>
        <w:rPr>
          <w:sz w:val="20"/>
          <w:szCs w:val="20"/>
          <w:color w:val="auto"/>
        </w:rPr>
      </w:pPr>
    </w:p>
    <w:p>
      <w:pPr>
        <w:sectPr>
          <w:pgSz w:w="11900" w:h="16838" w:orient="portrait"/>
          <w:cols w:equalWidth="0" w:num="2">
            <w:col w:w="10100" w:space="520"/>
            <w:col w:w="620"/>
          </w:cols>
          <w:pgMar w:left="320" w:top="117" w:right="339" w:bottom="1440" w:gutter="0" w:footer="0" w:header="0"/>
          <w:type w:val="continuous"/>
        </w:sectPr>
      </w:pPr>
    </w:p>
    <w:p>
      <w:pPr>
        <w:jc w:val="both"/>
        <w:ind w:firstLine="8"/>
        <w:spacing w:after="0" w:line="257" w:lineRule="auto"/>
        <w:tabs>
          <w:tab w:leader="none" w:pos="1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TEMPEST THERAPEUTICS, INC.</w:t>
      </w:r>
    </w:p>
    <w:p>
      <w:pPr>
        <w:spacing w:after="0" w:line="225" w:lineRule="exact"/>
        <w:rPr>
          <w:sz w:val="20"/>
          <w:szCs w:val="20"/>
          <w:color w:val="auto"/>
        </w:rPr>
      </w:pPr>
    </w:p>
    <w:p>
      <w:pPr>
        <w:ind w:left="5960"/>
        <w:spacing w:after="0"/>
        <w:tabs>
          <w:tab w:leader="none" w:pos="6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Stephen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17145</wp:posOffset>
            </wp:positionV>
            <wp:extent cx="291465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2">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Stephen Brady</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 &amp; President (Principal Executive Officer)</w:t>
      </w:r>
    </w:p>
    <w:p>
      <w:pPr>
        <w:spacing w:after="0" w:line="200" w:lineRule="exact"/>
        <w:rPr>
          <w:sz w:val="20"/>
          <w:szCs w:val="20"/>
          <w:color w:val="auto"/>
        </w:rPr>
      </w:pPr>
    </w:p>
    <w:p>
      <w:pPr>
        <w:spacing w:after="0" w:line="223" w:lineRule="exact"/>
        <w:rPr>
          <w:sz w:val="20"/>
          <w:szCs w:val="20"/>
          <w:color w:val="auto"/>
        </w:rPr>
      </w:pPr>
    </w:p>
    <w:p>
      <w:pPr>
        <w:ind w:left="5960"/>
        <w:spacing w:after="0"/>
        <w:tabs>
          <w:tab w:leader="none" w:pos="6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Nicholas Maestas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17145</wp:posOffset>
            </wp:positionV>
            <wp:extent cx="291465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3">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Nicholas Maestas</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  &amp;  Head  of  Corporate  Strategy  (Principal</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2025</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Brady, certify that:</w:t>
      </w:r>
    </w:p>
    <w:p>
      <w:pPr>
        <w:spacing w:after="0" w:line="225" w:lineRule="exact"/>
        <w:rPr>
          <w:sz w:val="20"/>
          <w:szCs w:val="20"/>
          <w:color w:val="auto"/>
        </w:rPr>
      </w:pPr>
    </w:p>
    <w:p>
      <w:pPr>
        <w:ind w:left="380" w:hanging="372"/>
        <w:spacing w:after="0"/>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Tempest Therapeutics, Inc.;</w:t>
      </w:r>
    </w:p>
    <w:p>
      <w:pPr>
        <w:spacing w:after="0" w:line="225"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2025</w:t>
      </w:r>
    </w:p>
    <w:p>
      <w:pPr>
        <w:spacing w:after="0" w:line="225" w:lineRule="exact"/>
        <w:rPr>
          <w:sz w:val="20"/>
          <w:szCs w:val="20"/>
          <w:color w:val="auto"/>
        </w:rPr>
      </w:pPr>
    </w:p>
    <w:p>
      <w:pPr>
        <w:ind w:left="6980"/>
        <w:spacing w:after="0"/>
        <w:tabs>
          <w:tab w:leader="none" w:pos="7420" w:val="left"/>
        </w:tabs>
        <w:rPr>
          <w:sz w:val="20"/>
          <w:szCs w:val="20"/>
          <w:color w:val="auto"/>
        </w:rPr>
      </w:pPr>
      <w:r>
        <w:rPr>
          <w:rFonts w:ascii="Times New Roman" w:cs="Times New Roman" w:eastAsia="Times New Roman" w:hAnsi="Times New Roman"/>
          <w:sz w:val="18"/>
          <w:szCs w:val="18"/>
          <w:color w:val="auto"/>
        </w:rPr>
        <w:t>By:</w:t>
        <w:tab/>
        <w:t>/s/ Stephen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17145</wp:posOffset>
            </wp:positionV>
            <wp:extent cx="241744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5">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Stephen Brady</w:t>
      </w:r>
    </w:p>
    <w:p>
      <w:pPr>
        <w:spacing w:after="0" w:line="23"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Chief  Executive  Officer  &amp;  President  (Principal</w:t>
      </w:r>
    </w:p>
    <w:p>
      <w:pPr>
        <w:spacing w:after="0" w:line="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Nicholas Maestas, certify that:</w:t>
      </w:r>
    </w:p>
    <w:p>
      <w:pPr>
        <w:spacing w:after="0" w:line="225" w:lineRule="exact"/>
        <w:rPr>
          <w:sz w:val="20"/>
          <w:szCs w:val="20"/>
          <w:color w:val="auto"/>
        </w:rPr>
      </w:pPr>
    </w:p>
    <w:p>
      <w:pPr>
        <w:ind w:left="380" w:hanging="372"/>
        <w:spacing w:after="0"/>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Tempest Therapeutics, Inc.;</w:t>
      </w:r>
    </w:p>
    <w:p>
      <w:pPr>
        <w:spacing w:after="0" w:line="225"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2025</w:t>
      </w:r>
    </w:p>
    <w:p>
      <w:pPr>
        <w:spacing w:after="0" w:line="225" w:lineRule="exact"/>
        <w:rPr>
          <w:sz w:val="20"/>
          <w:szCs w:val="20"/>
          <w:color w:val="auto"/>
        </w:rPr>
      </w:pPr>
    </w:p>
    <w:p>
      <w:pPr>
        <w:ind w:left="6980"/>
        <w:spacing w:after="0"/>
        <w:tabs>
          <w:tab w:leader="none" w:pos="7420" w:val="left"/>
        </w:tabs>
        <w:rPr>
          <w:sz w:val="20"/>
          <w:szCs w:val="20"/>
          <w:color w:val="auto"/>
        </w:rPr>
      </w:pPr>
      <w:r>
        <w:rPr>
          <w:rFonts w:ascii="Times New Roman" w:cs="Times New Roman" w:eastAsia="Times New Roman" w:hAnsi="Times New Roman"/>
          <w:sz w:val="18"/>
          <w:szCs w:val="18"/>
          <w:color w:val="auto"/>
        </w:rPr>
        <w:t>By:</w:t>
        <w:tab/>
        <w:t>/s/ Nicholas Maestas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17145</wp:posOffset>
            </wp:positionV>
            <wp:extent cx="241744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7">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Nicholas Maestas</w:t>
      </w:r>
    </w:p>
    <w:p>
      <w:pPr>
        <w:spacing w:after="0" w:line="23"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Chief  Financial  Officer  &amp;  Head  of  Corporate</w:t>
      </w:r>
    </w:p>
    <w:p>
      <w:pPr>
        <w:spacing w:after="0" w:line="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Strategy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Stephen Brady, Chief Executive Officer of Tempest Therapeutics, Inc. (the “Company”), and Nicholas Maestas, Chief Financial Officer &amp; Head of Corporate Strategy, of the Company, each hereby certifies that, to the best of his or her knowledge:</w:t>
      </w:r>
    </w:p>
    <w:p>
      <w:pPr>
        <w:spacing w:after="0" w:line="180" w:lineRule="exact"/>
        <w:rPr>
          <w:sz w:val="20"/>
          <w:szCs w:val="20"/>
          <w:color w:val="auto"/>
        </w:rPr>
      </w:pPr>
    </w:p>
    <w:p>
      <w:pPr>
        <w:ind w:left="380" w:hanging="372"/>
        <w:spacing w:after="0" w:line="282" w:lineRule="auto"/>
        <w:tabs>
          <w:tab w:leader="none" w:pos="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March 31, 2025, to which this Certification is attached as Exhibit 32.1 (the “Report”), fully complies with the requirements of Section 13(a) or Section 15(d) of the Exchange Act; and</w:t>
      </w:r>
    </w:p>
    <w:p>
      <w:pPr>
        <w:spacing w:after="0" w:line="161" w:lineRule="exact"/>
        <w:rPr>
          <w:rFonts w:ascii="Times New Roman" w:cs="Times New Roman" w:eastAsia="Times New Roman" w:hAnsi="Times New Roman"/>
          <w:sz w:val="18"/>
          <w:szCs w:val="18"/>
          <w:color w:val="auto"/>
        </w:rPr>
      </w:pPr>
    </w:p>
    <w:p>
      <w:pPr>
        <w:ind w:right="400" w:firstLine="8"/>
        <w:spacing w:after="0" w:line="532" w:lineRule="auto"/>
        <w:tabs>
          <w:tab w:leader="none" w:pos="37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May 13, 2025</w:t>
      </w:r>
    </w:p>
    <w:tbl>
      <w:tblPr>
        <w:tblLayout w:type="fixed"/>
        <w:tblInd w:w="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/s/ Stephen Brady</w:t>
            </w:r>
          </w:p>
        </w:tc>
        <w:tc>
          <w:tcPr>
            <w:tcW w:w="324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 Nicholas Maestas</w:t>
            </w:r>
          </w:p>
        </w:tc>
      </w:tr>
      <w:tr>
        <w:trPr>
          <w:trHeight w:val="27"/>
        </w:trPr>
        <w:tc>
          <w:tcPr>
            <w:tcW w:w="4140" w:type="dxa"/>
            <w:vAlign w:val="bottom"/>
            <w:tcBorders>
              <w:bottom w:val="single" w:sz="8" w:color="auto"/>
            </w:tcBorders>
          </w:tcPr>
          <w:p>
            <w:pPr>
              <w:spacing w:after="0"/>
              <w:rPr>
                <w:sz w:val="2"/>
                <w:szCs w:val="2"/>
                <w:color w:val="auto"/>
              </w:rPr>
            </w:pPr>
          </w:p>
        </w:tc>
        <w:tc>
          <w:tcPr>
            <w:tcW w:w="3240" w:type="dxa"/>
            <w:vAlign w:val="bottom"/>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r>
      <w:tr>
        <w:trPr>
          <w:trHeight w:val="26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Stephen Brady</w:t>
            </w:r>
          </w:p>
        </w:tc>
        <w:tc>
          <w:tcPr>
            <w:tcW w:w="3240" w:type="dxa"/>
            <w:vAlign w:val="bottom"/>
          </w:tcPr>
          <w:p>
            <w:pPr>
              <w:spacing w:after="0"/>
              <w:rPr>
                <w:sz w:val="22"/>
                <w:szCs w:val="22"/>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Nicholas Maestas</w:t>
            </w:r>
          </w:p>
        </w:tc>
      </w:tr>
      <w:tr>
        <w:trPr>
          <w:trHeight w:val="279"/>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&amp;  President  (Principal</w:t>
            </w:r>
          </w:p>
        </w:tc>
        <w:tc>
          <w:tcPr>
            <w:tcW w:w="3240" w:type="dxa"/>
            <w:vAlign w:val="bottom"/>
          </w:tcPr>
          <w:p>
            <w:pPr>
              <w:spacing w:after="0"/>
              <w:rPr>
                <w:sz w:val="24"/>
                <w:szCs w:val="24"/>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&amp; Head of Corporate</w:t>
            </w:r>
          </w:p>
        </w:tc>
      </w:tr>
      <w:tr>
        <w:trPr>
          <w:trHeight w:val="261"/>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Executive Officer)</w:t>
            </w:r>
          </w:p>
        </w:tc>
        <w:tc>
          <w:tcPr>
            <w:tcW w:w="3240" w:type="dxa"/>
            <w:vAlign w:val="bottom"/>
          </w:tcPr>
          <w:p>
            <w:pPr>
              <w:spacing w:after="0"/>
              <w:rPr>
                <w:sz w:val="22"/>
                <w:szCs w:val="22"/>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Strategy (Principal Financial Officer)</w:t>
            </w:r>
          </w:p>
        </w:tc>
      </w:tr>
    </w:tbl>
    <w:p>
      <w:pPr>
        <w:spacing w:after="0" w:line="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Tempest Therapeutics,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453390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5" w:name="page86"/>
    <w:bookmarkEnd w:id="8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1)"/>
      <w:numFmt w:val="decimal"/>
      <w:start w:val="1"/>
    </w:lvl>
  </w:abstractNum>
  <w:abstractNum w:abstractNumId="5">
    <w:nsid w:val="B03E0C6"/>
    <w:multiLevelType w:val="hybridMultilevel"/>
    <w:lvl w:ilvl="0">
      <w:lvlJc w:val="left"/>
      <w:lvlText w:val="(%1)"/>
      <w:numFmt w:val="decimal"/>
      <w:start w:val="1"/>
    </w:lvl>
  </w:abstractNum>
  <w:abstractNum w:abstractNumId="6">
    <w:nsid w:val="189A769B"/>
    <w:multiLevelType w:val="hybridMultilevel"/>
    <w:lvl w:ilvl="0">
      <w:lvlJc w:val="left"/>
      <w:lvlText w:val="(%1)"/>
      <w:numFmt w:val="decimal"/>
      <w:start w:val="1"/>
    </w:lvl>
  </w:abstractNum>
  <w:abstractNum w:abstractNumId="7">
    <w:nsid w:val="54E49EB4"/>
    <w:multiLevelType w:val="hybridMultilevel"/>
    <w:lvl w:ilvl="0">
      <w:lvlJc w:val="left"/>
      <w:lvlText w:val="%1."/>
      <w:numFmt w:val="decimal"/>
      <w:start w:val="5"/>
    </w:lvl>
  </w:abstractNum>
  <w:abstractNum w:abstractNumId="8">
    <w:nsid w:val="71F32454"/>
    <w:multiLevelType w:val="hybridMultilevel"/>
    <w:lvl w:ilvl="0">
      <w:lvlJc w:val="left"/>
      <w:lvlText w:val="(%1)"/>
      <w:numFmt w:val="lowerRoman"/>
      <w:start w:val="1"/>
    </w:lvl>
  </w:abstractNum>
  <w:abstractNum w:abstractNumId="9">
    <w:nsid w:val="2CA88611"/>
    <w:multiLevelType w:val="hybridMultilevel"/>
    <w:lvl w:ilvl="0">
      <w:lvlJc w:val="left"/>
      <w:lvlText w:val="%1."/>
      <w:numFmt w:val="decimal"/>
      <w:start w:val="7"/>
    </w:lvl>
  </w:abstractNum>
  <w:abstractNum w:abstractNumId="10">
    <w:nsid w:val="836C40E"/>
    <w:multiLevelType w:val="hybridMultilevel"/>
    <w:lvl w:ilvl="0">
      <w:lvlJc w:val="left"/>
      <w:lvlText w:val="%1."/>
      <w:numFmt w:val="decimal"/>
      <w:start w:val="8"/>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lvl w:ilvl="1">
      <w:lvlJc w:val="left"/>
      <w:lvlText w:val="(%2)"/>
      <w:numFmt w:val="lowerLetter"/>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21" Type="http://schemas.openxmlformats.org/officeDocument/2006/relationships/image" Target="media/image208.png"/><Relationship Id="rId222" Type="http://schemas.openxmlformats.org/officeDocument/2006/relationships/image" Target="media/image209.png"/><Relationship Id="rId223" Type="http://schemas.openxmlformats.org/officeDocument/2006/relationships/image" Target="media/image210.png"/><Relationship Id="rId224" Type="http://schemas.openxmlformats.org/officeDocument/2006/relationships/image" Target="media/image211.png"/><Relationship Id="rId225" Type="http://schemas.openxmlformats.org/officeDocument/2006/relationships/image" Target="media/image212.png"/><Relationship Id="rId226" Type="http://schemas.openxmlformats.org/officeDocument/2006/relationships/image" Target="media/image213.png"/><Relationship Id="rId227" Type="http://schemas.openxmlformats.org/officeDocument/2006/relationships/image" Target="media/image214.png"/><Relationship Id="rId228" Type="http://schemas.openxmlformats.org/officeDocument/2006/relationships/image" Target="media/image215.png"/><Relationship Id="rId229" Type="http://schemas.openxmlformats.org/officeDocument/2006/relationships/image" Target="media/image216.png"/><Relationship Id="rId215" Type="http://schemas.openxmlformats.org/officeDocument/2006/relationships/hyperlink" Target="https://www.sec.gov/Archives/edgar/data/1544227/000155837019005038/mlnd-20190331ex31b53fa83.htm" TargetMode="External"/><Relationship Id="rId216" Type="http://schemas.openxmlformats.org/officeDocument/2006/relationships/hyperlink" Target="https://www.sec.gov/Archives/edgar/data/1544227/000119312521201157/d196630dex31.htm" TargetMode="External"/><Relationship Id="rId217" Type="http://schemas.openxmlformats.org/officeDocument/2006/relationships/hyperlink" Target="https://www.sec.gov/Archives/edgar/data/1544227/000119312521201157/d196630dex32.htm" TargetMode="External"/><Relationship Id="rId218" Type="http://schemas.openxmlformats.org/officeDocument/2006/relationships/hyperlink" Target="https://www.sec.gov/Archives/edgar/data/1544227/000119312523253882/d547808dex31.htm" TargetMode="External"/><Relationship Id="rId219" Type="http://schemas.openxmlformats.org/officeDocument/2006/relationships/hyperlink" Target="https://www.sec.gov/Archives/edgar/data/1544227/000119312525073987/d905141dex31.htm" TargetMode="External"/><Relationship Id="rId220" Type="http://schemas.openxmlformats.org/officeDocument/2006/relationships/hyperlink" Target="https://www.sec.gov/Archives/edgar/data/1544227/000119312521281694/d222030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2025-05-13T15:42:36Z</dcterms:created>
  <dcterms:modified xsi:type="dcterms:W3CDTF">2025-05-13T15:42:36Z</dcterms:modified>
</cp:coreProperties>
</file>