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2000 Sierra Point Parkway, Suite 400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Brisbane,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94005</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May 28, 2026, Tempest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warrant exercise and inducement offer letter agreement (the “</w:t>
      </w:r>
      <w:r>
        <w:rPr>
          <w:rFonts w:ascii="Times New Roman" w:cs="Times New Roman" w:eastAsia="Times New Roman" w:hAnsi="Times New Roman"/>
          <w:sz w:val="18"/>
          <w:szCs w:val="18"/>
          <w:b w:val="1"/>
          <w:bCs w:val="1"/>
          <w:color w:val="auto"/>
        </w:rPr>
        <w:t>Inducement Letter</w:t>
      </w:r>
      <w:r>
        <w:rPr>
          <w:rFonts w:ascii="Times New Roman" w:cs="Times New Roman" w:eastAsia="Times New Roman" w:hAnsi="Times New Roman"/>
          <w:sz w:val="18"/>
          <w:szCs w:val="18"/>
          <w:color w:val="auto"/>
        </w:rPr>
        <w:t>”) with a holder of certain existing warrants to purchase shares of the Company’s common stock that the Company originally issued in November 2025 at an original exercise price of $3.50 per share (the “</w:t>
      </w:r>
      <w:r>
        <w:rPr>
          <w:rFonts w:ascii="Times New Roman" w:cs="Times New Roman" w:eastAsia="Times New Roman" w:hAnsi="Times New Roman"/>
          <w:sz w:val="18"/>
          <w:szCs w:val="18"/>
          <w:b w:val="1"/>
          <w:bCs w:val="1"/>
          <w:color w:val="auto"/>
        </w:rPr>
        <w:t>Existing Warrants</w:t>
      </w:r>
      <w:r>
        <w:rPr>
          <w:rFonts w:ascii="Times New Roman" w:cs="Times New Roman" w:eastAsia="Times New Roman" w:hAnsi="Times New Roman"/>
          <w:sz w:val="18"/>
          <w:szCs w:val="18"/>
          <w:color w:val="auto"/>
        </w:rPr>
        <w:t>”). Pursuant to the Inducement Letter, the holder agreed to exercise for cash the Existing Warrants to purchase an aggregate of 1,172,414 shares of the Company’s common stock at a reduced exercise price of $1.73 per share in consideration of the Company’s agreement to issue to the holder a new unregistered common stock purchase warrant (the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to purchase up to 2,344,828 shares of common stock.</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New Warrant has an exercise price of $1.73 per share, will become exercisable on the effective date of stockholder approval required under the applicable rules of The Nasdaq Capital Market with respect to the issuance of the shares underlying the New Warrant, and will expire on May 29, 2028. The New Warrant contains customary adjustment provisions for stock dividends, stock splits, reorganizations and similar events, customary beneficial ownership limitations of either 4.99% or 9.99% at the holder’s election, and cashless exercise rights if a registration statement covering the resale of the underlying shares is not then effective. The Company also agreed to file a registration statement covering the resale of the shares issuable upon exercise of the New Warrant within 30 calendar days following the date of the Inducement Letter and to use reasonable best efforts to cause that registration statement to become effective within 45 calendar days, or within 75 calendar days in the event of SEC review.</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gross proceeds from the issuance of the shares of common stock under the Existing Warrants were approximately $2.0 million before deducting placement agent fees and other offering expenses payable by the Company.</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an engagement letter, H.C. Wainwright &amp; Co., LLC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acted as the exclusive placement agent in connection with the foregoing transaction, and the Company issued to the placement agent or its designees warrants to purchase up to 82,069 shares of common stock in substantially the same form as the New Warrant, except that the exercise price thereunder is $2.1625 per share (the “</w:t>
      </w:r>
      <w:r>
        <w:rPr>
          <w:rFonts w:ascii="Times New Roman" w:cs="Times New Roman" w:eastAsia="Times New Roman" w:hAnsi="Times New Roman"/>
          <w:sz w:val="18"/>
          <w:szCs w:val="18"/>
          <w:b w:val="1"/>
          <w:bCs w:val="1"/>
          <w:color w:val="auto"/>
        </w:rPr>
        <w:t>Placement Agent Warrants</w:t>
      </w:r>
      <w:r>
        <w:rPr>
          <w:rFonts w:ascii="Times New Roman" w:cs="Times New Roman" w:eastAsia="Times New Roman" w:hAnsi="Times New Roman"/>
          <w:sz w:val="18"/>
          <w:szCs w:val="18"/>
          <w:color w:val="auto"/>
        </w:rPr>
        <w:t>”). The Company also reimbursed certain expenses of the Placement Agent in connection with the transaction. Additionally, upon the exercise for cash of any of the New Warrants, the Company shall pay to the Placement Agent a cash fee of 7% of the aggregate gross exercise price paid in cash with respect thereto and issue to the Placement Agent or its designees warrants to purchase up to 7% of the aggregate number of the shares of common stock underlying such warrants that have been so exercised, provided that such exercise is effected within the 24 following the issuance date of the New Warrants.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shares issuable upon exercise of the Existing Warrants have been registered under the Company’s effective registration statement on Form S-1 (File No. 333-292026). The New Warrant, the Placement Agent Warrants, and the shares of common stock issuable upon exercise thereof were offered and sold in reliance upon the exemption from registration provided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investor has represented that it is an accredited investor, as that term is defined in Regulation D promulgated under the Securities Act, and has acquired the New Warrants and the shares issuable upon exercise thereof as principal for its own account and has no direct or indirect arrangement or understandings with any other persons to distribute or regarding the distribution of the New Warrants or the shares issuable upon exercise thereof.</w:t>
      </w:r>
    </w:p>
    <w:p>
      <w:pPr>
        <w:spacing w:after="0" w:line="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New Warrants, the Placement Agent Warrants and the shares of common stock issuable upon exercise thereof have not been registered under the Securities Act or applicable state securities laws. Accordingly, such securities may not be offered or sold in the United States except pursuant to an effective registration statement or an applicable exemption from the registration requirements of the Securities Act and such applicable state securities laws.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of the securities described herein, nor shall there be any sale of such securities in any state or other jurisdiction in which such offer, solicitation or sale would be unlawful.</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Inducement Letter, the New Warrant and the Placement Agent Warrants are only summaries and are qualified in their entirety by reference to the full text of the Inducement Letter, the form of New Warrant and the form of Placement Agent Warrants, which are filed as Exhibits 10.1, 10.2 and 10.3, respectively, to this Current Report on Form 8-K and are incorporated in this Item 1.01 by reference.</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unregistered securities described therein is incorporated by reference in this Item 3.02.</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Warrant Exercise and Inducement Offer Letter</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New Warrant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Form of Placement Agent Warrant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w:t>
      </w:r>
    </w:p>
    <w:p>
      <w:pPr>
        <w:sectPr>
          <w:pgSz w:w="11900" w:h="16838" w:orient="portrait"/>
          <w:cols w:equalWidth="0" w:num="1">
            <w:col w:w="10720"/>
          </w:cols>
          <w:pgMar w:left="440" w:top="293" w:right="7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Angel</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Angel</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Common Stock Purchase Warrants Issued in November 2025</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Inducement Offer to Exercise Common Stock Purchase Warrants Issued in November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Tempest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to you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similar terminology) the opportunity to receive new warrants to purchase shares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consideration for you exercising for cash all of the Company’s warrants to purchase shares of Common Stock issued to you on November 26, 2025 (the “</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 as more particularly set forth on the signature page hereto. The resale of the shares of Common Stock issuable upon exercise of the Existing Warrants has been registered pursuant to the Company’s registration statement on Form S-1 (File No. 333-292026). The shares of Common Stock issuable upon exercise of the Existing Warrants are collectively referred to herein as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and the registration statement referenced in the foregoing sentence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is currently effective and, upon exercise of the Existing Warrants pursuant to this letter agreement, will be effective for the resale of the Warrant Shares. Capitalized terms not otherwise defined herein shall have the respective meanings set forth in the New Warrants (as defined herein).</w:t>
      </w:r>
    </w:p>
    <w:p>
      <w:pPr>
        <w:spacing w:after="0" w:line="18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consideration for exercising in full all of the Existing Warrants held by Holder as set forth on the Holder’s signature page hereto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at the reduced exercise price of $1.73 per Existing Warrant (the “</w:t>
      </w:r>
      <w:r>
        <w:rPr>
          <w:rFonts w:ascii="Times New Roman" w:cs="Times New Roman" w:eastAsia="Times New Roman" w:hAnsi="Times New Roman"/>
          <w:sz w:val="18"/>
          <w:szCs w:val="18"/>
          <w:u w:val="single" w:color="auto"/>
          <w:color w:val="auto"/>
        </w:rPr>
        <w:t>Reduced Exercise Price</w:t>
      </w:r>
      <w:r>
        <w:rPr>
          <w:rFonts w:ascii="Times New Roman" w:cs="Times New Roman" w:eastAsia="Times New Roman" w:hAnsi="Times New Roman"/>
          <w:sz w:val="18"/>
          <w:szCs w:val="18"/>
          <w:color w:val="auto"/>
        </w:rPr>
        <w:t>”) on or before the Execution Time (as defined herein), the Company hereby offers to issue you or your designees:</w:t>
      </w:r>
    </w:p>
    <w:p>
      <w:pPr>
        <w:spacing w:after="0" w:line="176" w:lineRule="exact"/>
        <w:rPr>
          <w:sz w:val="20"/>
          <w:szCs w:val="20"/>
          <w:color w:val="auto"/>
        </w:rPr>
      </w:pPr>
    </w:p>
    <w:p>
      <w:pPr>
        <w:ind w:right="60" w:firstLine="436"/>
        <w:spacing w:after="0" w:line="277" w:lineRule="auto"/>
        <w:tabs>
          <w:tab w:leader="none" w:pos="68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unregistered Common Stock purchase warrants (each a “</w:t>
      </w:r>
      <w:r>
        <w:rPr>
          <w:rFonts w:ascii="Times New Roman" w:cs="Times New Roman" w:eastAsia="Times New Roman" w:hAnsi="Times New Roman"/>
          <w:sz w:val="17"/>
          <w:szCs w:val="17"/>
          <w:u w:val="single" w:color="auto"/>
          <w:color w:val="auto"/>
        </w:rPr>
        <w:t>New Warrant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pursuant to Section 4(a)(2) of the Securities Act of 1933, as amended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to purchase up to a number of shares (the “</w:t>
      </w:r>
      <w:r>
        <w:rPr>
          <w:rFonts w:ascii="Times New Roman" w:cs="Times New Roman" w:eastAsia="Times New Roman" w:hAnsi="Times New Roman"/>
          <w:sz w:val="17"/>
          <w:szCs w:val="17"/>
          <w:u w:val="single" w:color="auto"/>
          <w:color w:val="auto"/>
        </w:rPr>
        <w:t>New Warrant Shares</w:t>
      </w:r>
      <w:r>
        <w:rPr>
          <w:rFonts w:ascii="Times New Roman" w:cs="Times New Roman" w:eastAsia="Times New Roman" w:hAnsi="Times New Roman"/>
          <w:sz w:val="17"/>
          <w:szCs w:val="17"/>
          <w:color w:val="auto"/>
        </w:rPr>
        <w:t xml:space="preserve">”) of Common Stock equal to 200% of the number of Warrant Shares issued pursuant to each Warrant Exercise hereunder, which New Warrants shall be substantially in the form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will be exercisable at any time on or after the Stockholder Approval Date and expire two (2) years immediately following the Closing Date (as defined herein), and shall have an exercise price per share equal to $1.73, subject to adjustments as provided in the New Warrants.</w:t>
      </w:r>
    </w:p>
    <w:p>
      <w:pPr>
        <w:spacing w:after="0" w:line="167" w:lineRule="exact"/>
        <w:rPr>
          <w:rFonts w:ascii="Times New Roman" w:cs="Times New Roman" w:eastAsia="Times New Roman" w:hAnsi="Times New Roman"/>
          <w:sz w:val="17"/>
          <w:szCs w:val="17"/>
          <w:color w:val="auto"/>
        </w:rPr>
      </w:pPr>
    </w:p>
    <w:p>
      <w:pPr>
        <w:jc w:val="both"/>
        <w:ind w:right="60" w:firstLine="436"/>
        <w:spacing w:after="0" w:line="261"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Warrant certificate(s) will be delivered at Closing (as defined below), and such New Warrants, together with any New Warrant Shares issued upon exercise of the New Warrants, will, unless and until registered for resale under the Securities Act, contain customary restrictive legends and other language typical for an unregistered warrant and unregistered shares. Notwithstanding anything herein to the contrary, in the event that any Warrant Exercise would otherwise cause the Holder to exceed the beneficial ownership limitations (“</w:t>
      </w:r>
      <w:r>
        <w:rPr>
          <w:rFonts w:ascii="Times New Roman" w:cs="Times New Roman" w:eastAsia="Times New Roman" w:hAnsi="Times New Roman"/>
          <w:sz w:val="18"/>
          <w:szCs w:val="18"/>
          <w:u w:val="single" w:color="auto"/>
          <w:color w:val="auto"/>
        </w:rPr>
        <w:t>Beneficial Ownership</w:t>
      </w:r>
    </w:p>
    <w:p>
      <w:pPr>
        <w:sectPr>
          <w:pgSz w:w="11900" w:h="16838" w:orient="portrait"/>
          <w:cols w:equalWidth="0" w:num="1">
            <w:col w:w="11020"/>
          </w:cols>
          <w:pgMar w:left="440" w:top="117" w:right="439" w:bottom="1440" w:gutter="0" w:footer="0" w:header="0"/>
        </w:sectPr>
      </w:pPr>
    </w:p>
    <w:bookmarkStart w:id="5" w:name="page6"/>
    <w:bookmarkEnd w:id="5"/>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w:t>
      </w:r>
      <w:r>
        <w:rPr>
          <w:rFonts w:ascii="Times New Roman" w:cs="Times New Roman" w:eastAsia="Times New Roman" w:hAnsi="Times New Roman"/>
          <w:sz w:val="18"/>
          <w:szCs w:val="18"/>
          <w:color w:val="auto"/>
        </w:rPr>
        <w:t>”) set forth in Section 2(e) of the Existing Warrants (or, if applicable and at the Holder’s election, 9.99%), the Company shall issue only such number of Warrant Shares to the Holder that would not cause the Holder to exceed the maximum number of Warrant Shares permitted thereunder, as directed by the Holder, with the balance to be held in abeyance until notice from the Holder to the Company that the balance (or portion thereof) may be issued in compliance with such limitations, which abeyance shall be evidenced through the Existing Warrants which shall be deemed prepaid thereafter (including the payment in full of the exercise price), and exercised pursuant to a Notice of Exercise in the Existing Warrants (provided no additional exercise price shall be due and payable). The parties hereby agree that the Beneficial Ownership Limitation for purposes of the Existing Warrants is as set forth on the Holder’s signature page hereto.</w:t>
      </w:r>
    </w:p>
    <w:p>
      <w:pPr>
        <w:spacing w:after="0" w:line="18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Expressly subject to the paragraph immediately following this paragraph, Holder may accept this offer by signing this letter below, with such acceptance constituting Holder’s exercise in full of the Existing Warrants and agreement to pay to the Company the aggregate exercise price set forth on the signature page hereto on or before 5:00 p.m. Eastern Time, on May 28, 2026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Holder represents and warrants that, as of the date hereof it is, and on each date on which it exercises any New Warrants it will be, an “accredited investor” as defined in Rule 501 of Regulation D promulgated under the Securities Act, and agrees that the New Warrants will contain restrictive legends when issued, and neither the New Warrants nor the New Warrant Shares issuable upon exercise of the New Warrants are, or will be, registered under the Securities Act, except as provided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Also, Holder represents and warrants that it is acquiring the New Warrants as principal for its own account and has no direct or indirect arrangement or understandings with any other persons to distribute or regarding the distribution of the New Warrants or the New Warrant Shares (this representation is not limiting Holder’s right to sell the New Warrant Shares pursuant to an effective registration statement under the Securities Act or otherwise in compliance with applicable federal and state securities laws).</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 understands that the New Warrants and the New Warrant Shares are not, and may never be, registered under the Securities Act, or the securities laws of any state and, accordingly, each certificate, if any, representing such securities shall bear a legend substantially similar to the following:</w:t>
      </w:r>
    </w:p>
    <w:p>
      <w:pPr>
        <w:spacing w:after="0" w:line="68" w:lineRule="exact"/>
        <w:rPr>
          <w:sz w:val="20"/>
          <w:szCs w:val="20"/>
          <w:color w:val="auto"/>
        </w:rPr>
      </w:pPr>
    </w:p>
    <w:p>
      <w:pPr>
        <w:ind w:left="440" w:right="380" w:firstLine="423"/>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evidencing the New Warrant Shares shall not contain any legend (including the legend set forth above), (i) while a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covering the resale of such New Warrant Shares is effective under the Securities Act, (ii) following any sale of such New Warrant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144 under the Securities Act, (iii) if such New Warrant Shares are eligible for sale under Rule 144 (assuming cashless exercise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Warrants), without the requirement for the Company to be in compliance with the current public information required under Rule 144 as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Warrant Shares and without volume or manner-of-sale restrictions, (iv) if such New Warrant Shares may be sold under Rule 144 (assuming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cashless exercise of the New Warrants) and the Company is then in compliance with the current public information required under Rule 144 as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Warrant Shares, or (v) if such legend is not required under applicable requirements of the Securities Act (including judicial interpretations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pronouncements issued by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the earliest of clauses (i) through (v),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Delegend Date</w:t>
      </w:r>
      <w:r>
        <w:rPr>
          <w:rFonts w:ascii="Times New Roman" w:cs="Times New Roman" w:eastAsia="Times New Roman" w:hAnsi="Times New Roman"/>
          <w:sz w:val="18"/>
          <w:szCs w:val="18"/>
          <w:color w:val="auto"/>
        </w:rPr>
        <w:t>”)). The Company shall direct its counsel to issue a legal opinion to the Transfer Agent promptly after the Delegend Date if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and/or the Transfer Agent to effect the removal of the legend on such New Warrant Shares, or at the request of the Holder. From and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Delegend Date, such New Warrant Shares shall be issued free of all legends. The Company agrees that following the Delegend Date or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legend is no longer required under this Section, it will, no later than the later of (i) one (1) Trading Day and (ii) the number of days comprising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Settlement Period (as defined in the New Warrants) following the delivery by the Holder to the Company or the Transfer Agent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representing the New Warrant Shares issued with a restrictive legend along with such certificate(s) or other documentation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requested by the Company’s counsel and/or the Transfer Agent, including a customary representation letter, in form and substance reasonably acceptable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counsel and/or the Transfer Agent (such Trading Day,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the Holder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representing such shares that is free from all restrictive and other legends or, at the request of the Holder shall credit the account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prime broker with the Depository Trust Company System as directed by the Holder.</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Holder’s other available remedies, the Company shall pay to a Holder, in cash, (i) as partial liquidated damages and not as a penalty, for each $1,000 of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certificate representing the New Warrant Shares that is free from all restrictive and other legends and (b) if after the Legend Removal Date the Holder purchases (in an open market transaction or otherwise) shares of Common Stock to deliver in satisfaction of a sale by the Holder of all or any portion of the number of New Warrant Shares, or a sale of a number of shares of Common Stock equal to all or any portion of the number of New Warrant Shares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New Warrant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offer is accepted and the transaction documents are executed by the Execution Time, then as promptly as possible following the Execution Time, but in any event no later than 8:00 a.m., Eastern Time, on the Trading Day following the date hereof, the Company shall issue a press release disclosing the material terms of the transactions contemplated hereby and/or shall file a Current Report on Form 8-K with the Commission disclosing all material terms of the transactions contemplated hereunder, including the filing with the Commission of this letter agreement as an exhibit thereto within the time required by the Exchange Act. From and after the issuance of such press release or filing of such Current Report on Form 8-K, as applicable, the Company represents to you that it shall have publicly disclosed all material, non-public information delivered to you by the Company, or any of its officers, directors, employees or agents in connection with the transactions contemplated hereunder. In addition, effective upon the issuance of such press release and/or filing of such Current Report on Form 8-K,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your acceptance of this offer and payment of the applicable exercise price as set forth on the signature page hereto, the Warrant Shares shall be issued free of any legends or restrictions on resale by Holder.</w:t>
      </w:r>
    </w:p>
    <w:p>
      <w:pPr>
        <w:spacing w:after="0" w:line="190"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color w:val="auto"/>
        </w:rPr>
        <w:t>No later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following the date hereof (or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hereof if this letter agreement is signed on a day that is not a Trading Day or after 4:00 p.m. (New York City time) and before midnight (New York City time) on a Trading Day), the closing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at such location as the parties shall mutually agree. Unless otherwise directed by H.C. Wainwright &amp; Co., LLC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settlement of the Warrant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(as defined below), the Company shall issue the Warrant Shares registered in the Holder’s name and address provided to the Company in writing and released by the Transfer Agent directly to the account(s) at the Placement Agent identified by the Holder; upon receipt of such Warrant Shares, the Placement Agent shall promptly electronically deliver such Warrant Shares to the Holder, and payment therefor shall concurrently be made to the Company by the Placement Agent (or its clearing firm) by wire transfer to the Company). The date of the Closing of the Warrant Exercise shall be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the obligations of the Holders under this letter agreement are several and not joint with the obligations of any other holder or any other holders of Existing Warrants (each, an “</w:t>
      </w:r>
      <w:r>
        <w:rPr>
          <w:rFonts w:ascii="Times New Roman" w:cs="Times New Roman" w:eastAsia="Times New Roman" w:hAnsi="Times New Roman"/>
          <w:sz w:val="18"/>
          <w:szCs w:val="18"/>
          <w:u w:val="single" w:color="auto"/>
          <w:color w:val="auto"/>
        </w:rPr>
        <w:t>Other Holder</w:t>
      </w:r>
      <w:r>
        <w:rPr>
          <w:rFonts w:ascii="Times New Roman" w:cs="Times New Roman" w:eastAsia="Times New Roman" w:hAnsi="Times New Roman"/>
          <w:sz w:val="18"/>
          <w:szCs w:val="18"/>
          <w:color w:val="auto"/>
        </w:rPr>
        <w:t>”) under any other agreement related to the exercise of such warrants (“</w:t>
      </w:r>
      <w:r>
        <w:rPr>
          <w:rFonts w:ascii="Times New Roman" w:cs="Times New Roman" w:eastAsia="Times New Roman" w:hAnsi="Times New Roman"/>
          <w:sz w:val="18"/>
          <w:szCs w:val="18"/>
          <w:u w:val="single" w:color="auto"/>
          <w:color w:val="auto"/>
        </w:rPr>
        <w:t>Other Warrant Exercise Agreement</w:t>
      </w:r>
      <w:r>
        <w:rPr>
          <w:rFonts w:ascii="Times New Roman" w:cs="Times New Roman" w:eastAsia="Times New Roman" w:hAnsi="Times New Roman"/>
          <w:sz w:val="18"/>
          <w:szCs w:val="18"/>
          <w:color w:val="auto"/>
        </w:rPr>
        <w:t>”), and the Holder shall not be responsible in any way for the performance of the obligations of any Other Holder or under any such Other Warrant Exercise Agreement. Nothing contained in this letter agreement, and no action taken by the Holders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obligations or the transactions contemplated by this letter agreement and the Company acknowledges that the Holder and the Other Holders are not acting in concert or as a group with respect to such obligations or the transactions contemplated by this letter agreement or any Other Warrant Exercise Agreement. The Holder confirms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letter agreement, and it shall not be necessary for any Other Holder to be joined as an additional party in any proceeding for such purpose.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TEMPEST THERAPEUTICS, INC.</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Matthew Angel</w:t>
      </w:r>
    </w:p>
    <w:p>
      <w:pPr>
        <w:spacing w:after="0" w:line="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[Holder 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27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Existing Warrants: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Warrant Exercise Price at the Reduced Exercise Price being exercised contemporaneously with signing this letter agreement: __________</w:t>
      </w:r>
    </w:p>
    <w:p>
      <w:pPr>
        <w:spacing w:after="0" w:line="19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Existing Warrants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Warrants: ___________ (200% of total Existing Warrants being exercised)</w:t>
      </w:r>
    </w:p>
    <w:p>
      <w:pPr>
        <w:spacing w:after="0" w:line="19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New Warrants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Instructions: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[Holder signature page to TPST Inducement Offer]</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440" w:top="270" w:right="75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makes the following representations and warranties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Holder:</w:t>
      </w:r>
    </w:p>
    <w:p>
      <w:pPr>
        <w:spacing w:after="0" w:line="112" w:lineRule="exact"/>
        <w:rPr>
          <w:sz w:val="20"/>
          <w:szCs w:val="20"/>
          <w:color w:val="auto"/>
        </w:rPr>
      </w:pPr>
    </w:p>
    <w:p>
      <w:pPr>
        <w:ind w:left="424" w:right="2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w:t>
      </w:r>
    </w:p>
    <w:p>
      <w:pPr>
        <w:spacing w:after="0" w:line="94" w:lineRule="exact"/>
        <w:rPr>
          <w:rFonts w:ascii="Times New Roman" w:cs="Times New Roman" w:eastAsia="Times New Roman" w:hAnsi="Times New Roman"/>
          <w:sz w:val="18"/>
          <w:szCs w:val="18"/>
          <w:color w:val="auto"/>
        </w:rPr>
      </w:pPr>
    </w:p>
    <w:p>
      <w:pPr>
        <w:ind w:left="424" w:right="140"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9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12" w:name="page13"/>
    <w:bookmarkEnd w:id="12"/>
    <w:p>
      <w:pPr>
        <w:ind w:left="42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spacing w:after="0" w:line="85" w:lineRule="exact"/>
        <w:rPr>
          <w:sz w:val="20"/>
          <w:szCs w:val="20"/>
          <w:color w:val="auto"/>
        </w:rPr>
      </w:pPr>
    </w:p>
    <w:p>
      <w:pPr>
        <w:ind w:left="424" w:hanging="424"/>
        <w:spacing w:after="0" w:line="23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Obligations</w:t>
      </w:r>
      <w:r>
        <w:rPr>
          <w:rFonts w:ascii="Times New Roman" w:cs="Times New Roman" w:eastAsia="Times New Roman" w:hAnsi="Times New Roman"/>
          <w:sz w:val="18"/>
          <w:szCs w:val="18"/>
          <w:color w:val="auto"/>
        </w:rPr>
        <w:t>. On or before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of this Agreement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the Company shall prepare and file with the Commission a registration statement on Form S-3 (or other appropriate form if the Company is not then S-3 eligible) relating to the registration of the resale of the New Warrant Shares under the Securities Act by the holders of the New Warrants (the “</w:t>
      </w:r>
      <w:r>
        <w:rPr>
          <w:rFonts w:ascii="Times New Roman" w:cs="Times New Roman" w:eastAsia="Times New Roman" w:hAnsi="Times New Roman"/>
          <w:sz w:val="18"/>
          <w:szCs w:val="18"/>
          <w:u w:val="single" w:color="auto"/>
          <w:color w:val="auto"/>
        </w:rPr>
        <w:t>Resale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The Company shall use reasonable best efforts to cause the Resale Registration Statement to become effective (i) within 45 calendar days following the date of this Agreement or (ii) or, in the event of a review of the Resale Registration Statement by the Commission, by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of this Agreement (the date of such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or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as applicable,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and to keep the Resale Registration Statement effective at all times until no holder of the New Warrants owns any New Warrants or New Warrant Shares. In the event that the Resale Registration Statement is not (i) filed on or prior to the Filing Date or (ii) declared effective by the Commission on or prior to the Effectiveness Date, then, in addition to any other rights the holders of New Warrants may have hereunder or under applicable law, on the date immediately following the Filing Date or the Effectiveness Date, as applicable (each such date being referred to herein as an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and on each monthly anniversary of such Event Date (if the Resale Registration Statement shall not have been filed or declared effective, as applicable, on or prior to such monthly anniversary) until the Resale Registration Statement is filed or declared effective, the Company shall pay to each holder of New Warrants an amount in cash, as partial liquidated damages and not as a penalty, equal to the product of 1.0% multiplied by the aggregate exercise price of the New Warrants held by each holder of the New Warrants. If the Company fails to pay any partial liquidated damages pursuant to this Section in full within seven days after the date payable, the Company will pay interest thereon at a rate of 10% per annum (or such lesser maximum amount that is permitted to be paid by applicable law) to the holders of the New Warrants, accruing daily from the date such partial liquidated damages are due until such amounts, plus all such interest thereon, are paid in full. The partial liquidated damages pursuant to the terms hereof shall apply on a daily pro rata basis for any portion of a month prior to the Resale Registration Statement being filed or declared effective, as the case may be.</w:t>
      </w:r>
    </w:p>
    <w:p>
      <w:pPr>
        <w:spacing w:after="0" w:line="104"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transactions contemplated under this letter agreement comply with all the rules and regulations of the Nasdaq Capital Market.</w:t>
      </w:r>
    </w:p>
    <w:p>
      <w:pPr>
        <w:spacing w:after="0" w:line="67"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Warrant Shares for trading thereon in the time and manner required thereby, (iii) the filing of Form D with the Commission and such filings as are required to be made under applicable state securities laws, and (iv) the Stockholder Approval.</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3" w:name="page14"/>
    <w:bookmarkEnd w:id="13"/>
    <w:p>
      <w:pPr>
        <w:ind w:left="424"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New Warrant Shares on such Trading Market and promptly secure the listing of all of the New Warrant Shares on such Trading Market. The Company further agrees,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call and hold a special meeting of stockholders on or prior to July 15, 2026, with the recommendation of the Company’s Board of Directors that such proposal is approved, and the Company shall solicit proxies from its stockholders in connection therewith in the same manner as all other management proposals in such proxy statement and all management-appointed proxyholders shall vote their proxies in favor of such proposals. If the Company does not obtain Stockholder Approval at the first meeting, the Company shall call a meeting every ninety (90) days thereafter to seek Stockholder Approval until the earlier of the date on which Stockholder Approval is obtained or the New Warrants are no longer outstanding. The Stockholder Approval required to be obtained in accordance with this Section will be included on the same proxy statement and as a proposal to be voted on at the same shareholder meeting required in accordance with the terms of that certain Securities Purchase dated as of March 20, 2026, by and among Tempest Therapeutics, Inc. and the purchasers thereto.</w:t>
      </w:r>
    </w:p>
    <w:p>
      <w:pPr>
        <w:spacing w:after="0" w:line="9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thirty (30) days after the Closing Date, neither the Company nor any Subsidiary shall</w:t>
      </w:r>
    </w:p>
    <w:p>
      <w:pPr>
        <w:spacing w:after="0" w:line="27" w:lineRule="exact"/>
        <w:rPr>
          <w:rFonts w:ascii="Times New Roman" w:cs="Times New Roman" w:eastAsia="Times New Roman" w:hAnsi="Times New Roman"/>
          <w:sz w:val="18"/>
          <w:szCs w:val="18"/>
          <w:color w:val="auto"/>
        </w:rPr>
      </w:pPr>
    </w:p>
    <w:p>
      <w:pPr>
        <w:ind w:left="42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issue, enter into any agreement to issue or announce the issuance or proposed issuance of any Common Stock or Common Stock Equivalents or (B) file any registration statement or any amendment or supplement to any existing registration statement (other than (x) the Resale Registration Statement referred to herein, (y) prospectus supplements to the Registration Statements to reflect the transactions contemplated hereby, or (z) a registration statement on Form S-8 in connection with any employee benefit plan). Notwithstanding the foregoing, this Section (h)(i) shall not apply in respect of an Exempt Issuance.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(a) the issuance of shares of Common Stock, options, restricted stock or restricted stock units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the issuance of warrants to the Placement Agent or its designees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4" w:name="page15"/>
    <w:bookmarkEnd w:id="14"/>
    <w:p>
      <w:pPr>
        <w:ind w:left="424"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transactions pursuant to this letter agreement, if any (the “</w:t>
      </w:r>
      <w:r>
        <w:rPr>
          <w:rFonts w:ascii="Times New Roman" w:cs="Times New Roman" w:eastAsia="Times New Roman" w:hAnsi="Times New Roman"/>
          <w:sz w:val="18"/>
          <w:szCs w:val="18"/>
          <w:u w:val="single" w:color="auto"/>
          <w:color w:val="auto"/>
        </w:rPr>
        <w:t>Placement Agent Warrants</w:t>
      </w:r>
      <w:r>
        <w:rPr>
          <w:rFonts w:ascii="Times New Roman" w:cs="Times New Roman" w:eastAsia="Times New Roman" w:hAnsi="Times New Roman"/>
          <w:sz w:val="18"/>
          <w:szCs w:val="18"/>
          <w:color w:val="auto"/>
        </w:rPr>
        <w:t>”) and any shares of Common Stock upon exercise of the Placement Agent Warrants and the shares of Common Stock issuable upon the exercise or exchange of or conversion of any securities issued hereunder and/or other securities exercisable or exchangeable for or convertible into shares of Common Stock issued and outstanding on the date of this letter agreement, provided that such securities have not been amended since the date of this letter agreement to increase the number of such securities or to decrease the exercise price, exchange price or conversion price of such securities (other than in connection with stock splits or combinations) or to extend the term of such securities, and (c) the issuance of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this Section (h)(i),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for purposes of this Section (h)(i).</w:t>
      </w:r>
    </w:p>
    <w:p>
      <w:pPr>
        <w:spacing w:after="0" w:line="101" w:lineRule="exact"/>
        <w:rPr>
          <w:sz w:val="20"/>
          <w:szCs w:val="20"/>
          <w:color w:val="auto"/>
        </w:rPr>
      </w:pPr>
    </w:p>
    <w:p>
      <w:pPr>
        <w:ind w:left="424" w:hanging="424"/>
        <w:spacing w:after="0" w:line="25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New Warrants and New Warrant Shares as required under Regulation D and to provide a copy thereof, promptly upon request of any Holder. The Company shall take such action as the Company shall reasonably determine is necessary in order to obtain an exemption for, or to qualify the New Warrants and New Warrant Shares for, sale to the Holder at Closing under applicable securities or “Blue Sky” laws of the states of the United States, and shall provide evidence of such actions promptly upon request of any Holder.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New Warrants</w:t>
      </w:r>
    </w:p>
    <w:p>
      <w:pPr>
        <w:sectPr>
          <w:pgSz w:w="11900" w:h="16838" w:orient="portrait"/>
          <w:cols w:equalWidth="0" w:num="1">
            <w:col w:w="9019"/>
          </w:cols>
          <w:pgMar w:left="1440" w:top="266" w:right="1440" w:bottom="1440" w:gutter="0" w:footer="0" w:header="0"/>
        </w:sectPr>
      </w:pPr>
    </w:p>
    <w:bookmarkStart w:id="16" w:name="page17"/>
    <w:bookmarkEnd w:id="16"/>
    <w:p>
      <w:pPr>
        <w:ind w:left="100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May 29, 2026</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__________________________________</w:t>
      </w:r>
    </w:p>
    <w:p>
      <w:pPr>
        <w:spacing w:after="0" w:line="27"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or 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Stockholder Approval Date and on or prior to 5:00 p.m. (New York City time) May 29, 2028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Tempest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_________________ shares (as subject to</w:t>
      </w:r>
    </w:p>
    <w:p>
      <w:pPr>
        <w:ind w:right="180"/>
        <w:spacing w:after="0" w:line="260" w:lineRule="auto"/>
        <w:rPr>
          <w:sz w:val="20"/>
          <w:szCs w:val="20"/>
          <w:color w:val="auto"/>
        </w:rPr>
      </w:pPr>
      <w:r>
        <w:rPr>
          <w:rFonts w:ascii="Times New Roman" w:cs="Times New Roman" w:eastAsia="Times New Roman" w:hAnsi="Times New Roman"/>
          <w:sz w:val="18"/>
          <w:szCs w:val="18"/>
          <w:color w:val="auto"/>
        </w:rPr>
        <w:t>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8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 1.</w:t>
      </w:r>
    </w:p>
    <w:p>
      <w:pPr>
        <w:spacing w:after="0" w:line="54" w:lineRule="exact"/>
        <w:rPr>
          <w:sz w:val="20"/>
          <w:szCs w:val="20"/>
          <w:color w:val="auto"/>
        </w:rPr>
      </w:pPr>
    </w:p>
    <w:p>
      <w:pPr>
        <w:ind w:left="440" w:right="20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440" w:right="40" w:firstLine="952"/>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right="40" w:firstLine="95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2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54" w:lineRule="exact"/>
        <w:rPr>
          <w:sz w:val="20"/>
          <w:szCs w:val="20"/>
          <w:color w:val="auto"/>
        </w:rPr>
      </w:pPr>
    </w:p>
    <w:p>
      <w:pPr>
        <w:jc w:val="both"/>
        <w:ind w:right="22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32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between the initial Holder hereof and the Company, dated as of May 28, 2026, pursuant to which such initial Holder agreed to exercise one or more warrants to purchase shares of Common Stock and the Company agreed to issue to the initial Holder this Warrant.</w:t>
      </w:r>
    </w:p>
    <w:p>
      <w:pPr>
        <w:spacing w:after="0" w:line="68" w:lineRule="exact"/>
        <w:rPr>
          <w:sz w:val="20"/>
          <w:szCs w:val="20"/>
          <w:color w:val="auto"/>
        </w:rPr>
      </w:pPr>
    </w:p>
    <w:p>
      <w:pPr>
        <w:ind w:right="26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right="20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880" w:top="270" w:right="519" w:bottom="1440" w:gutter="0" w:footer="0" w:header="0"/>
        </w:sectPr>
      </w:pPr>
    </w:p>
    <w:bookmarkStart w:id="18" w:name="page19"/>
    <w:bookmarkEnd w:id="18"/>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jc w:val="both"/>
        <w:ind w:right="36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Capital Market (or any successor entity) from the stockholders of the Company with respect to issuance of all of the Warrants and the Warrant Shares upon the exercise thereof.</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received and deemed effective under Delaware law.</w:t>
      </w:r>
    </w:p>
    <w:p>
      <w:pPr>
        <w:spacing w:after="0" w:line="117" w:lineRule="exact"/>
        <w:rPr>
          <w:sz w:val="20"/>
          <w:szCs w:val="20"/>
          <w:color w:val="auto"/>
        </w:rPr>
      </w:pPr>
    </w:p>
    <w:p>
      <w:pPr>
        <w:jc w:val="both"/>
        <w:ind w:right="20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the subsidiaries of the Company set forth on </w:t>
      </w:r>
      <w:r>
        <w:rPr>
          <w:rFonts w:ascii="Times New Roman" w:cs="Times New Roman" w:eastAsia="Times New Roman" w:hAnsi="Times New Roman"/>
          <w:sz w:val="18"/>
          <w:szCs w:val="18"/>
          <w:u w:val="single" w:color="auto"/>
          <w:color w:val="auto"/>
        </w:rPr>
        <w:t>Exhibit 21.1</w:t>
      </w:r>
      <w:r>
        <w:rPr>
          <w:rFonts w:ascii="Times New Roman" w:cs="Times New Roman" w:eastAsia="Times New Roman" w:hAnsi="Times New Roman"/>
          <w:sz w:val="18"/>
          <w:szCs w:val="18"/>
          <w:color w:val="auto"/>
        </w:rPr>
        <w:t xml:space="preserve"> to the Company’s Annual Report on Form 10-K and shall, where applicable, also include any direct or indirect subsidiary of the Company formed or acquired after the date hereof.</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jc w:val="both"/>
        <w:ind w:right="18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68" w:lineRule="exact"/>
        <w:rPr>
          <w:sz w:val="20"/>
          <w:szCs w:val="20"/>
          <w:color w:val="auto"/>
        </w:rPr>
      </w:pPr>
    </w:p>
    <w:p>
      <w:pPr>
        <w:ind w:right="10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Street, Canton, Massachusetts 02021, and any successor transfer agent of the Company.</w:t>
      </w:r>
    </w:p>
    <w:p>
      <w:pPr>
        <w:spacing w:after="0" w:line="54" w:lineRule="exact"/>
        <w:rPr>
          <w:sz w:val="20"/>
          <w:szCs w:val="20"/>
          <w:color w:val="auto"/>
        </w:rPr>
      </w:pPr>
    </w:p>
    <w:p>
      <w:pPr>
        <w:jc w:val="both"/>
        <w:ind w:right="40" w:firstLine="952"/>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19" w:name="page20"/>
    <w:bookmarkEnd w:id="19"/>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Letter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9" w:lineRule="exact"/>
        <w:rPr>
          <w:rFonts w:ascii="Times New Roman" w:cs="Times New Roman" w:eastAsia="Times New Roman" w:hAnsi="Times New Roman"/>
          <w:sz w:val="18"/>
          <w:szCs w:val="18"/>
          <w:color w:val="auto"/>
        </w:rPr>
      </w:pPr>
    </w:p>
    <w:p>
      <w:pPr>
        <w:ind w:left="620" w:hanging="201"/>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$1.73</w:t>
      </w:r>
      <w:r>
        <w:rPr>
          <w:rFonts w:ascii="Times New Roman" w:cs="Times New Roman" w:eastAsia="Times New Roman" w:hAnsi="Times New Roman"/>
          <w:sz w:val="18"/>
          <w:szCs w:val="18"/>
          <w:color w:val="auto"/>
        </w:rPr>
        <w:t>, subject to adjustment hereunder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right="100" w:firstLine="419"/>
        <w:spacing w:after="0" w:line="261" w:lineRule="auto"/>
        <w:tabs>
          <w:tab w:leader="none" w:pos="6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20" w:name="page21"/>
    <w:bookmarkEnd w:id="20"/>
    <w:p>
      <w:pPr>
        <w:ind w:left="980" w:hanging="439"/>
        <w:spacing w:after="0" w:line="253"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97"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131" w:lineRule="exact"/>
        <w:rPr>
          <w:sz w:val="20"/>
          <w:szCs w:val="20"/>
          <w:color w:val="auto"/>
        </w:rPr>
      </w:pPr>
    </w:p>
    <w:p>
      <w:pPr>
        <w:ind w:left="980" w:right="120" w:hanging="43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ind w:left="620" w:hanging="201"/>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20" w:hanging="149"/>
        <w:spacing w:after="0"/>
        <w:tabs>
          <w:tab w:leader="none" w:pos="15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98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80" w:top="270" w:right="439" w:bottom="1440" w:gutter="0" w:footer="0" w:header="0"/>
        </w:sectPr>
      </w:pPr>
    </w:p>
    <w:bookmarkStart w:id="21" w:name="page22"/>
    <w:bookmarkEnd w:id="21"/>
    <w:p>
      <w:pPr>
        <w:ind w:left="420" w:right="4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74" w:lineRule="exact"/>
        <w:rPr>
          <w:sz w:val="20"/>
          <w:szCs w:val="20"/>
          <w:color w:val="auto"/>
        </w:rPr>
      </w:pPr>
    </w:p>
    <w:p>
      <w:pPr>
        <w:ind w:left="420" w:firstLine="391"/>
        <w:spacing w:after="0" w:line="261" w:lineRule="auto"/>
        <w:tabs>
          <w:tab w:leader="none" w:pos="9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420" w:firstLine="391"/>
        <w:spacing w:after="0" w:line="282" w:lineRule="auto"/>
        <w:tabs>
          <w:tab w:leader="none" w:pos="10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80" w:firstLine="391"/>
        <w:spacing w:after="0" w:line="256" w:lineRule="auto"/>
        <w:tabs>
          <w:tab w:leader="none" w:pos="10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40" w:top="270" w:right="459" w:bottom="1440" w:gutter="0" w:footer="0" w:header="0"/>
        </w:sectPr>
      </w:pPr>
    </w:p>
    <w:bookmarkStart w:id="22" w:name="page23"/>
    <w:bookmarkEnd w:id="22"/>
    <w:p>
      <w:pPr>
        <w:ind w:left="42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9" w:lineRule="exact"/>
        <w:rPr>
          <w:sz w:val="20"/>
          <w:szCs w:val="20"/>
          <w:color w:val="auto"/>
        </w:rPr>
      </w:pPr>
    </w:p>
    <w:p>
      <w:pPr>
        <w:ind w:left="420" w:firstLine="383"/>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420" w:right="20" w:firstLine="391"/>
        <w:spacing w:after="0" w:line="254" w:lineRule="auto"/>
        <w:tabs>
          <w:tab w:leader="none" w:pos="10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23" w:name="page24"/>
    <w:bookmarkEnd w:id="23"/>
    <w:p>
      <w:pPr>
        <w:ind w:left="980" w:right="200" w:firstLine="391"/>
        <w:spacing w:after="0" w:line="282" w:lineRule="auto"/>
        <w:tabs>
          <w:tab w:leader="none" w:pos="164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firstLine="419"/>
        <w:spacing w:after="0" w:line="251"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24" w:name="page25"/>
    <w:bookmarkEnd w:id="24"/>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4" w:lineRule="auto"/>
        <w:tabs>
          <w:tab w:leader="none" w:pos="6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25" w:name="page26"/>
    <w:bookmarkEnd w:id="2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2" w:lineRule="exact"/>
        <w:rPr>
          <w:sz w:val="20"/>
          <w:szCs w:val="20"/>
          <w:color w:val="auto"/>
        </w:rPr>
      </w:pPr>
    </w:p>
    <w:p>
      <w:pPr>
        <w:ind w:right="80" w:firstLine="419"/>
        <w:spacing w:after="0" w:line="253" w:lineRule="auto"/>
        <w:tabs>
          <w:tab w:leader="none" w:pos="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firstLine="419"/>
        <w:spacing w:after="0" w:line="253" w:lineRule="auto"/>
        <w:tabs>
          <w:tab w:leader="none" w:pos="6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70" w:right="439" w:bottom="1440" w:gutter="0" w:footer="0" w:header="0"/>
        </w:sectPr>
      </w:pPr>
    </w:p>
    <w:bookmarkStart w:id="26" w:name="page27"/>
    <w:bookmarkEnd w:id="26"/>
    <w:p>
      <w:pPr>
        <w:ind w:firstLine="419"/>
        <w:spacing w:after="0" w:line="251"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Transaction is not within the Company’s control, including not approved by the Company’s Board of Directors, the Holder shall only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entitled to receive from the Company or any Successor Entity the same type or form of consideration (and in the same proportion), at the Black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Value of the unexercised portion of this Warrant, that is being offered and paid to the holders of Common Stock of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Fundamental Transaction, whether that consideration be in the form of cash, stock or any combination thereof, or whether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are given the choice to receive from among alternative forms of consideration in connection with the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provided, further, that if holders of Common Stock of the Company are not offered or paid any consideration in such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such holders of Common Stock will be deemed to have received common stock of the Successor Entity (which Entity may be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Black-Scholes Option Pricing Model obtained from the “OV” function on Bloomberg determined as of the day of consummation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Fundamental Transaction for pricing purposes and reflecting (A) a risk-free interest rate corresponding to the U.S. Treasury rate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period equal to the time between the date of the public announcement of the applicable contemplated Fundamental Transaction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(B) an expected volatility equal to the volatility for the remaining exercised period as obtained from the HVT function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Bloomberg (determined utilizing a 252 day annualization factor) as of the Trading Day immediately following the consummation of the applicable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Fundamental Transaction, (C) the underlying price per share used in such calculation shall be the VWAP for the 30 days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Day immediately preceding the consummation of the applicable contemplated Fundamental Transaction and (D) a remaining option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time between the date of the public announcement of the applicable contemplated Fundamental Transaction and the Termination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 a zero cost of borrow. The payment of the Black Scholes Value will be made by wire transfer of immediately available funds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consideration) within the later of (i) five Business Days of the Holder’s election and (ii) the date of consummation of the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The Company shall cause any successor entity in a Fundamental Transaction in which the Company is not the survivor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Letter Agreement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3(d) pursuant to written agreements in form and substance reasonably satisfactory to the Holder and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(without unreasonable delay) prior to such Fundamental Transaction and shall, at the option of the Holder, deliver to the Holder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for this Warrant a security of the Successor Entity evidenced by a written instrument substantially similar in form and substance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which is exercisable for a corresponding number of shares of capital stock of such Successor Entity (or its parent entity) equivalent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acquirable and receivable upon exercise of this Warrant (without regard to any limitations on the exercise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prior to such Fundamental Transaction, and with an exercise price which applies the exercise price hereunder to such shares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(but taking into account the relative value of the shares of Common Stock pursuant to such Fundamental Transaction and the value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capital stock, such number of shares of capital stock and such exercise price being for the purpose of protecting the economic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28" w:name="page29"/>
    <w:bookmarkEnd w:id="2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Letter Agreement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Letter Agreement with the same effect as if the Company and such Successor Entity or Successor Entities, jointly and severally, had been named as the Company herein. For the avoidance of doubt, the Holder shall be entitled to the benefits of the provisions of this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3(d) regardless of (i) whether the Company has sufficient authorized shares of Common Stock for the issuance of Warrant Shares and/or</w:t>
      </w:r>
    </w:p>
    <w:p>
      <w:pPr>
        <w:spacing w:after="0" w:line="9" w:lineRule="exact"/>
        <w:rPr>
          <w:sz w:val="20"/>
          <w:szCs w:val="20"/>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pacing w:after="0" w:line="98"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4" w:hanging="161"/>
        <w:spacing w:after="0"/>
        <w:tabs>
          <w:tab w:leader="none" w:pos="58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4" w:right="460" w:firstLine="391"/>
        <w:spacing w:after="0" w:line="289" w:lineRule="auto"/>
        <w:tabs>
          <w:tab w:leader="none" w:pos="1507"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4" w:firstLine="391"/>
        <w:spacing w:after="0" w:line="254" w:lineRule="auto"/>
        <w:tabs>
          <w:tab w:leader="none" w:pos="155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29" w:name="page30"/>
    <w:bookmarkEnd w:id="29"/>
    <w:p>
      <w:pPr>
        <w:ind w:left="98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the Letter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0"/>
          </w:cols>
          <w:pgMar w:left="880" w:top="270" w:right="499" w:bottom="1440" w:gutter="0" w:footer="0" w:header="0"/>
        </w:sectPr>
      </w:pPr>
    </w:p>
    <w:bookmarkStart w:id="30" w:name="page31"/>
    <w:bookmarkEnd w:id="30"/>
    <w:p>
      <w:pPr>
        <w:ind w:right="40" w:firstLine="419"/>
        <w:spacing w:after="0" w:line="256"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right="20" w:firstLine="419"/>
        <w:spacing w:after="0" w:line="261" w:lineRule="auto"/>
        <w:tabs>
          <w:tab w:leader="none" w:pos="6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spacing w:after="0" w:line="79" w:lineRule="exact"/>
        <w:rPr>
          <w:rFonts w:ascii="Times New Roman" w:cs="Times New Roman" w:eastAsia="Times New Roman" w:hAnsi="Times New Roman"/>
          <w:sz w:val="18"/>
          <w:szCs w:val="18"/>
          <w:color w:val="auto"/>
        </w:rPr>
      </w:pPr>
    </w:p>
    <w:p>
      <w:pPr>
        <w:ind w:right="140" w:firstLine="419"/>
        <w:spacing w:after="0" w:line="261" w:lineRule="auto"/>
        <w:tabs>
          <w:tab w:leader="none" w:pos="6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19"/>
        <w:spacing w:after="0" w:line="258" w:lineRule="auto"/>
        <w:tabs>
          <w:tab w:leader="none" w:pos="6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31" w:name="page32"/>
    <w:bookmarkEnd w:id="31"/>
    <w:p>
      <w:pPr>
        <w:ind w:right="160" w:firstLine="419"/>
        <w:spacing w:after="0" w:line="258" w:lineRule="auto"/>
        <w:tabs>
          <w:tab w:leader="none" w:pos="6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80" w:firstLine="419"/>
        <w:spacing w:after="0" w:line="312" w:lineRule="auto"/>
        <w:tabs>
          <w:tab w:leader="none" w:pos="6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4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firstLine="401"/>
        <w:spacing w:after="0" w:line="269"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32" w:name="page33"/>
    <w:bookmarkEnd w:id="32"/>
    <w:p>
      <w:pPr>
        <w:jc w:val="both"/>
        <w:ind w:left="540" w:right="20" w:firstLine="40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20" w:firstLine="419"/>
        <w:spacing w:after="0" w:line="252" w:lineRule="auto"/>
        <w:tabs>
          <w:tab w:leader="none" w:pos="6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85" w:lineRule="exact"/>
        <w:rPr>
          <w:rFonts w:ascii="Times New Roman" w:cs="Times New Roman" w:eastAsia="Times New Roman" w:hAnsi="Times New Roman"/>
          <w:sz w:val="18"/>
          <w:szCs w:val="18"/>
          <w:color w:val="auto"/>
        </w:rPr>
      </w:pPr>
    </w:p>
    <w:p>
      <w:pPr>
        <w:ind w:right="460" w:firstLine="419"/>
        <w:spacing w:after="0" w:line="282" w:lineRule="auto"/>
        <w:tabs>
          <w:tab w:leader="none" w:pos="5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33" w:name="page34"/>
    <w:bookmarkEnd w:id="33"/>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68" w:lineRule="exact"/>
        <w:rPr>
          <w:sz w:val="20"/>
          <w:szCs w:val="20"/>
          <w:color w:val="auto"/>
        </w:rPr>
      </w:pPr>
    </w:p>
    <w:p>
      <w:pPr>
        <w:ind w:left="4" w:right="20" w:firstLine="419"/>
        <w:spacing w:after="0" w:line="267" w:lineRule="auto"/>
        <w:tabs>
          <w:tab w:leader="none" w:pos="62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2000 Sierra Point Parkway, Suite 400, Brisbane, California, Attention: Matthew Angel, Chief Executive Officer, email address: mangel@Tempesttx.com,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2" w:lineRule="exact"/>
        <w:rPr>
          <w:rFonts w:ascii="Times New Roman" w:cs="Times New Roman" w:eastAsia="Times New Roman" w:hAnsi="Times New Roman"/>
          <w:sz w:val="17"/>
          <w:szCs w:val="17"/>
          <w:color w:val="auto"/>
        </w:rPr>
      </w:pPr>
    </w:p>
    <w:p>
      <w:pPr>
        <w:ind w:left="4" w:right="740" w:hanging="4"/>
        <w:spacing w:after="0" w:line="255" w:lineRule="auto"/>
        <w:tabs>
          <w:tab w:leader="none" w:pos="3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To the extent that any notice provided by the Company hereunder constitutes, or contains, material, non-public information regarding the Company or any Subsidiaries, the Company shall simultaneously file such notice with the Commission pursuant to a Current Report on Form 8-K.</w:t>
      </w:r>
    </w:p>
    <w:p>
      <w:pPr>
        <w:spacing w:after="0" w:line="77" w:lineRule="exact"/>
        <w:rPr>
          <w:rFonts w:ascii="Times New Roman" w:cs="Times New Roman" w:eastAsia="Times New Roman" w:hAnsi="Times New Roman"/>
          <w:sz w:val="18"/>
          <w:szCs w:val="18"/>
          <w:color w:val="auto"/>
        </w:rPr>
      </w:pPr>
    </w:p>
    <w:p>
      <w:pPr>
        <w:jc w:val="both"/>
        <w:ind w:left="4" w:right="200" w:firstLine="419"/>
        <w:spacing w:after="0" w:line="261" w:lineRule="auto"/>
        <w:tabs>
          <w:tab w:leader="none" w:pos="58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58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34" w:name="page35"/>
    <w:bookmarkEnd w:id="34"/>
    <w:p>
      <w:pPr>
        <w:ind w:right="60" w:firstLine="419"/>
        <w:spacing w:after="0" w:line="282" w:lineRule="auto"/>
        <w:tabs>
          <w:tab w:leader="none" w:pos="5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70" w:right="479" w:bottom="1440" w:gutter="0" w:footer="0" w:header="0"/>
        </w:sectPr>
      </w:pPr>
    </w:p>
    <w:bookmarkStart w:id="35" w:name="page36"/>
    <w:bookmarkEnd w:id="3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40" w:top="270" w:right="5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TEMPEST THERAPEUTICS, INC.</w:t>
      </w:r>
    </w:p>
    <w:p>
      <w:pPr>
        <w:spacing w:after="0" w:line="121" w:lineRule="exact"/>
        <w:rPr>
          <w:sz w:val="20"/>
          <w:szCs w:val="20"/>
          <w:color w:val="auto"/>
        </w:rPr>
      </w:pPr>
    </w:p>
    <w:p>
      <w:pPr>
        <w:ind w:right="260" w:firstLine="987"/>
        <w:spacing w:after="0" w:line="28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0" w:right="540" w:firstLine="8"/>
        <w:spacing w:after="0" w:line="266" w:lineRule="auto"/>
        <w:tabs>
          <w:tab w:leader="none" w:pos="152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-19050</wp:posOffset>
            </wp:positionV>
            <wp:extent cx="1599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ind w:right="49"/>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r>
    </w:tbl>
    <w:p>
      <w:pPr>
        <w:spacing w:after="0" w:line="225" w:lineRule="exact"/>
        <w:rPr>
          <w:sz w:val="20"/>
          <w:szCs w:val="20"/>
          <w:color w:val="auto"/>
        </w:rPr>
      </w:pPr>
    </w:p>
    <w:p>
      <w:pPr>
        <w:ind w:firstLine="987"/>
        <w:spacing w:after="0" w:line="26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Name of Investing Entity: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8"/>
                <w:szCs w:val="18"/>
                <w:color w:val="auto"/>
              </w:rPr>
            </w:pPr>
          </w:p>
        </w:tc>
        <w:tc>
          <w:tcPr>
            <w:tcW w:w="1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1540" w:type="dxa"/>
            <w:vAlign w:val="bottom"/>
            <w:gridSpan w:val="9"/>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6"/>
              </w:rPr>
              <w:t>Signature of Authorized Signatory of Investing Entity</w:t>
            </w:r>
            <w:r>
              <w:rPr>
                <w:rFonts w:ascii="Times New Roman" w:cs="Times New Roman" w:eastAsia="Times New Roman" w:hAnsi="Times New Roman"/>
                <w:sz w:val="18"/>
                <w:szCs w:val="18"/>
                <w:color w:val="auto"/>
                <w:w w:val="96"/>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17"/>
                <w:szCs w:val="17"/>
                <w:color w:val="auto"/>
              </w:rPr>
            </w:pP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17"/>
                <w:szCs w:val="17"/>
                <w:color w:val="auto"/>
              </w:rPr>
            </w:pP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3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3"/>
              </w:rPr>
              <w:t>Name of Authorized Signatory: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17"/>
                <w:szCs w:val="17"/>
                <w:color w:val="auto"/>
              </w:rPr>
            </w:pP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17"/>
                <w:szCs w:val="17"/>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940" w:type="dxa"/>
            <w:vAlign w:val="bottom"/>
            <w:tcBorders>
              <w:right w:val="single" w:sz="8" w:color="auto"/>
            </w:tcBorders>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3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7"/>
              </w:rPr>
              <w:t>Title of Authorized Signatory: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17"/>
                <w:szCs w:val="17"/>
                <w:color w:val="auto"/>
              </w:rPr>
            </w:pP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17"/>
                <w:szCs w:val="17"/>
                <w:color w:val="auto"/>
              </w:rPr>
            </w:pP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Date:                          </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60"/>
          </w:cols>
          <w:pgMar w:left="440" w:top="266" w:right="4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-7620</wp:posOffset>
            </wp:positionV>
            <wp:extent cx="11430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-7620</wp:posOffset>
            </wp:positionV>
            <wp:extent cx="1028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38" w:name="page39"/>
    <w:bookmarkEnd w:id="38"/>
    <w:p>
      <w:pPr>
        <w:ind w:left="100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May 29, 2026</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PLACEMENT AGENT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 or</w:t>
      </w:r>
    </w:p>
    <w:p>
      <w:pPr>
        <w:spacing w:after="0" w:line="3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Stockholder Approval Date and on or prior to 5:00 p.m. (New York City time) May 29, 2028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Tempest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w:t>
      </w:r>
    </w:p>
    <w:p>
      <w:pPr>
        <w:ind w:right="60"/>
        <w:spacing w:after="0" w:line="255"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 This Warrant is being issued pursuant to that certain Engagement Agreement, by and between the Company and H.C. Wainwright &amp; Co., LLC, dated as of May 26, 2026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 1.</w:t>
      </w:r>
    </w:p>
    <w:p>
      <w:pPr>
        <w:spacing w:after="0" w:line="54" w:lineRule="exact"/>
        <w:rPr>
          <w:sz w:val="20"/>
          <w:szCs w:val="20"/>
          <w:color w:val="auto"/>
        </w:rPr>
      </w:pPr>
    </w:p>
    <w:p>
      <w:pPr>
        <w:ind w:left="440" w:right="20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440" w:right="40" w:firstLine="95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right="20" w:firstLine="95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54" w:lineRule="exact"/>
        <w:rPr>
          <w:sz w:val="20"/>
          <w:szCs w:val="20"/>
          <w:color w:val="auto"/>
        </w:rPr>
      </w:pPr>
    </w:p>
    <w:p>
      <w:pPr>
        <w:jc w:val="both"/>
        <w:ind w:right="20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24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right="18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80"/>
          </w:cols>
          <w:pgMar w:left="880" w:top="270" w:right="539" w:bottom="1440" w:gutter="0" w:footer="0" w:header="0"/>
        </w:sectPr>
      </w:pPr>
    </w:p>
    <w:bookmarkStart w:id="40" w:name="page41"/>
    <w:bookmarkEnd w:id="40"/>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jc w:val="both"/>
        <w:ind w:right="36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Capital Market (or any successor entity) from the stockholders of the Company with respect to issuance of all of the Warrants and the Warrant Shares upon the exercise thereof.</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received and deemed effective under Delaware law.</w:t>
      </w:r>
    </w:p>
    <w:p>
      <w:pPr>
        <w:spacing w:after="0" w:line="117" w:lineRule="exact"/>
        <w:rPr>
          <w:sz w:val="20"/>
          <w:szCs w:val="20"/>
          <w:color w:val="auto"/>
        </w:rPr>
      </w:pPr>
    </w:p>
    <w:p>
      <w:pPr>
        <w:jc w:val="both"/>
        <w:ind w:right="20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the subsidiaries of the Company set forth on </w:t>
      </w:r>
      <w:r>
        <w:rPr>
          <w:rFonts w:ascii="Times New Roman" w:cs="Times New Roman" w:eastAsia="Times New Roman" w:hAnsi="Times New Roman"/>
          <w:sz w:val="18"/>
          <w:szCs w:val="18"/>
          <w:u w:val="single" w:color="auto"/>
          <w:color w:val="auto"/>
        </w:rPr>
        <w:t>Exhibit 21.1</w:t>
      </w:r>
      <w:r>
        <w:rPr>
          <w:rFonts w:ascii="Times New Roman" w:cs="Times New Roman" w:eastAsia="Times New Roman" w:hAnsi="Times New Roman"/>
          <w:sz w:val="18"/>
          <w:szCs w:val="18"/>
          <w:color w:val="auto"/>
        </w:rPr>
        <w:t xml:space="preserve"> to the Company’s Annual Report on Form 10-K and shall, where applicable, also include any direct or indirect subsidiary of the Company formed or acquired after the date hereof.</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jc w:val="both"/>
        <w:ind w:right="180" w:firstLine="95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68" w:lineRule="exact"/>
        <w:rPr>
          <w:sz w:val="20"/>
          <w:szCs w:val="20"/>
          <w:color w:val="auto"/>
        </w:rPr>
      </w:pPr>
    </w:p>
    <w:p>
      <w:pPr>
        <w:ind w:right="100" w:firstLine="95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Street, Canton, Massachusetts 02021, and any successor transfer agent of the Company.</w:t>
      </w:r>
    </w:p>
    <w:p>
      <w:pPr>
        <w:spacing w:after="0" w:line="54" w:lineRule="exact"/>
        <w:rPr>
          <w:sz w:val="20"/>
          <w:szCs w:val="20"/>
          <w:color w:val="auto"/>
        </w:rPr>
      </w:pPr>
    </w:p>
    <w:p>
      <w:pPr>
        <w:jc w:val="both"/>
        <w:ind w:right="40" w:firstLine="952"/>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41" w:name="page42"/>
    <w:bookmarkEnd w:id="41"/>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Engagement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9" w:lineRule="exact"/>
        <w:rPr>
          <w:rFonts w:ascii="Times New Roman" w:cs="Times New Roman" w:eastAsia="Times New Roman" w:hAnsi="Times New Roman"/>
          <w:sz w:val="18"/>
          <w:szCs w:val="18"/>
          <w:color w:val="auto"/>
        </w:rPr>
      </w:pPr>
    </w:p>
    <w:p>
      <w:pPr>
        <w:ind w:right="100" w:firstLine="419"/>
        <w:spacing w:after="0" w:line="286" w:lineRule="auto"/>
        <w:tabs>
          <w:tab w:leader="none" w:pos="6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$2.1625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42" w:name="page43"/>
    <w:bookmarkEnd w:id="42"/>
    <w:p>
      <w:pPr>
        <w:ind w:left="980" w:right="20" w:hanging="43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131" w:lineRule="exact"/>
        <w:rPr>
          <w:sz w:val="20"/>
          <w:szCs w:val="20"/>
          <w:color w:val="auto"/>
        </w:rPr>
      </w:pPr>
    </w:p>
    <w:p>
      <w:pPr>
        <w:ind w:left="980" w:right="240" w:hanging="431"/>
        <w:spacing w:after="0" w:line="282" w:lineRule="auto"/>
        <w:rPr>
          <w:sz w:val="20"/>
          <w:szCs w:val="20"/>
          <w:color w:val="auto"/>
        </w:rPr>
      </w:pPr>
      <w:r>
        <w:rPr>
          <w:rFonts w:ascii="Times New Roman" w:cs="Times New Roman" w:eastAsia="Times New Roman" w:hAnsi="Times New Roman"/>
          <w:sz w:val="18"/>
          <w:szCs w:val="18"/>
          <w:color w:val="auto"/>
        </w:rPr>
        <w:t>(X) =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ind w:left="620" w:hanging="201"/>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20" w:hanging="149"/>
        <w:spacing w:after="0"/>
        <w:tabs>
          <w:tab w:leader="none" w:pos="15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98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43" w:name="page44"/>
    <w:bookmarkEnd w:id="43"/>
    <w:p>
      <w:pPr>
        <w:ind w:left="42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Trading Days comprising the Standard Settlement Period, in each case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79" w:lineRule="exact"/>
        <w:rPr>
          <w:sz w:val="20"/>
          <w:szCs w:val="20"/>
          <w:color w:val="auto"/>
        </w:rPr>
      </w:pPr>
    </w:p>
    <w:p>
      <w:pPr>
        <w:ind w:left="420" w:firstLine="391"/>
        <w:spacing w:after="0" w:line="261" w:lineRule="auto"/>
        <w:tabs>
          <w:tab w:leader="none" w:pos="9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420" w:firstLine="391"/>
        <w:spacing w:after="0" w:line="282" w:lineRule="auto"/>
        <w:tabs>
          <w:tab w:leader="none" w:pos="10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80" w:firstLine="391"/>
        <w:spacing w:after="0" w:line="261" w:lineRule="auto"/>
        <w:tabs>
          <w:tab w:leader="none" w:pos="10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40" w:top="270" w:right="459" w:bottom="1440" w:gutter="0" w:footer="0" w:header="0"/>
        </w:sectPr>
      </w:pPr>
    </w:p>
    <w:bookmarkStart w:id="44" w:name="page45"/>
    <w:bookmarkEnd w:id="44"/>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7" w:lineRule="exact"/>
        <w:rPr>
          <w:sz w:val="20"/>
          <w:szCs w:val="20"/>
          <w:color w:val="auto"/>
        </w:rPr>
      </w:pPr>
    </w:p>
    <w:p>
      <w:pPr>
        <w:ind w:left="420" w:firstLine="383"/>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420" w:right="20" w:firstLine="391"/>
        <w:spacing w:after="0" w:line="256" w:lineRule="auto"/>
        <w:tabs>
          <w:tab w:leader="none" w:pos="10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45" w:name="page46"/>
    <w:bookmarkEnd w:id="45"/>
    <w:p>
      <w:pPr>
        <w:jc w:val="both"/>
        <w:ind w:left="98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68" w:lineRule="exact"/>
        <w:rPr>
          <w:sz w:val="20"/>
          <w:szCs w:val="20"/>
          <w:color w:val="auto"/>
        </w:rPr>
      </w:pPr>
    </w:p>
    <w:p>
      <w:pPr>
        <w:ind w:left="980" w:right="200" w:firstLine="391"/>
        <w:spacing w:after="0" w:line="282" w:lineRule="auto"/>
        <w:tabs>
          <w:tab w:leader="none" w:pos="16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firstLine="419"/>
        <w:spacing w:after="0" w:line="251" w:lineRule="auto"/>
        <w:tabs>
          <w:tab w:leader="none" w:pos="6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w:t>
      </w:r>
    </w:p>
    <w:p>
      <w:pPr>
        <w:spacing w:after="0" w:line="1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46" w:name="page47"/>
    <w:bookmarkEnd w:id="46"/>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8" w:lineRule="auto"/>
        <w:tabs>
          <w:tab w:leader="none" w:pos="6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47" w:name="page48"/>
    <w:bookmarkEnd w:id="4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81" w:lineRule="exact"/>
        <w:rPr>
          <w:sz w:val="20"/>
          <w:szCs w:val="20"/>
          <w:color w:val="auto"/>
        </w:rPr>
      </w:pPr>
    </w:p>
    <w:p>
      <w:pPr>
        <w:ind w:right="80" w:firstLine="419"/>
        <w:spacing w:after="0" w:line="253" w:lineRule="auto"/>
        <w:tabs>
          <w:tab w:leader="none" w:pos="6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firstLine="419"/>
        <w:spacing w:after="0" w:line="254" w:lineRule="auto"/>
        <w:tabs>
          <w:tab w:leader="none" w:pos="6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70" w:right="439" w:bottom="1440" w:gutter="0" w:footer="0" w:header="0"/>
        </w:sectPr>
      </w:pPr>
    </w:p>
    <w:bookmarkStart w:id="48" w:name="page49"/>
    <w:bookmarkEnd w:id="48"/>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5" w:lineRule="exact"/>
        <w:rPr>
          <w:sz w:val="20"/>
          <w:szCs w:val="20"/>
          <w:color w:val="auto"/>
        </w:rPr>
      </w:pPr>
    </w:p>
    <w:p>
      <w:pPr>
        <w:ind w:firstLine="419"/>
        <w:spacing w:after="0" w:line="251" w:lineRule="auto"/>
        <w:tabs>
          <w:tab w:leader="none" w:pos="6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49" w:name="page50"/>
    <w:bookmarkEnd w:id="4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volatility for the remaining exercised period as obtained from the HVT function on Bloomberg (determined utilizing a 252 day annualization factor) as of the Trading Day immediately following the consummation of the applicable contemplated Fundamental Transaction, (C) the underlying price per share used in such calculation shall be the VWAP for the 30 days prior to the Trading Day immediately preceding the consummation of the applicable contemplated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50" w:name="page51"/>
    <w:bookmarkEnd w:id="5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3(d) regardless of</w:t>
      </w:r>
    </w:p>
    <w:p>
      <w:pPr>
        <w:spacing w:after="0" w:line="1" w:lineRule="exact"/>
        <w:rPr>
          <w:sz w:val="20"/>
          <w:szCs w:val="20"/>
          <w:color w:val="auto"/>
        </w:rPr>
      </w:pPr>
    </w:p>
    <w:p>
      <w:pPr>
        <w:ind w:left="4" w:right="80" w:hanging="4"/>
        <w:spacing w:after="0" w:line="260" w:lineRule="auto"/>
        <w:tabs>
          <w:tab w:leader="none" w:pos="2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sufficient authorized shares of Common Stock for the issuance of Warrant Shares and/or (ii) whether a Fundamental Transaction occurs prior to the Initial Exercise Date.</w:t>
      </w:r>
    </w:p>
    <w:p>
      <w:pPr>
        <w:spacing w:after="0" w:line="73"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1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4" w:hanging="161"/>
        <w:spacing w:after="0"/>
        <w:tabs>
          <w:tab w:leader="none" w:pos="5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4" w:right="460" w:firstLine="391"/>
        <w:spacing w:after="0" w:line="289" w:lineRule="auto"/>
        <w:tabs>
          <w:tab w:leader="none" w:pos="1507"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4" w:firstLine="391"/>
        <w:spacing w:after="0" w:line="261" w:lineRule="auto"/>
        <w:tabs>
          <w:tab w:leader="none" w:pos="1557"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51" w:name="page52"/>
    <w:bookmarkEnd w:id="51"/>
    <w:p>
      <w:pPr>
        <w:ind w:left="9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4" w:lineRule="auto"/>
        <w:tabs>
          <w:tab w:leader="none" w:pos="6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80" w:top="270" w:right="439" w:bottom="1440" w:gutter="0" w:footer="0" w:header="0"/>
        </w:sectPr>
      </w:pPr>
    </w:p>
    <w:bookmarkStart w:id="52" w:name="page53"/>
    <w:bookmarkEnd w:id="52"/>
    <w:p>
      <w:pPr>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50" w:lineRule="exact"/>
        <w:rPr>
          <w:sz w:val="20"/>
          <w:szCs w:val="20"/>
          <w:color w:val="auto"/>
        </w:rPr>
      </w:pPr>
    </w:p>
    <w:p>
      <w:pPr>
        <w:ind w:right="40" w:firstLine="419"/>
        <w:spacing w:after="0" w:line="256" w:lineRule="auto"/>
        <w:tabs>
          <w:tab w:leader="none" w:pos="6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right="40" w:firstLine="419"/>
        <w:spacing w:after="0" w:line="256" w:lineRule="auto"/>
        <w:tabs>
          <w:tab w:leader="none" w:pos="6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act as the warrant agent to the Holder.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for the benefit of the Holder. The Company may deem and treat the registered Holder of this Warrant as the absolute owner hereof for the purpose of any exercise hereof or any distribution to the Holder, and for all other purposes, absent actual notice to the contrary. The Holder shall have the right to request at any time the issuance of an ink-original warrant evidencing the ownership of this Warrant to such Holder, which shall be dated the original issue date and delivered to the address specified by the Holder within one (1) trading day upon request.</w:t>
      </w:r>
    </w:p>
    <w:p>
      <w:pPr>
        <w:spacing w:after="0" w:line="79"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spacing w:after="0" w:line="79" w:lineRule="exact"/>
        <w:rPr>
          <w:rFonts w:ascii="Times New Roman" w:cs="Times New Roman" w:eastAsia="Times New Roman" w:hAnsi="Times New Roman"/>
          <w:sz w:val="18"/>
          <w:szCs w:val="18"/>
          <w:color w:val="auto"/>
        </w:rPr>
      </w:pPr>
    </w:p>
    <w:p>
      <w:pPr>
        <w:ind w:right="140" w:firstLine="419"/>
        <w:spacing w:after="0" w:line="261" w:lineRule="auto"/>
        <w:tabs>
          <w:tab w:leader="none" w:pos="6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8" w:lineRule="auto"/>
        <w:tabs>
          <w:tab w:leader="none" w:pos="6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20" w:firstLine="419"/>
        <w:spacing w:after="0" w:line="258" w:lineRule="auto"/>
        <w:tabs>
          <w:tab w:leader="none" w:pos="6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40" w:firstLine="419"/>
        <w:spacing w:after="0" w:line="312" w:lineRule="auto"/>
        <w:tabs>
          <w:tab w:leader="none" w:pos="60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00"/>
          </w:cols>
          <w:pgMar w:left="880" w:top="270" w:right="519" w:bottom="1440" w:gutter="0" w:footer="0" w:header="0"/>
        </w:sectPr>
      </w:pPr>
    </w:p>
    <w:bookmarkStart w:id="54" w:name="page55"/>
    <w:bookmarkEnd w:id="54"/>
    <w:p>
      <w:pPr>
        <w:ind w:left="540" w:firstLine="40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4" w:lineRule="exact"/>
        <w:rPr>
          <w:sz w:val="20"/>
          <w:szCs w:val="20"/>
          <w:color w:val="auto"/>
        </w:rPr>
      </w:pPr>
    </w:p>
    <w:p>
      <w:pPr>
        <w:jc w:val="both"/>
        <w:ind w:left="540" w:right="2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20" w:firstLine="419"/>
        <w:spacing w:after="0" w:line="252" w:lineRule="auto"/>
        <w:tabs>
          <w:tab w:leader="none" w:pos="6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55" w:name="page56"/>
    <w:bookmarkEnd w:id="55"/>
    <w:p>
      <w:pPr>
        <w:ind w:left="4" w:right="480" w:firstLine="419"/>
        <w:spacing w:after="0" w:line="282" w:lineRule="auto"/>
        <w:tabs>
          <w:tab w:leader="none" w:pos="5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left="4" w:firstLine="419"/>
        <w:spacing w:after="0" w:line="255" w:lineRule="auto"/>
        <w:tabs>
          <w:tab w:leader="none" w:pos="6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left="4" w:right="20" w:firstLine="419"/>
        <w:spacing w:after="0" w:line="267" w:lineRule="auto"/>
        <w:tabs>
          <w:tab w:leader="none" w:pos="62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2000 Sierra Point Parkway, Suite 400, Brisbane, California, Attention: Matthew Angel, Chief Executive Officer, email address: mangel@Tempesttx.com,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2" w:lineRule="exact"/>
        <w:rPr>
          <w:rFonts w:ascii="Times New Roman" w:cs="Times New Roman" w:eastAsia="Times New Roman" w:hAnsi="Times New Roman"/>
          <w:sz w:val="17"/>
          <w:szCs w:val="17"/>
          <w:color w:val="auto"/>
        </w:rPr>
      </w:pPr>
    </w:p>
    <w:p>
      <w:pPr>
        <w:ind w:left="4" w:right="740" w:hanging="4"/>
        <w:spacing w:after="0" w:line="255" w:lineRule="auto"/>
        <w:tabs>
          <w:tab w:leader="none" w:pos="3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To the extent that any notice provided by the Company hereunder constitutes, or contains, material, non-public information regarding the Company or any Subsidiaries, the Company shall simultaneously file such notice with the Commission pursuant to a Current Report on Form 8-K.</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56" w:name="page57"/>
    <w:bookmarkEnd w:id="56"/>
    <w:p>
      <w:pPr>
        <w:jc w:val="both"/>
        <w:ind w:right="200" w:firstLine="419"/>
        <w:spacing w:after="0" w:line="261" w:lineRule="auto"/>
        <w:tabs>
          <w:tab w:leader="none" w:pos="5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5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70" w:right="459" w:bottom="1440" w:gutter="0" w:footer="0" w:header="0"/>
        </w:sectPr>
      </w:pPr>
    </w:p>
    <w:bookmarkStart w:id="57" w:name="page58"/>
    <w:bookmarkEnd w:id="5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40" w:top="270" w:right="55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TEMPEST THERAPEUTICS, INC.</w:t>
      </w:r>
    </w:p>
    <w:p>
      <w:pPr>
        <w:spacing w:after="0" w:line="121" w:lineRule="exact"/>
        <w:rPr>
          <w:sz w:val="20"/>
          <w:szCs w:val="20"/>
          <w:color w:val="auto"/>
        </w:rPr>
      </w:pPr>
    </w:p>
    <w:p>
      <w:pPr>
        <w:ind w:right="260" w:firstLine="987"/>
        <w:spacing w:after="0" w:line="282"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0" w:right="54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67" w:lineRule="exact"/>
        <w:rPr>
          <w:sz w:val="20"/>
          <w:szCs w:val="20"/>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jc w:val="center"/>
        <w:ind w:right="5120"/>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1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7" w:lineRule="exact"/>
        <w:rPr>
          <w:sz w:val="20"/>
          <w:szCs w:val="20"/>
          <w:color w:val="auto"/>
        </w:rPr>
      </w:pPr>
    </w:p>
    <w:p>
      <w:pPr>
        <w:ind w:firstLine="987"/>
        <w:spacing w:after="0" w:line="266"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ectPr>
          <w:pgSz w:w="11900" w:h="16838" w:orient="portrait"/>
          <w:cols w:equalWidth="0" w:num="1">
            <w:col w:w="10960"/>
          </w:cols>
          <w:pgMar w:left="440" w:top="266" w:right="4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4"/>
    </w:lvl>
  </w:abstractNum>
  <w:abstractNum w:abstractNumId="4">
    <w:nsid w:val="71F32454"/>
    <w:multiLevelType w:val="hybridMultilevel"/>
    <w:lvl w:ilvl="0">
      <w:lvlJc w:val="left"/>
      <w:lvlText w:val="%1)"/>
      <w:numFmt w:val="lowerLetter"/>
      <w:start w:val="7"/>
    </w:lvl>
  </w:abstractNum>
  <w:abstractNum w:abstractNumId="5">
    <w:nsid w:val="2CA88611"/>
    <w:multiLevelType w:val="hybridMultilevel"/>
    <w:lvl w:ilvl="0">
      <w:lvlJc w:val="left"/>
      <w:lvlText w:val="%1)"/>
      <w:numFmt w:val="lowerRoman"/>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3"/>
    </w:lvl>
  </w:abstractNum>
  <w:abstractNum w:abstractNumId="8">
    <w:nsid w:val="3A95F874"/>
    <w:multiLevelType w:val="hybridMultilevel"/>
    <w:lvl w:ilvl="0">
      <w:lvlJc w:val="left"/>
      <w:lvlText w:val="(%1)"/>
      <w:numFmt w:val="upperLetter"/>
      <w:start w:val="1"/>
    </w:lvl>
  </w:abstractNum>
  <w:abstractNum w:abstractNumId="9">
    <w:nsid w:val="8138641"/>
    <w:multiLevelType w:val="hybridMultilevel"/>
    <w:lvl w:ilvl="0">
      <w:lvlJc w:val="left"/>
      <w:lvlText w:val="(%1)"/>
      <w:numFmt w:val="upperLetter"/>
      <w:start w:val="24"/>
    </w:lvl>
  </w:abstractNum>
  <w:abstractNum w:abstractNumId="10">
    <w:nsid w:val="1E7FF521"/>
    <w:multiLevelType w:val="hybridMultilevel"/>
    <w:lvl w:ilvl="0">
      <w:lvlJc w:val="left"/>
      <w:lvlText w:val="%1)"/>
      <w:numFmt w:val="lowerLetter"/>
      <w:start w:val="4"/>
    </w:lvl>
    <w:lvl w:ilvl="1">
      <w:lvlJc w:val="left"/>
      <w:lvlText w:val="%2."/>
      <w:numFmt w:val="lowerRoman"/>
      <w:start w:val="1"/>
    </w:lvl>
  </w:abstractNum>
  <w:abstractNum w:abstractNumId="11">
    <w:nsid w:val="7C3DBD3D"/>
    <w:multiLevelType w:val="hybridMultilevel"/>
    <w:lvl w:ilvl="0">
      <w:lvlJc w:val="left"/>
      <w:lvlText w:val="%1."/>
      <w:numFmt w:val="lowerRoman"/>
      <w:start w:val="2"/>
    </w:lvl>
  </w:abstractNum>
  <w:abstractNum w:abstractNumId="12">
    <w:nsid w:val="737B8DDC"/>
    <w:multiLevelType w:val="hybridMultilevel"/>
    <w:lvl w:ilvl="0">
      <w:lvlJc w:val="left"/>
      <w:lvlText w:val="%1."/>
      <w:numFmt w:val="lowerRoman"/>
      <w:start w:val="6"/>
    </w:lvl>
  </w:abstractNum>
  <w:abstractNum w:abstractNumId="13">
    <w:nsid w:val="6CEAF087"/>
    <w:multiLevelType w:val="hybridMultilevel"/>
    <w:lvl w:ilvl="0">
      <w:lvlJc w:val="left"/>
      <w:lvlText w:val="%1"/>
      <w:numFmt w:val="lowerLetter"/>
      <w:start w:val="1"/>
    </w:lvl>
    <w:lvl w:ilvl="1">
      <w:lvlJc w:val="left"/>
      <w:lvlText w:val="%2."/>
      <w:numFmt w:val="lowerRoman"/>
      <w:start w:val="7"/>
    </w:lvl>
  </w:abstractNum>
  <w:abstractNum w:abstractNumId="14">
    <w:nsid w:val="22221A70"/>
    <w:multiLevelType w:val="hybridMultilevel"/>
    <w:lvl w:ilvl="0">
      <w:lvlJc w:val="left"/>
      <w:lvlText w:val="%1)"/>
      <w:numFmt w:val="lowerLetter"/>
      <w:start w:val="5"/>
    </w:lvl>
    <w:lvl w:ilvl="1">
      <w:lvlJc w:val="left"/>
      <w:lvlText w:val="%2"/>
      <w:numFmt w:val="lowerRoman"/>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2"/>
    </w:lvl>
  </w:abstractNum>
  <w:abstractNum w:abstractNumId="17">
    <w:nsid w:val="614FD4A1"/>
    <w:multiLevelType w:val="hybridMultilevel"/>
    <w:lvl w:ilvl="0">
      <w:lvlJc w:val="left"/>
      <w:lvlText w:val="%1)"/>
      <w:numFmt w:val="lowerLetter"/>
      <w:start w:val="4"/>
    </w:lvl>
  </w:abstractNum>
  <w:abstractNum w:abstractNumId="18">
    <w:nsid w:val="419AC241"/>
    <w:multiLevelType w:val="hybridMultilevel"/>
    <w:lvl w:ilvl="0">
      <w:lvlJc w:val="left"/>
      <w:lvlText w:val="(%1)"/>
      <w:numFmt w:val="lowerRoman"/>
      <w:start w:val="2"/>
    </w:lvl>
    <w:lvl w:ilvl="1">
      <w:lvlJc w:val="left"/>
      <w:lvlText w:val="%2)"/>
      <w:numFmt w:val="lowerLetter"/>
      <w:start w:val="5"/>
    </w:lvl>
    <w:lvl w:ilvl="2">
      <w:lvlJc w:val="left"/>
      <w:lvlText w:val="%3."/>
      <w:numFmt w:val="lowerRoman"/>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2"/>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2"/>
    </w:lvl>
  </w:abstractNum>
  <w:abstractNum w:abstractNumId="23">
    <w:nsid w:val="77465F01"/>
    <w:multiLevelType w:val="hybridMultilevel"/>
    <w:lvl w:ilvl="0">
      <w:lvlJc w:val="left"/>
      <w:lvlText w:val="%1)"/>
      <w:numFmt w:val="lowerLetter"/>
      <w:start w:val="5"/>
    </w:lvl>
  </w:abstractNum>
  <w:abstractNum w:abstractNumId="24">
    <w:nsid w:val="7724C67E"/>
    <w:multiLevelType w:val="hybridMultilevel"/>
    <w:lvl w:ilvl="0">
      <w:lvlJc w:val="left"/>
      <w:lvlText w:val="%1"/>
      <w:numFmt w:val="lowerRoman"/>
      <w:start w:val="1"/>
    </w:lvl>
    <w:lvl w:ilvl="1">
      <w:lvlJc w:val="left"/>
      <w:lvlText w:val="%2)"/>
      <w:numFmt w:val="lowerLetter"/>
      <w:start w:val="8"/>
    </w:lvl>
  </w:abstractNum>
  <w:abstractNum w:abstractNumId="25">
    <w:nsid w:val="5C482A97"/>
    <w:multiLevelType w:val="hybridMultilevel"/>
    <w:lvl w:ilvl="0">
      <w:lvlJc w:val="left"/>
      <w:lvlText w:val="(%1)"/>
      <w:numFmt w:val="lowerRoman"/>
      <w:start w:val="4"/>
    </w:lvl>
    <w:lvl w:ilvl="1">
      <w:lvlJc w:val="left"/>
      <w:lvlText w:val="%2)"/>
      <w:numFmt w:val="lowerLetter"/>
      <w:start w:val="9"/>
    </w:lvl>
  </w:abstractNum>
  <w:abstractNum w:abstractNumId="26">
    <w:nsid w:val="2463B9EA"/>
    <w:multiLevelType w:val="hybridMultilevel"/>
    <w:lvl w:ilvl="0">
      <w:lvlJc w:val="left"/>
      <w:lvlText w:val="%1)"/>
      <w:numFmt w:val="lowerLetter"/>
      <w:start w:val="12"/>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2"/>
    </w:lvl>
    <w:lvl w:ilvl="1">
      <w:lvlJc w:val="left"/>
      <w:lvlText w:val="["/>
      <w:numFmt w:val="bullet"/>
      <w:start w:val="1"/>
    </w:lvl>
  </w:abstractNum>
  <w:abstractNum w:abstractNumId="29">
    <w:nsid w:val="2D517796"/>
    <w:multiLevelType w:val="hybridMultilevel"/>
    <w:lvl w:ilvl="0">
      <w:lvlJc w:val="left"/>
      <w:lvlText w:val="(%1)"/>
      <w:numFmt w:val="decimal"/>
      <w:start w:val="4"/>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4"/>
    </w:lvl>
    <w:lvl w:ilvl="1">
      <w:lvlJc w:val="left"/>
      <w:lvlText w:val="%2."/>
      <w:numFmt w:val="lowerRoman"/>
      <w:start w:val="1"/>
    </w:lvl>
  </w:abstractNum>
  <w:abstractNum w:abstractNumId="32">
    <w:nsid w:val="3855585C"/>
    <w:multiLevelType w:val="hybridMultilevel"/>
    <w:lvl w:ilvl="0">
      <w:lvlJc w:val="left"/>
      <w:lvlText w:val="%1."/>
      <w:numFmt w:val="lowerRoman"/>
      <w:start w:val="2"/>
    </w:lvl>
  </w:abstractNum>
  <w:abstractNum w:abstractNumId="33">
    <w:nsid w:val="70A64E2A"/>
    <w:multiLevelType w:val="hybridMultilevel"/>
    <w:lvl w:ilvl="0">
      <w:lvlJc w:val="left"/>
      <w:lvlText w:val="%1."/>
      <w:numFmt w:val="lowerRoman"/>
      <w:start w:val="6"/>
    </w:lvl>
  </w:abstractNum>
  <w:abstractNum w:abstractNumId="34">
    <w:nsid w:val="6A2342EC"/>
    <w:multiLevelType w:val="hybridMultilevel"/>
    <w:lvl w:ilvl="0">
      <w:lvlJc w:val="left"/>
      <w:lvlText w:val="%1"/>
      <w:numFmt w:val="lowerLetter"/>
      <w:start w:val="1"/>
    </w:lvl>
    <w:lvl w:ilvl="1">
      <w:lvlJc w:val="left"/>
      <w:lvlText w:val="%2."/>
      <w:numFmt w:val="lowerRoman"/>
      <w:start w:val="7"/>
    </w:lvl>
  </w:abstractNum>
  <w:abstractNum w:abstractNumId="35">
    <w:nsid w:val="2A487CB0"/>
    <w:multiLevelType w:val="hybridMultilevel"/>
    <w:lvl w:ilvl="0">
      <w:lvlJc w:val="left"/>
      <w:lvlText w:val="%1)"/>
      <w:numFmt w:val="lowerLetter"/>
      <w:start w:val="5"/>
    </w:lvl>
    <w:lvl w:ilvl="1">
      <w:lvlJc w:val="left"/>
      <w:lvlText w:val="%2"/>
      <w:numFmt w:val="lowerRoman"/>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1)"/>
      <w:numFmt w:val="lowerLetter"/>
      <w:start w:val="4"/>
    </w:lvl>
  </w:abstractNum>
  <w:abstractNum w:abstractNumId="39">
    <w:nsid w:val="57E4CCAF"/>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5"/>
    </w:lvl>
  </w:abstractNum>
  <w:abstractNum w:abstractNumId="44">
    <w:nsid w:val="38437FDB"/>
    <w:multiLevelType w:val="hybridMultilevel"/>
    <w:lvl w:ilvl="0">
      <w:lvlJc w:val="left"/>
      <w:lvlText w:val="%1"/>
      <w:numFmt w:val="lowerRoman"/>
      <w:start w:val="1"/>
    </w:lvl>
    <w:lvl w:ilvl="1">
      <w:lvlJc w:val="left"/>
      <w:lvlText w:val="%2)"/>
      <w:numFmt w:val="lowerLetter"/>
      <w:start w:val="6"/>
    </w:lvl>
  </w:abstractNum>
  <w:abstractNum w:abstractNumId="45">
    <w:nsid w:val="7644A45C"/>
    <w:multiLevelType w:val="hybridMultilevel"/>
    <w:lvl w:ilvl="0">
      <w:lvlJc w:val="left"/>
      <w:lvlText w:val="(%1)"/>
      <w:numFmt w:val="lowerRoman"/>
      <w:start w:val="4"/>
    </w:lvl>
    <w:lvl w:ilvl="1">
      <w:lvlJc w:val="left"/>
      <w:lvlText w:val="%2"/>
      <w:numFmt w:val="lowerLetter"/>
      <w:start w:val="1"/>
    </w:lvl>
  </w:abstractNum>
  <w:abstractNum w:abstractNumId="46">
    <w:nsid w:val="32FFF902"/>
    <w:multiLevelType w:val="hybridMultilevel"/>
    <w:lvl w:ilvl="0">
      <w:lvlJc w:val="left"/>
      <w:lvlText w:val="%1)"/>
      <w:numFmt w:val="lowerLetter"/>
      <w:start w:val="9"/>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3"/>
    </w:lvl>
  </w:abstractNum>
  <w:abstractNum w:abstractNumId="49">
    <w:nsid w:val="749ABB4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2026-06-02T05:23:16Z</dcterms:created>
  <dcterms:modified xsi:type="dcterms:W3CDTF">2026-06-02T05:23:16Z</dcterms:modified>
</cp:coreProperties>
</file>