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83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839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38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Woiwode Thomas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Tempest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TPST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26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7000 SHORELINE COURT</w:t>
            </w:r>
          </w:p>
        </w:tc>
        <w:tc>
          <w:tcPr>
            <w:tcW w:w="134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04/29/2022</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275</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80" w:type="dxa"/>
            <w:vAlign w:val="bottom"/>
            <w:tcBorders>
              <w:bottom w:val="single" w:sz="8" w:color="9A9A9A"/>
            </w:tcBorders>
            <w:gridSpan w:val="2"/>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96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gridSpan w:val="5"/>
            <w:vMerge w:val="restart"/>
          </w:tcPr>
          <w:p>
            <w:pPr>
              <w:ind w:left="760"/>
              <w:spacing w:after="0"/>
              <w:rPr>
                <w:sz w:val="20"/>
                <w:szCs w:val="20"/>
                <w:color w:val="auto"/>
              </w:rPr>
            </w:pPr>
            <w:r>
              <w:rPr>
                <w:rFonts w:ascii="Times New Roman" w:cs="Times New Roman" w:eastAsia="Times New Roman" w:hAnsi="Times New Roman"/>
                <w:sz w:val="17"/>
                <w:szCs w:val="17"/>
                <w:color w:val="0000FF"/>
              </w:rPr>
              <w:t>04/29/2022</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2,118,644</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2.36</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2,118,644</w:t>
            </w:r>
          </w:p>
        </w:tc>
        <w:tc>
          <w:tcPr>
            <w:tcW w:w="26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997,940</w:t>
            </w:r>
          </w:p>
        </w:tc>
        <w:tc>
          <w:tcPr>
            <w:tcW w:w="26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1,171,094</w:t>
            </w:r>
          </w:p>
        </w:tc>
        <w:tc>
          <w:tcPr>
            <w:tcW w:w="26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7,377</w:t>
            </w:r>
          </w:p>
        </w:tc>
        <w:tc>
          <w:tcPr>
            <w:tcW w:w="26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acquired pursuant to a Securities Purchase Agreement dated April 26, 2022 between the Issuer, Versant Vantage II, L.P. ("Vantage II") and certain other investors.</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Vantage II. Versant Vantage II GP, L.P. ("Vantage II GP") is the general partner of Vantage II, and Versant Vantage II GP-GP, LLC ("Vantage II GP-GP") is the general partner of Vantage II GP. The Reporting Person, a member of the Issuer's board of directors, is a managing director of Vantage II GP-GP and may be deemed to share voting and dispositive power over the shares held by Vantage II. The Reporting Person disclaims beneficial ownership of such securities, except to the extent of his pecuniary interests therein.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Versant Venture Capital VI, L.P. ("VVC VI"). Versant Ventures VI GP, L.P. ("VV VI GP") is the general partner of VVC VI, and Versant Ventures VI GP-GP, LLC ("VV VI GP-GP") is the general partner of VV VI GP. The Reporting Person, a member of the Issuer's board of directors, is a managing director of VV VI GP-GP and may be deemed to share voting and dispositive power over the shares held by VVC VI. The Reporting Person disclaims beneficial ownership of such securities, except to the extent of his pecuniary interests therein.</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Versant Venture Capital IV, L.P. ("VVC IV"). Versant Ventures IV, LLC ("VV IV") is the general partner of VVC IV. The Reporting Person, a member of the Issuer's board of directors, is a managing director of VV IV and may be deemed to share voting and dispositive power over the shares held by VVC IV. The Reporting Person disclaims beneficial ownership of such securities, except to the extent of his pecuniary interests therein.</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Versant Side Fund IV, L.P. ("VSF IV"). VV IV is the general partner of VSF IV. The Reporting Person, a member of the Issuer's board of directors, is a managing director of VV IV and may be deemed to share voting and dispositive power over the shares held by VSF IV. The Reporting Person disclaims beneficial ownership of such securities, except to the extent of his pecuniary interests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Robin Praeger, attorney-in- </w:t>
      </w:r>
      <w:r>
        <w:rPr>
          <w:rFonts w:ascii="Times New Roman" w:cs="Times New Roman" w:eastAsia="Times New Roman" w:hAnsi="Times New Roman"/>
          <w:sz w:val="34"/>
          <w:szCs w:val="34"/>
          <w:color w:val="0000FF"/>
          <w:vertAlign w:val="subscript"/>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Thomas Woiwode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48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9294"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2022-05-03T16:56:18Z</dcterms:created>
  <dcterms:modified xsi:type="dcterms:W3CDTF">2022-05-03T16:56:18Z</dcterms:modified>
</cp:coreProperties>
</file>