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EMPEST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2000 Sierra Point Parkway, Suite 400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Brisbane, California</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April 1,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Mr. Chris Edwards</w:t>
      </w:r>
    </w:p>
    <w:p>
      <w:pPr>
        <w:spacing w:after="0" w:line="108"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b w:val="1"/>
          <w:bCs w:val="1"/>
          <w:color w:val="auto"/>
        </w:rPr>
        <w:t>Tempest Therapeutics, Inc.</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Registration Statement on Form S-3 (File No. 333-294740)</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Request for Acceleration of Effective Date</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Mr. Edwards:</w:t>
      </w:r>
    </w:p>
    <w:p>
      <w:pPr>
        <w:spacing w:after="0" w:line="113" w:lineRule="exact"/>
        <w:rPr>
          <w:sz w:val="24"/>
          <w:szCs w:val="24"/>
          <w:color w:val="auto"/>
        </w:rPr>
      </w:pPr>
    </w:p>
    <w:p>
      <w:pPr>
        <w:ind w:left="4" w:right="260"/>
        <w:spacing w:after="0" w:line="262" w:lineRule="auto"/>
        <w:rPr>
          <w:sz w:val="20"/>
          <w:szCs w:val="20"/>
          <w:color w:val="auto"/>
        </w:rPr>
      </w:pPr>
      <w:r>
        <w:rPr>
          <w:rFonts w:ascii="Times New Roman" w:cs="Times New Roman" w:eastAsia="Times New Roman" w:hAnsi="Times New Roman"/>
          <w:sz w:val="18"/>
          <w:szCs w:val="18"/>
          <w:color w:val="auto"/>
        </w:rPr>
        <w:t>In accordance with Rule 461 under the Securities Act of 1933, as amended, the undersigned registrant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hereby requests that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take appropriate action to cause the above-referenced Registration Statement on Form S-3 (File No. 333-294740)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to become effective on April 3, 2026 at 4:00 p.m. Eastern Time, or as soon thereafter as is practicable, or at such other time as the Registrant or its legal counsel, Cooley LLP, may request by telephone to the staff of the Commission.</w:t>
      </w:r>
    </w:p>
    <w:p>
      <w:pPr>
        <w:spacing w:after="0" w:line="18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Once the Registration Statement has been declared effective, please confirm that event with Jaime L. Chase of Cooley LLP at (202) 728-7096 or Asa M.</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Henin of Cooley LLP at (858) 550-6104.</w:t>
      </w:r>
    </w:p>
    <w:p>
      <w:pPr>
        <w:spacing w:after="0" w:line="234"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Nicholas Maestas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4"/>
          <w:szCs w:val="24"/>
          <w:color w:val="auto"/>
        </w:rPr>
      </w:pPr>
    </w:p>
    <w:p>
      <w:pPr>
        <w:ind w:left="6984"/>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7" w:lineRule="exact"/>
        <w:rPr>
          <w:sz w:val="24"/>
          <w:szCs w:val="24"/>
          <w:color w:val="auto"/>
        </w:rPr>
      </w:pPr>
    </w:p>
    <w:p>
      <w:pPr>
        <w:ind w:left="698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4" w:lineRule="exact"/>
        <w:rPr>
          <w:sz w:val="24"/>
          <w:szCs w:val="24"/>
          <w:color w:val="auto"/>
        </w:rPr>
      </w:pPr>
    </w:p>
    <w:p>
      <w:pPr>
        <w:ind w:left="444" w:right="7440" w:hanging="444"/>
        <w:spacing w:after="0" w:line="261" w:lineRule="auto"/>
        <w:tabs>
          <w:tab w:leader="none" w:pos="4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Angel, Tempest Therapeutics, Inc. Jaime L. Chase, Cooley LLP</w:t>
      </w: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Asa M. Henin, Cooley LLP</w:t>
      </w:r>
    </w:p>
    <w:sectPr>
      <w:pgSz w:w="11900" w:h="16838" w:orient="portrait"/>
      <w:cols w:equalWidth="0" w:num="1">
        <w:col w:w="11024"/>
      </w:cols>
      <w:pgMar w:left="436" w:top="2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2026-05-01T23:23:01Z</dcterms:created>
  <dcterms:modified xsi:type="dcterms:W3CDTF">2026-05-01T23:23:01Z</dcterms:modified>
</cp:coreProperties>
</file>