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Maestas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TEMPEST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Tempest Therapeutics, Inc.</w:t>
              </w:r>
            </w:hyperlink>
            <w:r>
              <w:rPr/>
              <w:t xml:space="preserve"> [ </w:t>
            </w:r>
            <w:r>
              <w:rPr>
                <w:rFonts w:ascii="Times;serif" w:hAnsi="Times;serif"/>
                <w:color w:val="0000FF"/>
                <w:sz w:val="24"/>
                <w:shd w:fill="FFFFFF" w:val="clear"/>
              </w:rPr>
              <w:t>TPST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Strategy and Finance</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award shall vest on October 11, 2024 and the remainder of the award shall vest in 36 equal monthly installments thereafter, subject to the Reporting Person's continuous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Brady,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1423" TargetMode="External"/><Relationship Id="rId4" Type="http://schemas.openxmlformats.org/officeDocument/2006/relationships/hyperlink" Target="http://www.sec.gov/cgi-bin/browse-edgar?action=getcompany&amp;CIK=00015442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3332</Characters>
  <CharactersWithSpaces>3875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