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Registration File No. 333-257990</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July 23, 2021)</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Up to $205,000,000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104140</wp:posOffset>
            </wp:positionV>
            <wp:extent cx="2314575"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5" w:lineRule="exact"/>
        <w:rPr>
          <w:sz w:val="24"/>
          <w:szCs w:val="24"/>
          <w:color w:val="auto"/>
        </w:rPr>
      </w:pPr>
    </w:p>
    <w:p>
      <w:pPr>
        <w:ind w:left="120" w:right="80"/>
        <w:spacing w:after="0" w:line="238" w:lineRule="auto"/>
        <w:rPr>
          <w:sz w:val="20"/>
          <w:szCs w:val="20"/>
          <w:color w:val="auto"/>
        </w:rPr>
      </w:pPr>
      <w:r>
        <w:rPr>
          <w:rFonts w:ascii="Times New Roman" w:cs="Times New Roman" w:eastAsia="Times New Roman" w:hAnsi="Times New Roman"/>
          <w:sz w:val="16"/>
          <w:szCs w:val="16"/>
          <w:color w:val="auto"/>
        </w:rPr>
        <w:t>We have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dated June 20, 2024, or the sales agreement, with Jefferies LLC, or Jefferies, relating to the offer and sale of shares of our common stock, par value $0.001 per share, from time to time through Jefferies acting as our sales agent. In accordance with the terms of the sales agreement, we may offer and sell shares of our common stock having a maximum aggregate offering price of up to $205,000,000 from time to time through Jefferies, acting as our sales agent, or the ATM offering. As of immediately prior to the filing date of this prospectus supplement, shares of our common stock having an aggregate offering price of up to $57,328,678 remained unsold under the prior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6"/>
          <w:szCs w:val="16"/>
          <w:color w:val="auto"/>
        </w:rPr>
        <w:t>, dated July 23, 2021, or the prior sales agreement, that we entered into with Jefferies, and the prior sales agreement prospectus supplement, dated July 23, 2021, as amended, or the prior prospectus supplement. As of the date of this prospectus supplement, the offering pursuant to the prior prospectus supplement has been terminated and we will not make any offers or sales of shares of our common stock pursuant to the prior prospectus supplement. Accordingly, this prospectus supplement covers the offer and sale of our common stock having an aggregate offering price of up to $205,000,000 to be sold under the sales agreement, as of the date of this prospectus supplement.</w:t>
      </w:r>
    </w:p>
    <w:p>
      <w:pPr>
        <w:spacing w:after="0" w:line="106" w:lineRule="exact"/>
        <w:rPr>
          <w:sz w:val="24"/>
          <w:szCs w:val="24"/>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“TPST.” On June 17, 2024, the last reported sale price of our common stock on the Nasdaq Capital Market was $2.91 per share.</w:t>
      </w:r>
    </w:p>
    <w:p>
      <w:pPr>
        <w:spacing w:after="0" w:line="56" w:lineRule="exact"/>
        <w:rPr>
          <w:sz w:val="24"/>
          <w:szCs w:val="24"/>
          <w:color w:val="auto"/>
        </w:rPr>
      </w:pPr>
    </w:p>
    <w:p>
      <w:pPr>
        <w:ind w:left="120" w:right="400"/>
        <w:spacing w:after="0" w:line="275" w:lineRule="auto"/>
        <w:rPr>
          <w:sz w:val="20"/>
          <w:szCs w:val="20"/>
          <w:color w:val="auto"/>
        </w:rPr>
      </w:pPr>
      <w:r>
        <w:rPr>
          <w:rFonts w:ascii="Times New Roman" w:cs="Times New Roman" w:eastAsia="Times New Roman" w:hAnsi="Times New Roman"/>
          <w:sz w:val="16"/>
          <w:szCs w:val="16"/>
          <w:color w:val="auto"/>
        </w:rPr>
        <w:t>Sales of shares of our common stock, if any, under this prospectus supplement and the accompanying prospectus will be made in sales deemed to be “at the market offerings” as defined in Rule 415(a)(4) promulgated under the Securities Act of 1933, as amended, or the Securities Act. Jefferies is not required to sell any specific amount of shares of common stock,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75" w:lineRule="exact"/>
        <w:rPr>
          <w:sz w:val="24"/>
          <w:szCs w:val="24"/>
          <w:color w:val="auto"/>
        </w:rPr>
      </w:pPr>
    </w:p>
    <w:p>
      <w:pPr>
        <w:ind w:left="120" w:right="100"/>
        <w:spacing w:after="0" w:line="272" w:lineRule="auto"/>
        <w:rPr>
          <w:sz w:val="20"/>
          <w:szCs w:val="20"/>
          <w:color w:val="auto"/>
        </w:rPr>
      </w:pPr>
      <w:r>
        <w:rPr>
          <w:rFonts w:ascii="Times New Roman" w:cs="Times New Roman" w:eastAsia="Times New Roman" w:hAnsi="Times New Roman"/>
          <w:sz w:val="16"/>
          <w:szCs w:val="16"/>
          <w:color w:val="auto"/>
        </w:rPr>
        <w:t>The compensation to Jefferies for sales of common stock sold pursuant to the sales agreement will be an amount equal to 3.0% of the gross proceeds of any shares of common stock sold under the sales agreement. See “Plan of Distribution” beginning on page S-11 for additional information regarding the compensation to be paid to Jefferies. In connection with the sale of the common stock on our behalf, Jefferies will be deemed to be an “underwriter” within the meaning of the Securities Act of 1933, as amended, or the Securities Act, and the compensation of Jefferies will be deemed to be underwriting commissions or discounts. We have also agreed to provide indemnification and contribution to Jefferies with respect to certain liabilities, including liabilities under the Securities Act.</w:t>
      </w:r>
    </w:p>
    <w:p>
      <w:pPr>
        <w:spacing w:after="0" w:line="78" w:lineRule="exact"/>
        <w:rPr>
          <w:sz w:val="24"/>
          <w:szCs w:val="24"/>
          <w:color w:val="auto"/>
        </w:rPr>
      </w:pPr>
    </w:p>
    <w:p>
      <w:pPr>
        <w:ind w:left="120" w:right="28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Summary—Implications of Being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ind w:left="120" w:right="10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common stock involves a high degree of risk. You should read this prospectus supplement, the accompanying prospectus and the documents incorporated by reference herein and therein before you make your investment decision. See “</w:t>
      </w:r>
      <w:r>
        <w:rPr>
          <w:rFonts w:ascii="Times New Roman" w:cs="Times New Roman" w:eastAsia="Times New Roman" w:hAnsi="Times New Roman"/>
          <w:sz w:val="20"/>
          <w:szCs w:val="20"/>
          <w:b w:val="1"/>
          <w:bCs w:val="1"/>
          <w:u w:val="single" w:color="auto"/>
          <w:color w:val="0000EE"/>
        </w:rPr>
        <w:t>Risk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0000EE"/>
        </w:rPr>
        <w:t>Factors</w:t>
      </w:r>
      <w:r>
        <w:rPr>
          <w:rFonts w:ascii="Times New Roman" w:cs="Times New Roman" w:eastAsia="Times New Roman" w:hAnsi="Times New Roman"/>
          <w:sz w:val="20"/>
          <w:szCs w:val="20"/>
          <w:b w:val="1"/>
          <w:bCs w:val="1"/>
          <w:color w:val="000000"/>
        </w:rPr>
        <w:t>“ beginning on page S-9 of this prospectus supplement, and under similar headings in the other documents incorporated</w:t>
      </w:r>
      <w:r>
        <w:rPr>
          <w:rFonts w:ascii="Times New Roman" w:cs="Times New Roman" w:eastAsia="Times New Roman" w:hAnsi="Times New Roman"/>
          <w:sz w:val="20"/>
          <w:szCs w:val="20"/>
          <w:b w:val="1"/>
          <w:bCs w:val="1"/>
          <w:color w:val="0000EE"/>
        </w:rPr>
        <w:t xml:space="preserve"> </w:t>
      </w:r>
      <w:r>
        <w:rPr>
          <w:rFonts w:ascii="Times New Roman" w:cs="Times New Roman" w:eastAsia="Times New Roman" w:hAnsi="Times New Roman"/>
          <w:sz w:val="20"/>
          <w:szCs w:val="20"/>
          <w:b w:val="1"/>
          <w:bCs w:val="1"/>
          <w:color w:val="000000"/>
        </w:rPr>
        <w:t>by reference herein, to read about risks that you should consider before making a decision to purchase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4"/>
          <w:szCs w:val="24"/>
          <w:color w:val="auto"/>
        </w:rPr>
      </w:pPr>
    </w:p>
    <w:p>
      <w:pPr>
        <w:ind w:left="120" w:right="6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June 20, 2024</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740" w:type="dxa"/>
            <w:vAlign w:val="bottom"/>
            <w:gridSpan w:val="3"/>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4"/>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304"/>
        </w:trPr>
        <w:tc>
          <w:tcPr>
            <w:tcW w:w="12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24"/>
                <w:szCs w:val="24"/>
                <w:color w:val="auto"/>
              </w:rPr>
            </w:pPr>
          </w:p>
        </w:tc>
        <w:tc>
          <w:tcPr>
            <w:tcW w:w="526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304"/>
        </w:trPr>
        <w:tc>
          <w:tcPr>
            <w:tcW w:w="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650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3"/>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64"/>
        </w:trPr>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8"/>
          </w:tcPr>
          <w:p>
            <w:pPr>
              <w:spacing w:after="0"/>
              <w:rPr>
                <w:sz w:val="22"/>
                <w:szCs w:val="22"/>
                <w:color w:val="auto"/>
              </w:rPr>
            </w:pPr>
          </w:p>
        </w:tc>
        <w:tc>
          <w:tcPr>
            <w:tcW w:w="6320" w:type="dxa"/>
            <w:vAlign w:val="bottom"/>
            <w:gridSpan w:val="10"/>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4"/>
        </w:trPr>
        <w:tc>
          <w:tcPr>
            <w:tcW w:w="15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22"/>
                <w:szCs w:val="22"/>
                <w:color w:val="auto"/>
              </w:rPr>
            </w:pPr>
          </w:p>
        </w:tc>
        <w:tc>
          <w:tcPr>
            <w:tcW w:w="322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00" w:type="dxa"/>
            <w:vAlign w:val="bottom"/>
            <w:gridSpan w:val="6"/>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9"/>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3"/>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RIGHTS</w:t>
            </w:r>
          </w:p>
        </w:tc>
        <w:tc>
          <w:tcPr>
            <w:tcW w:w="6400" w:type="dxa"/>
            <w:vAlign w:val="bottom"/>
            <w:gridSpan w:val="11"/>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4"/>
        </w:trPr>
        <w:tc>
          <w:tcPr>
            <w:tcW w:w="30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LEGAL OWNERSHIP OF SECURITIES</w:t>
            </w:r>
          </w:p>
        </w:tc>
        <w:tc>
          <w:tcPr>
            <w:tcW w:w="5520" w:type="dxa"/>
            <w:vAlign w:val="bottom"/>
            <w:gridSpan w:val="7"/>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2"/>
                <w:szCs w:val="22"/>
                <w:color w:val="auto"/>
              </w:rPr>
            </w:pPr>
          </w:p>
        </w:tc>
        <w:tc>
          <w:tcPr>
            <w:tcW w:w="6500" w:type="dxa"/>
            <w:vAlign w:val="bottom"/>
            <w:gridSpan w:val="12"/>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4"/>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jc w:val="center"/>
              <w:ind w:right="2770"/>
              <w:spacing w:after="0"/>
              <w:rPr>
                <w:sz w:val="20"/>
                <w:szCs w:val="20"/>
                <w:color w:val="auto"/>
              </w:rPr>
            </w:pPr>
            <w:r>
              <w:rPr>
                <w:rFonts w:ascii="Times New Roman" w:cs="Times New Roman" w:eastAsia="Times New Roman" w:hAnsi="Times New Roman"/>
                <w:sz w:val="18"/>
                <w:szCs w:val="18"/>
                <w:color w:val="auto"/>
                <w:w w:val="94"/>
              </w:rPr>
              <w:t>S-i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or the SEC. This document is in two parts. This first part is this prospectus supplement, which describes the specific terms of the common stock we are offering and also adds to and updates information contained in the accompanying prospectus and the documents incorporated by reference therein. The second part is the accompanying prospectus, which provides more general information about securities we may offer from time to time, some of which does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the statement in the document having the later date modifies or supersedes the earlier statement.</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and Jefferies has not, authorized any other person to provide you with different or additional information. If anyone provides you with different, additional or inconsistent information, you should not rely on it. We are not, and Jefferies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“Incorporation of Certain Documents by Reference” and “Where You Can Find More Information.”</w:t>
      </w:r>
    </w:p>
    <w:p>
      <w:pPr>
        <w:spacing w:after="0" w:line="19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and the accompanying prospectus and the offering of our common stock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references to “we,” “us,” “our,” “the company” and “Tempest” refer to Tempest Therapeutics, Inc.</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obtained the industry and market data in this prospectus supplement,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degree of uncertainty and risk due to a variety of factors, including those described in “Risk Factors” and elsewhere in this prospectus supplement and information incorporated by reference herein and therein. These and other factors could cause results to differ materially from those expressed in the estimates made by the independent parties and by us.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and does not contain all of the information that you need to consider in making your investment decision. You should carefully read the entire prospectus supplement, the accompanying prospectus and any related free writing prospectus, including the risks of investing in our securities discussed under the heading “Risk Factors” contained in this prospectus supplement, the accompanying prospectus and any related free writing prospectus, and under similar headings in the other documents that are incorporated by reference into this prospectus supplement. You should also carefully read the information incorporated by reference into this prospectus supplement, including our financial statements, and the exhibits to the registration statement of which this prospectus supplement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8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moving into late-stage development with a diverse portfolio of targeted and immune-mediated product candidates with the potential to be first-in-class treatments for a wide range of cancers. Our novel programs range from early research to the lead program, amezalpat (previously known as TPST-1120), that is poised to begin a pivotal study in first-line hepatocellular carcinoma, or HCC cancer. 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spacing w:after="0" w:line="187" w:lineRule="exact"/>
        <w:rPr>
          <w:sz w:val="20"/>
          <w:szCs w:val="20"/>
          <w:color w:val="auto"/>
        </w:rPr>
      </w:pPr>
    </w:p>
    <w:p>
      <w:pPr>
        <w:ind w:left="300" w:right="100"/>
        <w:spacing w:after="0" w:line="254" w:lineRule="auto"/>
        <w:rPr>
          <w:sz w:val="20"/>
          <w:szCs w:val="20"/>
          <w:color w:val="auto"/>
        </w:rPr>
      </w:pPr>
      <w:r>
        <w:rPr>
          <w:rFonts w:ascii="Times New Roman" w:cs="Times New Roman" w:eastAsia="Times New Roman" w:hAnsi="Times New Roman"/>
          <w:sz w:val="18"/>
          <w:szCs w:val="18"/>
          <w:color w:val="auto"/>
        </w:rPr>
        <w:t>Our two clinical-stage therapeutic product candidates are amezalpat and TPST-1495, which we believe are the first clinical-stage molecules designed to inhibit their respective targets. Amezalpat is a selective antagonist of peroxisome proliferator-activated receptor alpha, or PPARα, for which we recently released new and positive data results from our randomized Phase 1b/2 study in first-line hepatocellular carcinoma, or HCC, on June 20, 2024, as further discussed below under “—Recent Developments” and which we plan to advance into a Phase 3 clinical trial in HCC, subject to ongoing discussions with the U.S. Food and Drug Administration, or FDA. TPST-1495, a dual antagonist of the EP2 and EP4 receptors of prostaglandin E2, is in the process of completing its Phase 1 trials and we are working with the Cancer Prevention Clinical Trials Network on a National Cancer Institute -funded Phase 2 study and subject to final approval from the consortium, plan to start the study in the second half of 2024.</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On June 20, 2024, we announced new and updated positive results from the data analysis of the ongoing global randomized Phase 1b/2 trial of amezalpat combined with the standard-of-care first-line regimen of atezolizumab and bevacizumab in first-line patients with advanced or metastatic HCC. These new data, as of the data cutoff of February 14, 2024, were provided by F. Hoffman La-Roche, or Roche, from a clinical collaboration pursuant to which Roche managed the study operations for this global multicenter trial. Tempest retains all product rights to amezalpat. The study is comparing the amezalpat arm to the standard-of-care arm and enrolled 40 patients randomized to the amezalpat arm and 30 patients randomized to the control arm.</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Key Updates:</w:t>
      </w:r>
    </w:p>
    <w:p>
      <w:pPr>
        <w:spacing w:after="0" w:line="135" w:lineRule="exact"/>
        <w:rPr>
          <w:sz w:val="20"/>
          <w:szCs w:val="20"/>
          <w:color w:val="auto"/>
        </w:rPr>
      </w:pPr>
    </w:p>
    <w:p>
      <w:pPr>
        <w:ind w:left="1240" w:right="100" w:hanging="415"/>
        <w:spacing w:after="0" w:line="261"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Median Overall Survival Improvement and Maintenance of Hazard Ratio: The amezalpat arm has achieved a median overall survival of 21.1 months, which is a six-month improvement over the 15.0 month median overall survival observed in the standard-of-care arm of atezolizumab plus bevacizumab. Importantly, the amezalpat arm also maintained its hazard ratio, or HR, with a 0.65 HR, which is only a slight change from the 0.59 HR observed ten months earlier.</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11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110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3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and Persistent Separation of Survival Curves: The survival curve for patients in the amezalpat arm separated early from the control arm and maintained this separation throughout the Kaplan Meier curve, indicating an early and persistent survival benefit compared to the standard-of-care arm.</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Patients in Ongoing Survival Follow-Up: In the amezalpat arm, 20 out of 40 patients remain in survival follow-up, versus 9 out of 30 patients in the control arm.</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Survival Benefit Across Subpopulations: The survival benefit of amezalpat is maintained across key subpopulations, demonstrating the potential to help a broadly diverse set of patients with HCC.</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Manageable Safety Profile: The safety profile of amezalpat was manageable and consistent with its mechanism of action and data observed in Phase 1 trials, suggesting a controllable safety profile heading into a pivotal Phase 3 trial.</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Notable New Complete Response: A late conversion of a partial responder to a complete responder was observed in a patient with an immune cold, PD-L1 negative, b-catenin wild-type tumor, highlighting the potential of amezalpat to induce RECIST clinical responses in patients with difficult tumor profiles.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Phase 3 Trial Initiation</w:t>
      </w:r>
    </w:p>
    <w:p>
      <w:pPr>
        <w:spacing w:after="0" w:line="121"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These clinical results from the randomized study have informed our decision to initiate a pivotal Phase 3 trial during the first quarter of 2025, subject to feedback and discussions with the FDA. We are designing this trial to evaluate the efficacy of an experimental arm combining amezalpat with atezolizumab and bevacizumab, compared to a control arm receiving the standard-of-care treatment of atezolizumab and bevacizumab.</w:t>
      </w:r>
    </w:p>
    <w:p>
      <w:pPr>
        <w:spacing w:after="0" w:line="15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Phase 3 trial is designed to build on the findings from the Phase 1b/2 trial, and we plan to leverage the protocol design from that earlier trial, with similar inclusion and exclusion criteria and stratification factors. We anticipate the trial design including an overall survival primary endpoint, with secondary endpoints of progression-free survival, overall response rate and duration of response. We are also designing the trial to include PD-L1 negative and b-catenin subgroups. We also plan to discuss two interim analyses with the FDA, one for futility and a second for overall survival that could potentially end the study early for efficacy.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anticipate receiving feedback from the FDA on the final protocol for this Phase 3 trial during the third quarter of 2024.</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61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Our product development pipeline consists of the following orally available therapies, which if approved by the FDA we believe will be first in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hanging="42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is an estimate based on current projections and status of programs.</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for either year-end 2024 or first quarter 2025 based on current estimates.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medical meeting (if accepted to preset) or via another mechanism.</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approval by NCI received; awaiting final approval.</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based on existing data and MOA, but currently not funded.</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supplement summary and those described under similar headings in the documents incorporated by reference into this prospectus supplement. These risks include:</w:t>
      </w:r>
    </w:p>
    <w:p>
      <w:pPr>
        <w:spacing w:after="0" w:line="81" w:lineRule="exact"/>
        <w:rPr>
          <w:sz w:val="20"/>
          <w:szCs w:val="20"/>
          <w:color w:val="auto"/>
        </w:rPr>
      </w:pPr>
    </w:p>
    <w:p>
      <w:pPr>
        <w:ind w:left="1240" w:right="1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spacing w:after="0" w:line="81"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2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loan and security agreement with Oxford Finance LLC, or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81"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30"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amezalpat, TPST-1495, will depend upon their degree of market acceptance by providers, patients, patient advocacy groups, third-party payors and the general medical community.</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amezalpat, TPST-1495, and any future product candidates.</w:t>
      </w:r>
    </w:p>
    <w:p>
      <w:pPr>
        <w:spacing w:after="0" w:line="63" w:lineRule="exact"/>
        <w:rPr>
          <w:rFonts w:ascii="Times New Roman" w:cs="Times New Roman" w:eastAsia="Times New Roman" w:hAnsi="Times New Roman"/>
          <w:sz w:val="17"/>
          <w:szCs w:val="17"/>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3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60"/>
          </w:cols>
          <w:pgMar w:left="320" w:top="455" w:right="7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61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 exception from compliance with the auditor attestation requirements of Section 404 of the Sarbanes-Oxley Act of 2002, as amended.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Tempest was founded in 2011 and is currently incorporated in Delaware with headquarters in Brisbane, California. We are a clinical-stage biotechnology company moving into late-stage development with a diverse portfolio of first-in-class targeted and immune-mediated product candidates with the potential to treat a wide range of cancers. Our philosophy is to build a company based upon not only good ideas and creative science, but also upon the efficient translation of those ideas into therapies that will improve patients’ lives.</w:t>
      </w:r>
    </w:p>
    <w:p>
      <w:pPr>
        <w:spacing w:after="0" w:line="180"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2000 Sierra Point Parkway, Suite 400, Brisbane, CA 94005. Our telephone number is (415) 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340" w:type="dxa"/>
            <w:vAlign w:val="bottom"/>
            <w:tcBorders>
              <w:top w:val="single" w:sz="8" w:color="auto"/>
              <w:lef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$205,000,000.</w:t>
            </w:r>
          </w:p>
        </w:tc>
      </w:tr>
      <w:tr>
        <w:trPr>
          <w:trHeight w:val="454"/>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 of Distribution</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Jefferies. See “Plan of Distribution” on page S-17.</w:t>
            </w:r>
          </w:p>
        </w:tc>
      </w:tr>
      <w:tr>
        <w:trPr>
          <w:trHeight w:val="441"/>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offered hereby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for (i) continued clinical development of amezalpat, primarily in the first-line treatment of</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patients with unresectable or metastatic HCC; (ii) research and development of other</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product candidates; and (iii) working capital. See “Use of Proceeds” on page S-14 of this</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1"/>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accompanying prospectus and in the documents incorporated by reference herein and</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therein for a discussion of factors you should carefully consider before deciding to</w:t>
            </w:r>
          </w:p>
        </w:tc>
      </w:tr>
      <w:tr>
        <w:trPr>
          <w:trHeight w:val="234"/>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purchase shares of our common stock.</w:t>
            </w:r>
          </w:p>
        </w:tc>
      </w:tr>
      <w:tr>
        <w:trPr>
          <w:trHeight w:val="459"/>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“TPST”</w:t>
            </w:r>
          </w:p>
        </w:tc>
      </w:tr>
      <w:tr>
        <w:trPr>
          <w:trHeight w:val="172"/>
        </w:trPr>
        <w:tc>
          <w:tcPr>
            <w:tcW w:w="3340" w:type="dxa"/>
            <w:vAlign w:val="bottom"/>
            <w:tcBorders>
              <w:left w:val="single" w:sz="8" w:color="auto"/>
              <w:bottom w:val="single" w:sz="8" w:color="auto"/>
            </w:tcBorders>
          </w:tcPr>
          <w:p>
            <w:pPr>
              <w:spacing w:after="0"/>
              <w:rPr>
                <w:sz w:val="14"/>
                <w:szCs w:val="14"/>
                <w:color w:val="auto"/>
              </w:rPr>
            </w:pPr>
          </w:p>
        </w:tc>
        <w:tc>
          <w:tcPr>
            <w:tcW w:w="7680" w:type="dxa"/>
            <w:vAlign w:val="bottom"/>
            <w:tcBorders>
              <w:bottom w:val="single" w:sz="8" w:color="auto"/>
              <w:right w:val="single" w:sz="8" w:color="auto"/>
            </w:tcBorders>
          </w:tcPr>
          <w:p>
            <w:pPr>
              <w:spacing w:after="0"/>
              <w:rPr>
                <w:sz w:val="14"/>
                <w:szCs w:val="14"/>
                <w:color w:val="auto"/>
              </w:rPr>
            </w:pPr>
          </w:p>
        </w:tc>
      </w:tr>
      <w:tr>
        <w:trPr>
          <w:trHeight w:val="361"/>
        </w:trPr>
        <w:tc>
          <w:tcPr>
            <w:tcW w:w="3340" w:type="dxa"/>
            <w:vAlign w:val="bottom"/>
          </w:tcPr>
          <w:p>
            <w:pPr>
              <w:spacing w:after="0"/>
              <w:rPr>
                <w:sz w:val="24"/>
                <w:szCs w:val="24"/>
                <w:color w:val="auto"/>
              </w:rPr>
            </w:pPr>
          </w:p>
        </w:tc>
        <w:tc>
          <w:tcPr>
            <w:tcW w:w="7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whether to invest in our common stock, you should consider carefully the risks and uncertainties described below and discussed under the heading “Risk Factors” contained in our most recent Annual Report on Form 10-K, and in our subsequent Quarterly Reports on Form 10-Q, as well as any amendments thereto reflected in subsequent filings with the SEC, which are incorporated by reference into this prospectus supplement in their entirety, together with other information in this prospectus supplement, the accompanying prospectus, the documents incorporated by reference herein and therein and any free writing prospectuses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may experience immediate and substantial dilution in investment. You may experience further dilution if we issue additional equity securities in future financing transactions.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offering price per share of our common stock in this offering may exceed the net tangible book value per share of our common stock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prior to this offering. Assuming that 70,446,735 shares of our common stock are sold in this offering, based on an assumed sale price of $2.91 per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last sale price of a share of our common stock on the Nasdaq Capital Market on June 17, 2024, for aggregate gross proceeds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$205,000,000, and after deducting commissions and estimated offering expense payable by us, you would experience immediate dilution, representing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difference between the price you pay and our as adjusted net tangible book value per share as of March 31, 2024, after giving effect to this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$0.55 per share. In addition, we have a significant number of stock options and warrants outstanding. To the extent that these have been or may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exercised or settled, investors purchasing in this offering may experience further dilution. See the section titled “Dilution” below for a more detailed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illustration of the dilution you would incur if you participate in this offering.</w:t>
      </w:r>
    </w:p>
    <w:p>
      <w:pPr>
        <w:spacing w:after="0" w:line="20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also require more capital to pursue our preclinical and clinical activities, regulatory approval and the commercialization of our current or future candidates.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or result in downward pressure on the price of our common stock.</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(i) continued clinical development of amezalpat, primarily in the first-line treatment of patients with unresectable or metastatic HCC; (ii) research and development of other product candidates; and (iii) working capital. We may also use the net proceeds from this offering for certain pre-commercialization activities and to acquire or invest in businesses, products or technologies that are complementary to our own, although we have no current plans, commitments or agreements with respect to any acquisitions as of the date of this prospectus supplement. Pending these uses, we expect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invest the net proceeds in investment-grade, interest-bearing securities.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net proceeds resulting from those sales.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instruction to Jefferies to sell shares of our common stock at any time throughout the term of the sales agreement. The number of shares that are sold through Jefferies after our instruction will fluctuate based on a number of factors, including the market price of our common stock during the sales period, the limits we set with Jefferies in any instruction to sell shares, and the demand for our common stock during the sales period. Because the price per share of each share sold will fluctuate during this offering, it is not currently possible to predict the number of shares that will be sold or the net proceeds to be raised in connection with those sales.</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numbers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5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the Private Securities Litigation Reform Act of 1995.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Quarterly Report on Form 10-Q filed with the SEC, as well as any amendments thereto reflected in subsequent filings with the SEC.</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or the accompanying prospectus, or incorporated by reference herein or therein, and any free writing prospectus, about our expectations, beliefs, plans, objectives, assumptions or future events or performance are not historical facts and are forward-looking statements. Within the meaning of Section 27A of the Securities Act of 1933, as amended, or the Securities Act, and Section 21E of the Exchange Act, these forward-looking statements include statements regarding:</w:t>
      </w:r>
    </w:p>
    <w:p>
      <w:pPr>
        <w:spacing w:after="0" w:line="8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TPST-1495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or to obtain a waiver from Oxford for any failure to comply with the covenants contained in such term loan agreement;</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of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this prospectus supplement and the accompanying prospectus, together with all of the other information contained in or incorporated by reference into the prospectus supplement and the accompanying prospectus.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herein or therein and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gross sales proceeds of up to $205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primarily for: (i) continued clinical development of amezalpat, primarily in the first-line treatment of patients with unresectable or metastatic HCC; (ii) research and development of other product candidates; and (iii) working capital.</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amounts and timing of these expenditures will depend on a number of factors, such as the timing and progress of our research and development efforts, the timing and progress of any partnering efforts, and the competitive environment for our product candidates. As of the date of this prospectus supplement, we cannot specify with certainty all of the particular uses for the net proceeds to us from the shares of common stock we are selling in this offering. We will retain broad discretion in determining how we will allocate the net proceeds from this offering. Pending these uses, we expect to invest the net proceeds in investment-grade, interest-bearing securities.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March 31, 2024 was approximately $20.6 million, or $0.93 per share. Net tangible book value per share is determined by dividing our total tangible assets, less total liabilities, by the number of shares of our common stock outstanding as of March 31, 2024.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70,446,735 shares of our common stock in this offering at an assumed offering price of $2.91 per share, the last reported sale price of our common stock on the Nasdaq Capital Market on June 17, 2024, and after deducting estimated offering commissions and offering expenses payable by us, our as adjusted net tangible book value as of March 31, 2024 would have been approximately $219.1 million, or $2.36 per share. This represents an immediate increase in net tangible book value of $1.43 per share to existing stockholders and immediate dilution of $0.55 per share to investors purchasing our common stock in this offering at the assumed public offering price. The following table illustrates this dilution on a per share basis: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of as of March 31, 2024</w:t>
            </w:r>
          </w:p>
        </w:tc>
        <w:tc>
          <w:tcPr>
            <w:tcW w:w="1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     0.93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6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5"/>
        </w:trPr>
        <w:tc>
          <w:tcPr>
            <w:tcW w:w="6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March 31, 2024, after giving</w:t>
            </w: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this offering</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70,446,735 shares of our common stock are offered during the term of the sales agreement with Jefferies at a price of $2.91 per share, the last reported sale price of our common stock on the Nasdaq Capital Market on June 17, 2024, for aggregate gross proceeds of $205,000,000. The shares subject to the sales agreement with Jefferies are being sold from time to time at various prices. An increase of $1.00 per share in the price at which the shares are sold from the assumed offering price of $2.91 per share shown in the table above, assuming all of our common stock in the aggregate amount of $205,000,000 during the term of the sales agreement with Jefferies is sold at that price, would increase our as adjusted net tangible book value per share after the offering to $2.93 per share and would increase the dilution in net tangible book value per share to new investors in this offering to $0.98 per share, after deducting commissions and estimated aggregate offering expenses payable by us. A decrease of $1.00 per share in the price at which the shares are sold from the assumed offering price of $2.91 per share shown in the table above, assuming all of our common stock in the aggregate amount of $205,000,000 during the term of the sales agreement with Jefferies is sold at that price, would decrease our as adjusted net tangible book value per share after the offering to $1.69 per share and would decrease the dilution in net tangible book value per share to new investors in this offering to $0.22 per share, after deducting commissions and estimated aggregate offering expenses payable by us. This information is supplied for illustrative purposes only and will adjust based on the actual public offering price and other terms of this offering determined at pricing.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discussion and table are based on 22,217,265 shares of our common stock outstanding as of March 31, 2024, and excludes the following:</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6,036 shares of our common stock issuable upon the exercise of warrants outstanding as of March 31, 2024;</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3,938,446 shares of our common stock issuable upon the exercise of stock options outstanding as of March 31, 2024, with a weighted average exercise price of $6.68 per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83,400 shares of common stock issuable upon the exercise of stock options granted subsequent to March 31, 2024, with a weighted-average exercise price of $3.11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shares of our common stock issued upon the exercise of vested restricted stock units subsequent to March 31,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566,620 shares of our common stock reserved for issuance under the Amended and Restated 2023 Equity Incentive Plan, or the 2023 Plan, as well as any future increases in the number of shares of common stock reserved for issuance under the 2023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1,092,350 shares of common stock reserved for future issuance under our 2023 Inducement Plan;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528,791 shares of our common stock reserved for issuance under our 2019 Employee Stock Purchase Plan, or the ESPP, as of March 31, 2024, as well as any future increases in the number of shares of common stock reserved for issuance under the ESPP.</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the extent that outstanding stock options or warrants are exercised or common stock is sold,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securities, the issuance of these securities could result in further dilution to our stockholders.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320"/>
        <w:spacing w:after="0" w:line="289" w:lineRule="auto"/>
        <w:rPr>
          <w:sz w:val="20"/>
          <w:szCs w:val="20"/>
          <w:color w:val="auto"/>
        </w:rPr>
      </w:pPr>
      <w:r>
        <w:rPr>
          <w:rFonts w:ascii="Times New Roman" w:cs="Times New Roman" w:eastAsia="Times New Roman" w:hAnsi="Times New Roman"/>
          <w:sz w:val="17"/>
          <w:szCs w:val="17"/>
          <w:color w:val="auto"/>
        </w:rPr>
        <w:t>We have entered into the sales agreement with Jefferies, under which we may offer and sell up to $100,000,000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$400,000. The remaining sale proceeds, after deducting any other transaction fees, will equal our net proceeds from the sale of such shares.</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Capital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a current report on Form 8-K filed under the Securities Exchange Act of 1934, as amended, and incorporated by reference in this prospectus supplement. Jefferies and its affiliates may in the future provide various investment banking, commercial banking, financial advisory and other financial services for us and our affiliates, for which services they may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future receive customary fees. In the course of its business, Jefferies may actively trade our securities for its own account or for the accounts of customers, and, accordingly, Jefferies may at any time hold long or short positions in such securities. A prospectus supplement and the accompanying prospectus in electronic format may be made available on a website maintained by Jefferies, and Jefferies may distribute the prospectus supplement and the accompanying prospectus electronically.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by this prospectus supplement will be passed upon by Cooley LLP, Seattle, Washington. Latham &amp; Watkins LLP, San Diego, California is counsel for Jefferies in connection with this offering.</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We file annual, quarterly and current reports, proxy statements and other information with the SEC. The SEC maintains a website that contains reports, proxy and information statements and other information regarding issuers that file electronically with the SEC, including Tempest. The address of the SEC website is www.sec.gov.</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Information in this prospectus supplement supersedes information incorporated by reference that we filed with the SEC prior to the date of this prospectus supplement. We incorporate by reference into this prospectus supplement the information or documents listed below that we have filed with the SEC (File No. 001-35890):</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38">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39">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40">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1">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2">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4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registering our common stock under Section 12 of the Exchange Act, which was filed with the SEC on April 25, 2013, as updated by </w:t>
      </w:r>
      <w:hyperlink r:id="rId4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162" w:lineRule="exact"/>
        <w:rPr>
          <w:rFonts w:ascii="Times New Roman" w:cs="Times New Roman" w:eastAsia="Times New Roman" w:hAnsi="Times New Roman"/>
          <w:sz w:val="18"/>
          <w:szCs w:val="18"/>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80" w:lineRule="exact"/>
        <w:rPr>
          <w:rFonts w:ascii="Times New Roman" w:cs="Times New Roman" w:eastAsia="Times New Roman" w:hAnsi="Times New Roman"/>
          <w:sz w:val="18"/>
          <w:szCs w:val="18"/>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97155</wp:posOffset>
            </wp:positionV>
            <wp:extent cx="1508760" cy="368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5087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$250,000,000</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Rights to Purchase Common Stock, Preferred Stock,</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Debt Securities or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From time to time, we may offer up to $250,000,000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69"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126" w:lineRule="exact"/>
        <w:rPr>
          <w:sz w:val="20"/>
          <w:szCs w:val="20"/>
          <w:color w:val="auto"/>
        </w:rPr>
      </w:pPr>
    </w:p>
    <w:p>
      <w:pPr>
        <w:ind w:left="120" w:right="40"/>
        <w:spacing w:after="0" w:line="298"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“TPST.” On July 15, 2021, the last reported sale price of our common stock was $19.43 per share.</w:t>
      </w:r>
    </w:p>
    <w:p>
      <w:pPr>
        <w:spacing w:after="0" w:line="56"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6"/>
          <w:szCs w:val="16"/>
          <w:color w:val="auto"/>
        </w:rPr>
        <w:t>We are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contained in the applicable prospectus supplement and any related free writing prospectus, and under similar headings in the other documents that are incorporated by reference into this prospectus as described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0"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23, 2021.</w:t>
      </w:r>
    </w:p>
    <w:p>
      <w:pPr>
        <w:sectPr>
          <w:pgSz w:w="11900" w:h="16838" w:orient="portrait"/>
          <w:cols w:equalWidth="0" w:num="1">
            <w:col w:w="11120"/>
          </w:cols>
          <w:pgMar w:left="320" w:top="455" w:right="4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120" w:type="dxa"/>
            <w:vAlign w:val="bottom"/>
          </w:tcPr>
          <w:p>
            <w:pPr>
              <w:spacing w:after="0"/>
              <w:rPr>
                <w:sz w:val="22"/>
                <w:szCs w:val="22"/>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7"/>
          </w:tcPr>
          <w:p>
            <w:pPr>
              <w:spacing w:after="0"/>
              <w:rPr>
                <w:sz w:val="22"/>
                <w:szCs w:val="22"/>
                <w:color w:val="auto"/>
              </w:rPr>
            </w:pPr>
          </w:p>
        </w:tc>
        <w:tc>
          <w:tcPr>
            <w:tcW w:w="6400" w:type="dxa"/>
            <w:vAlign w:val="bottom"/>
            <w:gridSpan w:val="8"/>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120" w:type="dxa"/>
            <w:vAlign w:val="bottom"/>
          </w:tcPr>
          <w:p>
            <w:pPr>
              <w:spacing w:after="0"/>
              <w:rPr>
                <w:sz w:val="22"/>
                <w:szCs w:val="22"/>
                <w:color w:val="auto"/>
              </w:rPr>
            </w:pPr>
          </w:p>
        </w:tc>
        <w:tc>
          <w:tcPr>
            <w:tcW w:w="15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22"/>
                <w:szCs w:val="22"/>
                <w:color w:val="auto"/>
              </w:rPr>
            </w:pPr>
          </w:p>
        </w:tc>
        <w:tc>
          <w:tcPr>
            <w:tcW w:w="33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0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gridSpan w:val="4"/>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120" w:type="dxa"/>
            <w:vAlign w:val="bottom"/>
          </w:tcPr>
          <w:p>
            <w:pPr>
              <w:spacing w:after="0"/>
              <w:rPr>
                <w:sz w:val="22"/>
                <w:szCs w:val="22"/>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6140" w:type="dxa"/>
            <w:vAlign w:val="bottom"/>
            <w:gridSpan w:val="7"/>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120" w:type="dxa"/>
            <w:vAlign w:val="bottom"/>
          </w:tcPr>
          <w:p>
            <w:pPr>
              <w:spacing w:after="0"/>
              <w:rPr>
                <w:sz w:val="22"/>
                <w:szCs w:val="22"/>
                <w:color w:val="auto"/>
              </w:rPr>
            </w:pPr>
          </w:p>
        </w:tc>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600" w:type="dxa"/>
            <w:vAlign w:val="bottom"/>
            <w:gridSpan w:val="11"/>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120" w:type="dxa"/>
            <w:vAlign w:val="bottom"/>
          </w:tcPr>
          <w:p>
            <w:pPr>
              <w:spacing w:after="0"/>
              <w:rPr>
                <w:sz w:val="22"/>
                <w:szCs w:val="22"/>
                <w:color w:val="auto"/>
              </w:rPr>
            </w:pPr>
          </w:p>
        </w:tc>
        <w:tc>
          <w:tcPr>
            <w:tcW w:w="2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RIGHTS</w:t>
            </w:r>
          </w:p>
        </w:tc>
        <w:tc>
          <w:tcPr>
            <w:tcW w:w="6480" w:type="dxa"/>
            <w:vAlign w:val="bottom"/>
            <w:gridSpan w:val="9"/>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120" w:type="dxa"/>
            <w:vAlign w:val="bottom"/>
          </w:tcPr>
          <w:p>
            <w:pPr>
              <w:spacing w:after="0"/>
              <w:rPr>
                <w:sz w:val="22"/>
                <w:szCs w:val="22"/>
                <w:color w:val="auto"/>
              </w:rPr>
            </w:pPr>
          </w:p>
        </w:tc>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LEGAL OWNERSHIP OF SECURITIES</w:t>
            </w:r>
          </w:p>
        </w:tc>
        <w:tc>
          <w:tcPr>
            <w:tcW w:w="5600" w:type="dxa"/>
            <w:vAlign w:val="bottom"/>
            <w:gridSpan w:val="5"/>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4"/>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120" w:type="dxa"/>
            <w:vAlign w:val="bottom"/>
          </w:tcPr>
          <w:p>
            <w:pPr>
              <w:spacing w:after="0"/>
              <w:rPr>
                <w:sz w:val="22"/>
                <w:szCs w:val="22"/>
                <w:color w:val="auto"/>
              </w:rPr>
            </w:pPr>
          </w:p>
        </w:tc>
        <w:tc>
          <w:tcPr>
            <w:tcW w:w="14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2"/>
                <w:szCs w:val="22"/>
                <w:color w:val="auto"/>
              </w:rPr>
            </w:pPr>
          </w:p>
        </w:tc>
        <w:tc>
          <w:tcPr>
            <w:tcW w:w="6580" w:type="dxa"/>
            <w:vAlign w:val="bottom"/>
            <w:gridSpan w:val="10"/>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$250,000,000. This prospectus provides you with a general description of the securities we may offer.</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291"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46"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47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300" w:right="140"/>
        <w:spacing w:after="0" w:line="236" w:lineRule="auto"/>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unless the context otherwise requires, references to “we,” “us,” “our,” “the company” and “Tempest Therapeutics” refer to Tempest Therapeutics, Inc, formerly known as “Millendo Therapeutics,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are advancing TPST-1495 and TPST-1120, two product candidates in clinical trials that we believe are the first clinical stage molecules designed to treat their respective targets; and a third program in preclinical studies that could be the first to target TREX-1, a key cellular enzyme that regulates the innate immune response in tumors. TPST-1495 is a dual antagonist of EP2 and EP4, receptors of prostaglandin E2, and is currently in a Phase 1 trial in solid tumors. Our second program, TPST-1120, is a selective antagonist of peroxisome proliferator-activated receptor alpha, or PPARα, and is also in a Phase 1 trial in solid tumors. We expect to report initial data from both these programs in the first half of 2022. Additionally, we are advancing a third program targeting the three prime repair exonuclease, or TREX-1, for which we expect to select a development candidate in the first half of 2022. Beyond these three ongoing programs, we plan to leverage our drug development and company-building experience, along with academic relationships to identify promising new targets that may feed new programs into our pipeline.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14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(the “Exchange Act”). As a smaller reporting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90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2011 under the name “Ovastem, Inc.” and changed our name to “OvaScience, Inc.” (“OvaScience”) in May 2011. On December 7, 2018, we completed a reverse merger with what was then known as “Millendo Therapeutics, Inc.” (“Private Millendo”), pursuant to which, among other matters, Orion Merger Sub, Inc., a Delaware corporation and a wholly owned subsidiary of OvaScience, merged with and into Private Millendo, with Private Millendo continuing as a wholly owned subsidiary of OvaScience and the surviving corporation of the merger (the “Millendo Merger”). Immediately following the Millendo Merger, we changed our name from “Ovascience, Inc” to “Millendo Therapeutics, Inc.”</w:t>
      </w:r>
    </w:p>
    <w:p>
      <w:pPr>
        <w:spacing w:after="0" w:line="18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On June 25, 2021, we completed a merger with TempestTx, Inc. (formerly Tempest Therapeutics, Inc.) (“Private Tempest”) in accordance with the terms of the Agreement and Plan of Merger, dated as of March 29, 2021 (the “Merger Agreement”), by and among us, Private Tempest and Mars Merger Corp., a Delaware corporation and our wholly owned subsidiary (“Merger Sub”), pursuant to which, among other matters, Merger Sub merged with and into Private Tempest, with Private Tempest continuing as our wholly owned subsidiary and the surviving corporation of the merger (the “Merger”). On June 25, 2021, we effected a 1-for-15 reverse stock split of our common stock (the “Reverse Stock Split”), completed the Merger, and changed our name to “Tempest Therapeutics, Inc.” Following the completion of the Merger, the business conducted by us became primarily the business conducted by Private Tempest.</w:t>
      </w:r>
    </w:p>
    <w:p>
      <w:pPr>
        <w:spacing w:after="0" w:line="189" w:lineRule="exact"/>
        <w:rPr>
          <w:sz w:val="20"/>
          <w:szCs w:val="20"/>
          <w:color w:val="auto"/>
        </w:rPr>
      </w:pPr>
    </w:p>
    <w:p>
      <w:pPr>
        <w:jc w:val="both"/>
        <w:ind w:left="300" w:right="160"/>
        <w:spacing w:after="0" w:line="312" w:lineRule="auto"/>
        <w:rPr>
          <w:sz w:val="20"/>
          <w:szCs w:val="20"/>
          <w:color w:val="auto"/>
        </w:rPr>
      </w:pPr>
      <w:r>
        <w:rPr>
          <w:rFonts w:ascii="Times New Roman" w:cs="Times New Roman" w:eastAsia="Times New Roman" w:hAnsi="Times New Roman"/>
          <w:sz w:val="17"/>
          <w:szCs w:val="17"/>
          <w:color w:val="auto"/>
        </w:rPr>
        <w:t>Our shares of common stock are listed on The Nasdaq Capital Market, previously trading through the close of business on Friday, June 25, 2021 under the ticker symbol “MLND,” and trading on post-Reverse Stock Split adjusted basis, under the ticker symbol “TPST,” since June 28, 2021.</w:t>
      </w:r>
    </w:p>
    <w:p>
      <w:pPr>
        <w:spacing w:after="0" w:line="140"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7000 Shoreline Court; Suite 275 South San Francisco, CA 94080, and our telephone number is (415) 798-8589. Our website is located at http://www.Tempesttx.com. We do not incorporate by reference into this prospectus the information on, or accessible through, our website, and you should not consider it as part of this prospectus.</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as updated by any subsequently filed periodic reports and other documents that are incorporated by reference into this prospectus, including the Current Report on Form 8-K filed on July 16, 2021,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Exchange Act. The words “may,” “might,” “can,” “will,” “to be,” “could,” “would,” “should,” “expect,” “intend,” “plan,” “objective,” “anticipate,” “believe,” “estimate,” “predict,” “project,” “potential,” “likely,” “continue” and “ongoing,” or the negative of these terms, or other comparable terminology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“The Company,”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8"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5"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This description also summarizes relevant provisions of the General Corporation Law of the State of Delaware, or “DGCL.” Therefore, please carefully consider the actual provisions of the amended and restated certificate of incorporation and amended and restated bylaws, which have been filed with the SEC as exhibits to the registration statement of which this prospectus forms a part, and the DGCL.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restated certificate authorizes us to issue up to 100,000,000 shares of common stock, $0.001 par value per share, and 5,000,000 shares of preferred stock, $0.001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up to 5,000,000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restated certificate and by-laws divide our board of directors into three classes with staggered three year terms. In addition, our restated certificate and by-laws provide that directors may be removed only for cause and only by the affirmative vote of the holders of 75% of our shares of capital stock present in person or by proxy and entitled to vote. Under our restated certificate and by-laws, any vacancy on our board of directors, including a vacancy resulting from an enlargement of our board of directors, may be filled only by vote of a majority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directors then in office. Furthermore, our restated certificate provides that the authorized number of directors may be changed only by the resolution of our board of directors, subject to the rights of any holders of preferred stock to elect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any exchange on which our shares are listed.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 Advance Notice Requirements for Stockholder Proposals and Director Nominations; Stockholder Action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restated certificate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 Majority Voting</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 a greater percentage. Our by-laws may be amended or repealed by a majority vote of our board of directors or the affirmative vote of the holders of at least 75% of the votes that all of our stockholders would be entitled to cast in any election of directors. In addition, the affirmative vote of the holders of at least 75% of the votes that all of our stockholders would be entitled to cast in any election of directors is required to amend or repeal or to adopt any provisions inconsistent with certain of the provisions of our restated certificate.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with offices at 250 Royall Street, Canton, Massachusetts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“TPST.”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security or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If any event of default occurs and is continuing and if such event of default is known to an officer the trustee, the trustee shall mail to each holder, pursuant to Section 313(c) of the Trust Indenture Act, notice of the event of default within the earlier of 90 days after it occurs and 30 days after it is known to an officer of the trustee or written notice of it is received by the trustee, provided that such event of default has not been cured.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Additionally, except in the case of a default in the payment of the principal of (or premium, if any) or interest on any security, the trustee shall be protected in withholding such notice if and so long as the officers of the trustee in good faith determine that the withholding of such notice is in the interest of the holders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80"/>
        <w:spacing w:after="0" w:line="282" w:lineRule="auto"/>
        <w:rPr>
          <w:sz w:val="20"/>
          <w:szCs w:val="20"/>
          <w:color w:val="auto"/>
        </w:rPr>
      </w:pPr>
      <w:r>
        <w:rPr>
          <w:rFonts w:ascii="Times New Roman" w:cs="Times New Roman" w:eastAsia="Times New Roman" w:hAnsi="Times New Roman"/>
          <w:sz w:val="18"/>
          <w:szCs w:val="18"/>
          <w:color w:val="auto"/>
        </w:rPr>
        <w:t>occurrence, or the occurrence and the continuance, of a default in any such additional covenants, restrictions, conditions or provisions an event of default or to surrender any right or power conferred upon us in the indenture;</w:t>
      </w:r>
    </w:p>
    <w:p>
      <w:pPr>
        <w:spacing w:after="0" w:line="67" w:lineRule="exact"/>
        <w:rPr>
          <w:sz w:val="20"/>
          <w:szCs w:val="20"/>
          <w:color w:val="auto"/>
        </w:rPr>
      </w:pPr>
    </w:p>
    <w:p>
      <w:pPr>
        <w:ind w:left="1080" w:right="7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being offered as exhibits to the registration statement of which this prospectus is a part. We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debt securities, the principal amount of debt securities purchasable upon exercise of one right;</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3"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Sidley Austin LLP, San Francisco, California.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Millendo Therapeutics, Inc. included in its Annual Report on Form 10-K for the year ended December 31, 2020, as set forth in their report, which is incorporated by reference in this prospectus and elsewhere in the registration statement. These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financial statements of Tempestx, Inc. (formerly Tempest Therapeutics, Inc.) as of and for the years end December 31, 2020 and December 31, 2019</w:t>
      </w:r>
    </w:p>
    <w:p>
      <w:pPr>
        <w:spacing w:after="0" w:line="39" w:lineRule="exact"/>
        <w:rPr>
          <w:sz w:val="20"/>
          <w:szCs w:val="20"/>
          <w:color w:val="auto"/>
        </w:rPr>
      </w:pPr>
    </w:p>
    <w:p>
      <w:pPr>
        <w:jc w:val="both"/>
        <w:ind w:left="120" w:right="120" w:hanging="4"/>
        <w:spacing w:after="0" w:line="253" w:lineRule="auto"/>
        <w:tabs>
          <w:tab w:leader="none" w:pos="2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in this Prospectus from Tempest Therapeutics, Inc.’s Current Report on Form 8-K filed on July 16, 2021, have been audited by Deloitte &amp; Touche LLP, an independent registered public accounting firm, as stated in their report which is incorporated by reference (which report expresses an unqualified opinion on the financial statements and includes an explanatory paragraph referring to substantial doubt regarding Tempestx, Inc.’s ability to continue as a going concern).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www.tempesttx.com. Information contained in or accessible through our website does not constitute a part of this prospectus and is not incorporated by reference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001-35890. The documents incorporated by reference into this prospectus contain important information that you should read about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6">
        <w:r>
          <w:rPr>
            <w:rFonts w:ascii="Times New Roman" w:cs="Times New Roman" w:eastAsia="Times New Roman" w:hAnsi="Times New Roman"/>
            <w:sz w:val="18"/>
            <w:szCs w:val="18"/>
            <w:u w:val="single" w:color="auto"/>
            <w:color w:val="0000EE"/>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2021;</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39"/>
        </w:numPr>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auto"/>
          </w:rPr>
          <w:t xml:space="preserve">Our Current Reports on Form 8-K and Form 8-K/A filed with the SEC on </w:t>
        </w:r>
        <w:r>
          <w:rPr>
            <w:rFonts w:ascii="Times New Roman" w:cs="Times New Roman" w:eastAsia="Times New Roman" w:hAnsi="Times New Roman"/>
            <w:sz w:val="18"/>
            <w:szCs w:val="18"/>
            <w:u w:val="single" w:color="auto"/>
            <w:color w:val="0000EE"/>
          </w:rPr>
          <w:t>January 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28,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11,</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23,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28,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the information furnished pursuant to Item 7.01 and Exhibit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7,</w:t>
        </w:r>
      </w:hyperlink>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0">
        <w:r>
          <w:rPr>
            <w:rFonts w:ascii="Times New Roman" w:cs="Times New Roman" w:eastAsia="Times New Roman" w:hAnsi="Times New Roman"/>
            <w:sz w:val="18"/>
            <w:szCs w:val="18"/>
            <w:u w:val="single" w:color="auto"/>
            <w:color w:val="0000EE"/>
          </w:rPr>
          <w:t xml:space="preserve">July 12, 2021 </w:t>
        </w:r>
      </w:hyperlink>
      <w:hyperlink r:id="rId8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July 16, 2021</w:t>
        </w:r>
      </w:hyperlink>
      <w:hyperlink r:id="rId89">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registration statement on </w:t>
      </w:r>
      <w:hyperlink r:id="rId9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registering our common stock under Section 12 of the Exchange Act, which was filed with the SEC on April 25, 2013, including any amendments or reports filed for purposes of updating such description.</w:t>
      </w:r>
    </w:p>
    <w:p>
      <w:pPr>
        <w:spacing w:after="0" w:line="176" w:lineRule="exact"/>
        <w:rPr>
          <w:rFonts w:ascii="Times New Roman" w:cs="Times New Roman" w:eastAsia="Times New Roman" w:hAnsi="Times New Roman"/>
          <w:sz w:val="18"/>
          <w:szCs w:val="18"/>
          <w:color w:val="0000EE"/>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0000EE"/>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7000 Shoreline Court; Suite 275 South San Francisco, CA 94080.</w:t>
      </w:r>
    </w:p>
    <w:p>
      <w:pPr>
        <w:spacing w:after="0" w:line="180" w:lineRule="exact"/>
        <w:rPr>
          <w:rFonts w:ascii="Times New Roman" w:cs="Times New Roman" w:eastAsia="Times New Roman" w:hAnsi="Times New Roman"/>
          <w:sz w:val="18"/>
          <w:szCs w:val="18"/>
          <w:color w:val="0000EE"/>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8"/>
          <w:szCs w:val="18"/>
          <w:color w:val="0000EE"/>
        </w:rPr>
      </w:pPr>
    </w:p>
    <w:p>
      <w:pPr>
        <w:spacing w:after="0" w:line="273"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$205,000,000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678180</wp:posOffset>
            </wp:positionV>
            <wp:extent cx="1508760" cy="360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15087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i w:val="1"/>
          <w:i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743585</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3"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jpe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jpe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38" Type="http://schemas.openxmlformats.org/officeDocument/2006/relationships/hyperlink" Target="http://www.sec.gov/ix?doc=/Archives/edgar/data/0001544227/000095017024033555/tpst-20231231.htm" TargetMode="External"/><Relationship Id="rId39" Type="http://schemas.openxmlformats.org/officeDocument/2006/relationships/hyperlink" Target="http://www.sec.gov/Archives/edgar/data/1544227/000119312524106959/d240250ddef14a.htm" TargetMode="External"/><Relationship Id="rId40" Type="http://schemas.openxmlformats.org/officeDocument/2006/relationships/hyperlink" Target="http://www.sec.gov/ix?doc=/Archives/edgar/data/1544227/000095017024057072/tpst-20240331.htm" TargetMode="External"/><Relationship Id="rId41" Type="http://schemas.openxmlformats.org/officeDocument/2006/relationships/hyperlink" Target="http://www.sec.gov/ix?doc=/Archives/edgar/data/1544227/000119312524161685/d853541d8k.htm" TargetMode="External"/><Relationship Id="rId42" Type="http://schemas.openxmlformats.org/officeDocument/2006/relationships/hyperlink" Target="http://www.sec.gov/ix?doc=/Archives/edgar/data/1544227/000119312524164015/d857887d8k.htm" TargetMode="External"/><Relationship Id="rId44" Type="http://schemas.openxmlformats.org/officeDocument/2006/relationships/hyperlink" Target="http://www.sec.gov/Archives/edgar/data/1544227/000110465913033085/a13-9660_28a12b.htm" TargetMode="External"/><Relationship Id="rId45" Type="http://schemas.openxmlformats.org/officeDocument/2006/relationships/hyperlink" Target="http://www.sec.gov/Archives/edgar/data/1544227/000095017024033555/tpst-ex4_1.htm" TargetMode="External"/><Relationship Id="rId85" Type="http://schemas.openxmlformats.org/officeDocument/2006/relationships/hyperlink" Target="http://www.sec.gov/ix?doc=/Archives/edgar/data/0001544227/000154422721000018/mlnd-20201231.htm" TargetMode="External"/><Relationship Id="rId86" Type="http://schemas.openxmlformats.org/officeDocument/2006/relationships/hyperlink" Target="http://www.sec.gov/ix?doc=/Archives/edgar/data/0001544227/000154422721000026/mlnd-20201231.htm" TargetMode="External"/><Relationship Id="rId87" Type="http://schemas.openxmlformats.org/officeDocument/2006/relationships/hyperlink" Target="http://www.sec.gov/ix?doc=/Archives/edgar/data/0001544227/000154422721000029/mlnd-20210331.htm" TargetMode="External"/><Relationship Id="rId88" Type="http://schemas.openxmlformats.org/officeDocument/2006/relationships/hyperlink" Target="http://www.sec.gov/Archives/edgar/data/0001544227/000119312521189024/d165428d8k.htm" TargetMode="External"/><Relationship Id="rId89" Type="http://schemas.openxmlformats.org/officeDocument/2006/relationships/hyperlink" Target="http://www.sec.gov/Archives/edgar/data/0001544227/000119312521209988/d69289d8k.htm" TargetMode="External"/><Relationship Id="rId90" Type="http://schemas.openxmlformats.org/officeDocument/2006/relationships/hyperlink" Target="http://www.sec.gov/Archives/edgar/data/1544227/000119312521212534/d181625d8k.htm" TargetMode="External"/><Relationship Id="rId91" Type="http://schemas.openxmlformats.org/officeDocument/2006/relationships/hyperlink" Target="http://www.sec.gov/Archives/edgar/data/1544227/000119312521217458/d138850d8k.htm" TargetMode="External"/><Relationship Id="rId92" Type="http://schemas.openxmlformats.org/officeDocument/2006/relationships/hyperlink" Target="http://www.sec.gov/Archives/edgar/data/0001544227/000110465913033085/a13-9660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2024-06-20T07:39:42Z</dcterms:created>
  <dcterms:modified xsi:type="dcterms:W3CDTF">2024-06-20T07:39:42Z</dcterms:modified>
</cp:coreProperties>
</file>