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Max Eisenberg</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One Sansome Street, Suite 1650,</w:t>
      </w:r>
    </w:p>
    <w:p>
      <w:pPr>
        <w:ind w:left="364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94104</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415-801-8100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Venture Capital VI,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209,914.00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209,914.00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209,914.00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is filed by Versant Venture Capital IV, L.P. ("Versant IV"), Versant Side Fund IV, L.P. ("Side Fund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6"/>
              </w:rPr>
              <w:t>IV"), Versant Ventures IV, LLC ("LLC IV"), Versant Venture Capital VI, L.P. ("Versant VI"), Versant Ventures VI GP,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L.P. ("GP VI"), Versant Ventures VI GP-GP, LLC ("LLC VI"), Versant Vantage II, L.P. ("Vantage II LP"), Versant</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Vantage II GP, L.P. ("Vantage II GP"), Versant Vantage II GP-GP, LLC ("Vantage II LLC" and, with Versant IV, Side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Fund IV, LLC IV, Versant VI, GP VI, LLC VI, Vantage II LP and Vantage II GP, collectively, the "Reporting Persons").</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LLC IV is the general partner of Versant IV and Side Fund IV, and LLC IV has voting, investment and dispositive power over the shares held by each of Versant IV and Side Fund IV. LLC VI is the general partner of GP VI, which is the general partner of Versant VI. Each of LLC VI and GP VI share voting, investment and dispositive power over the shares held by Versant VI. Vantage II LLC is the general partner of Vantage II GP, which is the general partner of Vantage II LP. Each of Vantage II LLC and Vantage II GP share voting, investment and dispositive power over the shares held by Vantage II LP. The Reporting Persons expressly disclaim status as a "group" for purposes of this Schedule 13D. These shares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 Percentage based on 44,148,563 shares of Common Stock (as defined in Item 1 of the Original Schedule 13D (as defined in Item 1 below)) outstanding as of January 30, 2025, as set forth in the Issuer's prospectus supplement, filed pursuant to Rule 424(b)(5) with the United States Securities and Exchange Commission (the "Commission") on February 6, 2025 (the "Prospectus").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ectPr>
          <w:pgSz w:w="11900" w:h="16838" w:orient="portrait"/>
          <w:cols w:equalWidth="0" w:num="1">
            <w:col w:w="11240"/>
          </w:cols>
          <w:pgMar w:left="320" w:top="126"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Versant Ventures VI GP, L.P.</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209,914.00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209,914.00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209,914.00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is filed by the Reporting Persons. The Reporting Persons expressly disclaim status as a "group" for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purposes of this Schedule 13D. These shares are held by Versant VI. LLC VI is the general partner of GP VI, which is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the general partner of Versant VI. Each of LLC VI and GP VI share voting, investment and dispositive power over the</w:t>
            </w:r>
          </w:p>
        </w:tc>
      </w:tr>
    </w:tbl>
    <w:p>
      <w:pPr>
        <w:jc w:val="both"/>
        <w:spacing w:after="0" w:line="203"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shares held by Versant VI and as a result may be deemed to have beneficial ownership over such securities. Percentage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based on 44,148,563 shares of Common Stock outstanding as of January 30, 2025, as set forth in the Prospectus.</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Ventures VI GP-GP,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355" w:right="339" w:bottom="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209,914.00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209,914.00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209,914.00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is filed by the Reporting Persons. The Reporting Persons expressly disclaim status as a "group" for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purposes of this Schedule 13D. These shares are held by Versant VI. LLC VI is the general partner of GP VI, which is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the general partner of Versant VI. Each of LLC VI and GP VI share voting, investment and dispositive power over the</w:t>
            </w:r>
          </w:p>
        </w:tc>
      </w:tr>
    </w:tbl>
    <w:p>
      <w:pPr>
        <w:jc w:val="both"/>
        <w:spacing w:after="0" w:line="203"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shares held by Versant VI and as a result may be deemed to have beneficial ownership over such securities. Percentage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based on 44,148,563 shares of Common Stock outstanding as of January 30, 2025, as set forth in the Prospectus.</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Vantage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240"/>
          </w:cols>
          <w:pgMar w:left="320" w:top="355" w:right="339" w:bottom="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2,118,644.00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19"/>
        </w:trPr>
        <w:tc>
          <w:tcPr>
            <w:tcW w:w="110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2,118,644.00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2,118,644.00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is filed by the Reporting Persons. The Reporting Persons expressly disclaim status as a "group" for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purposes of this Schedule 13D. These shares are held by Vantage II LP. Vantage II LLC is the general partner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Vantage II GP, which is the general partner of Vantage II LP. Each of Vantage II LLC and Vantage II GP share voting,</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investment and dispositive power over the shares held by Vantage II LP and as a result may be deemed to have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 ownership over such securities. Percentage based on 44,148,563 shares of Common Stock outstanding as of</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January 30, 2025, as set forth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Vantage 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2,118,644.00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5" w:name="page6"/>
    <w:bookmarkEnd w:id="5"/>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2,118,644.00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2,118,644.00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is filed by the Reporting Persons. The Reporting Persons expressly disclaim status as a "group" for</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purposes of this Schedule 13D. These shares are held by Vantage II LP. Vantage II LLC is the general partner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Vantage II GP, which is the general partner of Vantage II LP. Each of Vantage II LLC and Vantage II GP share voting,</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investment and dispositive power over the shares held by Vantage II LP and as a result may be deemed to have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 ownership over such securities. Percentage based on 44,148,563 shares of Common Stock outstanding as of</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January 30, 2025, as set forth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Vantage II GP-GP,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2,118,644.00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2,118,644.00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355" w:right="339"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2,118,644.00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is filed by the Reporting Persons. The Reporting Persons expressly disclaim status as a "group" for</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purposes of this Schedule 13D. These shares are held by Vantage II LP. Vantage II LLC is the general partner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Vantage II GP, which is the general partner of Vantage II LP. Each of Vantage II LLC and Vantage II GP share voting,</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investment and dispositive power over the shares held by Vantage II LP and as a result may be deemed to have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 ownership over such securities. Percentage based on 44,148,563 shares of Common Stock outstanding as of</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January 30, 2025, as set forth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Venture Capital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1,171,094.00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1,171,094.00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1,171,094.00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ectPr>
          <w:pgSz w:w="11900" w:h="16838" w:orient="portrait"/>
          <w:cols w:equalWidth="0" w:num="2">
            <w:col w:w="1100" w:space="60"/>
            <w:col w:w="10080"/>
          </w:cols>
          <w:pgMar w:left="320" w:top="111" w:right="339" w:bottom="0" w:gutter="0" w:footer="0" w:header="0"/>
          <w:type w:val="continuous"/>
        </w:sectPr>
      </w:pPr>
    </w:p>
    <w:bookmarkStart w:id="7" w:name="page8"/>
    <w:bookmarkEnd w:id="7"/>
    <w:p>
      <w:pPr>
        <w:spacing w:after="0" w:line="197"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is filed by the Reporting Persons. The Reporting Persons expressly disclaim status as a "group" for</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purposes of this Schedule 13D. These shares are held by Versant IV. LLC IV is the general partner of Versant IV and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has voting, investment and dispositive power over the shares held by Versant IV and as a result may be deemed to have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beneficial ownership over such securities. Percentage based on 44,148,563 shares of Common Stock outstanding as of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January 30, 2025, as set forth in the Prospectus.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Side Fund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7,377.00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7,377.00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7,377.00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is filed by the Reporting Persons. The Reporting Persons expressly disclaim status as a "group" for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purposes of this Schedule 13D. These shares are held by Side Fund IV. LLC IV is the general partner of Side Fund IV</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and has voting, investment and dispositive power over the shares held by Side Fund IV and as a result may be deemed</w:t>
            </w:r>
          </w:p>
        </w:tc>
      </w:tr>
    </w:tbl>
    <w:p>
      <w:pPr>
        <w:jc w:val="both"/>
        <w:spacing w:after="0" w:line="180"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to have beneficial ownership over such securities. Percentage based on 44,148,563 shares of Common Stock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outstanding as of January 30, 2025, as set forth in the Prospectus.</w:t>
      </w:r>
    </w:p>
    <w:p>
      <w:pPr>
        <w:sectPr>
          <w:pgSz w:w="11900" w:h="17036" w:orient="portrait"/>
          <w:cols w:equalWidth="0" w:num="1">
            <w:col w:w="11240"/>
          </w:cols>
          <w:pgMar w:left="320" w:top="111" w:right="339" w:bottom="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Ventures IV,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1,178,471.00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1,178,471.00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1,178,471.00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is filed by the Reporting Persons. The Reporting Persons expressly disclaim status as a "group" for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purposes of this Schedule 13D. Includes (i) 1,171,094 shares held by Versant IV; and (ii) 7,377 shares held by Side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Fund IV. LLC IV is the general partner of Versant IV and Side Fund IV, and LLC IV has voting, investment and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dispositive power over the shares held by each of Versant IV and Side Fund IV and as a result may be deemed to have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beneficial ownership over such securities. Percentage based on 44,148,563 shares of Common Stock outstanding as of</w:t>
      </w:r>
    </w:p>
    <w:p>
      <w:pPr>
        <w:ind w:left="920"/>
        <w:spacing w:after="0"/>
        <w:rPr>
          <w:sz w:val="20"/>
          <w:szCs w:val="20"/>
          <w:color w:val="auto"/>
        </w:rPr>
      </w:pPr>
      <w:r>
        <w:rPr>
          <w:rFonts w:ascii="Times New Roman" w:cs="Times New Roman" w:eastAsia="Times New Roman" w:hAnsi="Times New Roman"/>
          <w:sz w:val="22"/>
          <w:szCs w:val="22"/>
          <w:color w:val="auto"/>
        </w:rPr>
        <w:t>January 30, 2025, as set forth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37" w:right="339" w:bottom="0" w:gutter="0" w:footer="0" w:header="0"/>
        </w:sectPr>
      </w:pP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hanging="912"/>
        <w:spacing w:after="0"/>
        <w:tabs>
          <w:tab w:leader="none" w:pos="9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38" w:orient="portrait"/>
          <w:cols w:equalWidth="0" w:num="1">
            <w:col w:w="11240"/>
          </w:cols>
          <w:pgMar w:left="320" w:top="837" w:right="339" w:bottom="0" w:gutter="0" w:footer="0" w:header="0"/>
          <w:type w:val="continuous"/>
        </w:sectPr>
      </w:pPr>
    </w:p>
    <w:bookmarkStart w:id="9" w:name="page10"/>
    <w:bookmarkEnd w:id="9"/>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Tempest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2000 Sierra Point Parkway, Suite 400, Brisbane, CALIFORNIA , 94005.</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(this "Amendment") amends and supplements the Schedule 13D originally filed by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with the Commission on May 9, 2022, as amended by Amendment No. 1 filed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on November 9, 2023, Amendment No. 2 filed with the Commission on February 8, 2024, Amendment No. 3 filed with the Commission on May 13, 2024 and Amendment No. 4 ("Amendment No. 4") filed with the Commission on August 12, 2024 (collectively,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 This Amendment is being filed to update the aggregate percentage of Common Stock owned by the Reporting Persons due to dilution caused by the Issuer's sales of additional shares of its Common Stock from time to time since the date of the filing of Amendment No. 4. Such transactions resulted in a decrease of over one percent (1%) in the aggregate percentage</w:t>
      </w:r>
    </w:p>
    <w:p>
      <w:pPr>
        <w:spacing w:after="0" w:line="2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ownership reported by the Reporting Persons in Amendment No. 4.</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both"/>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Versant Venture Capital VI,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Versant Ventures VI GP-GP, LLC, the General</w:t>
      </w:r>
    </w:p>
    <w:p>
      <w:pPr>
        <w:ind w:left="6740"/>
        <w:spacing w:after="0"/>
        <w:rPr>
          <w:sz w:val="20"/>
          <w:szCs w:val="20"/>
          <w:color w:val="auto"/>
        </w:rPr>
      </w:pPr>
      <w:r>
        <w:rPr>
          <w:rFonts w:ascii="Times New Roman" w:cs="Times New Roman" w:eastAsia="Times New Roman" w:hAnsi="Times New Roman"/>
          <w:sz w:val="22"/>
          <w:szCs w:val="22"/>
          <w:color w:val="auto"/>
        </w:rPr>
        <w:t>Partner of Versant Ventures VI GP,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Versant Ventures VI GP,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Versant Ventures VI GP-GP, LLC, the General</w:t>
      </w:r>
    </w:p>
    <w:p>
      <w:pPr>
        <w:ind w:left="6740"/>
        <w:spacing w:after="0"/>
        <w:rPr>
          <w:sz w:val="20"/>
          <w:szCs w:val="20"/>
          <w:color w:val="auto"/>
        </w:rPr>
      </w:pPr>
      <w:r>
        <w:rPr>
          <w:rFonts w:ascii="Times New Roman" w:cs="Times New Roman" w:eastAsia="Times New Roman" w:hAnsi="Times New Roman"/>
          <w:sz w:val="22"/>
          <w:szCs w:val="22"/>
          <w:color w:val="auto"/>
        </w:rPr>
        <w:t>Partner of Versant Ventures VI GP,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Versant Ventures VI GP-GP, LLC</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Max Eisenberg/Chief Operating Officer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Versant Vantage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Versant Ventures II GP-GP, LLC,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Partner of Versant Vantage II GP, L.P., the General</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Ve</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Versant Vantage II GP,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Versant Vantage II GP-GP, LLC, the General</w:t>
      </w:r>
    </w:p>
    <w:p>
      <w:pPr>
        <w:ind w:left="6740"/>
        <w:spacing w:after="0"/>
        <w:rPr>
          <w:sz w:val="20"/>
          <w:szCs w:val="20"/>
          <w:color w:val="auto"/>
        </w:rPr>
      </w:pPr>
      <w:r>
        <w:rPr>
          <w:rFonts w:ascii="Times New Roman" w:cs="Times New Roman" w:eastAsia="Times New Roman" w:hAnsi="Times New Roman"/>
          <w:sz w:val="22"/>
          <w:szCs w:val="22"/>
          <w:color w:val="auto"/>
        </w:rPr>
        <w:t>Partner of Versant Vantage II GP,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Versant Vantage II GP-GP, LLC</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ectPr>
          <w:pgSz w:w="11900" w:h="16838" w:orient="portrait"/>
          <w:cols w:equalWidth="0" w:num="1">
            <w:col w:w="11160"/>
          </w:cols>
          <w:pgMar w:left="360" w:top="355" w:right="379" w:bottom="0" w:gutter="0" w:footer="0" w:header="0"/>
        </w:sectPr>
      </w:pPr>
    </w:p>
    <w:bookmarkStart w:id="10" w:name="page11"/>
    <w:bookmarkEnd w:id="10"/>
    <w:p>
      <w:pPr>
        <w:ind w:left="3640"/>
        <w:spacing w:after="0"/>
        <w:rPr>
          <w:sz w:val="20"/>
          <w:szCs w:val="20"/>
          <w:color w:val="auto"/>
        </w:rPr>
      </w:pPr>
      <w:r>
        <w:rPr>
          <w:rFonts w:ascii="Times New Roman" w:cs="Times New Roman" w:eastAsia="Times New Roman" w:hAnsi="Times New Roman"/>
          <w:sz w:val="22"/>
          <w:szCs w:val="22"/>
          <w:color w:val="auto"/>
        </w:rPr>
        <w:t>Name/Title: Max Eisenberg/Chief Operating Officer</w:t>
      </w:r>
    </w:p>
    <w:p>
      <w:pPr>
        <w:spacing w:after="0" w:line="45"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Versant Venture Capital IV,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Versant Ventures IV, LLC, the General Partner of</w:t>
      </w:r>
    </w:p>
    <w:p>
      <w:pPr>
        <w:ind w:left="5660"/>
        <w:spacing w:after="0"/>
        <w:rPr>
          <w:sz w:val="20"/>
          <w:szCs w:val="20"/>
          <w:color w:val="auto"/>
        </w:rPr>
      </w:pPr>
      <w:r>
        <w:rPr>
          <w:rFonts w:ascii="Times New Roman" w:cs="Times New Roman" w:eastAsia="Times New Roman" w:hAnsi="Times New Roman"/>
          <w:sz w:val="22"/>
          <w:szCs w:val="22"/>
          <w:color w:val="auto"/>
        </w:rPr>
        <w:t>Versant Venture Capital IV,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Versant Side Fund IV,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Versant Ventures IV, LLC, the General Partner of</w:t>
      </w:r>
    </w:p>
    <w:p>
      <w:pPr>
        <w:ind w:left="5660"/>
        <w:spacing w:after="0"/>
        <w:rPr>
          <w:sz w:val="20"/>
          <w:szCs w:val="20"/>
          <w:color w:val="auto"/>
        </w:rPr>
      </w:pPr>
      <w:r>
        <w:rPr>
          <w:rFonts w:ascii="Times New Roman" w:cs="Times New Roman" w:eastAsia="Times New Roman" w:hAnsi="Times New Roman"/>
          <w:sz w:val="22"/>
          <w:szCs w:val="22"/>
          <w:color w:val="auto"/>
        </w:rPr>
        <w:t>Versant Side Fund IV,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Versant Ventures IV, LLC</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Max Eisenberg/Chief Operating Officer</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sectPr>
      <w:pgSz w:w="11900" w:h="16838" w:orient="portrait"/>
      <w:cols w:equalWidth="0" w:num="1">
        <w:col w:w="9920"/>
      </w:cols>
      <w:pgMar w:left="1440" w:top="11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4"/>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2"/>
      <w:numFmt w:val="bullet"/>
      <w:start w:val="1"/>
    </w:lvl>
  </w:abstractNum>
  <w:abstractNum w:abstractNumId="13">
    <w:nsid w:val="25E45D32"/>
    <w:multiLevelType w:val="hybridMultilevel"/>
    <w:lvl w:ilvl="0">
      <w:lvlJc w:val="left"/>
      <w:lvlText w:val="2"/>
      <w:numFmt w:val="bullet"/>
      <w:start w:val="1"/>
    </w:lvl>
  </w:abstractNum>
  <w:abstractNum w:abstractNumId="14">
    <w:nsid w:val="519B500D"/>
    <w:multiLevelType w:val="hybridMultilevel"/>
    <w:lvl w:ilvl="0">
      <w:lvlJc w:val="left"/>
      <w:lvlText w:val="%1"/>
      <w:numFmt w:val="decimal"/>
      <w:start w:val="14"/>
    </w:lvl>
  </w:abstractNum>
  <w:abstractNum w:abstractNumId="15">
    <w:nsid w:val="431BD7B7"/>
    <w:multiLevelType w:val="hybridMultilevel"/>
    <w:lvl w:ilvl="0">
      <w:lvlJc w:val="left"/>
      <w:lvlText w:val="2"/>
      <w:numFmt w:val="bullet"/>
      <w:start w:val="1"/>
    </w:lvl>
  </w:abstractNum>
  <w:abstractNum w:abstractNumId="16">
    <w:nsid w:val="3F2DBA31"/>
    <w:multiLevelType w:val="hybridMultilevel"/>
    <w:lvl w:ilvl="0">
      <w:lvlJc w:val="left"/>
      <w:lvlText w:val="3"/>
      <w:numFmt w:val="bullet"/>
      <w:start w:val="1"/>
    </w:lvl>
  </w:abstractNum>
  <w:abstractNum w:abstractNumId="17">
    <w:nsid w:val="7C83E458"/>
    <w:multiLevelType w:val="hybridMultilevel"/>
    <w:lvl w:ilvl="0">
      <w:lvlJc w:val="left"/>
      <w:lvlText w:val="2"/>
      <w:numFmt w:val="bullet"/>
      <w:start w:val="1"/>
    </w:lvl>
  </w:abstractNum>
  <w:abstractNum w:abstractNumId="18">
    <w:nsid w:val="257130A3"/>
    <w:multiLevelType w:val="hybridMultilevel"/>
    <w:lvl w:ilvl="0">
      <w:lvlJc w:val="left"/>
      <w:lvlText w:val="3"/>
      <w:numFmt w:val="bullet"/>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2025-02-11T17:02:36Z</dcterms:created>
  <dcterms:modified xsi:type="dcterms:W3CDTF">2025-02-11T17:02:36Z</dcterms:modified>
</cp:coreProperties>
</file>