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THEARAPEUTICS,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will vest in full on the earlier of (i) June 15, 2024, or (ii) the day of the Issuer's 2024 annual stockholder meeting,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Brady,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21402" TargetMode="External"/><Relationship Id="rId4" Type="http://schemas.openxmlformats.org/officeDocument/2006/relationships/hyperlink" Target="http://www.sec.gov/cgi-bin/browse-edgar?action=getcompany&amp;CIK=00015442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3321</Characters>
  <CharactersWithSpaces>3866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