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13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1329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Woiwode Thomas</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Millendo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7000 SHORELINE COURT</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06/25/2021</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275</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60" w:type="dxa"/>
            <w:vAlign w:val="bottom"/>
          </w:tcPr>
          <w:p>
            <w:pPr>
              <w:spacing w:after="0"/>
              <w:rPr>
                <w:sz w:val="13"/>
                <w:szCs w:val="13"/>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80" w:type="dxa"/>
            <w:vAlign w:val="bottom"/>
            <w:tcBorders>
              <w:bottom w:val="single" w:sz="8" w:color="9A9A9A"/>
            </w:tcBorders>
            <w:gridSpan w:val="2"/>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3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8"/>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gridSpan w:val="5"/>
          </w:tcPr>
          <w:p>
            <w:pPr>
              <w:jc w:val="center"/>
              <w:ind w:left="5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3"/>
            <w:vMerge w:val="restart"/>
          </w:tcPr>
          <w:p>
            <w:pPr>
              <w:jc w:val="right"/>
              <w:ind w:right="171"/>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gridSpan w:val="5"/>
          </w:tcPr>
          <w:p>
            <w:pPr>
              <w:jc w:val="center"/>
              <w:ind w:left="568"/>
              <w:spacing w:after="0"/>
              <w:rPr>
                <w:sz w:val="20"/>
                <w:szCs w:val="20"/>
                <w:color w:val="auto"/>
              </w:rPr>
            </w:pPr>
            <w:r>
              <w:rPr>
                <w:rFonts w:ascii="Arial" w:cs="Arial" w:eastAsia="Arial" w:hAnsi="Arial"/>
                <w:sz w:val="17"/>
                <w:szCs w:val="17"/>
                <w:color w:val="0000FF"/>
                <w:w w:val="91"/>
              </w:rPr>
              <w:t>06/25/2021</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center"/>
              <w:ind w:right="318"/>
              <w:spacing w:after="0"/>
              <w:rPr>
                <w:sz w:val="20"/>
                <w:szCs w:val="20"/>
                <w:color w:val="auto"/>
              </w:rPr>
            </w:pPr>
            <w:r>
              <w:rPr>
                <w:rFonts w:ascii="Arial" w:cs="Arial" w:eastAsia="Arial" w:hAnsi="Arial"/>
                <w:sz w:val="13"/>
                <w:szCs w:val="13"/>
                <w:color w:val="0000FF"/>
              </w:rPr>
              <w:t>A</w:t>
            </w:r>
          </w:p>
        </w:tc>
        <w:tc>
          <w:tcPr>
            <w:tcW w:w="800" w:type="dxa"/>
            <w:vAlign w:val="bottom"/>
            <w:gridSpan w:val="2"/>
          </w:tcPr>
          <w:p>
            <w:pPr>
              <w:jc w:val="center"/>
              <w:ind w:left="70"/>
              <w:spacing w:after="0"/>
              <w:rPr>
                <w:sz w:val="20"/>
                <w:szCs w:val="20"/>
                <w:color w:val="auto"/>
              </w:rPr>
            </w:pPr>
            <w:r>
              <w:rPr>
                <w:rFonts w:ascii="Arial" w:cs="Arial" w:eastAsia="Arial" w:hAnsi="Arial"/>
                <w:sz w:val="17"/>
                <w:szCs w:val="17"/>
                <w:color w:val="0000FF"/>
                <w:w w:val="94"/>
              </w:rPr>
              <w:t>997,940</w:t>
            </w:r>
          </w:p>
        </w:tc>
        <w:tc>
          <w:tcPr>
            <w:tcW w:w="30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A</w:t>
            </w:r>
          </w:p>
        </w:tc>
        <w:tc>
          <w:tcPr>
            <w:tcW w:w="540" w:type="dxa"/>
            <w:vAlign w:val="bottom"/>
            <w:gridSpan w:val="3"/>
          </w:tcPr>
          <w:p>
            <w:pPr>
              <w:jc w:val="right"/>
              <w:ind w:right="151"/>
              <w:spacing w:after="0"/>
              <w:rPr>
                <w:sz w:val="20"/>
                <w:szCs w:val="20"/>
                <w:color w:val="auto"/>
              </w:rPr>
            </w:pPr>
            <w:r>
              <w:rPr>
                <w:rFonts w:ascii="Arial" w:cs="Arial" w:eastAsia="Arial" w:hAnsi="Arial"/>
                <w:sz w:val="11"/>
                <w:szCs w:val="11"/>
                <w:color w:val="008000"/>
              </w:rPr>
              <w:t>(1)</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997,940</w:t>
            </w:r>
          </w:p>
        </w:tc>
        <w:tc>
          <w:tcPr>
            <w:tcW w:w="920" w:type="dxa"/>
            <w:vAlign w:val="bottom"/>
          </w:tcPr>
          <w:p>
            <w:pPr>
              <w:ind w:left="300"/>
              <w:spacing w:after="0" w:line="235"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0"/>
                <w:szCs w:val="10"/>
                <w:color w:val="008000"/>
              </w:rPr>
              <w:t>(2)</w:t>
            </w:r>
          </w:p>
        </w:tc>
        <w:tc>
          <w:tcPr>
            <w:tcW w:w="82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gridSpan w:val="3"/>
          </w:tcPr>
          <w:p>
            <w:pPr>
              <w:spacing w:after="0" w:line="192" w:lineRule="exact"/>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VI, L.P.</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gridSpan w:val="5"/>
          </w:tcPr>
          <w:p>
            <w:pPr>
              <w:jc w:val="center"/>
              <w:ind w:left="568"/>
              <w:spacing w:after="0"/>
              <w:rPr>
                <w:sz w:val="20"/>
                <w:szCs w:val="20"/>
                <w:color w:val="auto"/>
              </w:rPr>
            </w:pPr>
            <w:r>
              <w:rPr>
                <w:rFonts w:ascii="Arial" w:cs="Arial" w:eastAsia="Arial" w:hAnsi="Arial"/>
                <w:sz w:val="17"/>
                <w:szCs w:val="17"/>
                <w:color w:val="0000FF"/>
                <w:w w:val="91"/>
              </w:rPr>
              <w:t>06/25/2021</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center"/>
              <w:ind w:right="318"/>
              <w:spacing w:after="0"/>
              <w:rPr>
                <w:sz w:val="20"/>
                <w:szCs w:val="20"/>
                <w:color w:val="auto"/>
              </w:rPr>
            </w:pPr>
            <w:r>
              <w:rPr>
                <w:rFonts w:ascii="Arial" w:cs="Arial" w:eastAsia="Arial" w:hAnsi="Arial"/>
                <w:sz w:val="13"/>
                <w:szCs w:val="13"/>
                <w:color w:val="0000FF"/>
              </w:rPr>
              <w:t>A</w:t>
            </w:r>
          </w:p>
        </w:tc>
        <w:tc>
          <w:tcPr>
            <w:tcW w:w="1100" w:type="dxa"/>
            <w:vAlign w:val="bottom"/>
            <w:gridSpan w:val="3"/>
          </w:tcPr>
          <w:p>
            <w:pPr>
              <w:jc w:val="center"/>
              <w:ind w:right="100"/>
              <w:spacing w:after="0" w:line="234" w:lineRule="exact"/>
              <w:rPr>
                <w:sz w:val="20"/>
                <w:szCs w:val="20"/>
                <w:color w:val="auto"/>
              </w:rPr>
            </w:pPr>
            <w:r>
              <w:rPr>
                <w:rFonts w:ascii="Arial" w:cs="Arial" w:eastAsia="Arial" w:hAnsi="Arial"/>
                <w:sz w:val="17"/>
                <w:szCs w:val="17"/>
                <w:color w:val="0000FF"/>
                <w:w w:val="87"/>
              </w:rPr>
              <w:t>1,171,094</w:t>
            </w:r>
            <w:r>
              <w:rPr>
                <w:rFonts w:ascii="Arial" w:cs="Arial" w:eastAsia="Arial" w:hAnsi="Arial"/>
                <w:sz w:val="22"/>
                <w:szCs w:val="22"/>
                <w:color w:val="008000"/>
                <w:w w:val="87"/>
                <w:vertAlign w:val="superscript"/>
              </w:rPr>
              <w:t>(5)</w:t>
            </w:r>
          </w:p>
        </w:tc>
        <w:tc>
          <w:tcPr>
            <w:tcW w:w="380" w:type="dxa"/>
            <w:vAlign w:val="bottom"/>
          </w:tcPr>
          <w:p>
            <w:pPr>
              <w:ind w:left="20"/>
              <w:spacing w:after="0"/>
              <w:rPr>
                <w:sz w:val="20"/>
                <w:szCs w:val="20"/>
                <w:color w:val="auto"/>
              </w:rPr>
            </w:pPr>
            <w:r>
              <w:rPr>
                <w:rFonts w:ascii="Arial" w:cs="Arial" w:eastAsia="Arial" w:hAnsi="Arial"/>
                <w:sz w:val="17"/>
                <w:szCs w:val="17"/>
                <w:color w:val="0000FF"/>
              </w:rPr>
              <w:t>A</w:t>
            </w:r>
          </w:p>
        </w:tc>
        <w:tc>
          <w:tcPr>
            <w:tcW w:w="540" w:type="dxa"/>
            <w:vAlign w:val="bottom"/>
            <w:gridSpan w:val="3"/>
          </w:tcPr>
          <w:p>
            <w:pPr>
              <w:jc w:val="right"/>
              <w:ind w:right="151"/>
              <w:spacing w:after="0"/>
              <w:rPr>
                <w:sz w:val="20"/>
                <w:szCs w:val="20"/>
                <w:color w:val="auto"/>
              </w:rPr>
            </w:pPr>
            <w:r>
              <w:rPr>
                <w:rFonts w:ascii="Arial" w:cs="Arial" w:eastAsia="Arial" w:hAnsi="Arial"/>
                <w:sz w:val="11"/>
                <w:szCs w:val="11"/>
                <w:color w:val="008000"/>
              </w:rPr>
              <w:t>(1)</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2"/>
              </w:rPr>
              <w:t>1,171,094</w:t>
            </w:r>
          </w:p>
        </w:tc>
        <w:tc>
          <w:tcPr>
            <w:tcW w:w="920" w:type="dxa"/>
            <w:vAlign w:val="bottom"/>
          </w:tcPr>
          <w:p>
            <w:pPr>
              <w:ind w:left="300"/>
              <w:spacing w:after="0" w:line="235"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0"/>
                <w:szCs w:val="10"/>
                <w:color w:val="008000"/>
              </w:rPr>
              <w:t>(3)</w:t>
            </w:r>
          </w:p>
        </w:tc>
        <w:tc>
          <w:tcPr>
            <w:tcW w:w="82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gridSpan w:val="3"/>
          </w:tcPr>
          <w:p>
            <w:pPr>
              <w:spacing w:after="0" w:line="192" w:lineRule="exact"/>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IV, L.P.</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gridSpan w:val="5"/>
          </w:tcPr>
          <w:p>
            <w:pPr>
              <w:jc w:val="center"/>
              <w:ind w:left="568"/>
              <w:spacing w:after="0"/>
              <w:rPr>
                <w:sz w:val="20"/>
                <w:szCs w:val="20"/>
                <w:color w:val="auto"/>
              </w:rPr>
            </w:pPr>
            <w:r>
              <w:rPr>
                <w:rFonts w:ascii="Arial" w:cs="Arial" w:eastAsia="Arial" w:hAnsi="Arial"/>
                <w:sz w:val="17"/>
                <w:szCs w:val="17"/>
                <w:color w:val="0000FF"/>
                <w:w w:val="91"/>
              </w:rPr>
              <w:t>06/25/2021</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jc w:val="center"/>
              <w:ind w:right="318"/>
              <w:spacing w:after="0"/>
              <w:rPr>
                <w:sz w:val="20"/>
                <w:szCs w:val="20"/>
                <w:color w:val="auto"/>
              </w:rPr>
            </w:pPr>
            <w:r>
              <w:rPr>
                <w:rFonts w:ascii="Arial" w:cs="Arial" w:eastAsia="Arial" w:hAnsi="Arial"/>
                <w:sz w:val="13"/>
                <w:szCs w:val="13"/>
                <w:color w:val="0000FF"/>
              </w:rPr>
              <w:t>A</w:t>
            </w:r>
          </w:p>
        </w:tc>
        <w:tc>
          <w:tcPr>
            <w:tcW w:w="800" w:type="dxa"/>
            <w:vAlign w:val="bottom"/>
            <w:gridSpan w:val="2"/>
          </w:tcPr>
          <w:p>
            <w:pPr>
              <w:jc w:val="center"/>
              <w:ind w:left="50"/>
              <w:spacing w:after="0" w:line="213" w:lineRule="exact"/>
              <w:rPr>
                <w:sz w:val="20"/>
                <w:szCs w:val="20"/>
                <w:color w:val="auto"/>
              </w:rPr>
            </w:pPr>
            <w:r>
              <w:rPr>
                <w:rFonts w:ascii="Arial" w:cs="Arial" w:eastAsia="Arial" w:hAnsi="Arial"/>
                <w:sz w:val="17"/>
                <w:szCs w:val="17"/>
                <w:color w:val="0000FF"/>
                <w:w w:val="85"/>
              </w:rPr>
              <w:t>7,377</w:t>
            </w:r>
            <w:r>
              <w:rPr>
                <w:rFonts w:ascii="Arial" w:cs="Arial" w:eastAsia="Arial" w:hAnsi="Arial"/>
                <w:sz w:val="22"/>
                <w:szCs w:val="22"/>
                <w:color w:val="008000"/>
                <w:w w:val="85"/>
                <w:vertAlign w:val="superscript"/>
              </w:rPr>
              <w:t>(6)</w:t>
            </w:r>
          </w:p>
        </w:tc>
        <w:tc>
          <w:tcPr>
            <w:tcW w:w="3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0000FF"/>
              </w:rPr>
              <w:t>A</w:t>
            </w:r>
          </w:p>
        </w:tc>
        <w:tc>
          <w:tcPr>
            <w:tcW w:w="540" w:type="dxa"/>
            <w:vAlign w:val="bottom"/>
            <w:gridSpan w:val="3"/>
          </w:tcPr>
          <w:p>
            <w:pPr>
              <w:jc w:val="right"/>
              <w:ind w:right="151"/>
              <w:spacing w:after="0"/>
              <w:rPr>
                <w:sz w:val="20"/>
                <w:szCs w:val="20"/>
                <w:color w:val="auto"/>
              </w:rPr>
            </w:pPr>
            <w:r>
              <w:rPr>
                <w:rFonts w:ascii="Arial" w:cs="Arial" w:eastAsia="Arial" w:hAnsi="Arial"/>
                <w:sz w:val="11"/>
                <w:szCs w:val="11"/>
                <w:color w:val="008000"/>
              </w:rPr>
              <w:t>(1)</w:t>
            </w:r>
          </w:p>
        </w:tc>
        <w:tc>
          <w:tcPr>
            <w:tcW w:w="380" w:type="dxa"/>
            <w:vAlign w:val="bottom"/>
          </w:tcPr>
          <w:p>
            <w:pPr>
              <w:spacing w:after="0"/>
              <w:rPr>
                <w:sz w:val="18"/>
                <w:szCs w:val="18"/>
                <w:color w:val="auto"/>
              </w:rPr>
            </w:pPr>
          </w:p>
        </w:tc>
        <w:tc>
          <w:tcPr>
            <w:tcW w:w="820" w:type="dxa"/>
            <w:vAlign w:val="bottom"/>
          </w:tcPr>
          <w:p>
            <w:pPr>
              <w:jc w:val="center"/>
              <w:ind w:right="377"/>
              <w:spacing w:after="0"/>
              <w:rPr>
                <w:sz w:val="20"/>
                <w:szCs w:val="20"/>
                <w:color w:val="auto"/>
              </w:rPr>
            </w:pPr>
            <w:r>
              <w:rPr>
                <w:rFonts w:ascii="Arial" w:cs="Arial" w:eastAsia="Arial" w:hAnsi="Arial"/>
                <w:sz w:val="17"/>
                <w:szCs w:val="17"/>
                <w:color w:val="0000FF"/>
                <w:w w:val="89"/>
              </w:rPr>
              <w:t>7,377</w:t>
            </w:r>
          </w:p>
        </w:tc>
        <w:tc>
          <w:tcPr>
            <w:tcW w:w="920" w:type="dxa"/>
            <w:vAlign w:val="bottom"/>
          </w:tcPr>
          <w:p>
            <w:pPr>
              <w:ind w:left="30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Side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Fund IV,</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920" w:type="dxa"/>
            <w:vAlign w:val="bottom"/>
            <w:gridSpan w:val="17"/>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720" w:type="dxa"/>
            <w:vAlign w:val="bottom"/>
            <w:gridSpan w:val="15"/>
          </w:tcPr>
          <w:p>
            <w:pPr>
              <w:jc w:val="center"/>
              <w:ind w:left="4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merger of Millendo Therapeutics, Inc. ("Millendo") and private company Tempest Therapeutics, Inc. ("Tempest"), pursuant to the Agreement and Plan of Merger dated March 29, 2021 (the "Merger Agreement"), which closed on June 25, 2021 ("Closing"), each share of Tempest's common stock converted into the right to receive approximately 0.0322 shares of Millendo common stock. The Exchange Ratio gives effect to the 15-to-1 reverse stock split of Millendo's common stock. On the Closing date, the closing price of Millendo common stock was $1.06 (unadjusted). Upon Closing, Millendo was renamed "Tempest Therapeutics, Inc."</w:t>
      </w:r>
    </w:p>
    <w:p>
      <w:pPr>
        <w:spacing w:after="0" w:line="29"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held by Versant Venture Capital VI, L.P. ("VVC VI"). Versant Ventures VI GP, L.P. ("VV VI GP") is the general partner of VVC VI, and Versant Ventures VI GP-GP, LLC ("VV VI GP-GP") is the general partner of VV VI GP. The Reporting Person is a managing member of VV VI GP-GP and may be deemed to share voting and dispositive power over the shares held by VVC VI. The Reporting Person disclaims beneficial ownership of such securities, except to the extent of his pecuniary interests therein.</w:t>
      </w:r>
    </w:p>
    <w:p>
      <w:pPr>
        <w:spacing w:after="0" w:line="25"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Versant Venture Capital IV, L.P. ("VVC IV"). Versant Ventures IV, LLC ("VV IV") is the general partner of VVC IV. The Reporting Person is a managing member of VV IV and may be deemed to share voting and dispositive power over the shares held by VVC IV. The Reporting Person disclaims beneficial ownership of such securities, except to the extent of his pecuniary interests therein.</w:t>
      </w:r>
    </w:p>
    <w:p>
      <w:pPr>
        <w:spacing w:after="0" w:line="25" w:lineRule="exact"/>
        <w:rPr>
          <w:rFonts w:ascii="Arial" w:cs="Arial" w:eastAsia="Arial" w:hAnsi="Arial"/>
          <w:sz w:val="13"/>
          <w:szCs w:val="13"/>
          <w:color w:val="008000"/>
        </w:rPr>
      </w:pPr>
    </w:p>
    <w:p>
      <w:pPr>
        <w:ind w:left="40" w:right="2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Versant Side Fund IV, L.P. ("VSF IV"). VV IV is the general partner of VSF IV. The Reporting Person is a managing member of VV IV and may be deemed to share voting and dispositive power over the shares held by VSF IV. The Reporting Person disclaims beneficial ownership of such securities, except to the extent of his pecuniary interests therein.</w:t>
      </w:r>
    </w:p>
    <w:p>
      <w:pPr>
        <w:ind w:left="40" w:right="6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includes 301,161 shares that were acquired upon conversion of 9,352,838 shares of Tempest, which VVC IV agreed to purchase at a purchase price of $0.85 per share pursuant to a Funding Agreement with Tempest, which was conditioned upon the satisfaction or waiver of the conditions to Closing.</w:t>
      </w:r>
    </w:p>
    <w:p>
      <w:pPr>
        <w:spacing w:after="0" w:line="15" w:lineRule="exact"/>
        <w:rPr>
          <w:rFonts w:ascii="Arial" w:cs="Arial" w:eastAsia="Arial" w:hAnsi="Arial"/>
          <w:sz w:val="13"/>
          <w:szCs w:val="13"/>
          <w:color w:val="008000"/>
        </w:rPr>
      </w:pPr>
    </w:p>
    <w:p>
      <w:pPr>
        <w:ind w:left="40" w:right="480" w:firstLine="7"/>
        <w:spacing w:after="0" w:line="257"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amount includes 1,897 shares that were acquired upon conversion of 58,927 shares of Tempest, which VSF IV agreed to purchase at a purchase price of $0.85 per share pursuant to a Funding Agreement with Tempest, which was conditioned upon the satisfaction or waiver of the conditions to Closing.</w:t>
      </w:r>
    </w:p>
    <w:p>
      <w:pPr>
        <w:sectPr>
          <w:pgSz w:w="11900" w:h="16838" w:orient="portrait"/>
          <w:cols w:equalWidth="0" w:num="1">
            <w:col w:w="11080"/>
          </w:cols>
          <w:pgMar w:left="460" w:top="225" w:right="359" w:bottom="0" w:gutter="0" w:footer="0" w:header="0"/>
          <w:type w:val="continuous"/>
        </w:sectPr>
      </w:pPr>
    </w:p>
    <w:p>
      <w:pPr>
        <w:ind w:left="6580"/>
        <w:spacing w:after="0" w:line="216" w:lineRule="auto"/>
        <w:rPr>
          <w:sz w:val="20"/>
          <w:szCs w:val="20"/>
          <w:color w:val="auto"/>
        </w:rPr>
      </w:pPr>
      <w:r>
        <w:rPr>
          <w:rFonts w:ascii="Arial" w:cs="Arial" w:eastAsia="Arial" w:hAnsi="Arial"/>
          <w:sz w:val="15"/>
          <w:szCs w:val="15"/>
          <w:color w:val="0000FF"/>
        </w:rPr>
        <w:t xml:space="preserve">/s/ Pierre Lorenzo, attorney-in- </w:t>
      </w:r>
      <w:r>
        <w:rPr>
          <w:rFonts w:ascii="Arial" w:cs="Arial" w:eastAsia="Arial" w:hAnsi="Arial"/>
          <w:sz w:val="27"/>
          <w:szCs w:val="27"/>
          <w:color w:val="0000FF"/>
          <w:vertAlign w:val="subscript"/>
        </w:rPr>
        <w:t>06/29/2021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8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9294"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2021-06-29T21:06:16Z</dcterms:created>
  <dcterms:modified xsi:type="dcterms:W3CDTF">2021-06-29T21:06:16Z</dcterms:modified>
</cp:coreProperties>
</file>