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200025</wp:posOffset>
            </wp:positionH>
            <wp:positionV relativeFrom="page">
              <wp:posOffset>661670</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681990</wp:posOffset>
            </wp:positionV>
            <wp:extent cx="71481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698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39"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_______________________________________________________________________________________________________________________________</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10-K</w:t>
      </w:r>
    </w:p>
    <w:p>
      <w:pPr>
        <w:spacing w:after="0" w:line="51"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_______________________________________________________________________________________________________________________________</w:t>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64" w:lineRule="exact"/>
        <w:rPr>
          <w:sz w:val="24"/>
          <w:szCs w:val="24"/>
          <w:color w:val="auto"/>
        </w:rPr>
      </w:pPr>
    </w:p>
    <w:p>
      <w:pPr>
        <w:ind w:left="340" w:hanging="321"/>
        <w:spacing w:after="0"/>
        <w:tabs>
          <w:tab w:leader="none" w:pos="3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1"/>
          <w:szCs w:val="11"/>
          <w:b w:val="1"/>
          <w:bCs w:val="1"/>
          <w:color w:val="auto"/>
        </w:rPr>
        <w:t>ANNUAL REPORT PURSUANT TO SECTION 13 OR 15(d) OF THE SECURITIES EXCHANGE ACT OF 1934</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2021</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77" w:lineRule="exact"/>
        <w:rPr>
          <w:sz w:val="24"/>
          <w:szCs w:val="24"/>
          <w:color w:val="auto"/>
        </w:rPr>
      </w:pPr>
    </w:p>
    <w:p>
      <w:pPr>
        <w:ind w:left="360" w:hanging="330"/>
        <w:spacing w:after="0"/>
        <w:tabs>
          <w:tab w:leader="none" w:pos="3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1"/>
          <w:szCs w:val="11"/>
          <w:b w:val="1"/>
          <w:bCs w:val="1"/>
          <w:color w:val="auto"/>
        </w:rPr>
        <w:t>TRANSITION REPORT 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Number: 001-35890</w:t>
      </w:r>
    </w:p>
    <w:p>
      <w:pPr>
        <w:spacing w:after="0" w:line="10"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________________________________________________________________________________________________________________</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Tempest Therapeutics, Inc.</w:t>
      </w:r>
    </w:p>
    <w:p>
      <w:pPr>
        <w:jc w:val="center"/>
        <w:spacing w:after="0" w:line="237" w:lineRule="auto"/>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ind w:left="320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___________________________________________________________________________________________________________________</w:t>
      </w:r>
    </w:p>
    <w:p>
      <w:pPr>
        <w:spacing w:after="0" w:line="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5080" w:type="dxa"/>
            <w:vAlign w:val="bottom"/>
          </w:tcPr>
          <w:p>
            <w:pPr>
              <w:jc w:val="center"/>
              <w:ind w:left="524"/>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2560" w:type="dxa"/>
            <w:vAlign w:val="bottom"/>
          </w:tcPr>
          <w:p>
            <w:pPr>
              <w:spacing w:after="0"/>
              <w:rPr>
                <w:sz w:val="12"/>
                <w:szCs w:val="12"/>
                <w:color w:val="auto"/>
              </w:rPr>
            </w:pPr>
          </w:p>
        </w:tc>
        <w:tc>
          <w:tcPr>
            <w:tcW w:w="2860" w:type="dxa"/>
            <w:vAlign w:val="bottom"/>
          </w:tcPr>
          <w:p>
            <w:pPr>
              <w:jc w:val="right"/>
              <w:ind w:right="1723"/>
              <w:spacing w:after="0"/>
              <w:rPr>
                <w:sz w:val="20"/>
                <w:szCs w:val="20"/>
                <w:color w:val="auto"/>
              </w:rPr>
            </w:pPr>
            <w:r>
              <w:rPr>
                <w:rFonts w:ascii="Times New Roman" w:cs="Times New Roman" w:eastAsia="Times New Roman" w:hAnsi="Times New Roman"/>
                <w:sz w:val="11"/>
                <w:szCs w:val="11"/>
                <w:b w:val="1"/>
                <w:bCs w:val="1"/>
                <w:color w:val="auto"/>
              </w:rPr>
              <w:t>45-1472564</w:t>
            </w:r>
          </w:p>
        </w:tc>
        <w:tc>
          <w:tcPr>
            <w:tcW w:w="0" w:type="dxa"/>
            <w:vAlign w:val="bottom"/>
          </w:tcPr>
          <w:p>
            <w:pPr>
              <w:spacing w:after="0"/>
              <w:rPr>
                <w:sz w:val="1"/>
                <w:szCs w:val="1"/>
                <w:color w:val="auto"/>
              </w:rPr>
            </w:pPr>
          </w:p>
        </w:tc>
      </w:tr>
      <w:tr>
        <w:trPr>
          <w:trHeight w:val="115"/>
        </w:trPr>
        <w:tc>
          <w:tcPr>
            <w:tcW w:w="5080" w:type="dxa"/>
            <w:vAlign w:val="bottom"/>
          </w:tcPr>
          <w:p>
            <w:pPr>
              <w:jc w:val="center"/>
              <w:ind w:left="544"/>
              <w:spacing w:after="0" w:line="115"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2560" w:type="dxa"/>
            <w:vAlign w:val="bottom"/>
          </w:tcPr>
          <w:p>
            <w:pPr>
              <w:spacing w:after="0"/>
              <w:rPr>
                <w:sz w:val="9"/>
                <w:szCs w:val="9"/>
                <w:color w:val="auto"/>
              </w:rPr>
            </w:pPr>
          </w:p>
        </w:tc>
        <w:tc>
          <w:tcPr>
            <w:tcW w:w="2860" w:type="dxa"/>
            <w:vAlign w:val="bottom"/>
          </w:tcPr>
          <w:p>
            <w:pPr>
              <w:jc w:val="center"/>
              <w:ind w:right="1183"/>
              <w:spacing w:after="0" w:line="115" w:lineRule="exact"/>
              <w:rPr>
                <w:sz w:val="20"/>
                <w:szCs w:val="20"/>
                <w:color w:val="auto"/>
              </w:rPr>
            </w:pPr>
            <w:r>
              <w:rPr>
                <w:rFonts w:ascii="Times New Roman" w:cs="Times New Roman" w:eastAsia="Times New Roman" w:hAnsi="Times New Roman"/>
                <w:sz w:val="11"/>
                <w:szCs w:val="11"/>
                <w:b w:val="1"/>
                <w:bCs w:val="1"/>
                <w:color w:val="auto"/>
              </w:rPr>
              <w:t>(I.R.S. Employer</w:t>
            </w:r>
          </w:p>
        </w:tc>
        <w:tc>
          <w:tcPr>
            <w:tcW w:w="0" w:type="dxa"/>
            <w:vAlign w:val="bottom"/>
          </w:tcPr>
          <w:p>
            <w:pPr>
              <w:spacing w:after="0"/>
              <w:rPr>
                <w:sz w:val="1"/>
                <w:szCs w:val="1"/>
                <w:color w:val="auto"/>
              </w:rPr>
            </w:pPr>
          </w:p>
        </w:tc>
      </w:tr>
      <w:tr>
        <w:trPr>
          <w:trHeight w:val="140"/>
        </w:trPr>
        <w:tc>
          <w:tcPr>
            <w:tcW w:w="5080" w:type="dxa"/>
            <w:vAlign w:val="bottom"/>
          </w:tcPr>
          <w:p>
            <w:pPr>
              <w:jc w:val="center"/>
              <w:ind w:left="544"/>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2560" w:type="dxa"/>
            <w:vAlign w:val="bottom"/>
          </w:tcPr>
          <w:p>
            <w:pPr>
              <w:spacing w:after="0"/>
              <w:rPr>
                <w:sz w:val="12"/>
                <w:szCs w:val="12"/>
                <w:color w:val="auto"/>
              </w:rPr>
            </w:pPr>
          </w:p>
        </w:tc>
        <w:tc>
          <w:tcPr>
            <w:tcW w:w="2860" w:type="dxa"/>
            <w:vAlign w:val="bottom"/>
          </w:tcPr>
          <w:p>
            <w:pPr>
              <w:jc w:val="center"/>
              <w:ind w:right="1163"/>
              <w:spacing w:after="0"/>
              <w:rPr>
                <w:sz w:val="20"/>
                <w:szCs w:val="20"/>
                <w:color w:val="auto"/>
              </w:rPr>
            </w:pPr>
            <w:r>
              <w:rPr>
                <w:rFonts w:ascii="Times New Roman" w:cs="Times New Roman" w:eastAsia="Times New Roman" w:hAnsi="Times New Roman"/>
                <w:sz w:val="11"/>
                <w:szCs w:val="11"/>
                <w:b w:val="1"/>
                <w:bCs w:val="1"/>
                <w:color w:val="auto"/>
              </w:rPr>
              <w:t>Identification No.)</w:t>
            </w:r>
          </w:p>
        </w:tc>
        <w:tc>
          <w:tcPr>
            <w:tcW w:w="0" w:type="dxa"/>
            <w:vAlign w:val="bottom"/>
          </w:tcPr>
          <w:p>
            <w:pPr>
              <w:spacing w:after="0"/>
              <w:rPr>
                <w:sz w:val="1"/>
                <w:szCs w:val="1"/>
                <w:color w:val="auto"/>
              </w:rPr>
            </w:pPr>
          </w:p>
        </w:tc>
      </w:tr>
      <w:tr>
        <w:trPr>
          <w:trHeight w:val="115"/>
        </w:trPr>
        <w:tc>
          <w:tcPr>
            <w:tcW w:w="5080" w:type="dxa"/>
            <w:vAlign w:val="bottom"/>
          </w:tcPr>
          <w:p>
            <w:pPr>
              <w:jc w:val="center"/>
              <w:ind w:left="544"/>
              <w:spacing w:after="0" w:line="115" w:lineRule="exact"/>
              <w:rPr>
                <w:sz w:val="20"/>
                <w:szCs w:val="20"/>
                <w:color w:val="auto"/>
              </w:rPr>
            </w:pPr>
            <w:r>
              <w:rPr>
                <w:rFonts w:ascii="Times New Roman" w:cs="Times New Roman" w:eastAsia="Times New Roman" w:hAnsi="Times New Roman"/>
                <w:sz w:val="11"/>
                <w:szCs w:val="11"/>
                <w:b w:val="1"/>
                <w:bCs w:val="1"/>
                <w:color w:val="auto"/>
              </w:rPr>
              <w:t>7000 Shoreline Court, Suite 275</w:t>
            </w:r>
          </w:p>
        </w:tc>
        <w:tc>
          <w:tcPr>
            <w:tcW w:w="2560" w:type="dxa"/>
            <w:vAlign w:val="bottom"/>
          </w:tcPr>
          <w:p>
            <w:pPr>
              <w:spacing w:after="0"/>
              <w:rPr>
                <w:sz w:val="9"/>
                <w:szCs w:val="9"/>
                <w:color w:val="auto"/>
              </w:rPr>
            </w:pPr>
          </w:p>
        </w:tc>
        <w:tc>
          <w:tcPr>
            <w:tcW w:w="2860" w:type="dxa"/>
            <w:vAlign w:val="bottom"/>
            <w:vMerge w:val="restart"/>
          </w:tcPr>
          <w:p>
            <w:pPr>
              <w:jc w:val="right"/>
              <w:ind w:right="1843"/>
              <w:spacing w:after="0"/>
              <w:rPr>
                <w:sz w:val="20"/>
                <w:szCs w:val="20"/>
                <w:color w:val="auto"/>
              </w:rPr>
            </w:pPr>
            <w:r>
              <w:rPr>
                <w:rFonts w:ascii="Times New Roman" w:cs="Times New Roman" w:eastAsia="Times New Roman" w:hAnsi="Times New Roman"/>
                <w:sz w:val="11"/>
                <w:szCs w:val="11"/>
                <w:b w:val="1"/>
                <w:bCs w:val="1"/>
                <w:color w:val="auto"/>
              </w:rPr>
              <w:t>94080</w:t>
            </w:r>
          </w:p>
        </w:tc>
        <w:tc>
          <w:tcPr>
            <w:tcW w:w="0" w:type="dxa"/>
            <w:vAlign w:val="bottom"/>
          </w:tcPr>
          <w:p>
            <w:pPr>
              <w:spacing w:after="0"/>
              <w:rPr>
                <w:sz w:val="1"/>
                <w:szCs w:val="1"/>
                <w:color w:val="auto"/>
              </w:rPr>
            </w:pPr>
          </w:p>
        </w:tc>
      </w:tr>
      <w:tr>
        <w:trPr>
          <w:trHeight w:val="140"/>
        </w:trPr>
        <w:tc>
          <w:tcPr>
            <w:tcW w:w="5080" w:type="dxa"/>
            <w:vAlign w:val="bottom"/>
          </w:tcPr>
          <w:p>
            <w:pPr>
              <w:jc w:val="center"/>
              <w:ind w:left="544"/>
              <w:spacing w:after="0"/>
              <w:rPr>
                <w:sz w:val="20"/>
                <w:szCs w:val="20"/>
                <w:color w:val="auto"/>
              </w:rPr>
            </w:pPr>
            <w:r>
              <w:rPr>
                <w:rFonts w:ascii="Times New Roman" w:cs="Times New Roman" w:eastAsia="Times New Roman" w:hAnsi="Times New Roman"/>
                <w:sz w:val="11"/>
                <w:szCs w:val="11"/>
                <w:b w:val="1"/>
                <w:bCs w:val="1"/>
                <w:color w:val="auto"/>
              </w:rPr>
              <w:t>South San Francisco, California</w:t>
            </w:r>
          </w:p>
        </w:tc>
        <w:tc>
          <w:tcPr>
            <w:tcW w:w="2560" w:type="dxa"/>
            <w:vAlign w:val="bottom"/>
          </w:tcPr>
          <w:p>
            <w:pPr>
              <w:spacing w:after="0"/>
              <w:rPr>
                <w:sz w:val="12"/>
                <w:szCs w:val="12"/>
                <w:color w:val="auto"/>
              </w:rPr>
            </w:pPr>
          </w:p>
        </w:tc>
        <w:tc>
          <w:tcPr>
            <w:tcW w:w="2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tcPr>
          <w:p>
            <w:pPr>
              <w:jc w:val="center"/>
              <w:ind w:left="544"/>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2560" w:type="dxa"/>
            <w:vAlign w:val="bottom"/>
          </w:tcPr>
          <w:p>
            <w:pPr>
              <w:spacing w:after="0"/>
              <w:rPr>
                <w:sz w:val="12"/>
                <w:szCs w:val="12"/>
                <w:color w:val="auto"/>
              </w:rPr>
            </w:pPr>
          </w:p>
        </w:tc>
        <w:tc>
          <w:tcPr>
            <w:tcW w:w="2860" w:type="dxa"/>
            <w:vAlign w:val="bottom"/>
          </w:tcPr>
          <w:p>
            <w:pPr>
              <w:jc w:val="center"/>
              <w:ind w:right="1163"/>
              <w:spacing w:after="0"/>
              <w:rPr>
                <w:sz w:val="20"/>
                <w:szCs w:val="20"/>
                <w:color w:val="auto"/>
              </w:rPr>
            </w:pPr>
            <w:r>
              <w:rPr>
                <w:rFonts w:ascii="Times New Roman" w:cs="Times New Roman" w:eastAsia="Times New Roman" w:hAnsi="Times New Roman"/>
                <w:sz w:val="11"/>
                <w:szCs w:val="11"/>
                <w:b w:val="1"/>
                <w:bCs w:val="1"/>
                <w:color w:val="auto"/>
              </w:rPr>
              <w:t>(Zip Code)</w:t>
            </w:r>
          </w:p>
        </w:tc>
        <w:tc>
          <w:tcPr>
            <w:tcW w:w="0" w:type="dxa"/>
            <w:vAlign w:val="bottom"/>
          </w:tcPr>
          <w:p>
            <w:pPr>
              <w:spacing w:after="0"/>
              <w:rPr>
                <w:sz w:val="1"/>
                <w:szCs w:val="1"/>
                <w:color w:val="auto"/>
              </w:rPr>
            </w:pPr>
          </w:p>
        </w:tc>
      </w:tr>
      <w:tr>
        <w:trPr>
          <w:trHeight w:val="255"/>
        </w:trPr>
        <w:tc>
          <w:tcPr>
            <w:tcW w:w="7640" w:type="dxa"/>
            <w:vAlign w:val="bottom"/>
            <w:gridSpan w:val="2"/>
          </w:tcPr>
          <w:p>
            <w:pPr>
              <w:jc w:val="center"/>
              <w:ind w:left="3584"/>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 (415) 798-8589</w:t>
            </w:r>
          </w:p>
        </w:tc>
        <w:tc>
          <w:tcPr>
            <w:tcW w:w="2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7640" w:type="dxa"/>
            <w:vAlign w:val="bottom"/>
            <w:gridSpan w:val="2"/>
          </w:tcPr>
          <w:p>
            <w:pPr>
              <w:jc w:val="center"/>
              <w:ind w:left="3584"/>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12(b) of the Act:</w:t>
            </w:r>
          </w:p>
        </w:tc>
        <w:tc>
          <w:tcPr>
            <w:tcW w:w="2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080" w:type="dxa"/>
            <w:vAlign w:val="bottom"/>
          </w:tcPr>
          <w:p>
            <w:pPr>
              <w:jc w:val="center"/>
              <w:ind w:right="1244"/>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560" w:type="dxa"/>
            <w:vAlign w:val="bottom"/>
          </w:tcPr>
          <w:p>
            <w:pPr>
              <w:jc w:val="center"/>
              <w:ind w:right="1363"/>
              <w:spacing w:after="0"/>
              <w:rPr>
                <w:sz w:val="20"/>
                <w:szCs w:val="20"/>
                <w:color w:val="auto"/>
              </w:rPr>
            </w:pPr>
            <w:r>
              <w:rPr>
                <w:rFonts w:ascii="Times New Roman" w:cs="Times New Roman" w:eastAsia="Times New Roman" w:hAnsi="Times New Roman"/>
                <w:sz w:val="11"/>
                <w:szCs w:val="11"/>
                <w:b w:val="1"/>
                <w:bCs w:val="1"/>
                <w:color w:val="auto"/>
              </w:rPr>
              <w:t>Trading Symbol(s)</w:t>
            </w:r>
          </w:p>
        </w:tc>
        <w:tc>
          <w:tcPr>
            <w:tcW w:w="2860" w:type="dxa"/>
            <w:vAlign w:val="bottom"/>
          </w:tcPr>
          <w:p>
            <w:pPr>
              <w:jc w:val="center"/>
              <w:ind w:left="623"/>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149"/>
        </w:trPr>
        <w:tc>
          <w:tcPr>
            <w:tcW w:w="5080" w:type="dxa"/>
            <w:vAlign w:val="bottom"/>
          </w:tcPr>
          <w:p>
            <w:pPr>
              <w:jc w:val="center"/>
              <w:ind w:right="1264"/>
              <w:spacing w:after="0"/>
              <w:rPr>
                <w:sz w:val="20"/>
                <w:szCs w:val="20"/>
                <w:color w:val="auto"/>
              </w:rPr>
            </w:pPr>
            <w:r>
              <w:rPr>
                <w:rFonts w:ascii="Times New Roman" w:cs="Times New Roman" w:eastAsia="Times New Roman" w:hAnsi="Times New Roman"/>
                <w:sz w:val="11"/>
                <w:szCs w:val="11"/>
                <w:color w:val="auto"/>
              </w:rPr>
              <w:t>Common Stock, $0.001 par value</w:t>
            </w:r>
          </w:p>
        </w:tc>
        <w:tc>
          <w:tcPr>
            <w:tcW w:w="2560" w:type="dxa"/>
            <w:vAlign w:val="bottom"/>
          </w:tcPr>
          <w:p>
            <w:pPr>
              <w:jc w:val="center"/>
              <w:ind w:right="1363"/>
              <w:spacing w:after="0"/>
              <w:rPr>
                <w:sz w:val="20"/>
                <w:szCs w:val="20"/>
                <w:color w:val="auto"/>
              </w:rPr>
            </w:pPr>
            <w:r>
              <w:rPr>
                <w:rFonts w:ascii="Times New Roman" w:cs="Times New Roman" w:eastAsia="Times New Roman" w:hAnsi="Times New Roman"/>
                <w:sz w:val="11"/>
                <w:szCs w:val="11"/>
                <w:color w:val="auto"/>
              </w:rPr>
              <w:t>TPST</w:t>
            </w:r>
          </w:p>
        </w:tc>
        <w:tc>
          <w:tcPr>
            <w:tcW w:w="2860" w:type="dxa"/>
            <w:vAlign w:val="bottom"/>
          </w:tcPr>
          <w:p>
            <w:pPr>
              <w:jc w:val="center"/>
              <w:ind w:left="623"/>
              <w:spacing w:after="0"/>
              <w:rPr>
                <w:sz w:val="20"/>
                <w:szCs w:val="20"/>
                <w:color w:val="auto"/>
              </w:rPr>
            </w:pPr>
            <w:r>
              <w:rPr>
                <w:rFonts w:ascii="Times New Roman" w:cs="Times New Roman" w:eastAsia="Times New Roman" w:hAnsi="Times New Roman"/>
                <w:sz w:val="11"/>
                <w:szCs w:val="11"/>
                <w:color w:val="auto"/>
              </w:rPr>
              <w:t>The Nasdaq Stock Market</w:t>
            </w:r>
          </w:p>
        </w:tc>
        <w:tc>
          <w:tcPr>
            <w:tcW w:w="0" w:type="dxa"/>
            <w:vAlign w:val="bottom"/>
          </w:tcPr>
          <w:p>
            <w:pPr>
              <w:spacing w:after="0"/>
              <w:rPr>
                <w:sz w:val="1"/>
                <w:szCs w:val="1"/>
                <w:color w:val="auto"/>
              </w:rPr>
            </w:pPr>
          </w:p>
        </w:tc>
      </w:tr>
      <w:tr>
        <w:trPr>
          <w:trHeight w:val="241"/>
        </w:trPr>
        <w:tc>
          <w:tcPr>
            <w:tcW w:w="7640" w:type="dxa"/>
            <w:vAlign w:val="bottom"/>
            <w:gridSpan w:val="2"/>
          </w:tcPr>
          <w:p>
            <w:pPr>
              <w:jc w:val="center"/>
              <w:ind w:left="3584"/>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12(g) of the Act: None</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10500" w:type="dxa"/>
            <w:vAlign w:val="bottom"/>
            <w:gridSpan w:val="3"/>
          </w:tcPr>
          <w:p>
            <w:pPr>
              <w:jc w:val="center"/>
              <w:ind w:left="724"/>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_________________________________________________________________________________________________________________</w:t>
            </w:r>
          </w:p>
        </w:tc>
        <w:tc>
          <w:tcPr>
            <w:tcW w:w="0" w:type="dxa"/>
            <w:vAlign w:val="bottom"/>
          </w:tcPr>
          <w:p>
            <w:pPr>
              <w:spacing w:after="0"/>
              <w:rPr>
                <w:sz w:val="1"/>
                <w:szCs w:val="1"/>
                <w:color w:val="auto"/>
              </w:rPr>
            </w:pPr>
          </w:p>
        </w:tc>
      </w:tr>
      <w:tr>
        <w:trPr>
          <w:trHeight w:val="174"/>
        </w:trPr>
        <w:tc>
          <w:tcPr>
            <w:tcW w:w="7640" w:type="dxa"/>
            <w:vAlign w:val="bottom"/>
            <w:gridSpan w:val="2"/>
          </w:tcPr>
          <w:p>
            <w:pPr>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Arial" w:cs="Arial" w:eastAsia="Arial" w:hAnsi="Arial"/>
                <w:sz w:val="11"/>
                <w:szCs w:val="11"/>
                <w:color w:val="auto"/>
              </w:rPr>
              <w:t>x</w:t>
            </w:r>
          </w:p>
        </w:tc>
        <w:tc>
          <w:tcPr>
            <w:tcW w:w="2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080" w:type="dxa"/>
            <w:vAlign w:val="bottom"/>
          </w:tcPr>
          <w:p>
            <w:pPr>
              <w:spacing w:after="0"/>
              <w:rPr>
                <w:sz w:val="20"/>
                <w:szCs w:val="20"/>
                <w:color w:val="auto"/>
              </w:rPr>
            </w:pPr>
            <w:r>
              <w:rPr>
                <w:rFonts w:ascii="Times New Roman" w:cs="Times New Roman" w:eastAsia="Times New Roman" w:hAnsi="Times New Roman"/>
                <w:sz w:val="11"/>
                <w:szCs w:val="11"/>
                <w:color w:val="auto"/>
              </w:rPr>
              <w:t>Indicate by check mark if the registrant is not required to file reports pursuant to Section 13 or 15(d) of the Act.</w:t>
            </w:r>
          </w:p>
        </w:tc>
        <w:tc>
          <w:tcPr>
            <w:tcW w:w="2560" w:type="dxa"/>
            <w:vAlign w:val="bottom"/>
          </w:tcPr>
          <w:p>
            <w:pPr>
              <w:ind w:left="40"/>
              <w:spacing w:after="0" w:line="127" w:lineRule="exact"/>
              <w:rPr>
                <w:sz w:val="20"/>
                <w:szCs w:val="20"/>
                <w:color w:val="auto"/>
              </w:rPr>
            </w:pPr>
            <w:r>
              <w:rPr>
                <w:rFonts w:ascii="Times New Roman" w:cs="Times New Roman" w:eastAsia="Times New Roman" w:hAnsi="Times New Roman"/>
                <w:sz w:val="11"/>
                <w:szCs w:val="11"/>
                <w:color w:val="auto"/>
              </w:rPr>
              <w:t xml:space="preserve">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Arial" w:cs="Arial" w:eastAsia="Arial" w:hAnsi="Arial"/>
                <w:sz w:val="11"/>
                <w:szCs w:val="11"/>
                <w:color w:val="auto"/>
              </w:rPr>
              <w:t>x</w:t>
            </w:r>
          </w:p>
        </w:tc>
        <w:tc>
          <w:tcPr>
            <w:tcW w:w="28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spacing w:after="0" w:line="148"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1"/>
          <w:szCs w:val="11"/>
          <w:color w:val="auto"/>
        </w:rPr>
        <w:t>x</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 w:lineRule="exact"/>
        <w:rPr>
          <w:sz w:val="24"/>
          <w:szCs w:val="24"/>
          <w:color w:val="auto"/>
        </w:rPr>
      </w:pPr>
    </w:p>
    <w:p>
      <w:pPr>
        <w:jc w:val="both"/>
        <w:spacing w:after="0" w:line="148"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Yes </w:t>
      </w:r>
      <w:r>
        <w:rPr>
          <w:rFonts w:ascii="Arial" w:cs="Arial" w:eastAsia="Arial" w:hAnsi="Arial"/>
          <w:sz w:val="11"/>
          <w:szCs w:val="11"/>
          <w:color w:val="auto"/>
        </w:rPr>
        <w:t>x</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 w:lineRule="exact"/>
        <w:rPr>
          <w:sz w:val="24"/>
          <w:szCs w:val="24"/>
          <w:color w:val="auto"/>
        </w:rPr>
      </w:pPr>
    </w:p>
    <w:p>
      <w:pPr>
        <w:ind w:right="220"/>
        <w:spacing w:after="0" w:line="254"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56"/>
        </w:trPr>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3600" w:type="dxa"/>
            <w:vAlign w:val="bottom"/>
          </w:tcPr>
          <w:p>
            <w:pPr>
              <w:ind w:left="860"/>
              <w:spacing w:after="0" w:line="111" w:lineRule="exact"/>
              <w:rPr>
                <w:sz w:val="20"/>
                <w:szCs w:val="20"/>
                <w:color w:val="auto"/>
              </w:rPr>
            </w:pPr>
            <w:r>
              <w:rPr>
                <w:rFonts w:ascii="MS PGothic" w:cs="MS PGothic" w:eastAsia="MS PGothic" w:hAnsi="MS PGothic"/>
                <w:sz w:val="11"/>
                <w:szCs w:val="11"/>
                <w:color w:val="auto"/>
              </w:rPr>
              <w:t>☐</w:t>
            </w:r>
          </w:p>
        </w:tc>
        <w:tc>
          <w:tcPr>
            <w:tcW w:w="4620" w:type="dxa"/>
            <w:vAlign w:val="bottom"/>
          </w:tcPr>
          <w:p>
            <w:pPr>
              <w:ind w:left="2640"/>
              <w:spacing w:after="0"/>
              <w:rPr>
                <w:sz w:val="20"/>
                <w:szCs w:val="20"/>
                <w:color w:val="auto"/>
              </w:rPr>
            </w:pPr>
            <w:r>
              <w:rPr>
                <w:rFonts w:ascii="Times New Roman" w:cs="Times New Roman" w:eastAsia="Times New Roman" w:hAnsi="Times New Roman"/>
                <w:sz w:val="11"/>
                <w:szCs w:val="11"/>
                <w:color w:val="auto"/>
              </w:rPr>
              <w:t>Accelerated filer</w:t>
            </w:r>
          </w:p>
        </w:tc>
        <w:tc>
          <w:tcPr>
            <w:tcW w:w="840" w:type="dxa"/>
            <w:vAlign w:val="bottom"/>
          </w:tcPr>
          <w:p>
            <w:pPr>
              <w:ind w:left="7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3"/>
        </w:trPr>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3600" w:type="dxa"/>
            <w:vAlign w:val="bottom"/>
          </w:tcPr>
          <w:p>
            <w:pPr>
              <w:ind w:left="860"/>
              <w:spacing w:after="0" w:line="111" w:lineRule="exact"/>
              <w:rPr>
                <w:sz w:val="20"/>
                <w:szCs w:val="20"/>
                <w:color w:val="auto"/>
              </w:rPr>
            </w:pPr>
            <w:r>
              <w:rPr>
                <w:rFonts w:ascii="MS PGothic" w:cs="MS PGothic" w:eastAsia="MS PGothic" w:hAnsi="MS PGothic"/>
                <w:sz w:val="11"/>
                <w:szCs w:val="11"/>
                <w:color w:val="auto"/>
              </w:rPr>
              <w:t>☒</w:t>
            </w:r>
          </w:p>
        </w:tc>
        <w:tc>
          <w:tcPr>
            <w:tcW w:w="4620" w:type="dxa"/>
            <w:vAlign w:val="bottom"/>
          </w:tcPr>
          <w:p>
            <w:pPr>
              <w:ind w:left="264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840" w:type="dxa"/>
            <w:vAlign w:val="bottom"/>
          </w:tcPr>
          <w:p>
            <w:pPr>
              <w:ind w:left="7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7"/>
        </w:trPr>
        <w:tc>
          <w:tcPr>
            <w:tcW w:w="1860" w:type="dxa"/>
            <w:vAlign w:val="bottom"/>
          </w:tcPr>
          <w:p>
            <w:pPr>
              <w:spacing w:after="0"/>
              <w:rPr>
                <w:sz w:val="15"/>
                <w:szCs w:val="15"/>
                <w:color w:val="auto"/>
              </w:rPr>
            </w:pPr>
          </w:p>
        </w:tc>
        <w:tc>
          <w:tcPr>
            <w:tcW w:w="3600" w:type="dxa"/>
            <w:vAlign w:val="bottom"/>
          </w:tcPr>
          <w:p>
            <w:pPr>
              <w:ind w:left="860"/>
              <w:spacing w:after="0" w:line="111" w:lineRule="exact"/>
              <w:rPr>
                <w:sz w:val="20"/>
                <w:szCs w:val="20"/>
                <w:color w:val="auto"/>
              </w:rPr>
            </w:pPr>
            <w:r>
              <w:rPr>
                <w:rFonts w:ascii="MS PGothic" w:cs="MS PGothic" w:eastAsia="MS PGothic" w:hAnsi="MS PGothic"/>
                <w:sz w:val="11"/>
                <w:szCs w:val="11"/>
                <w:color w:val="auto"/>
              </w:rPr>
              <w:t>☐</w:t>
            </w:r>
          </w:p>
        </w:tc>
        <w:tc>
          <w:tcPr>
            <w:tcW w:w="4620" w:type="dxa"/>
            <w:vAlign w:val="bottom"/>
          </w:tcPr>
          <w:p>
            <w:pPr>
              <w:ind w:left="2640"/>
              <w:spacing w:after="0"/>
              <w:rPr>
                <w:sz w:val="20"/>
                <w:szCs w:val="20"/>
                <w:color w:val="auto"/>
              </w:rPr>
            </w:pPr>
            <w:r>
              <w:rPr>
                <w:rFonts w:ascii="Times New Roman" w:cs="Times New Roman" w:eastAsia="Times New Roman" w:hAnsi="Times New Roman"/>
                <w:sz w:val="11"/>
                <w:szCs w:val="11"/>
                <w:color w:val="auto"/>
              </w:rPr>
              <w:t>Emerging growth company</w:t>
            </w:r>
          </w:p>
        </w:tc>
        <w:tc>
          <w:tcPr>
            <w:tcW w:w="840" w:type="dxa"/>
            <w:vAlign w:val="bottom"/>
          </w:tcPr>
          <w:p>
            <w:pPr>
              <w:ind w:left="74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85" w:lineRule="exact"/>
        <w:rPr>
          <w:sz w:val="24"/>
          <w:szCs w:val="24"/>
          <w:color w:val="auto"/>
        </w:rPr>
      </w:pPr>
    </w:p>
    <w:p>
      <w:pPr>
        <w:jc w:val="both"/>
        <w:spacing w:after="0" w:line="149"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393" w:lineRule="exact"/>
        <w:rPr>
          <w:sz w:val="24"/>
          <w:szCs w:val="24"/>
          <w:color w:val="auto"/>
        </w:rPr>
      </w:pPr>
    </w:p>
    <w:p>
      <w:pPr>
        <w:jc w:val="both"/>
        <w:spacing w:after="0" w:line="148" w:lineRule="exact"/>
        <w:rPr>
          <w:sz w:val="20"/>
          <w:szCs w:val="20"/>
          <w:color w:val="auto"/>
        </w:rPr>
      </w:pPr>
      <w:r>
        <w:rPr>
          <w:rFonts w:ascii="Times New Roman" w:cs="Times New Roman" w:eastAsia="Times New Roman" w:hAnsi="Times New Roman"/>
          <w:sz w:val="11"/>
          <w:szCs w:val="11"/>
          <w:color w:val="auto"/>
        </w:rPr>
        <w:t xml:space="preserve">Indicated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Arial" w:cs="Arial" w:eastAsia="Arial" w:hAnsi="Arial"/>
          <w:sz w:val="11"/>
          <w:szCs w:val="11"/>
          <w:color w:val="auto"/>
        </w:rPr>
        <w:t>x</w:t>
      </w:r>
    </w:p>
    <w:p>
      <w:pPr>
        <w:spacing w:after="0" w:line="238" w:lineRule="exact"/>
        <w:rPr>
          <w:sz w:val="24"/>
          <w:szCs w:val="24"/>
          <w:color w:val="auto"/>
        </w:rPr>
      </w:pPr>
    </w:p>
    <w:p>
      <w:pPr>
        <w:spacing w:after="0" w:line="127" w:lineRule="exact"/>
        <w:tabs>
          <w:tab w:leader="none" w:pos="5220" w:val="left"/>
          <w:tab w:leader="none" w:pos="5680" w:val="left"/>
        </w:tabs>
        <w:rPr>
          <w:sz w:val="20"/>
          <w:szCs w:val="20"/>
          <w:color w:val="auto"/>
        </w:rPr>
      </w:pPr>
      <w:r>
        <w:rPr>
          <w:rFonts w:ascii="Times New Roman" w:cs="Times New Roman" w:eastAsia="Times New Roman" w:hAnsi="Times New Roman"/>
          <w:sz w:val="11"/>
          <w:szCs w:val="11"/>
          <w:color w:val="auto"/>
        </w:rPr>
        <w:t>Indicate by check mark whether the registrant is a shell company (as defined in Rule 12b-2 of the Exchange Act).</w:t>
        <w:tab/>
        <w:t xml:space="preserve">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ab/>
        <w:t xml:space="preserve">No </w:t>
      </w:r>
      <w:r>
        <w:rPr>
          <w:rFonts w:ascii="Arial" w:cs="Arial" w:eastAsia="Arial" w:hAnsi="Arial"/>
          <w:sz w:val="11"/>
          <w:szCs w:val="11"/>
          <w:color w:val="auto"/>
        </w:rPr>
        <w:t>x</w:t>
      </w:r>
    </w:p>
    <w:p>
      <w:pPr>
        <w:spacing w:after="0" w:line="252" w:lineRule="exact"/>
        <w:rPr>
          <w:sz w:val="24"/>
          <w:szCs w:val="24"/>
          <w:color w:val="auto"/>
        </w:rPr>
      </w:pPr>
    </w:p>
    <w:p>
      <w:pPr>
        <w:jc w:val="both"/>
        <w:spacing w:after="0" w:line="260" w:lineRule="auto"/>
        <w:rPr>
          <w:sz w:val="20"/>
          <w:szCs w:val="20"/>
          <w:color w:val="auto"/>
        </w:rPr>
      </w:pPr>
      <w:r>
        <w:rPr>
          <w:rFonts w:ascii="Times New Roman" w:cs="Times New Roman" w:eastAsia="Times New Roman" w:hAnsi="Times New Roman"/>
          <w:sz w:val="11"/>
          <w:szCs w:val="11"/>
          <w:color w:val="auto"/>
        </w:rPr>
        <w:t>The aggregate market value of the voting and non-voting common equity of the registrant held by non-affiliates as of June 30, 2021 (the last business day of the registrant’s most recently completed second fiscal quarter), based on a closing price of $11.18 per share of the registrant’s common stock as reported on The Nasdaq Stock Market on June 30, 2021, was approximately $74.2 million. For purposes of this computation, all officers, directors, and stockholders that the registrant has concluded are affiliates of the registrant are deemed to be affiliates. This calculation does not reflect a determination that certain holders are affiliates of the Registrant for any other purpose.</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As of March 15, 2022, the registrant had 7,173,094 shares of common stock, $0.001 par value per share, outstanding.</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DOCUMENTS INCORPORATED BY REFERENCE</w:t>
      </w:r>
    </w:p>
    <w:p>
      <w:pPr>
        <w:spacing w:after="0" w:line="194"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1"/>
          <w:szCs w:val="11"/>
          <w:color w:val="auto"/>
        </w:rPr>
        <w:t>Portions of the registrant’s definitive Proxy Statement for its 2022 Annual Meeting of Stockholders to be filed with the Securities and Exchange Commission pursuant to Regulation 14A not later than 120 days after the end of the fiscal year covered by this Annual Report on Form 10-K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633095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-635</wp:posOffset>
            </wp:positionV>
            <wp:extent cx="714819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19050</wp:posOffset>
            </wp:positionV>
            <wp:extent cx="71481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ectPr>
          <w:pgSz w:w="11900" w:h="16838" w:orient="portrait"/>
          <w:cols w:equalWidth="0" w:num="1">
            <w:col w:w="11280"/>
          </w:cols>
          <w:pgMar w:left="300" w:top="1208" w:right="319" w:bottom="1440" w:gutter="0" w:footer="0" w:header="0"/>
        </w:sectPr>
      </w:pPr>
    </w:p>
    <w:bookmarkStart w:id="1" w:name="page2"/>
    <w:bookmarkEnd w:id="1"/>
    <w:p>
      <w:pPr>
        <w:ind w:left="440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940" w:type="dxa"/>
            <w:vAlign w:val="bottom"/>
            <w:gridSpan w:val="5"/>
          </w:tcPr>
          <w:p>
            <w:pPr>
              <w:ind w:left="140"/>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320" w:type="dxa"/>
            <w:vAlign w:val="bottom"/>
            <w:gridSpan w:val="28"/>
          </w:tcPr>
          <w:p>
            <w:pPr>
              <w:spacing w:after="0" w:line="109" w:lineRule="exact"/>
              <w:rPr>
                <w:sz w:val="20"/>
                <w:szCs w:val="20"/>
                <w:color w:val="auto"/>
              </w:rPr>
            </w:pPr>
            <w:r>
              <w:rPr>
                <w:rFonts w:ascii="Times New Roman" w:cs="Times New Roman" w:eastAsia="Times New Roman" w:hAnsi="Times New Roman"/>
                <w:sz w:val="12"/>
                <w:szCs w:val="12"/>
                <w:b w:val="1"/>
                <w:bCs w:val="1"/>
                <w:color w:val="0E32E1"/>
              </w:rPr>
              <w:t>SPECIAL NOTE REGARDING FORWARD-LOOKING STATEMENTS</w:t>
            </w:r>
          </w:p>
        </w:tc>
        <w:tc>
          <w:tcPr>
            <w:tcW w:w="500" w:type="dxa"/>
            <w:vAlign w:val="bottom"/>
            <w:tcBorders>
              <w:top w:val="single" w:sz="8" w:color="auto"/>
            </w:tcBorders>
            <w:gridSpan w:val="4"/>
          </w:tcPr>
          <w:p>
            <w:pPr>
              <w:jc w:val="right"/>
              <w:ind w:right="20"/>
              <w:spacing w:after="0" w:line="118" w:lineRule="exact"/>
              <w:rPr>
                <w:rFonts w:ascii="Times New Roman" w:cs="Times New Roman" w:eastAsia="Times New Roman" w:hAnsi="Times New Roman"/>
                <w:sz w:val="13"/>
                <w:szCs w:val="13"/>
                <w:color w:val="0E32E1"/>
              </w:rPr>
            </w:pPr>
            <w:hyperlink w:anchor="page2">
              <w:r>
                <w:rPr>
                  <w:rFonts w:ascii="Times New Roman" w:cs="Times New Roman" w:eastAsia="Times New Roman" w:hAnsi="Times New Roman"/>
                  <w:sz w:val="13"/>
                  <w:szCs w:val="13"/>
                  <w:color w:val="0E32E1"/>
                </w:rPr>
                <w:t>1</w:t>
              </w:r>
            </w:hyperlink>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0E32E1"/>
            </w:tcBorders>
            <w:gridSpan w:val="2"/>
            <w:vMerge w:val="restart"/>
          </w:tcPr>
          <w:p>
            <w:pPr>
              <w:spacing w:after="0"/>
              <w:rPr>
                <w:rFonts w:ascii="Times New Roman" w:cs="Times New Roman" w:eastAsia="Times New Roman" w:hAnsi="Times New Roman"/>
                <w:sz w:val="14"/>
                <w:szCs w:val="14"/>
                <w:b w:val="1"/>
                <w:bCs w:val="1"/>
                <w:color w:val="0E32E1"/>
                <w:w w:val="84"/>
              </w:rPr>
            </w:pPr>
            <w:hyperlink w:anchor="page4">
              <w:r>
                <w:rPr>
                  <w:rFonts w:ascii="Times New Roman" w:cs="Times New Roman" w:eastAsia="Times New Roman" w:hAnsi="Times New Roman"/>
                  <w:sz w:val="14"/>
                  <w:szCs w:val="14"/>
                  <w:b w:val="1"/>
                  <w:bCs w:val="1"/>
                  <w:color w:val="0E32E1"/>
                  <w:w w:val="84"/>
                </w:rPr>
                <w:t>PART I</w:t>
              </w:r>
            </w:hyperlink>
          </w:p>
        </w:tc>
        <w:tc>
          <w:tcPr>
            <w:tcW w:w="340" w:type="dxa"/>
            <w:vAlign w:val="bottom"/>
            <w:tcBorders>
              <w:top w:val="single" w:sz="8" w:color="0E32E1"/>
            </w:tcBorders>
            <w:gridSpan w:val="4"/>
            <w:vMerge w:val="restart"/>
          </w:tcPr>
          <w:p>
            <w:pPr>
              <w:spacing w:after="0" w:line="20" w:lineRule="exact"/>
              <w:rPr>
                <w:sz w:val="1"/>
                <w:szCs w:val="1"/>
                <w:color w:val="auto"/>
              </w:rPr>
            </w:pPr>
          </w:p>
        </w:tc>
        <w:tc>
          <w:tcPr>
            <w:tcW w:w="180" w:type="dxa"/>
            <w:vAlign w:val="bottom"/>
            <w:tcBorders>
              <w:top w:val="single" w:sz="8" w:color="0E32E1"/>
            </w:tcBorders>
          </w:tcPr>
          <w:p>
            <w:pPr>
              <w:spacing w:after="0" w:line="20" w:lineRule="exact"/>
              <w:rPr>
                <w:sz w:val="1"/>
                <w:szCs w:val="1"/>
                <w:color w:val="auto"/>
              </w:rPr>
            </w:pPr>
          </w:p>
        </w:tc>
        <w:tc>
          <w:tcPr>
            <w:tcW w:w="500" w:type="dxa"/>
            <w:vAlign w:val="bottom"/>
            <w:tcBorders>
              <w:top w:val="single" w:sz="8" w:color="0E32E1"/>
            </w:tcBorders>
          </w:tcPr>
          <w:p>
            <w:pPr>
              <w:spacing w:after="0" w:line="20" w:lineRule="exact"/>
              <w:rPr>
                <w:sz w:val="1"/>
                <w:szCs w:val="1"/>
                <w:color w:val="auto"/>
              </w:rPr>
            </w:pPr>
          </w:p>
        </w:tc>
        <w:tc>
          <w:tcPr>
            <w:tcW w:w="80" w:type="dxa"/>
            <w:vAlign w:val="bottom"/>
            <w:tcBorders>
              <w:top w:val="single" w:sz="8" w:color="0E32E1"/>
            </w:tcBorders>
          </w:tcPr>
          <w:p>
            <w:pPr>
              <w:spacing w:after="0" w:line="20" w:lineRule="exact"/>
              <w:rPr>
                <w:sz w:val="1"/>
                <w:szCs w:val="1"/>
                <w:color w:val="auto"/>
              </w:rPr>
            </w:pPr>
          </w:p>
        </w:tc>
        <w:tc>
          <w:tcPr>
            <w:tcW w:w="140" w:type="dxa"/>
            <w:vAlign w:val="bottom"/>
            <w:tcBorders>
              <w:top w:val="single" w:sz="8" w:color="0E32E1"/>
            </w:tcBorders>
          </w:tcPr>
          <w:p>
            <w:pPr>
              <w:spacing w:after="0" w:line="20" w:lineRule="exact"/>
              <w:rPr>
                <w:sz w:val="1"/>
                <w:szCs w:val="1"/>
                <w:color w:val="auto"/>
              </w:rPr>
            </w:pPr>
          </w:p>
        </w:tc>
        <w:tc>
          <w:tcPr>
            <w:tcW w:w="320" w:type="dxa"/>
            <w:vAlign w:val="bottom"/>
            <w:tcBorders>
              <w:top w:val="single" w:sz="8" w:color="0E32E1"/>
            </w:tcBorders>
          </w:tcPr>
          <w:p>
            <w:pPr>
              <w:spacing w:after="0" w:line="20" w:lineRule="exact"/>
              <w:rPr>
                <w:sz w:val="1"/>
                <w:szCs w:val="1"/>
                <w:color w:val="auto"/>
              </w:rPr>
            </w:pPr>
          </w:p>
        </w:tc>
        <w:tc>
          <w:tcPr>
            <w:tcW w:w="180" w:type="dxa"/>
            <w:vAlign w:val="bottom"/>
            <w:tcBorders>
              <w:top w:val="single" w:sz="8" w:color="0E32E1"/>
            </w:tcBorders>
          </w:tcPr>
          <w:p>
            <w:pPr>
              <w:spacing w:after="0" w:line="20" w:lineRule="exact"/>
              <w:rPr>
                <w:sz w:val="1"/>
                <w:szCs w:val="1"/>
                <w:color w:val="auto"/>
              </w:rPr>
            </w:pPr>
          </w:p>
        </w:tc>
        <w:tc>
          <w:tcPr>
            <w:tcW w:w="120" w:type="dxa"/>
            <w:vAlign w:val="bottom"/>
            <w:tcBorders>
              <w:top w:val="single" w:sz="8" w:color="0E32E1"/>
            </w:tcBorders>
          </w:tcPr>
          <w:p>
            <w:pPr>
              <w:spacing w:after="0" w:line="20" w:lineRule="exact"/>
              <w:rPr>
                <w:sz w:val="1"/>
                <w:szCs w:val="1"/>
                <w:color w:val="auto"/>
              </w:rPr>
            </w:pPr>
          </w:p>
        </w:tc>
        <w:tc>
          <w:tcPr>
            <w:tcW w:w="80" w:type="dxa"/>
            <w:vAlign w:val="bottom"/>
            <w:tcBorders>
              <w:top w:val="single" w:sz="8" w:color="0E32E1"/>
            </w:tcBorders>
          </w:tcPr>
          <w:p>
            <w:pPr>
              <w:spacing w:after="0" w:line="20" w:lineRule="exact"/>
              <w:rPr>
                <w:sz w:val="1"/>
                <w:szCs w:val="1"/>
                <w:color w:val="auto"/>
              </w:rPr>
            </w:pPr>
          </w:p>
        </w:tc>
        <w:tc>
          <w:tcPr>
            <w:tcW w:w="200" w:type="dxa"/>
            <w:vAlign w:val="bottom"/>
            <w:tcBorders>
              <w:top w:val="single" w:sz="8" w:color="0E32E1"/>
            </w:tcBorders>
          </w:tcPr>
          <w:p>
            <w:pPr>
              <w:spacing w:after="0" w:line="20" w:lineRule="exact"/>
              <w:rPr>
                <w:sz w:val="1"/>
                <w:szCs w:val="1"/>
                <w:color w:val="auto"/>
              </w:rPr>
            </w:pPr>
          </w:p>
        </w:tc>
        <w:tc>
          <w:tcPr>
            <w:tcW w:w="640" w:type="dxa"/>
            <w:vAlign w:val="bottom"/>
            <w:tcBorders>
              <w:top w:val="single" w:sz="8" w:color="0E32E1"/>
            </w:tcBorders>
          </w:tcPr>
          <w:p>
            <w:pPr>
              <w:spacing w:after="0" w:line="20" w:lineRule="exact"/>
              <w:rPr>
                <w:sz w:val="1"/>
                <w:szCs w:val="1"/>
                <w:color w:val="auto"/>
              </w:rPr>
            </w:pPr>
          </w:p>
        </w:tc>
        <w:tc>
          <w:tcPr>
            <w:tcW w:w="180" w:type="dxa"/>
            <w:vAlign w:val="bottom"/>
            <w:tcBorders>
              <w:top w:val="single" w:sz="8" w:color="0E32E1"/>
            </w:tcBorders>
          </w:tcPr>
          <w:p>
            <w:pPr>
              <w:spacing w:after="0" w:line="20" w:lineRule="exact"/>
              <w:rPr>
                <w:sz w:val="1"/>
                <w:szCs w:val="1"/>
                <w:color w:val="auto"/>
              </w:rPr>
            </w:pPr>
          </w:p>
        </w:tc>
        <w:tc>
          <w:tcPr>
            <w:tcW w:w="180" w:type="dxa"/>
            <w:vAlign w:val="bottom"/>
            <w:tcBorders>
              <w:top w:val="single" w:sz="8" w:color="0E32E1"/>
            </w:tcBorders>
          </w:tcPr>
          <w:p>
            <w:pPr>
              <w:spacing w:after="0" w:line="20" w:lineRule="exact"/>
              <w:rPr>
                <w:sz w:val="1"/>
                <w:szCs w:val="1"/>
                <w:color w:val="auto"/>
              </w:rPr>
            </w:pPr>
          </w:p>
        </w:tc>
        <w:tc>
          <w:tcPr>
            <w:tcW w:w="600" w:type="dxa"/>
            <w:vAlign w:val="bottom"/>
            <w:tcBorders>
              <w:top w:val="single" w:sz="8" w:color="0E32E1"/>
            </w:tcBorders>
          </w:tcPr>
          <w:p>
            <w:pPr>
              <w:spacing w:after="0" w:line="20" w:lineRule="exact"/>
              <w:rPr>
                <w:sz w:val="1"/>
                <w:szCs w:val="1"/>
                <w:color w:val="auto"/>
              </w:rPr>
            </w:pPr>
          </w:p>
        </w:tc>
        <w:tc>
          <w:tcPr>
            <w:tcW w:w="200" w:type="dxa"/>
            <w:vAlign w:val="bottom"/>
            <w:tcBorders>
              <w:top w:val="single" w:sz="8" w:color="0E32E1"/>
            </w:tcBorders>
          </w:tcPr>
          <w:p>
            <w:pPr>
              <w:spacing w:after="0" w:line="20" w:lineRule="exact"/>
              <w:rPr>
                <w:sz w:val="1"/>
                <w:szCs w:val="1"/>
                <w:color w:val="auto"/>
              </w:rPr>
            </w:pPr>
          </w:p>
        </w:tc>
        <w:tc>
          <w:tcPr>
            <w:tcW w:w="60" w:type="dxa"/>
            <w:vAlign w:val="bottom"/>
            <w:tcBorders>
              <w:top w:val="single" w:sz="8" w:color="0E32E1"/>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E32E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440" w:type="dxa"/>
            <w:vAlign w:val="bottom"/>
            <w:gridSpan w:val="2"/>
            <w:vMerge w:val="continue"/>
          </w:tcPr>
          <w:p>
            <w:pPr>
              <w:spacing w:after="0"/>
              <w:rPr>
                <w:sz w:val="24"/>
                <w:szCs w:val="24"/>
                <w:color w:val="auto"/>
              </w:rPr>
            </w:pPr>
          </w:p>
        </w:tc>
        <w:tc>
          <w:tcPr>
            <w:tcW w:w="34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gridSpan w:val="4"/>
          </w:tcPr>
          <w:p>
            <w:pPr>
              <w:jc w:val="right"/>
              <w:ind w:right="20"/>
              <w:spacing w:after="0"/>
              <w:rPr>
                <w:rFonts w:ascii="Times New Roman" w:cs="Times New Roman" w:eastAsia="Times New Roman" w:hAnsi="Times New Roman"/>
                <w:sz w:val="14"/>
                <w:szCs w:val="14"/>
                <w:color w:val="0E32E1"/>
              </w:rPr>
            </w:pPr>
            <w:hyperlink w:anchor="page4">
              <w:r>
                <w:rPr>
                  <w:rFonts w:ascii="Times New Roman" w:cs="Times New Roman" w:eastAsia="Times New Roman" w:hAnsi="Times New Roman"/>
                  <w:sz w:val="14"/>
                  <w:szCs w:val="14"/>
                  <w:color w:val="0E32E1"/>
                </w:rPr>
                <w:t>3</w:t>
              </w:r>
            </w:hyperlink>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40" w:type="dxa"/>
            <w:vAlign w:val="bottom"/>
            <w:tcBorders>
              <w:left w:val="single" w:sz="8" w:color="0E32E1"/>
            </w:tcBorders>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E32E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rFonts w:ascii="Times New Roman" w:cs="Times New Roman" w:eastAsia="Times New Roman" w:hAnsi="Times New Roman"/>
                <w:sz w:val="14"/>
                <w:szCs w:val="14"/>
                <w:color w:val="0E32E1"/>
                <w:w w:val="90"/>
              </w:rPr>
            </w:pPr>
            <w:hyperlink w:anchor="page5">
              <w:r>
                <w:rPr>
                  <w:rFonts w:ascii="Times New Roman" w:cs="Times New Roman" w:eastAsia="Times New Roman" w:hAnsi="Times New Roman"/>
                  <w:sz w:val="14"/>
                  <w:szCs w:val="14"/>
                  <w:color w:val="0E32E1"/>
                  <w:w w:val="90"/>
                </w:rPr>
                <w:t>Item 1.</w:t>
              </w:r>
            </w:hyperlink>
          </w:p>
        </w:tc>
        <w:tc>
          <w:tcPr>
            <w:tcW w:w="40" w:type="dxa"/>
            <w:vAlign w:val="bottom"/>
          </w:tcPr>
          <w:p>
            <w:pPr>
              <w:spacing w:after="0"/>
              <w:rPr>
                <w:sz w:val="13"/>
                <w:szCs w:val="13"/>
                <w:color w:val="auto"/>
              </w:rPr>
            </w:pPr>
          </w:p>
        </w:tc>
        <w:tc>
          <w:tcPr>
            <w:tcW w:w="340" w:type="dxa"/>
            <w:vAlign w:val="bottom"/>
            <w:gridSpan w:val="4"/>
          </w:tcPr>
          <w:p>
            <w:pPr>
              <w:spacing w:after="0"/>
              <w:rPr>
                <w:sz w:val="13"/>
                <w:szCs w:val="13"/>
                <w:color w:val="auto"/>
              </w:rPr>
            </w:pPr>
          </w:p>
        </w:tc>
        <w:tc>
          <w:tcPr>
            <w:tcW w:w="180" w:type="dxa"/>
            <w:vAlign w:val="bottom"/>
          </w:tcPr>
          <w:p>
            <w:pPr>
              <w:spacing w:after="0"/>
              <w:rPr>
                <w:sz w:val="13"/>
                <w:szCs w:val="13"/>
                <w:color w:val="auto"/>
              </w:rPr>
            </w:pPr>
          </w:p>
        </w:tc>
        <w:tc>
          <w:tcPr>
            <w:tcW w:w="8360" w:type="dxa"/>
            <w:vAlign w:val="bottom"/>
            <w:gridSpan w:val="21"/>
          </w:tcPr>
          <w:p>
            <w:pPr>
              <w:spacing w:after="0"/>
              <w:rPr>
                <w:rFonts w:ascii="Times New Roman" w:cs="Times New Roman" w:eastAsia="Times New Roman" w:hAnsi="Times New Roman"/>
                <w:sz w:val="14"/>
                <w:szCs w:val="14"/>
                <w:color w:val="0000FF"/>
              </w:rPr>
            </w:pPr>
            <w:hyperlink w:anchor="page5">
              <w:r>
                <w:rPr>
                  <w:rFonts w:ascii="Times New Roman" w:cs="Times New Roman" w:eastAsia="Times New Roman" w:hAnsi="Times New Roman"/>
                  <w:sz w:val="14"/>
                  <w:szCs w:val="14"/>
                  <w:color w:val="0000FF"/>
                </w:rPr>
                <w:t>Business</w:t>
              </w:r>
            </w:hyperlink>
          </w:p>
        </w:tc>
        <w:tc>
          <w:tcPr>
            <w:tcW w:w="500" w:type="dxa"/>
            <w:vAlign w:val="bottom"/>
            <w:gridSpan w:val="4"/>
          </w:tcPr>
          <w:p>
            <w:pPr>
              <w:jc w:val="right"/>
              <w:ind w:right="20"/>
              <w:spacing w:after="0"/>
              <w:rPr>
                <w:rFonts w:ascii="Times New Roman" w:cs="Times New Roman" w:eastAsia="Times New Roman" w:hAnsi="Times New Roman"/>
                <w:sz w:val="14"/>
                <w:szCs w:val="14"/>
                <w:color w:val="0000FF"/>
              </w:rPr>
            </w:pPr>
            <w:hyperlink w:anchor="page5">
              <w:r>
                <w:rPr>
                  <w:rFonts w:ascii="Times New Roman" w:cs="Times New Roman" w:eastAsia="Times New Roman" w:hAnsi="Times New Roman"/>
                  <w:sz w:val="14"/>
                  <w:szCs w:val="14"/>
                  <w:color w:val="0000FF"/>
                </w:rPr>
                <w:t>3</w:t>
              </w:r>
            </w:hyperlink>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40" w:type="dxa"/>
            <w:vAlign w:val="bottom"/>
            <w:tcBorders>
              <w:left w:val="single" w:sz="8" w:color="0E32E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20" w:type="dxa"/>
            <w:vAlign w:val="bottom"/>
            <w:gridSpan w:val="3"/>
          </w:tcPr>
          <w:p>
            <w:pPr>
              <w:spacing w:after="0"/>
              <w:rPr>
                <w:rFonts w:ascii="Times New Roman" w:cs="Times New Roman" w:eastAsia="Times New Roman" w:hAnsi="Times New Roman"/>
                <w:sz w:val="14"/>
                <w:szCs w:val="14"/>
                <w:color w:val="0E32E1"/>
                <w:w w:val="96"/>
              </w:rPr>
            </w:pPr>
            <w:hyperlink w:anchor="page28">
              <w:r>
                <w:rPr>
                  <w:rFonts w:ascii="Times New Roman" w:cs="Times New Roman" w:eastAsia="Times New Roman" w:hAnsi="Times New Roman"/>
                  <w:sz w:val="14"/>
                  <w:szCs w:val="14"/>
                  <w:color w:val="0E32E1"/>
                  <w:w w:val="96"/>
                </w:rPr>
                <w:t>Item 1A.</w:t>
              </w:r>
            </w:hyperlink>
          </w:p>
        </w:tc>
        <w:tc>
          <w:tcPr>
            <w:tcW w:w="260" w:type="dxa"/>
            <w:vAlign w:val="bottom"/>
            <w:gridSpan w:val="3"/>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3"/>
          </w:tcPr>
          <w:p>
            <w:pPr>
              <w:spacing w:after="0"/>
              <w:rPr>
                <w:rFonts w:ascii="Times New Roman" w:cs="Times New Roman" w:eastAsia="Times New Roman" w:hAnsi="Times New Roman"/>
                <w:sz w:val="14"/>
                <w:szCs w:val="14"/>
                <w:color w:val="0E32E1"/>
                <w:w w:val="99"/>
              </w:rPr>
            </w:pPr>
            <w:hyperlink w:anchor="page28">
              <w:r>
                <w:rPr>
                  <w:rFonts w:ascii="Times New Roman" w:cs="Times New Roman" w:eastAsia="Times New Roman" w:hAnsi="Times New Roman"/>
                  <w:sz w:val="14"/>
                  <w:szCs w:val="14"/>
                  <w:color w:val="0E32E1"/>
                  <w:w w:val="99"/>
                </w:rPr>
                <w:t>Risk Factors</w:t>
              </w:r>
            </w:hyperlink>
          </w:p>
        </w:tc>
        <w:tc>
          <w:tcPr>
            <w:tcW w:w="7640" w:type="dxa"/>
            <w:vAlign w:val="bottom"/>
            <w:gridSpan w:val="18"/>
          </w:tcPr>
          <w:p>
            <w:pPr>
              <w:spacing w:after="0"/>
              <w:rPr>
                <w:sz w:val="13"/>
                <w:szCs w:val="13"/>
                <w:color w:val="auto"/>
              </w:rPr>
            </w:pPr>
          </w:p>
        </w:tc>
        <w:tc>
          <w:tcPr>
            <w:tcW w:w="340" w:type="dxa"/>
            <w:vAlign w:val="bottom"/>
            <w:gridSpan w:val="2"/>
          </w:tcPr>
          <w:p>
            <w:pPr>
              <w:spacing w:after="0"/>
              <w:rPr>
                <w:sz w:val="13"/>
                <w:szCs w:val="13"/>
                <w:color w:val="auto"/>
              </w:rPr>
            </w:pPr>
          </w:p>
        </w:tc>
        <w:tc>
          <w:tcPr>
            <w:tcW w:w="160" w:type="dxa"/>
            <w:vAlign w:val="bottom"/>
            <w:gridSpan w:val="2"/>
          </w:tcPr>
          <w:p>
            <w:pPr>
              <w:jc w:val="right"/>
              <w:ind w:right="20"/>
              <w:spacing w:after="0"/>
              <w:rPr>
                <w:rFonts w:ascii="Times New Roman" w:cs="Times New Roman" w:eastAsia="Times New Roman" w:hAnsi="Times New Roman"/>
                <w:sz w:val="14"/>
                <w:szCs w:val="14"/>
                <w:color w:val="0E32E1"/>
                <w:w w:val="85"/>
              </w:rPr>
            </w:pPr>
            <w:hyperlink w:anchor="page28">
              <w:r>
                <w:rPr>
                  <w:rFonts w:ascii="Times New Roman" w:cs="Times New Roman" w:eastAsia="Times New Roman" w:hAnsi="Times New Roman"/>
                  <w:sz w:val="14"/>
                  <w:szCs w:val="14"/>
                  <w:color w:val="0E32E1"/>
                  <w:w w:val="85"/>
                </w:rPr>
                <w:t>26</w:t>
              </w:r>
            </w:hyperlink>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40" w:type="dxa"/>
            <w:vAlign w:val="bottom"/>
            <w:tcBorders>
              <w:left w:val="single" w:sz="8" w:color="0E32E1"/>
            </w:tcBorders>
            <w:shd w:val="clear" w:color="auto" w:fill="0E32E1"/>
          </w:tcPr>
          <w:p>
            <w:pPr>
              <w:spacing w:after="0" w:line="20" w:lineRule="exact"/>
              <w:rPr>
                <w:sz w:val="1"/>
                <w:szCs w:val="1"/>
                <w:color w:val="auto"/>
              </w:rPr>
            </w:pPr>
          </w:p>
        </w:tc>
        <w:tc>
          <w:tcPr>
            <w:tcW w:w="80" w:type="dxa"/>
            <w:vAlign w:val="bottom"/>
            <w:tcBorders>
              <w:left w:val="single" w:sz="8" w:color="0E32E1"/>
            </w:tcBorders>
            <w:shd w:val="clear" w:color="auto" w:fill="0E32E1"/>
          </w:tcPr>
          <w:p>
            <w:pPr>
              <w:spacing w:after="0" w:line="20" w:lineRule="exact"/>
              <w:rPr>
                <w:sz w:val="1"/>
                <w:szCs w:val="1"/>
                <w:color w:val="auto"/>
              </w:rPr>
            </w:pPr>
          </w:p>
        </w:tc>
        <w:tc>
          <w:tcPr>
            <w:tcW w:w="40" w:type="dxa"/>
            <w:vAlign w:val="bottom"/>
            <w:tcBorders>
              <w:left w:val="single" w:sz="8" w:color="0E32E1"/>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20" w:type="dxa"/>
            <w:vAlign w:val="bottom"/>
            <w:gridSpan w:val="3"/>
          </w:tcPr>
          <w:p>
            <w:pPr>
              <w:spacing w:after="0"/>
              <w:rPr>
                <w:rFonts w:ascii="Times New Roman" w:cs="Times New Roman" w:eastAsia="Times New Roman" w:hAnsi="Times New Roman"/>
                <w:sz w:val="14"/>
                <w:szCs w:val="14"/>
                <w:color w:val="0E32E1"/>
                <w:w w:val="97"/>
              </w:rPr>
            </w:pPr>
            <w:hyperlink w:anchor="page69">
              <w:r>
                <w:rPr>
                  <w:rFonts w:ascii="Times New Roman" w:cs="Times New Roman" w:eastAsia="Times New Roman" w:hAnsi="Times New Roman"/>
                  <w:sz w:val="14"/>
                  <w:szCs w:val="14"/>
                  <w:color w:val="0E32E1"/>
                  <w:w w:val="97"/>
                </w:rPr>
                <w:t>Item 1B.</w:t>
              </w:r>
            </w:hyperlink>
          </w:p>
        </w:tc>
        <w:tc>
          <w:tcPr>
            <w:tcW w:w="260" w:type="dxa"/>
            <w:vAlign w:val="bottom"/>
            <w:gridSpan w:val="3"/>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8"/>
          </w:tcPr>
          <w:p>
            <w:pPr>
              <w:spacing w:after="0"/>
              <w:rPr>
                <w:rFonts w:ascii="Times New Roman" w:cs="Times New Roman" w:eastAsia="Times New Roman" w:hAnsi="Times New Roman"/>
                <w:sz w:val="14"/>
                <w:szCs w:val="14"/>
                <w:color w:val="0E32E1"/>
              </w:rPr>
            </w:pPr>
            <w:hyperlink w:anchor="page69">
              <w:r>
                <w:rPr>
                  <w:rFonts w:ascii="Times New Roman" w:cs="Times New Roman" w:eastAsia="Times New Roman" w:hAnsi="Times New Roman"/>
                  <w:sz w:val="14"/>
                  <w:szCs w:val="14"/>
                  <w:color w:val="0E32E1"/>
                </w:rPr>
                <w:t>Unresolved Staff Comments</w:t>
              </w:r>
            </w:hyperlink>
          </w:p>
        </w:tc>
        <w:tc>
          <w:tcPr>
            <w:tcW w:w="6740" w:type="dxa"/>
            <w:vAlign w:val="bottom"/>
            <w:gridSpan w:val="13"/>
          </w:tcPr>
          <w:p>
            <w:pPr>
              <w:spacing w:after="0"/>
              <w:rPr>
                <w:sz w:val="13"/>
                <w:szCs w:val="13"/>
                <w:color w:val="auto"/>
              </w:rPr>
            </w:pPr>
          </w:p>
        </w:tc>
        <w:tc>
          <w:tcPr>
            <w:tcW w:w="340" w:type="dxa"/>
            <w:vAlign w:val="bottom"/>
            <w:gridSpan w:val="2"/>
          </w:tcPr>
          <w:p>
            <w:pPr>
              <w:spacing w:after="0"/>
              <w:rPr>
                <w:sz w:val="13"/>
                <w:szCs w:val="13"/>
                <w:color w:val="auto"/>
              </w:rPr>
            </w:pPr>
          </w:p>
        </w:tc>
        <w:tc>
          <w:tcPr>
            <w:tcW w:w="160" w:type="dxa"/>
            <w:vAlign w:val="bottom"/>
            <w:gridSpan w:val="2"/>
          </w:tcPr>
          <w:p>
            <w:pPr>
              <w:jc w:val="right"/>
              <w:ind w:right="20"/>
              <w:spacing w:after="0"/>
              <w:rPr>
                <w:rFonts w:ascii="Times New Roman" w:cs="Times New Roman" w:eastAsia="Times New Roman" w:hAnsi="Times New Roman"/>
                <w:sz w:val="14"/>
                <w:szCs w:val="14"/>
                <w:color w:val="0E32E1"/>
                <w:w w:val="85"/>
              </w:rPr>
            </w:pPr>
            <w:hyperlink w:anchor="page69">
              <w:r>
                <w:rPr>
                  <w:rFonts w:ascii="Times New Roman" w:cs="Times New Roman" w:eastAsia="Times New Roman" w:hAnsi="Times New Roman"/>
                  <w:sz w:val="14"/>
                  <w:szCs w:val="14"/>
                  <w:color w:val="0E32E1"/>
                  <w:w w:val="85"/>
                </w:rPr>
                <w:t>67</w:t>
              </w:r>
            </w:hyperlink>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40" w:type="dxa"/>
            <w:vAlign w:val="bottom"/>
            <w:tcBorders>
              <w:left w:val="single" w:sz="8" w:color="0E32E1"/>
            </w:tcBorders>
            <w:shd w:val="clear" w:color="auto" w:fill="0E32E1"/>
          </w:tcPr>
          <w:p>
            <w:pPr>
              <w:spacing w:after="0" w:line="20" w:lineRule="exact"/>
              <w:rPr>
                <w:sz w:val="1"/>
                <w:szCs w:val="1"/>
                <w:color w:val="auto"/>
              </w:rPr>
            </w:pPr>
          </w:p>
        </w:tc>
        <w:tc>
          <w:tcPr>
            <w:tcW w:w="80" w:type="dxa"/>
            <w:vAlign w:val="bottom"/>
            <w:tcBorders>
              <w:left w:val="single" w:sz="8" w:color="0E32E1"/>
            </w:tcBorders>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E32E1"/>
          </w:tcPr>
          <w:p>
            <w:pPr>
              <w:spacing w:after="0" w:line="20" w:lineRule="exact"/>
              <w:rPr>
                <w:sz w:val="1"/>
                <w:szCs w:val="1"/>
                <w:color w:val="auto"/>
              </w:rPr>
            </w:pPr>
          </w:p>
        </w:tc>
        <w:tc>
          <w:tcPr>
            <w:tcW w:w="460" w:type="dxa"/>
            <w:vAlign w:val="bottom"/>
            <w:gridSpan w:val="2"/>
            <w:shd w:val="clear" w:color="auto" w:fill="0E32E1"/>
          </w:tcPr>
          <w:p>
            <w:pPr>
              <w:spacing w:after="0" w:line="20" w:lineRule="exact"/>
              <w:rPr>
                <w:sz w:val="1"/>
                <w:szCs w:val="1"/>
                <w:color w:val="auto"/>
              </w:rPr>
            </w:pPr>
          </w:p>
        </w:tc>
        <w:tc>
          <w:tcPr>
            <w:tcW w:w="180" w:type="dxa"/>
            <w:vAlign w:val="bottom"/>
            <w:tcBorders>
              <w:left w:val="single" w:sz="8" w:color="0E32E1"/>
            </w:tcBorders>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80" w:type="dxa"/>
            <w:vAlign w:val="bottom"/>
            <w:tcBorders>
              <w:left w:val="single" w:sz="8" w:color="0E32E1"/>
            </w:tcBorders>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rFonts w:ascii="Times New Roman" w:cs="Times New Roman" w:eastAsia="Times New Roman" w:hAnsi="Times New Roman"/>
                <w:sz w:val="14"/>
                <w:szCs w:val="14"/>
                <w:color w:val="0E32E1"/>
                <w:w w:val="90"/>
              </w:rPr>
            </w:pPr>
            <w:hyperlink w:anchor="page69">
              <w:r>
                <w:rPr>
                  <w:rFonts w:ascii="Times New Roman" w:cs="Times New Roman" w:eastAsia="Times New Roman" w:hAnsi="Times New Roman"/>
                  <w:sz w:val="14"/>
                  <w:szCs w:val="14"/>
                  <w:color w:val="0E32E1"/>
                  <w:w w:val="90"/>
                </w:rPr>
                <w:t>Item 2.</w:t>
              </w:r>
            </w:hyperlink>
          </w:p>
        </w:tc>
        <w:tc>
          <w:tcPr>
            <w:tcW w:w="120" w:type="dxa"/>
            <w:vAlign w:val="bottom"/>
            <w:gridSpan w:val="2"/>
          </w:tcPr>
          <w:p>
            <w:pPr>
              <w:spacing w:after="0"/>
              <w:rPr>
                <w:sz w:val="13"/>
                <w:szCs w:val="13"/>
                <w:color w:val="auto"/>
              </w:rPr>
            </w:pPr>
          </w:p>
        </w:tc>
        <w:tc>
          <w:tcPr>
            <w:tcW w:w="260" w:type="dxa"/>
            <w:vAlign w:val="bottom"/>
            <w:gridSpan w:val="3"/>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gridSpan w:val="2"/>
          </w:tcPr>
          <w:p>
            <w:pPr>
              <w:spacing w:after="0"/>
              <w:rPr>
                <w:rFonts w:ascii="Times New Roman" w:cs="Times New Roman" w:eastAsia="Times New Roman" w:hAnsi="Times New Roman"/>
                <w:sz w:val="14"/>
                <w:szCs w:val="14"/>
                <w:color w:val="0E32E1"/>
                <w:w w:val="98"/>
              </w:rPr>
            </w:pPr>
            <w:hyperlink w:anchor="page69">
              <w:r>
                <w:rPr>
                  <w:rFonts w:ascii="Times New Roman" w:cs="Times New Roman" w:eastAsia="Times New Roman" w:hAnsi="Times New Roman"/>
                  <w:sz w:val="14"/>
                  <w:szCs w:val="14"/>
                  <w:color w:val="0E32E1"/>
                  <w:w w:val="98"/>
                </w:rPr>
                <w:t>Properties</w:t>
              </w:r>
            </w:hyperlink>
          </w:p>
        </w:tc>
        <w:tc>
          <w:tcPr>
            <w:tcW w:w="1040" w:type="dxa"/>
            <w:vAlign w:val="bottom"/>
            <w:gridSpan w:val="6"/>
          </w:tcPr>
          <w:p>
            <w:pPr>
              <w:spacing w:after="0"/>
              <w:rPr>
                <w:sz w:val="13"/>
                <w:szCs w:val="13"/>
                <w:color w:val="auto"/>
              </w:rPr>
            </w:pPr>
          </w:p>
        </w:tc>
        <w:tc>
          <w:tcPr>
            <w:tcW w:w="6740" w:type="dxa"/>
            <w:vAlign w:val="bottom"/>
            <w:gridSpan w:val="13"/>
          </w:tcPr>
          <w:p>
            <w:pPr>
              <w:spacing w:after="0"/>
              <w:rPr>
                <w:sz w:val="13"/>
                <w:szCs w:val="13"/>
                <w:color w:val="auto"/>
              </w:rPr>
            </w:pPr>
          </w:p>
        </w:tc>
        <w:tc>
          <w:tcPr>
            <w:tcW w:w="340" w:type="dxa"/>
            <w:vAlign w:val="bottom"/>
            <w:gridSpan w:val="2"/>
          </w:tcPr>
          <w:p>
            <w:pPr>
              <w:spacing w:after="0"/>
              <w:rPr>
                <w:sz w:val="13"/>
                <w:szCs w:val="13"/>
                <w:color w:val="auto"/>
              </w:rPr>
            </w:pPr>
          </w:p>
        </w:tc>
        <w:tc>
          <w:tcPr>
            <w:tcW w:w="160" w:type="dxa"/>
            <w:vAlign w:val="bottom"/>
            <w:gridSpan w:val="2"/>
          </w:tcPr>
          <w:p>
            <w:pPr>
              <w:jc w:val="right"/>
              <w:ind w:right="20"/>
              <w:spacing w:after="0"/>
              <w:rPr>
                <w:rFonts w:ascii="Times New Roman" w:cs="Times New Roman" w:eastAsia="Times New Roman" w:hAnsi="Times New Roman"/>
                <w:sz w:val="14"/>
                <w:szCs w:val="14"/>
                <w:color w:val="0E32E1"/>
                <w:w w:val="85"/>
              </w:rPr>
            </w:pPr>
            <w:hyperlink w:anchor="page69">
              <w:r>
                <w:rPr>
                  <w:rFonts w:ascii="Times New Roman" w:cs="Times New Roman" w:eastAsia="Times New Roman" w:hAnsi="Times New Roman"/>
                  <w:sz w:val="14"/>
                  <w:szCs w:val="14"/>
                  <w:color w:val="0E32E1"/>
                  <w:w w:val="85"/>
                </w:rPr>
                <w:t>67</w:t>
              </w:r>
            </w:hyperlink>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40" w:type="dxa"/>
            <w:vAlign w:val="bottom"/>
            <w:tcBorders>
              <w:left w:val="single" w:sz="8" w:color="0E32E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E32E1"/>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rFonts w:ascii="Times New Roman" w:cs="Times New Roman" w:eastAsia="Times New Roman" w:hAnsi="Times New Roman"/>
                <w:sz w:val="14"/>
                <w:szCs w:val="14"/>
                <w:color w:val="0E32E1"/>
                <w:w w:val="90"/>
              </w:rPr>
            </w:pPr>
            <w:hyperlink w:anchor="page69">
              <w:r>
                <w:rPr>
                  <w:rFonts w:ascii="Times New Roman" w:cs="Times New Roman" w:eastAsia="Times New Roman" w:hAnsi="Times New Roman"/>
                  <w:sz w:val="14"/>
                  <w:szCs w:val="14"/>
                  <w:color w:val="0E32E1"/>
                  <w:w w:val="90"/>
                </w:rPr>
                <w:t>Item 3.</w:t>
              </w:r>
            </w:hyperlink>
          </w:p>
        </w:tc>
        <w:tc>
          <w:tcPr>
            <w:tcW w:w="380" w:type="dxa"/>
            <w:vAlign w:val="bottom"/>
            <w:gridSpan w:val="5"/>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4"/>
          </w:tcPr>
          <w:p>
            <w:pPr>
              <w:spacing w:after="0"/>
              <w:rPr>
                <w:rFonts w:ascii="Times New Roman" w:cs="Times New Roman" w:eastAsia="Times New Roman" w:hAnsi="Times New Roman"/>
                <w:sz w:val="14"/>
                <w:szCs w:val="14"/>
                <w:color w:val="0E32E1"/>
                <w:w w:val="96"/>
              </w:rPr>
            </w:pPr>
            <w:hyperlink w:anchor="page69">
              <w:r>
                <w:rPr>
                  <w:rFonts w:ascii="Times New Roman" w:cs="Times New Roman" w:eastAsia="Times New Roman" w:hAnsi="Times New Roman"/>
                  <w:sz w:val="14"/>
                  <w:szCs w:val="14"/>
                  <w:color w:val="0E32E1"/>
                  <w:w w:val="96"/>
                </w:rPr>
                <w:t>Legal Proceedings</w:t>
              </w:r>
            </w:hyperlink>
          </w:p>
        </w:tc>
        <w:tc>
          <w:tcPr>
            <w:tcW w:w="7320" w:type="dxa"/>
            <w:vAlign w:val="bottom"/>
            <w:gridSpan w:val="17"/>
          </w:tcPr>
          <w:p>
            <w:pPr>
              <w:spacing w:after="0"/>
              <w:rPr>
                <w:sz w:val="13"/>
                <w:szCs w:val="13"/>
                <w:color w:val="auto"/>
              </w:rPr>
            </w:pPr>
          </w:p>
        </w:tc>
        <w:tc>
          <w:tcPr>
            <w:tcW w:w="340" w:type="dxa"/>
            <w:vAlign w:val="bottom"/>
            <w:gridSpan w:val="2"/>
          </w:tcPr>
          <w:p>
            <w:pPr>
              <w:spacing w:after="0"/>
              <w:rPr>
                <w:sz w:val="13"/>
                <w:szCs w:val="13"/>
                <w:color w:val="auto"/>
              </w:rPr>
            </w:pPr>
          </w:p>
        </w:tc>
        <w:tc>
          <w:tcPr>
            <w:tcW w:w="160" w:type="dxa"/>
            <w:vAlign w:val="bottom"/>
            <w:gridSpan w:val="2"/>
          </w:tcPr>
          <w:p>
            <w:pPr>
              <w:jc w:val="right"/>
              <w:ind w:right="20"/>
              <w:spacing w:after="0"/>
              <w:rPr>
                <w:rFonts w:ascii="Times New Roman" w:cs="Times New Roman" w:eastAsia="Times New Roman" w:hAnsi="Times New Roman"/>
                <w:sz w:val="14"/>
                <w:szCs w:val="14"/>
                <w:color w:val="0E32E1"/>
                <w:w w:val="85"/>
              </w:rPr>
            </w:pPr>
            <w:hyperlink w:anchor="page69">
              <w:r>
                <w:rPr>
                  <w:rFonts w:ascii="Times New Roman" w:cs="Times New Roman" w:eastAsia="Times New Roman" w:hAnsi="Times New Roman"/>
                  <w:sz w:val="14"/>
                  <w:szCs w:val="14"/>
                  <w:color w:val="0E32E1"/>
                  <w:w w:val="85"/>
                </w:rPr>
                <w:t>67</w:t>
              </w:r>
            </w:hyperlink>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40" w:type="dxa"/>
            <w:vAlign w:val="bottom"/>
            <w:tcBorders>
              <w:left w:val="single" w:sz="8" w:color="0E32E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4"/>
            <w:shd w:val="clear" w:color="auto" w:fill="0E32E1"/>
          </w:tcPr>
          <w:p>
            <w:pPr>
              <w:spacing w:after="0" w:line="20" w:lineRule="exact"/>
              <w:rPr>
                <w:sz w:val="1"/>
                <w:szCs w:val="1"/>
                <w:color w:val="auto"/>
              </w:rPr>
            </w:pPr>
          </w:p>
        </w:tc>
        <w:tc>
          <w:tcPr>
            <w:tcW w:w="180" w:type="dxa"/>
            <w:vAlign w:val="bottom"/>
            <w:tcBorders>
              <w:left w:val="single" w:sz="8" w:color="0E32E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rFonts w:ascii="Times New Roman" w:cs="Times New Roman" w:eastAsia="Times New Roman" w:hAnsi="Times New Roman"/>
                <w:sz w:val="14"/>
                <w:szCs w:val="14"/>
                <w:color w:val="0E32E1"/>
                <w:w w:val="90"/>
              </w:rPr>
            </w:pPr>
            <w:hyperlink w:anchor="page70">
              <w:r>
                <w:rPr>
                  <w:rFonts w:ascii="Times New Roman" w:cs="Times New Roman" w:eastAsia="Times New Roman" w:hAnsi="Times New Roman"/>
                  <w:sz w:val="14"/>
                  <w:szCs w:val="14"/>
                  <w:color w:val="0E32E1"/>
                  <w:w w:val="90"/>
                </w:rPr>
                <w:t>Item 4.</w:t>
              </w:r>
            </w:hyperlink>
          </w:p>
        </w:tc>
        <w:tc>
          <w:tcPr>
            <w:tcW w:w="380" w:type="dxa"/>
            <w:vAlign w:val="bottom"/>
            <w:gridSpan w:val="5"/>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6"/>
          </w:tcPr>
          <w:p>
            <w:pPr>
              <w:spacing w:after="0"/>
              <w:rPr>
                <w:rFonts w:ascii="Times New Roman" w:cs="Times New Roman" w:eastAsia="Times New Roman" w:hAnsi="Times New Roman"/>
                <w:sz w:val="14"/>
                <w:szCs w:val="14"/>
                <w:color w:val="0E32E1"/>
                <w:w w:val="94"/>
              </w:rPr>
            </w:pPr>
            <w:hyperlink w:anchor="page70">
              <w:r>
                <w:rPr>
                  <w:rFonts w:ascii="Times New Roman" w:cs="Times New Roman" w:eastAsia="Times New Roman" w:hAnsi="Times New Roman"/>
                  <w:sz w:val="14"/>
                  <w:szCs w:val="14"/>
                  <w:color w:val="0E32E1"/>
                  <w:w w:val="94"/>
                </w:rPr>
                <w:t>Mine Safety Disclosures</w:t>
              </w:r>
            </w:hyperlink>
          </w:p>
        </w:tc>
        <w:tc>
          <w:tcPr>
            <w:tcW w:w="7020" w:type="dxa"/>
            <w:vAlign w:val="bottom"/>
            <w:gridSpan w:val="15"/>
          </w:tcPr>
          <w:p>
            <w:pPr>
              <w:spacing w:after="0"/>
              <w:rPr>
                <w:sz w:val="13"/>
                <w:szCs w:val="13"/>
                <w:color w:val="auto"/>
              </w:rPr>
            </w:pPr>
          </w:p>
        </w:tc>
        <w:tc>
          <w:tcPr>
            <w:tcW w:w="340" w:type="dxa"/>
            <w:vAlign w:val="bottom"/>
            <w:gridSpan w:val="2"/>
          </w:tcPr>
          <w:p>
            <w:pPr>
              <w:spacing w:after="0"/>
              <w:rPr>
                <w:sz w:val="13"/>
                <w:szCs w:val="13"/>
                <w:color w:val="auto"/>
              </w:rPr>
            </w:pPr>
          </w:p>
        </w:tc>
        <w:tc>
          <w:tcPr>
            <w:tcW w:w="160" w:type="dxa"/>
            <w:vAlign w:val="bottom"/>
            <w:gridSpan w:val="2"/>
          </w:tcPr>
          <w:p>
            <w:pPr>
              <w:jc w:val="right"/>
              <w:ind w:right="20"/>
              <w:spacing w:after="0"/>
              <w:rPr>
                <w:rFonts w:ascii="Times New Roman" w:cs="Times New Roman" w:eastAsia="Times New Roman" w:hAnsi="Times New Roman"/>
                <w:sz w:val="14"/>
                <w:szCs w:val="14"/>
                <w:color w:val="0E32E1"/>
                <w:w w:val="85"/>
              </w:rPr>
            </w:pPr>
            <w:hyperlink w:anchor="page70">
              <w:r>
                <w:rPr>
                  <w:rFonts w:ascii="Times New Roman" w:cs="Times New Roman" w:eastAsia="Times New Roman" w:hAnsi="Times New Roman"/>
                  <w:sz w:val="14"/>
                  <w:szCs w:val="14"/>
                  <w:color w:val="0E32E1"/>
                  <w:w w:val="85"/>
                </w:rPr>
                <w:t>68</w:t>
              </w:r>
            </w:hyperlink>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180" w:type="dxa"/>
            <w:vAlign w:val="bottom"/>
            <w:tcBorders>
              <w:left w:val="single" w:sz="8" w:color="0E32E1"/>
            </w:tcBorders>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80" w:type="dxa"/>
            <w:vAlign w:val="bottom"/>
            <w:tcBorders>
              <w:left w:val="single" w:sz="8" w:color="0E32E1"/>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20" w:type="dxa"/>
            <w:vAlign w:val="bottom"/>
          </w:tcPr>
          <w:p>
            <w:pPr>
              <w:spacing w:after="0"/>
              <w:rPr>
                <w:sz w:val="24"/>
                <w:szCs w:val="24"/>
                <w:color w:val="auto"/>
              </w:rPr>
            </w:pPr>
          </w:p>
        </w:tc>
        <w:tc>
          <w:tcPr>
            <w:tcW w:w="520" w:type="dxa"/>
            <w:vAlign w:val="bottom"/>
            <w:gridSpan w:val="3"/>
          </w:tcPr>
          <w:p>
            <w:pPr>
              <w:spacing w:after="0"/>
              <w:rPr>
                <w:rFonts w:ascii="Times New Roman" w:cs="Times New Roman" w:eastAsia="Times New Roman" w:hAnsi="Times New Roman"/>
                <w:sz w:val="14"/>
                <w:szCs w:val="14"/>
                <w:b w:val="1"/>
                <w:bCs w:val="1"/>
                <w:color w:val="0E32E1"/>
                <w:w w:val="91"/>
              </w:rPr>
            </w:pPr>
            <w:hyperlink w:anchor="page70">
              <w:r>
                <w:rPr>
                  <w:rFonts w:ascii="Times New Roman" w:cs="Times New Roman" w:eastAsia="Times New Roman" w:hAnsi="Times New Roman"/>
                  <w:sz w:val="14"/>
                  <w:szCs w:val="14"/>
                  <w:b w:val="1"/>
                  <w:bCs w:val="1"/>
                  <w:color w:val="0E32E1"/>
                  <w:w w:val="91"/>
                </w:rPr>
                <w:t>PART II</w:t>
              </w:r>
            </w:hyperlink>
          </w:p>
        </w:tc>
        <w:tc>
          <w:tcPr>
            <w:tcW w:w="26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160" w:type="dxa"/>
            <w:vAlign w:val="bottom"/>
            <w:gridSpan w:val="2"/>
          </w:tcPr>
          <w:p>
            <w:pPr>
              <w:jc w:val="right"/>
              <w:ind w:right="20"/>
              <w:spacing w:after="0"/>
              <w:rPr>
                <w:rFonts w:ascii="Times New Roman" w:cs="Times New Roman" w:eastAsia="Times New Roman" w:hAnsi="Times New Roman"/>
                <w:sz w:val="14"/>
                <w:szCs w:val="14"/>
                <w:color w:val="0E32E1"/>
                <w:w w:val="85"/>
              </w:rPr>
            </w:pPr>
            <w:hyperlink w:anchor="page70">
              <w:r>
                <w:rPr>
                  <w:rFonts w:ascii="Times New Roman" w:cs="Times New Roman" w:eastAsia="Times New Roman" w:hAnsi="Times New Roman"/>
                  <w:sz w:val="14"/>
                  <w:szCs w:val="14"/>
                  <w:color w:val="0E32E1"/>
                  <w:w w:val="85"/>
                </w:rPr>
                <w:t>69</w:t>
              </w:r>
            </w:hyperlink>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2"/>
            <w:shd w:val="clear" w:color="auto" w:fill="0E32E1"/>
          </w:tcPr>
          <w:p>
            <w:pPr>
              <w:spacing w:after="0" w:line="20" w:lineRule="exact"/>
              <w:rPr>
                <w:sz w:val="1"/>
                <w:szCs w:val="1"/>
                <w:color w:val="auto"/>
              </w:rPr>
            </w:pPr>
          </w:p>
        </w:tc>
        <w:tc>
          <w:tcPr>
            <w:tcW w:w="80" w:type="dxa"/>
            <w:vAlign w:val="bottom"/>
            <w:tcBorders>
              <w:left w:val="single" w:sz="8" w:color="0E32E1"/>
            </w:tcBorders>
            <w:shd w:val="clear" w:color="auto" w:fill="0E32E1"/>
          </w:tcPr>
          <w:p>
            <w:pPr>
              <w:spacing w:after="0" w:line="20" w:lineRule="exact"/>
              <w:rPr>
                <w:sz w:val="1"/>
                <w:szCs w:val="1"/>
                <w:color w:val="auto"/>
              </w:rPr>
            </w:pPr>
          </w:p>
        </w:tc>
        <w:tc>
          <w:tcPr>
            <w:tcW w:w="40" w:type="dxa"/>
            <w:vAlign w:val="bottom"/>
            <w:tcBorders>
              <w:left w:val="single" w:sz="8" w:color="0E32E1"/>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40" w:type="dxa"/>
            <w:vAlign w:val="bottom"/>
            <w:gridSpan w:val="2"/>
          </w:tcPr>
          <w:p>
            <w:pPr>
              <w:spacing w:after="0"/>
              <w:rPr>
                <w:rFonts w:ascii="Times New Roman" w:cs="Times New Roman" w:eastAsia="Times New Roman" w:hAnsi="Times New Roman"/>
                <w:sz w:val="14"/>
                <w:szCs w:val="14"/>
                <w:color w:val="0E32E1"/>
              </w:rPr>
            </w:pPr>
            <w:hyperlink w:anchor="page71">
              <w:r>
                <w:rPr>
                  <w:rFonts w:ascii="Times New Roman" w:cs="Times New Roman" w:eastAsia="Times New Roman" w:hAnsi="Times New Roman"/>
                  <w:sz w:val="14"/>
                  <w:szCs w:val="14"/>
                  <w:color w:val="0E32E1"/>
                </w:rPr>
                <w:t>Item 5.</w:t>
              </w:r>
            </w:hyperlink>
          </w:p>
        </w:tc>
        <w:tc>
          <w:tcPr>
            <w:tcW w:w="80" w:type="dxa"/>
            <w:vAlign w:val="bottom"/>
          </w:tcPr>
          <w:p>
            <w:pPr>
              <w:spacing w:after="0"/>
              <w:rPr>
                <w:sz w:val="13"/>
                <w:szCs w:val="13"/>
                <w:color w:val="auto"/>
              </w:rPr>
            </w:pPr>
          </w:p>
        </w:tc>
        <w:tc>
          <w:tcPr>
            <w:tcW w:w="260" w:type="dxa"/>
            <w:vAlign w:val="bottom"/>
            <w:gridSpan w:val="3"/>
          </w:tcPr>
          <w:p>
            <w:pPr>
              <w:spacing w:after="0"/>
              <w:rPr>
                <w:sz w:val="13"/>
                <w:szCs w:val="13"/>
                <w:color w:val="auto"/>
              </w:rPr>
            </w:pPr>
          </w:p>
        </w:tc>
        <w:tc>
          <w:tcPr>
            <w:tcW w:w="180" w:type="dxa"/>
            <w:vAlign w:val="bottom"/>
          </w:tcPr>
          <w:p>
            <w:pPr>
              <w:spacing w:after="0"/>
              <w:rPr>
                <w:sz w:val="13"/>
                <w:szCs w:val="13"/>
                <w:color w:val="auto"/>
              </w:rPr>
            </w:pPr>
          </w:p>
        </w:tc>
        <w:tc>
          <w:tcPr>
            <w:tcW w:w="8360" w:type="dxa"/>
            <w:vAlign w:val="bottom"/>
            <w:gridSpan w:val="21"/>
          </w:tcPr>
          <w:p>
            <w:pPr>
              <w:spacing w:after="0"/>
              <w:rPr>
                <w:rFonts w:ascii="Times New Roman" w:cs="Times New Roman" w:eastAsia="Times New Roman" w:hAnsi="Times New Roman"/>
                <w:sz w:val="14"/>
                <w:szCs w:val="14"/>
                <w:color w:val="0E32E1"/>
              </w:rPr>
            </w:pPr>
            <w:hyperlink w:anchor="page71">
              <w:r>
                <w:rPr>
                  <w:rFonts w:ascii="Times New Roman" w:cs="Times New Roman" w:eastAsia="Times New Roman" w:hAnsi="Times New Roman"/>
                  <w:sz w:val="14"/>
                  <w:szCs w:val="14"/>
                  <w:color w:val="0E32E1"/>
                </w:rPr>
                <w:t>Market for Registrant’s Common Equity, Related Stockholder Matters and Issuer Purchases of Equity Securities</w:t>
              </w:r>
            </w:hyperlink>
          </w:p>
        </w:tc>
        <w:tc>
          <w:tcPr>
            <w:tcW w:w="340" w:type="dxa"/>
            <w:vAlign w:val="bottom"/>
            <w:gridSpan w:val="2"/>
          </w:tcPr>
          <w:p>
            <w:pPr>
              <w:spacing w:after="0"/>
              <w:rPr>
                <w:sz w:val="13"/>
                <w:szCs w:val="13"/>
                <w:color w:val="auto"/>
              </w:rPr>
            </w:pPr>
          </w:p>
        </w:tc>
        <w:tc>
          <w:tcPr>
            <w:tcW w:w="160" w:type="dxa"/>
            <w:vAlign w:val="bottom"/>
            <w:gridSpan w:val="2"/>
          </w:tcPr>
          <w:p>
            <w:pPr>
              <w:jc w:val="right"/>
              <w:ind w:right="20"/>
              <w:spacing w:after="0"/>
              <w:rPr>
                <w:rFonts w:ascii="Times New Roman" w:cs="Times New Roman" w:eastAsia="Times New Roman" w:hAnsi="Times New Roman"/>
                <w:sz w:val="14"/>
                <w:szCs w:val="14"/>
                <w:color w:val="0E32E1"/>
                <w:w w:val="85"/>
              </w:rPr>
            </w:pPr>
            <w:hyperlink w:anchor="page71">
              <w:r>
                <w:rPr>
                  <w:rFonts w:ascii="Times New Roman" w:cs="Times New Roman" w:eastAsia="Times New Roman" w:hAnsi="Times New Roman"/>
                  <w:sz w:val="14"/>
                  <w:szCs w:val="14"/>
                  <w:color w:val="0E32E1"/>
                  <w:w w:val="85"/>
                </w:rPr>
                <w:t>69</w:t>
              </w:r>
            </w:hyperlink>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Borders>
              <w:top w:val="single" w:sz="8" w:color="0E32E1"/>
            </w:tcBorders>
          </w:tcPr>
          <w:p>
            <w:pPr>
              <w:spacing w:after="0"/>
              <w:rPr>
                <w:rFonts w:ascii="Times New Roman" w:cs="Times New Roman" w:eastAsia="Times New Roman" w:hAnsi="Times New Roman"/>
                <w:sz w:val="14"/>
                <w:szCs w:val="14"/>
                <w:color w:val="0E32E1"/>
                <w:w w:val="90"/>
              </w:rPr>
            </w:pPr>
            <w:hyperlink w:anchor="page71">
              <w:r>
                <w:rPr>
                  <w:rFonts w:ascii="Times New Roman" w:cs="Times New Roman" w:eastAsia="Times New Roman" w:hAnsi="Times New Roman"/>
                  <w:sz w:val="14"/>
                  <w:szCs w:val="14"/>
                  <w:color w:val="0E32E1"/>
                  <w:w w:val="90"/>
                </w:rPr>
                <w:t>Item 6.</w:t>
              </w:r>
            </w:hyperlink>
          </w:p>
        </w:tc>
        <w:tc>
          <w:tcPr>
            <w:tcW w:w="40" w:type="dxa"/>
            <w:vAlign w:val="bottom"/>
            <w:tcBorders>
              <w:top w:val="single" w:sz="8" w:color="0E32E1"/>
            </w:tcBorders>
          </w:tcPr>
          <w:p>
            <w:pPr>
              <w:spacing w:after="0"/>
              <w:rPr>
                <w:sz w:val="13"/>
                <w:szCs w:val="13"/>
                <w:color w:val="auto"/>
              </w:rPr>
            </w:pPr>
          </w:p>
        </w:tc>
        <w:tc>
          <w:tcPr>
            <w:tcW w:w="340" w:type="dxa"/>
            <w:vAlign w:val="bottom"/>
            <w:gridSpan w:val="4"/>
          </w:tcPr>
          <w:p>
            <w:pPr>
              <w:spacing w:after="0"/>
              <w:rPr>
                <w:sz w:val="13"/>
                <w:szCs w:val="13"/>
                <w:color w:val="auto"/>
              </w:rPr>
            </w:pPr>
          </w:p>
        </w:tc>
        <w:tc>
          <w:tcPr>
            <w:tcW w:w="180" w:type="dxa"/>
            <w:vAlign w:val="bottom"/>
          </w:tcPr>
          <w:p>
            <w:pPr>
              <w:spacing w:after="0"/>
              <w:rPr>
                <w:sz w:val="13"/>
                <w:szCs w:val="13"/>
                <w:color w:val="auto"/>
              </w:rPr>
            </w:pPr>
          </w:p>
        </w:tc>
        <w:tc>
          <w:tcPr>
            <w:tcW w:w="6340" w:type="dxa"/>
            <w:vAlign w:val="bottom"/>
            <w:tcBorders>
              <w:top w:val="single" w:sz="8" w:color="0E32E1"/>
            </w:tcBorders>
            <w:gridSpan w:val="20"/>
          </w:tcPr>
          <w:p>
            <w:pPr>
              <w:spacing w:after="0"/>
              <w:rPr>
                <w:rFonts w:ascii="Times New Roman" w:cs="Times New Roman" w:eastAsia="Times New Roman" w:hAnsi="Times New Roman"/>
                <w:sz w:val="14"/>
                <w:szCs w:val="14"/>
                <w:color w:val="0E32E1"/>
              </w:rPr>
            </w:pPr>
            <w:hyperlink w:anchor="page71">
              <w:r>
                <w:rPr>
                  <w:rFonts w:ascii="Times New Roman" w:cs="Times New Roman" w:eastAsia="Times New Roman" w:hAnsi="Times New Roman"/>
                  <w:sz w:val="14"/>
                  <w:szCs w:val="14"/>
                  <w:color w:val="0E32E1"/>
                </w:rPr>
                <w:t>Selected Financial Data</w:t>
              </w:r>
            </w:hyperlink>
          </w:p>
        </w:tc>
        <w:tc>
          <w:tcPr>
            <w:tcW w:w="2020" w:type="dxa"/>
            <w:vAlign w:val="bottom"/>
          </w:tcPr>
          <w:p>
            <w:pPr>
              <w:spacing w:after="0"/>
              <w:rPr>
                <w:sz w:val="13"/>
                <w:szCs w:val="13"/>
                <w:color w:val="auto"/>
              </w:rPr>
            </w:pPr>
          </w:p>
        </w:tc>
        <w:tc>
          <w:tcPr>
            <w:tcW w:w="500" w:type="dxa"/>
            <w:vAlign w:val="bottom"/>
            <w:gridSpan w:val="4"/>
          </w:tcPr>
          <w:p>
            <w:pPr>
              <w:jc w:val="right"/>
              <w:ind w:right="20"/>
              <w:spacing w:after="0"/>
              <w:rPr>
                <w:rFonts w:ascii="Times New Roman" w:cs="Times New Roman" w:eastAsia="Times New Roman" w:hAnsi="Times New Roman"/>
                <w:sz w:val="14"/>
                <w:szCs w:val="14"/>
                <w:color w:val="0E32E1"/>
              </w:rPr>
            </w:pPr>
            <w:hyperlink w:anchor="page71">
              <w:r>
                <w:rPr>
                  <w:rFonts w:ascii="Times New Roman" w:cs="Times New Roman" w:eastAsia="Times New Roman" w:hAnsi="Times New Roman"/>
                  <w:sz w:val="14"/>
                  <w:szCs w:val="14"/>
                  <w:color w:val="0E32E1"/>
                </w:rPr>
                <w:t>69</w:t>
              </w:r>
            </w:hyperlink>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40" w:type="dxa"/>
            <w:vAlign w:val="bottom"/>
            <w:tcBorders>
              <w:left w:val="single" w:sz="8" w:color="0E32E1"/>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4"/>
            <w:shd w:val="clear" w:color="auto" w:fill="0E32E1"/>
          </w:tcPr>
          <w:p>
            <w:pPr>
              <w:spacing w:after="0" w:line="20" w:lineRule="exact"/>
              <w:rPr>
                <w:sz w:val="1"/>
                <w:szCs w:val="1"/>
                <w:color w:val="auto"/>
              </w:rPr>
            </w:pPr>
          </w:p>
        </w:tc>
        <w:tc>
          <w:tcPr>
            <w:tcW w:w="180" w:type="dxa"/>
            <w:vAlign w:val="bottom"/>
            <w:tcBorders>
              <w:left w:val="single" w:sz="8" w:color="0E32E1"/>
            </w:tcBorders>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rFonts w:ascii="Times New Roman" w:cs="Times New Roman" w:eastAsia="Times New Roman" w:hAnsi="Times New Roman"/>
                <w:sz w:val="14"/>
                <w:szCs w:val="14"/>
                <w:color w:val="0E32E1"/>
                <w:w w:val="90"/>
              </w:rPr>
            </w:pPr>
            <w:hyperlink w:anchor="page71">
              <w:r>
                <w:rPr>
                  <w:rFonts w:ascii="Times New Roman" w:cs="Times New Roman" w:eastAsia="Times New Roman" w:hAnsi="Times New Roman"/>
                  <w:sz w:val="14"/>
                  <w:szCs w:val="14"/>
                  <w:color w:val="0E32E1"/>
                  <w:w w:val="90"/>
                </w:rPr>
                <w:t>Item 7.</w:t>
              </w:r>
            </w:hyperlink>
          </w:p>
        </w:tc>
        <w:tc>
          <w:tcPr>
            <w:tcW w:w="380" w:type="dxa"/>
            <w:vAlign w:val="bottom"/>
            <w:gridSpan w:val="5"/>
          </w:tcPr>
          <w:p>
            <w:pPr>
              <w:spacing w:after="0"/>
              <w:rPr>
                <w:sz w:val="13"/>
                <w:szCs w:val="13"/>
                <w:color w:val="auto"/>
              </w:rPr>
            </w:pPr>
          </w:p>
        </w:tc>
        <w:tc>
          <w:tcPr>
            <w:tcW w:w="180" w:type="dxa"/>
            <w:vAlign w:val="bottom"/>
          </w:tcPr>
          <w:p>
            <w:pPr>
              <w:spacing w:after="0"/>
              <w:rPr>
                <w:sz w:val="13"/>
                <w:szCs w:val="13"/>
                <w:color w:val="auto"/>
              </w:rPr>
            </w:pPr>
          </w:p>
        </w:tc>
        <w:tc>
          <w:tcPr>
            <w:tcW w:w="5080" w:type="dxa"/>
            <w:vAlign w:val="bottom"/>
            <w:gridSpan w:val="17"/>
          </w:tcPr>
          <w:p>
            <w:pPr>
              <w:spacing w:after="0"/>
              <w:rPr>
                <w:rFonts w:ascii="Times New Roman" w:cs="Times New Roman" w:eastAsia="Times New Roman" w:hAnsi="Times New Roman"/>
                <w:sz w:val="14"/>
                <w:szCs w:val="14"/>
                <w:color w:val="0E32E1"/>
              </w:rPr>
            </w:pPr>
            <w:hyperlink w:anchor="page71">
              <w:r>
                <w:rPr>
                  <w:rFonts w:ascii="Times New Roman" w:cs="Times New Roman" w:eastAsia="Times New Roman" w:hAnsi="Times New Roman"/>
                  <w:sz w:val="14"/>
                  <w:szCs w:val="14"/>
                  <w:color w:val="0E32E1"/>
                </w:rPr>
                <w:t>Management’s Discussion and Analysis of Financial Condition and Results of Operations</w:t>
              </w:r>
            </w:hyperlink>
          </w:p>
        </w:tc>
        <w:tc>
          <w:tcPr>
            <w:tcW w:w="3280" w:type="dxa"/>
            <w:vAlign w:val="bottom"/>
            <w:gridSpan w:val="4"/>
          </w:tcPr>
          <w:p>
            <w:pPr>
              <w:spacing w:after="0"/>
              <w:rPr>
                <w:sz w:val="13"/>
                <w:szCs w:val="13"/>
                <w:color w:val="auto"/>
              </w:rPr>
            </w:pPr>
          </w:p>
        </w:tc>
        <w:tc>
          <w:tcPr>
            <w:tcW w:w="340" w:type="dxa"/>
            <w:vAlign w:val="bottom"/>
            <w:gridSpan w:val="2"/>
          </w:tcPr>
          <w:p>
            <w:pPr>
              <w:spacing w:after="0"/>
              <w:rPr>
                <w:sz w:val="13"/>
                <w:szCs w:val="13"/>
                <w:color w:val="auto"/>
              </w:rPr>
            </w:pPr>
          </w:p>
        </w:tc>
        <w:tc>
          <w:tcPr>
            <w:tcW w:w="160" w:type="dxa"/>
            <w:vAlign w:val="bottom"/>
            <w:gridSpan w:val="2"/>
          </w:tcPr>
          <w:p>
            <w:pPr>
              <w:jc w:val="right"/>
              <w:ind w:right="20"/>
              <w:spacing w:after="0"/>
              <w:rPr>
                <w:rFonts w:ascii="Times New Roman" w:cs="Times New Roman" w:eastAsia="Times New Roman" w:hAnsi="Times New Roman"/>
                <w:sz w:val="14"/>
                <w:szCs w:val="14"/>
                <w:color w:val="0E32E1"/>
                <w:w w:val="85"/>
              </w:rPr>
            </w:pPr>
            <w:hyperlink w:anchor="page71">
              <w:r>
                <w:rPr>
                  <w:rFonts w:ascii="Times New Roman" w:cs="Times New Roman" w:eastAsia="Times New Roman" w:hAnsi="Times New Roman"/>
                  <w:sz w:val="14"/>
                  <w:szCs w:val="14"/>
                  <w:color w:val="0E32E1"/>
                  <w:w w:val="85"/>
                </w:rPr>
                <w:t>69</w:t>
              </w:r>
            </w:hyperlink>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40" w:type="dxa"/>
            <w:vAlign w:val="bottom"/>
            <w:tcBorders>
              <w:left w:val="single" w:sz="8" w:color="0E32E1"/>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4"/>
            <w:shd w:val="clear" w:color="auto" w:fill="0E32E1"/>
          </w:tcPr>
          <w:p>
            <w:pPr>
              <w:spacing w:after="0" w:line="20" w:lineRule="exact"/>
              <w:rPr>
                <w:sz w:val="1"/>
                <w:szCs w:val="1"/>
                <w:color w:val="auto"/>
              </w:rPr>
            </w:pPr>
          </w:p>
        </w:tc>
        <w:tc>
          <w:tcPr>
            <w:tcW w:w="180" w:type="dxa"/>
            <w:vAlign w:val="bottom"/>
            <w:tcBorders>
              <w:left w:val="single" w:sz="8" w:color="0E32E1"/>
            </w:tcBorders>
            <w:shd w:val="clear" w:color="auto" w:fill="0E32E1"/>
          </w:tcPr>
          <w:p>
            <w:pPr>
              <w:spacing w:after="0" w:line="20" w:lineRule="exact"/>
              <w:rPr>
                <w:sz w:val="1"/>
                <w:szCs w:val="1"/>
                <w:color w:val="auto"/>
              </w:rPr>
            </w:pPr>
          </w:p>
        </w:tc>
        <w:tc>
          <w:tcPr>
            <w:tcW w:w="200" w:type="dxa"/>
            <w:vAlign w:val="bottom"/>
            <w:gridSpan w:val="2"/>
            <w:shd w:val="clear" w:color="auto" w:fill="0E32E1"/>
          </w:tcPr>
          <w:p>
            <w:pPr>
              <w:spacing w:after="0" w:line="20" w:lineRule="exact"/>
              <w:rPr>
                <w:sz w:val="1"/>
                <w:szCs w:val="1"/>
                <w:color w:val="auto"/>
              </w:rPr>
            </w:pPr>
          </w:p>
        </w:tc>
        <w:tc>
          <w:tcPr>
            <w:tcW w:w="840" w:type="dxa"/>
            <w:vAlign w:val="bottom"/>
            <w:gridSpan w:val="2"/>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440" w:type="dxa"/>
            <w:vAlign w:val="bottom"/>
            <w:gridSpan w:val="2"/>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80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60" w:type="dxa"/>
            <w:vAlign w:val="bottom"/>
            <w:gridSpan w:val="4"/>
          </w:tcPr>
          <w:p>
            <w:pPr>
              <w:spacing w:after="0"/>
              <w:rPr>
                <w:rFonts w:ascii="Times New Roman" w:cs="Times New Roman" w:eastAsia="Times New Roman" w:hAnsi="Times New Roman"/>
                <w:sz w:val="14"/>
                <w:szCs w:val="14"/>
                <w:color w:val="0E32E1"/>
              </w:rPr>
            </w:pPr>
            <w:hyperlink w:anchor="page77">
              <w:r>
                <w:rPr>
                  <w:rFonts w:ascii="Times New Roman" w:cs="Times New Roman" w:eastAsia="Times New Roman" w:hAnsi="Times New Roman"/>
                  <w:sz w:val="14"/>
                  <w:szCs w:val="14"/>
                  <w:color w:val="0E32E1"/>
                </w:rPr>
                <w:t>Item 7A.</w:t>
              </w:r>
            </w:hyperlink>
          </w:p>
        </w:tc>
        <w:tc>
          <w:tcPr>
            <w:tcW w:w="22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8360" w:type="dxa"/>
            <w:vAlign w:val="bottom"/>
            <w:gridSpan w:val="21"/>
          </w:tcPr>
          <w:p>
            <w:pPr>
              <w:spacing w:after="0"/>
              <w:rPr>
                <w:rFonts w:ascii="Times New Roman" w:cs="Times New Roman" w:eastAsia="Times New Roman" w:hAnsi="Times New Roman"/>
                <w:sz w:val="14"/>
                <w:szCs w:val="14"/>
                <w:color w:val="0E32E1"/>
              </w:rPr>
            </w:pPr>
            <w:hyperlink w:anchor="page77">
              <w:r>
                <w:rPr>
                  <w:rFonts w:ascii="Times New Roman" w:cs="Times New Roman" w:eastAsia="Times New Roman" w:hAnsi="Times New Roman"/>
                  <w:sz w:val="14"/>
                  <w:szCs w:val="14"/>
                  <w:color w:val="0E32E1"/>
                </w:rPr>
                <w:t>Quantitative and Qualitative Disclosures About Market Risk</w:t>
              </w:r>
            </w:hyperlink>
          </w:p>
        </w:tc>
        <w:tc>
          <w:tcPr>
            <w:tcW w:w="500" w:type="dxa"/>
            <w:vAlign w:val="bottom"/>
            <w:gridSpan w:val="4"/>
          </w:tcPr>
          <w:p>
            <w:pPr>
              <w:jc w:val="right"/>
              <w:ind w:right="20"/>
              <w:spacing w:after="0"/>
              <w:rPr>
                <w:rFonts w:ascii="Times New Roman" w:cs="Times New Roman" w:eastAsia="Times New Roman" w:hAnsi="Times New Roman"/>
                <w:sz w:val="14"/>
                <w:szCs w:val="14"/>
                <w:color w:val="0E32E1"/>
              </w:rPr>
            </w:pPr>
            <w:hyperlink w:anchor="page77">
              <w:r>
                <w:rPr>
                  <w:rFonts w:ascii="Times New Roman" w:cs="Times New Roman" w:eastAsia="Times New Roman" w:hAnsi="Times New Roman"/>
                  <w:sz w:val="14"/>
                  <w:szCs w:val="14"/>
                  <w:color w:val="0E32E1"/>
                </w:rPr>
                <w:t>75</w:t>
              </w:r>
            </w:hyperlink>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Borders>
              <w:top w:val="single" w:sz="8" w:color="0E32E1"/>
            </w:tcBorders>
          </w:tcPr>
          <w:p>
            <w:pPr>
              <w:spacing w:after="0"/>
              <w:rPr>
                <w:rFonts w:ascii="Times New Roman" w:cs="Times New Roman" w:eastAsia="Times New Roman" w:hAnsi="Times New Roman"/>
                <w:sz w:val="14"/>
                <w:szCs w:val="14"/>
                <w:color w:val="0E32E1"/>
                <w:w w:val="90"/>
              </w:rPr>
            </w:pPr>
            <w:hyperlink w:anchor="page77">
              <w:r>
                <w:rPr>
                  <w:rFonts w:ascii="Times New Roman" w:cs="Times New Roman" w:eastAsia="Times New Roman" w:hAnsi="Times New Roman"/>
                  <w:sz w:val="14"/>
                  <w:szCs w:val="14"/>
                  <w:color w:val="0E32E1"/>
                  <w:w w:val="90"/>
                </w:rPr>
                <w:t>Item 8.</w:t>
              </w:r>
            </w:hyperlink>
          </w:p>
        </w:tc>
        <w:tc>
          <w:tcPr>
            <w:tcW w:w="160" w:type="dxa"/>
            <w:vAlign w:val="bottom"/>
            <w:tcBorders>
              <w:top w:val="single" w:sz="8" w:color="0E32E1"/>
            </w:tcBorders>
            <w:gridSpan w:val="3"/>
          </w:tcPr>
          <w:p>
            <w:pPr>
              <w:spacing w:after="0"/>
              <w:rPr>
                <w:sz w:val="13"/>
                <w:szCs w:val="13"/>
                <w:color w:val="auto"/>
              </w:rPr>
            </w:pPr>
          </w:p>
        </w:tc>
        <w:tc>
          <w:tcPr>
            <w:tcW w:w="22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2620" w:type="dxa"/>
            <w:vAlign w:val="bottom"/>
            <w:tcBorders>
              <w:top w:val="single" w:sz="8" w:color="0E32E1"/>
            </w:tcBorders>
            <w:gridSpan w:val="11"/>
          </w:tcPr>
          <w:p>
            <w:pPr>
              <w:spacing w:after="0"/>
              <w:rPr>
                <w:rFonts w:ascii="Times New Roman" w:cs="Times New Roman" w:eastAsia="Times New Roman" w:hAnsi="Times New Roman"/>
                <w:sz w:val="14"/>
                <w:szCs w:val="14"/>
                <w:color w:val="0E32E1"/>
              </w:rPr>
            </w:pPr>
            <w:hyperlink w:anchor="page77">
              <w:r>
                <w:rPr>
                  <w:rFonts w:ascii="Times New Roman" w:cs="Times New Roman" w:eastAsia="Times New Roman" w:hAnsi="Times New Roman"/>
                  <w:sz w:val="14"/>
                  <w:szCs w:val="14"/>
                  <w:color w:val="0E32E1"/>
                </w:rPr>
                <w:t>Financial Statements and Supplementary Data</w:t>
              </w:r>
            </w:hyperlink>
          </w:p>
        </w:tc>
        <w:tc>
          <w:tcPr>
            <w:tcW w:w="800" w:type="dxa"/>
            <w:vAlign w:val="bottom"/>
            <w:tcBorders>
              <w:top w:val="single" w:sz="8" w:color="0E32E1"/>
            </w:tcBorders>
            <w:gridSpan w:val="2"/>
          </w:tcPr>
          <w:p>
            <w:pPr>
              <w:spacing w:after="0"/>
              <w:rPr>
                <w:sz w:val="13"/>
                <w:szCs w:val="13"/>
                <w:color w:val="auto"/>
              </w:rPr>
            </w:pPr>
          </w:p>
        </w:tc>
        <w:tc>
          <w:tcPr>
            <w:tcW w:w="4940" w:type="dxa"/>
            <w:vAlign w:val="bottom"/>
            <w:gridSpan w:val="8"/>
          </w:tcPr>
          <w:p>
            <w:pPr>
              <w:spacing w:after="0"/>
              <w:rPr>
                <w:sz w:val="13"/>
                <w:szCs w:val="13"/>
                <w:color w:val="auto"/>
              </w:rPr>
            </w:pPr>
          </w:p>
        </w:tc>
        <w:tc>
          <w:tcPr>
            <w:tcW w:w="340" w:type="dxa"/>
            <w:vAlign w:val="bottom"/>
            <w:gridSpan w:val="2"/>
          </w:tcPr>
          <w:p>
            <w:pPr>
              <w:spacing w:after="0"/>
              <w:rPr>
                <w:sz w:val="13"/>
                <w:szCs w:val="13"/>
                <w:color w:val="auto"/>
              </w:rPr>
            </w:pPr>
          </w:p>
        </w:tc>
        <w:tc>
          <w:tcPr>
            <w:tcW w:w="160" w:type="dxa"/>
            <w:vAlign w:val="bottom"/>
            <w:gridSpan w:val="2"/>
          </w:tcPr>
          <w:p>
            <w:pPr>
              <w:jc w:val="right"/>
              <w:ind w:right="20"/>
              <w:spacing w:after="0"/>
              <w:rPr>
                <w:rFonts w:ascii="Times New Roman" w:cs="Times New Roman" w:eastAsia="Times New Roman" w:hAnsi="Times New Roman"/>
                <w:sz w:val="14"/>
                <w:szCs w:val="14"/>
                <w:color w:val="0E32E1"/>
                <w:w w:val="85"/>
              </w:rPr>
            </w:pPr>
            <w:hyperlink w:anchor="page77">
              <w:r>
                <w:rPr>
                  <w:rFonts w:ascii="Times New Roman" w:cs="Times New Roman" w:eastAsia="Times New Roman" w:hAnsi="Times New Roman"/>
                  <w:sz w:val="14"/>
                  <w:szCs w:val="14"/>
                  <w:color w:val="0E32E1"/>
                  <w:w w:val="85"/>
                </w:rPr>
                <w:t>76</w:t>
              </w:r>
            </w:hyperlink>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40" w:type="dxa"/>
            <w:vAlign w:val="bottom"/>
            <w:tcBorders>
              <w:left w:val="single" w:sz="8" w:color="0E32E1"/>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4"/>
            <w:shd w:val="clear" w:color="auto" w:fill="0E32E1"/>
          </w:tcPr>
          <w:p>
            <w:pPr>
              <w:spacing w:after="0" w:line="20" w:lineRule="exact"/>
              <w:rPr>
                <w:sz w:val="1"/>
                <w:szCs w:val="1"/>
                <w:color w:val="auto"/>
              </w:rPr>
            </w:pPr>
          </w:p>
        </w:tc>
        <w:tc>
          <w:tcPr>
            <w:tcW w:w="180" w:type="dxa"/>
            <w:vAlign w:val="bottom"/>
            <w:tcBorders>
              <w:left w:val="single" w:sz="8" w:color="0E32E1"/>
            </w:tcBorders>
            <w:shd w:val="clear" w:color="auto" w:fill="0E32E1"/>
          </w:tcPr>
          <w:p>
            <w:pPr>
              <w:spacing w:after="0" w:line="20" w:lineRule="exact"/>
              <w:rPr>
                <w:sz w:val="1"/>
                <w:szCs w:val="1"/>
                <w:color w:val="auto"/>
              </w:rPr>
            </w:pPr>
          </w:p>
        </w:tc>
        <w:tc>
          <w:tcPr>
            <w:tcW w:w="200" w:type="dxa"/>
            <w:vAlign w:val="bottom"/>
            <w:gridSpan w:val="2"/>
            <w:shd w:val="clear" w:color="auto" w:fill="0E32E1"/>
          </w:tcPr>
          <w:p>
            <w:pPr>
              <w:spacing w:after="0" w:line="20" w:lineRule="exact"/>
              <w:rPr>
                <w:sz w:val="1"/>
                <w:szCs w:val="1"/>
                <w:color w:val="auto"/>
              </w:rPr>
            </w:pPr>
          </w:p>
        </w:tc>
        <w:tc>
          <w:tcPr>
            <w:tcW w:w="840" w:type="dxa"/>
            <w:vAlign w:val="bottom"/>
            <w:gridSpan w:val="2"/>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rFonts w:ascii="Times New Roman" w:cs="Times New Roman" w:eastAsia="Times New Roman" w:hAnsi="Times New Roman"/>
                <w:sz w:val="14"/>
                <w:szCs w:val="14"/>
                <w:color w:val="0E32E1"/>
                <w:w w:val="90"/>
              </w:rPr>
            </w:pPr>
            <w:hyperlink w:anchor="page100">
              <w:r>
                <w:rPr>
                  <w:rFonts w:ascii="Times New Roman" w:cs="Times New Roman" w:eastAsia="Times New Roman" w:hAnsi="Times New Roman"/>
                  <w:sz w:val="14"/>
                  <w:szCs w:val="14"/>
                  <w:color w:val="0E32E1"/>
                  <w:w w:val="90"/>
                </w:rPr>
                <w:t>Item 9.</w:t>
              </w:r>
            </w:hyperlink>
          </w:p>
        </w:tc>
        <w:tc>
          <w:tcPr>
            <w:tcW w:w="380" w:type="dxa"/>
            <w:vAlign w:val="bottom"/>
            <w:gridSpan w:val="5"/>
          </w:tcPr>
          <w:p>
            <w:pPr>
              <w:spacing w:after="0"/>
              <w:rPr>
                <w:sz w:val="13"/>
                <w:szCs w:val="13"/>
                <w:color w:val="auto"/>
              </w:rPr>
            </w:pPr>
          </w:p>
        </w:tc>
        <w:tc>
          <w:tcPr>
            <w:tcW w:w="180" w:type="dxa"/>
            <w:vAlign w:val="bottom"/>
          </w:tcPr>
          <w:p>
            <w:pPr>
              <w:spacing w:after="0"/>
              <w:rPr>
                <w:sz w:val="13"/>
                <w:szCs w:val="13"/>
                <w:color w:val="auto"/>
              </w:rPr>
            </w:pPr>
          </w:p>
        </w:tc>
        <w:tc>
          <w:tcPr>
            <w:tcW w:w="5100" w:type="dxa"/>
            <w:vAlign w:val="bottom"/>
            <w:gridSpan w:val="18"/>
          </w:tcPr>
          <w:p>
            <w:pPr>
              <w:spacing w:after="0"/>
              <w:rPr>
                <w:rFonts w:ascii="Times New Roman" w:cs="Times New Roman" w:eastAsia="Times New Roman" w:hAnsi="Times New Roman"/>
                <w:sz w:val="14"/>
                <w:szCs w:val="14"/>
                <w:color w:val="0E32E1"/>
              </w:rPr>
            </w:pPr>
            <w:hyperlink w:anchor="page100">
              <w:r>
                <w:rPr>
                  <w:rFonts w:ascii="Times New Roman" w:cs="Times New Roman" w:eastAsia="Times New Roman" w:hAnsi="Times New Roman"/>
                  <w:sz w:val="14"/>
                  <w:szCs w:val="14"/>
                  <w:color w:val="0E32E1"/>
                </w:rPr>
                <w:t>Changes in and Disagreements with Accountants on Accounting and Financial Disclosure</w:t>
              </w:r>
            </w:hyperlink>
          </w:p>
        </w:tc>
        <w:tc>
          <w:tcPr>
            <w:tcW w:w="3260" w:type="dxa"/>
            <w:vAlign w:val="bottom"/>
            <w:gridSpan w:val="3"/>
          </w:tcPr>
          <w:p>
            <w:pPr>
              <w:spacing w:after="0"/>
              <w:rPr>
                <w:sz w:val="13"/>
                <w:szCs w:val="13"/>
                <w:color w:val="auto"/>
              </w:rPr>
            </w:pPr>
          </w:p>
        </w:tc>
        <w:tc>
          <w:tcPr>
            <w:tcW w:w="340" w:type="dxa"/>
            <w:vAlign w:val="bottom"/>
            <w:gridSpan w:val="2"/>
          </w:tcPr>
          <w:p>
            <w:pPr>
              <w:spacing w:after="0"/>
              <w:rPr>
                <w:sz w:val="13"/>
                <w:szCs w:val="13"/>
                <w:color w:val="auto"/>
              </w:rPr>
            </w:pPr>
          </w:p>
        </w:tc>
        <w:tc>
          <w:tcPr>
            <w:tcW w:w="160" w:type="dxa"/>
            <w:vAlign w:val="bottom"/>
            <w:gridSpan w:val="2"/>
          </w:tcPr>
          <w:p>
            <w:pPr>
              <w:jc w:val="right"/>
              <w:ind w:right="20"/>
              <w:spacing w:after="0"/>
              <w:rPr>
                <w:rFonts w:ascii="Times New Roman" w:cs="Times New Roman" w:eastAsia="Times New Roman" w:hAnsi="Times New Roman"/>
                <w:sz w:val="14"/>
                <w:szCs w:val="14"/>
                <w:color w:val="0E32E1"/>
                <w:w w:val="85"/>
              </w:rPr>
            </w:pPr>
            <w:hyperlink w:anchor="page100">
              <w:r>
                <w:rPr>
                  <w:rFonts w:ascii="Times New Roman" w:cs="Times New Roman" w:eastAsia="Times New Roman" w:hAnsi="Times New Roman"/>
                  <w:sz w:val="14"/>
                  <w:szCs w:val="14"/>
                  <w:color w:val="0E32E1"/>
                  <w:w w:val="85"/>
                </w:rPr>
                <w:t>98</w:t>
              </w:r>
            </w:hyperlink>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40" w:type="dxa"/>
            <w:vAlign w:val="bottom"/>
            <w:tcBorders>
              <w:left w:val="single" w:sz="8" w:color="0E32E1"/>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4"/>
            <w:shd w:val="clear" w:color="auto" w:fill="0E32E1"/>
          </w:tcPr>
          <w:p>
            <w:pPr>
              <w:spacing w:after="0" w:line="20" w:lineRule="exact"/>
              <w:rPr>
                <w:sz w:val="1"/>
                <w:szCs w:val="1"/>
                <w:color w:val="auto"/>
              </w:rPr>
            </w:pPr>
          </w:p>
        </w:tc>
        <w:tc>
          <w:tcPr>
            <w:tcW w:w="180" w:type="dxa"/>
            <w:vAlign w:val="bottom"/>
            <w:tcBorders>
              <w:left w:val="single" w:sz="8" w:color="0E32E1"/>
            </w:tcBorders>
            <w:shd w:val="clear" w:color="auto" w:fill="0E32E1"/>
          </w:tcPr>
          <w:p>
            <w:pPr>
              <w:spacing w:after="0" w:line="20" w:lineRule="exact"/>
              <w:rPr>
                <w:sz w:val="1"/>
                <w:szCs w:val="1"/>
                <w:color w:val="auto"/>
              </w:rPr>
            </w:pPr>
          </w:p>
        </w:tc>
        <w:tc>
          <w:tcPr>
            <w:tcW w:w="200" w:type="dxa"/>
            <w:vAlign w:val="bottom"/>
            <w:gridSpan w:val="2"/>
            <w:shd w:val="clear" w:color="auto" w:fill="0E32E1"/>
          </w:tcPr>
          <w:p>
            <w:pPr>
              <w:spacing w:after="0" w:line="20" w:lineRule="exact"/>
              <w:rPr>
                <w:sz w:val="1"/>
                <w:szCs w:val="1"/>
                <w:color w:val="auto"/>
              </w:rPr>
            </w:pPr>
          </w:p>
        </w:tc>
        <w:tc>
          <w:tcPr>
            <w:tcW w:w="840" w:type="dxa"/>
            <w:vAlign w:val="bottom"/>
            <w:gridSpan w:val="2"/>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780" w:type="dxa"/>
            <w:vAlign w:val="bottom"/>
            <w:gridSpan w:val="2"/>
            <w:shd w:val="clear" w:color="auto" w:fill="0E32E1"/>
          </w:tcPr>
          <w:p>
            <w:pPr>
              <w:spacing w:after="0" w:line="20" w:lineRule="exact"/>
              <w:rPr>
                <w:sz w:val="1"/>
                <w:szCs w:val="1"/>
                <w:color w:val="auto"/>
              </w:rPr>
            </w:pPr>
          </w:p>
        </w:tc>
        <w:tc>
          <w:tcPr>
            <w:tcW w:w="640" w:type="dxa"/>
            <w:vAlign w:val="bottom"/>
            <w:gridSpan w:val="3"/>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820" w:type="dxa"/>
            <w:vAlign w:val="bottom"/>
            <w:gridSpan w:val="2"/>
            <w:shd w:val="clear" w:color="auto" w:fill="0E32E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20" w:type="dxa"/>
            <w:vAlign w:val="bottom"/>
            <w:gridSpan w:val="3"/>
          </w:tcPr>
          <w:p>
            <w:pPr>
              <w:spacing w:after="0"/>
              <w:rPr>
                <w:rFonts w:ascii="Times New Roman" w:cs="Times New Roman" w:eastAsia="Times New Roman" w:hAnsi="Times New Roman"/>
                <w:sz w:val="14"/>
                <w:szCs w:val="14"/>
                <w:color w:val="0E32E1"/>
                <w:w w:val="96"/>
              </w:rPr>
            </w:pPr>
            <w:hyperlink w:anchor="page100">
              <w:r>
                <w:rPr>
                  <w:rFonts w:ascii="Times New Roman" w:cs="Times New Roman" w:eastAsia="Times New Roman" w:hAnsi="Times New Roman"/>
                  <w:sz w:val="14"/>
                  <w:szCs w:val="14"/>
                  <w:color w:val="0E32E1"/>
                  <w:w w:val="96"/>
                </w:rPr>
                <w:t>Item 9A.</w:t>
              </w:r>
            </w:hyperlink>
          </w:p>
        </w:tc>
        <w:tc>
          <w:tcPr>
            <w:tcW w:w="260" w:type="dxa"/>
            <w:vAlign w:val="bottom"/>
            <w:gridSpan w:val="3"/>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6"/>
          </w:tcPr>
          <w:p>
            <w:pPr>
              <w:spacing w:after="0"/>
              <w:rPr>
                <w:rFonts w:ascii="Times New Roman" w:cs="Times New Roman" w:eastAsia="Times New Roman" w:hAnsi="Times New Roman"/>
                <w:sz w:val="14"/>
                <w:szCs w:val="14"/>
                <w:color w:val="0E32E1"/>
                <w:w w:val="94"/>
              </w:rPr>
            </w:pPr>
            <w:hyperlink w:anchor="page100">
              <w:r>
                <w:rPr>
                  <w:rFonts w:ascii="Times New Roman" w:cs="Times New Roman" w:eastAsia="Times New Roman" w:hAnsi="Times New Roman"/>
                  <w:sz w:val="14"/>
                  <w:szCs w:val="14"/>
                  <w:color w:val="0E32E1"/>
                  <w:w w:val="94"/>
                </w:rPr>
                <w:t>Controls and Procedures</w:t>
              </w:r>
            </w:hyperlink>
          </w:p>
        </w:tc>
        <w:tc>
          <w:tcPr>
            <w:tcW w:w="7020" w:type="dxa"/>
            <w:vAlign w:val="bottom"/>
            <w:gridSpan w:val="15"/>
          </w:tcPr>
          <w:p>
            <w:pPr>
              <w:spacing w:after="0"/>
              <w:rPr>
                <w:sz w:val="13"/>
                <w:szCs w:val="13"/>
                <w:color w:val="auto"/>
              </w:rPr>
            </w:pPr>
          </w:p>
        </w:tc>
        <w:tc>
          <w:tcPr>
            <w:tcW w:w="340" w:type="dxa"/>
            <w:vAlign w:val="bottom"/>
            <w:gridSpan w:val="2"/>
          </w:tcPr>
          <w:p>
            <w:pPr>
              <w:spacing w:after="0"/>
              <w:rPr>
                <w:sz w:val="13"/>
                <w:szCs w:val="13"/>
                <w:color w:val="auto"/>
              </w:rPr>
            </w:pPr>
          </w:p>
        </w:tc>
        <w:tc>
          <w:tcPr>
            <w:tcW w:w="160" w:type="dxa"/>
            <w:vAlign w:val="bottom"/>
            <w:gridSpan w:val="2"/>
          </w:tcPr>
          <w:p>
            <w:pPr>
              <w:jc w:val="right"/>
              <w:ind w:right="20"/>
              <w:spacing w:after="0"/>
              <w:rPr>
                <w:rFonts w:ascii="Times New Roman" w:cs="Times New Roman" w:eastAsia="Times New Roman" w:hAnsi="Times New Roman"/>
                <w:sz w:val="14"/>
                <w:szCs w:val="14"/>
                <w:color w:val="0E32E1"/>
                <w:w w:val="85"/>
              </w:rPr>
            </w:pPr>
            <w:hyperlink w:anchor="page100">
              <w:r>
                <w:rPr>
                  <w:rFonts w:ascii="Times New Roman" w:cs="Times New Roman" w:eastAsia="Times New Roman" w:hAnsi="Times New Roman"/>
                  <w:sz w:val="14"/>
                  <w:szCs w:val="14"/>
                  <w:color w:val="0E32E1"/>
                  <w:w w:val="85"/>
                </w:rPr>
                <w:t>98</w:t>
              </w:r>
            </w:hyperlink>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2"/>
            <w:shd w:val="clear" w:color="auto" w:fill="0E32E1"/>
          </w:tcPr>
          <w:p>
            <w:pPr>
              <w:spacing w:after="0" w:line="20" w:lineRule="exact"/>
              <w:rPr>
                <w:sz w:val="1"/>
                <w:szCs w:val="1"/>
                <w:color w:val="auto"/>
              </w:rPr>
            </w:pPr>
          </w:p>
        </w:tc>
        <w:tc>
          <w:tcPr>
            <w:tcW w:w="80" w:type="dxa"/>
            <w:vAlign w:val="bottom"/>
            <w:tcBorders>
              <w:left w:val="single" w:sz="8" w:color="0E32E1"/>
            </w:tcBorders>
            <w:shd w:val="clear" w:color="auto" w:fill="0E32E1"/>
          </w:tcPr>
          <w:p>
            <w:pPr>
              <w:spacing w:after="0" w:line="20" w:lineRule="exact"/>
              <w:rPr>
                <w:sz w:val="1"/>
                <w:szCs w:val="1"/>
                <w:color w:val="auto"/>
              </w:rPr>
            </w:pPr>
          </w:p>
        </w:tc>
        <w:tc>
          <w:tcPr>
            <w:tcW w:w="40" w:type="dxa"/>
            <w:vAlign w:val="bottom"/>
            <w:tcBorders>
              <w:left w:val="single" w:sz="8" w:color="0E32E1"/>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4"/>
            <w:shd w:val="clear" w:color="auto" w:fill="0E32E1"/>
          </w:tcPr>
          <w:p>
            <w:pPr>
              <w:spacing w:after="0" w:line="20" w:lineRule="exact"/>
              <w:rPr>
                <w:sz w:val="1"/>
                <w:szCs w:val="1"/>
                <w:color w:val="auto"/>
              </w:rPr>
            </w:pPr>
          </w:p>
        </w:tc>
        <w:tc>
          <w:tcPr>
            <w:tcW w:w="180" w:type="dxa"/>
            <w:vAlign w:val="bottom"/>
            <w:tcBorders>
              <w:left w:val="single" w:sz="8" w:color="0E32E1"/>
            </w:tcBorders>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80" w:type="dxa"/>
            <w:vAlign w:val="bottom"/>
            <w:tcBorders>
              <w:left w:val="single" w:sz="8" w:color="0E32E1"/>
            </w:tcBorders>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20" w:type="dxa"/>
            <w:vAlign w:val="bottom"/>
            <w:gridSpan w:val="3"/>
          </w:tcPr>
          <w:p>
            <w:pPr>
              <w:spacing w:after="0"/>
              <w:rPr>
                <w:rFonts w:ascii="Times New Roman" w:cs="Times New Roman" w:eastAsia="Times New Roman" w:hAnsi="Times New Roman"/>
                <w:sz w:val="14"/>
                <w:szCs w:val="14"/>
                <w:color w:val="0E32E1"/>
                <w:w w:val="97"/>
              </w:rPr>
            </w:pPr>
            <w:hyperlink w:anchor="page101">
              <w:r>
                <w:rPr>
                  <w:rFonts w:ascii="Times New Roman" w:cs="Times New Roman" w:eastAsia="Times New Roman" w:hAnsi="Times New Roman"/>
                  <w:sz w:val="14"/>
                  <w:szCs w:val="14"/>
                  <w:color w:val="0E32E1"/>
                  <w:w w:val="97"/>
                </w:rPr>
                <w:t>Item 9B.</w:t>
              </w:r>
            </w:hyperlink>
          </w:p>
        </w:tc>
        <w:tc>
          <w:tcPr>
            <w:tcW w:w="260" w:type="dxa"/>
            <w:vAlign w:val="bottom"/>
            <w:gridSpan w:val="3"/>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4"/>
          </w:tcPr>
          <w:p>
            <w:pPr>
              <w:spacing w:after="0"/>
              <w:rPr>
                <w:rFonts w:ascii="Times New Roman" w:cs="Times New Roman" w:eastAsia="Times New Roman" w:hAnsi="Times New Roman"/>
                <w:sz w:val="14"/>
                <w:szCs w:val="14"/>
                <w:color w:val="0E32E1"/>
                <w:w w:val="97"/>
              </w:rPr>
            </w:pPr>
            <w:hyperlink w:anchor="page101">
              <w:r>
                <w:rPr>
                  <w:rFonts w:ascii="Times New Roman" w:cs="Times New Roman" w:eastAsia="Times New Roman" w:hAnsi="Times New Roman"/>
                  <w:sz w:val="14"/>
                  <w:szCs w:val="14"/>
                  <w:color w:val="0E32E1"/>
                  <w:w w:val="97"/>
                </w:rPr>
                <w:t>Other Information</w:t>
              </w:r>
            </w:hyperlink>
          </w:p>
        </w:tc>
        <w:tc>
          <w:tcPr>
            <w:tcW w:w="300" w:type="dxa"/>
            <w:vAlign w:val="bottom"/>
            <w:gridSpan w:val="2"/>
          </w:tcPr>
          <w:p>
            <w:pPr>
              <w:spacing w:after="0"/>
              <w:rPr>
                <w:sz w:val="13"/>
                <w:szCs w:val="13"/>
                <w:color w:val="auto"/>
              </w:rPr>
            </w:pPr>
          </w:p>
        </w:tc>
        <w:tc>
          <w:tcPr>
            <w:tcW w:w="7020" w:type="dxa"/>
            <w:vAlign w:val="bottom"/>
            <w:gridSpan w:val="15"/>
          </w:tcPr>
          <w:p>
            <w:pPr>
              <w:spacing w:after="0"/>
              <w:rPr>
                <w:sz w:val="13"/>
                <w:szCs w:val="13"/>
                <w:color w:val="auto"/>
              </w:rPr>
            </w:pPr>
          </w:p>
        </w:tc>
        <w:tc>
          <w:tcPr>
            <w:tcW w:w="500" w:type="dxa"/>
            <w:vAlign w:val="bottom"/>
            <w:gridSpan w:val="4"/>
          </w:tcPr>
          <w:p>
            <w:pPr>
              <w:jc w:val="right"/>
              <w:ind w:right="20"/>
              <w:spacing w:after="0"/>
              <w:rPr>
                <w:rFonts w:ascii="Times New Roman" w:cs="Times New Roman" w:eastAsia="Times New Roman" w:hAnsi="Times New Roman"/>
                <w:sz w:val="14"/>
                <w:szCs w:val="14"/>
                <w:color w:val="0E32E1"/>
              </w:rPr>
            </w:pPr>
            <w:hyperlink w:anchor="page101">
              <w:r>
                <w:rPr>
                  <w:rFonts w:ascii="Times New Roman" w:cs="Times New Roman" w:eastAsia="Times New Roman" w:hAnsi="Times New Roman"/>
                  <w:sz w:val="14"/>
                  <w:szCs w:val="14"/>
                  <w:color w:val="0E32E1"/>
                </w:rPr>
                <w:t>100</w:t>
              </w:r>
            </w:hyperlink>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2"/>
            <w:shd w:val="clear" w:color="auto" w:fill="0E32E1"/>
          </w:tcPr>
          <w:p>
            <w:pPr>
              <w:spacing w:after="0" w:line="20" w:lineRule="exact"/>
              <w:rPr>
                <w:sz w:val="1"/>
                <w:szCs w:val="1"/>
                <w:color w:val="auto"/>
              </w:rPr>
            </w:pPr>
          </w:p>
        </w:tc>
        <w:tc>
          <w:tcPr>
            <w:tcW w:w="80" w:type="dxa"/>
            <w:vAlign w:val="bottom"/>
            <w:tcBorders>
              <w:left w:val="single" w:sz="8" w:color="0E32E1"/>
            </w:tcBorders>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4"/>
            <w:shd w:val="clear" w:color="auto" w:fill="0E32E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right w:val="single" w:sz="8" w:color="0E32E1"/>
            </w:tcBorders>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20" w:type="dxa"/>
            <w:vAlign w:val="bottom"/>
            <w:gridSpan w:val="3"/>
          </w:tcPr>
          <w:p>
            <w:pPr>
              <w:spacing w:after="0"/>
              <w:rPr>
                <w:sz w:val="20"/>
                <w:szCs w:val="20"/>
                <w:color w:val="auto"/>
              </w:rPr>
            </w:pPr>
            <w:r>
              <w:rPr>
                <w:rFonts w:ascii="Times New Roman" w:cs="Times New Roman" w:eastAsia="Times New Roman" w:hAnsi="Times New Roman"/>
                <w:sz w:val="14"/>
                <w:szCs w:val="14"/>
                <w:color w:val="0E32E1"/>
                <w:w w:val="97"/>
              </w:rPr>
              <w:t>Item 9C.</w:t>
            </w:r>
          </w:p>
        </w:tc>
        <w:tc>
          <w:tcPr>
            <w:tcW w:w="260" w:type="dxa"/>
            <w:vAlign w:val="bottom"/>
            <w:gridSpan w:val="3"/>
          </w:tcPr>
          <w:p>
            <w:pPr>
              <w:spacing w:after="0"/>
              <w:rPr>
                <w:sz w:val="13"/>
                <w:szCs w:val="13"/>
                <w:color w:val="auto"/>
              </w:rPr>
            </w:pPr>
          </w:p>
        </w:tc>
        <w:tc>
          <w:tcPr>
            <w:tcW w:w="180" w:type="dxa"/>
            <w:vAlign w:val="bottom"/>
          </w:tcPr>
          <w:p>
            <w:pPr>
              <w:spacing w:after="0"/>
              <w:rPr>
                <w:sz w:val="13"/>
                <w:szCs w:val="13"/>
                <w:color w:val="auto"/>
              </w:rPr>
            </w:pPr>
          </w:p>
        </w:tc>
        <w:tc>
          <w:tcPr>
            <w:tcW w:w="3860" w:type="dxa"/>
            <w:vAlign w:val="bottom"/>
            <w:gridSpan w:val="15"/>
          </w:tcPr>
          <w:p>
            <w:pPr>
              <w:spacing w:after="0"/>
              <w:rPr>
                <w:sz w:val="20"/>
                <w:szCs w:val="20"/>
                <w:color w:val="auto"/>
              </w:rPr>
            </w:pPr>
            <w:r>
              <w:rPr>
                <w:rFonts w:ascii="Times New Roman" w:cs="Times New Roman" w:eastAsia="Times New Roman" w:hAnsi="Times New Roman"/>
                <w:sz w:val="14"/>
                <w:szCs w:val="14"/>
                <w:color w:val="0E32E1"/>
              </w:rPr>
              <w:t>Disclosure Regarding Foreign Jurisdictions that Prevent Inspections</w:t>
            </w:r>
          </w:p>
        </w:tc>
        <w:tc>
          <w:tcPr>
            <w:tcW w:w="4500" w:type="dxa"/>
            <w:vAlign w:val="bottom"/>
            <w:gridSpan w:val="6"/>
          </w:tcPr>
          <w:p>
            <w:pPr>
              <w:spacing w:after="0"/>
              <w:rPr>
                <w:sz w:val="13"/>
                <w:szCs w:val="13"/>
                <w:color w:val="auto"/>
              </w:rPr>
            </w:pPr>
          </w:p>
        </w:tc>
        <w:tc>
          <w:tcPr>
            <w:tcW w:w="500" w:type="dxa"/>
            <w:vAlign w:val="bottom"/>
            <w:gridSpan w:val="4"/>
          </w:tcPr>
          <w:p>
            <w:pPr>
              <w:jc w:val="right"/>
              <w:ind w:right="20"/>
              <w:spacing w:after="0"/>
              <w:rPr>
                <w:rFonts w:ascii="Times New Roman" w:cs="Times New Roman" w:eastAsia="Times New Roman" w:hAnsi="Times New Roman"/>
                <w:sz w:val="14"/>
                <w:szCs w:val="14"/>
                <w:color w:val="0E32E1"/>
              </w:rPr>
            </w:pPr>
            <w:hyperlink w:anchor="page102">
              <w:r>
                <w:rPr>
                  <w:rFonts w:ascii="Times New Roman" w:cs="Times New Roman" w:eastAsia="Times New Roman" w:hAnsi="Times New Roman"/>
                  <w:sz w:val="14"/>
                  <w:szCs w:val="14"/>
                  <w:color w:val="0E32E1"/>
                </w:rPr>
                <w:t>100</w:t>
              </w:r>
            </w:hyperlink>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2"/>
            <w:shd w:val="clear" w:color="auto" w:fill="0E32E1"/>
          </w:tcPr>
          <w:p>
            <w:pPr>
              <w:spacing w:after="0" w:line="20" w:lineRule="exact"/>
              <w:rPr>
                <w:sz w:val="1"/>
                <w:szCs w:val="1"/>
                <w:color w:val="auto"/>
              </w:rPr>
            </w:pPr>
          </w:p>
        </w:tc>
        <w:tc>
          <w:tcPr>
            <w:tcW w:w="80" w:type="dxa"/>
            <w:vAlign w:val="bottom"/>
            <w:tcBorders>
              <w:left w:val="single" w:sz="8" w:color="0E32E1"/>
            </w:tcBorders>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180" w:type="dxa"/>
            <w:vAlign w:val="bottom"/>
            <w:tcBorders>
              <w:left w:val="single" w:sz="8" w:color="0E32E1"/>
            </w:tcBorders>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80" w:type="dxa"/>
            <w:vAlign w:val="bottom"/>
            <w:tcBorders>
              <w:left w:val="single" w:sz="8" w:color="0E32E1"/>
            </w:tcBorders>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64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380" w:type="dxa"/>
            <w:vAlign w:val="bottom"/>
            <w:shd w:val="clear" w:color="auto" w:fill="0E32E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right w:val="single" w:sz="8" w:color="0E32E1"/>
            </w:tcBorders>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20" w:type="dxa"/>
            <w:vAlign w:val="bottom"/>
          </w:tcPr>
          <w:p>
            <w:pPr>
              <w:spacing w:after="0"/>
              <w:rPr>
                <w:sz w:val="24"/>
                <w:szCs w:val="24"/>
                <w:color w:val="auto"/>
              </w:rPr>
            </w:pPr>
          </w:p>
        </w:tc>
        <w:tc>
          <w:tcPr>
            <w:tcW w:w="560" w:type="dxa"/>
            <w:vAlign w:val="bottom"/>
            <w:gridSpan w:val="4"/>
          </w:tcPr>
          <w:p>
            <w:pPr>
              <w:spacing w:after="0"/>
              <w:rPr>
                <w:rFonts w:ascii="Times New Roman" w:cs="Times New Roman" w:eastAsia="Times New Roman" w:hAnsi="Times New Roman"/>
                <w:sz w:val="14"/>
                <w:szCs w:val="14"/>
                <w:b w:val="1"/>
                <w:bCs w:val="1"/>
                <w:color w:val="0E32E1"/>
                <w:w w:val="89"/>
              </w:rPr>
            </w:pPr>
            <w:hyperlink w:anchor="page102">
              <w:r>
                <w:rPr>
                  <w:rFonts w:ascii="Times New Roman" w:cs="Times New Roman" w:eastAsia="Times New Roman" w:hAnsi="Times New Roman"/>
                  <w:sz w:val="14"/>
                  <w:szCs w:val="14"/>
                  <w:b w:val="1"/>
                  <w:bCs w:val="1"/>
                  <w:color w:val="0E32E1"/>
                  <w:w w:val="89"/>
                </w:rPr>
                <w:t>PART III</w:t>
              </w:r>
            </w:hyperlink>
          </w:p>
        </w:tc>
        <w:tc>
          <w:tcPr>
            <w:tcW w:w="22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gridSpan w:val="4"/>
          </w:tcPr>
          <w:p>
            <w:pPr>
              <w:jc w:val="right"/>
              <w:ind w:right="20"/>
              <w:spacing w:after="0"/>
              <w:rPr>
                <w:rFonts w:ascii="Times New Roman" w:cs="Times New Roman" w:eastAsia="Times New Roman" w:hAnsi="Times New Roman"/>
                <w:sz w:val="14"/>
                <w:szCs w:val="14"/>
                <w:color w:val="0E32E1"/>
              </w:rPr>
            </w:pPr>
            <w:hyperlink w:anchor="page102">
              <w:r>
                <w:rPr>
                  <w:rFonts w:ascii="Times New Roman" w:cs="Times New Roman" w:eastAsia="Times New Roman" w:hAnsi="Times New Roman"/>
                  <w:sz w:val="14"/>
                  <w:szCs w:val="14"/>
                  <w:color w:val="0E32E1"/>
                </w:rPr>
                <w:t>100</w:t>
              </w:r>
            </w:hyperlink>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2"/>
            <w:shd w:val="clear" w:color="auto" w:fill="0E32E1"/>
          </w:tcPr>
          <w:p>
            <w:pPr>
              <w:spacing w:after="0" w:line="20" w:lineRule="exact"/>
              <w:rPr>
                <w:sz w:val="1"/>
                <w:szCs w:val="1"/>
                <w:color w:val="auto"/>
              </w:rPr>
            </w:pPr>
          </w:p>
        </w:tc>
        <w:tc>
          <w:tcPr>
            <w:tcW w:w="120" w:type="dxa"/>
            <w:vAlign w:val="bottom"/>
            <w:tcBorders>
              <w:left w:val="single" w:sz="8" w:color="0E32E1"/>
            </w:tcBorders>
            <w:gridSpan w:val="2"/>
            <w:shd w:val="clear" w:color="auto" w:fill="0E32E1"/>
          </w:tcPr>
          <w:p>
            <w:pPr>
              <w:spacing w:after="0" w:line="20" w:lineRule="exact"/>
              <w:rPr>
                <w:sz w:val="1"/>
                <w:szCs w:val="1"/>
                <w:color w:val="auto"/>
              </w:rPr>
            </w:pPr>
          </w:p>
        </w:tc>
        <w:tc>
          <w:tcPr>
            <w:tcW w:w="40" w:type="dxa"/>
            <w:vAlign w:val="bottom"/>
            <w:tcBorders>
              <w:left w:val="single" w:sz="8" w:color="0E32E1"/>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right w:val="single" w:sz="8" w:color="0E32E1"/>
            </w:tcBorders>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4"/>
                <w:szCs w:val="14"/>
                <w:color w:val="0E32E1"/>
                <w:w w:val="85"/>
              </w:rPr>
              <w:t>Item 10.</w:t>
            </w:r>
          </w:p>
        </w:tc>
        <w:tc>
          <w:tcPr>
            <w:tcW w:w="120" w:type="dxa"/>
            <w:vAlign w:val="bottom"/>
            <w:gridSpan w:val="2"/>
          </w:tcPr>
          <w:p>
            <w:pPr>
              <w:spacing w:after="0"/>
              <w:rPr>
                <w:sz w:val="13"/>
                <w:szCs w:val="13"/>
                <w:color w:val="auto"/>
              </w:rPr>
            </w:pPr>
          </w:p>
        </w:tc>
        <w:tc>
          <w:tcPr>
            <w:tcW w:w="22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8360" w:type="dxa"/>
            <w:vAlign w:val="bottom"/>
            <w:gridSpan w:val="21"/>
          </w:tcPr>
          <w:p>
            <w:pPr>
              <w:spacing w:after="0"/>
              <w:rPr>
                <w:rFonts w:ascii="Times New Roman" w:cs="Times New Roman" w:eastAsia="Times New Roman" w:hAnsi="Times New Roman"/>
                <w:sz w:val="14"/>
                <w:szCs w:val="14"/>
                <w:color w:val="0E32E1"/>
              </w:rPr>
            </w:pPr>
            <w:hyperlink w:anchor="page102">
              <w:r>
                <w:rPr>
                  <w:rFonts w:ascii="Times New Roman" w:cs="Times New Roman" w:eastAsia="Times New Roman" w:hAnsi="Times New Roman"/>
                  <w:sz w:val="14"/>
                  <w:szCs w:val="14"/>
                  <w:color w:val="0E32E1"/>
                </w:rPr>
                <w:t>Directors, Executive Officers and Corporate Governance</w:t>
              </w:r>
            </w:hyperlink>
          </w:p>
        </w:tc>
        <w:tc>
          <w:tcPr>
            <w:tcW w:w="500" w:type="dxa"/>
            <w:vAlign w:val="bottom"/>
            <w:gridSpan w:val="4"/>
          </w:tcPr>
          <w:p>
            <w:pPr>
              <w:jc w:val="right"/>
              <w:ind w:right="20"/>
              <w:spacing w:after="0"/>
              <w:rPr>
                <w:rFonts w:ascii="Times New Roman" w:cs="Times New Roman" w:eastAsia="Times New Roman" w:hAnsi="Times New Roman"/>
                <w:sz w:val="14"/>
                <w:szCs w:val="14"/>
                <w:color w:val="0E32E1"/>
              </w:rPr>
            </w:pPr>
            <w:hyperlink w:anchor="page102">
              <w:r>
                <w:rPr>
                  <w:rFonts w:ascii="Times New Roman" w:cs="Times New Roman" w:eastAsia="Times New Roman" w:hAnsi="Times New Roman"/>
                  <w:sz w:val="14"/>
                  <w:szCs w:val="14"/>
                  <w:color w:val="0E32E1"/>
                </w:rPr>
                <w:t>100</w:t>
              </w:r>
            </w:hyperlink>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0" w:type="dxa"/>
            <w:vAlign w:val="bottom"/>
            <w:tcBorders>
              <w:top w:val="single" w:sz="8" w:color="0E32E1"/>
            </w:tcBorders>
            <w:gridSpan w:val="2"/>
          </w:tcPr>
          <w:p>
            <w:pPr>
              <w:spacing w:after="0"/>
              <w:rPr>
                <w:sz w:val="20"/>
                <w:szCs w:val="20"/>
                <w:color w:val="auto"/>
              </w:rPr>
            </w:pPr>
            <w:r>
              <w:rPr>
                <w:rFonts w:ascii="Times New Roman" w:cs="Times New Roman" w:eastAsia="Times New Roman" w:hAnsi="Times New Roman"/>
                <w:sz w:val="14"/>
                <w:szCs w:val="14"/>
                <w:color w:val="0E32E1"/>
                <w:w w:val="85"/>
              </w:rPr>
              <w:t>Item 11.</w:t>
            </w:r>
          </w:p>
        </w:tc>
        <w:tc>
          <w:tcPr>
            <w:tcW w:w="340" w:type="dxa"/>
            <w:vAlign w:val="bottom"/>
            <w:gridSpan w:val="4"/>
          </w:tcPr>
          <w:p>
            <w:pPr>
              <w:spacing w:after="0"/>
              <w:rPr>
                <w:sz w:val="13"/>
                <w:szCs w:val="13"/>
                <w:color w:val="auto"/>
              </w:rPr>
            </w:pPr>
          </w:p>
        </w:tc>
        <w:tc>
          <w:tcPr>
            <w:tcW w:w="180" w:type="dxa"/>
            <w:vAlign w:val="bottom"/>
          </w:tcPr>
          <w:p>
            <w:pPr>
              <w:spacing w:after="0"/>
              <w:rPr>
                <w:sz w:val="13"/>
                <w:szCs w:val="13"/>
                <w:color w:val="auto"/>
              </w:rPr>
            </w:pPr>
          </w:p>
        </w:tc>
        <w:tc>
          <w:tcPr>
            <w:tcW w:w="3220" w:type="dxa"/>
            <w:vAlign w:val="bottom"/>
            <w:tcBorders>
              <w:top w:val="single" w:sz="8" w:color="0E32E1"/>
            </w:tcBorders>
            <w:gridSpan w:val="12"/>
          </w:tcPr>
          <w:p>
            <w:pPr>
              <w:spacing w:after="0"/>
              <w:rPr>
                <w:rFonts w:ascii="Times New Roman" w:cs="Times New Roman" w:eastAsia="Times New Roman" w:hAnsi="Times New Roman"/>
                <w:sz w:val="14"/>
                <w:szCs w:val="14"/>
                <w:color w:val="0E32E1"/>
              </w:rPr>
            </w:pPr>
            <w:hyperlink w:anchor="page102">
              <w:r>
                <w:rPr>
                  <w:rFonts w:ascii="Times New Roman" w:cs="Times New Roman" w:eastAsia="Times New Roman" w:hAnsi="Times New Roman"/>
                  <w:sz w:val="14"/>
                  <w:szCs w:val="14"/>
                  <w:color w:val="0E32E1"/>
                </w:rPr>
                <w:t>Executive Compensation</w:t>
              </w:r>
            </w:hyperlink>
          </w:p>
        </w:tc>
        <w:tc>
          <w:tcPr>
            <w:tcW w:w="5140" w:type="dxa"/>
            <w:vAlign w:val="bottom"/>
            <w:gridSpan w:val="9"/>
          </w:tcPr>
          <w:p>
            <w:pPr>
              <w:spacing w:after="0"/>
              <w:rPr>
                <w:sz w:val="13"/>
                <w:szCs w:val="13"/>
                <w:color w:val="auto"/>
              </w:rPr>
            </w:pPr>
          </w:p>
        </w:tc>
        <w:tc>
          <w:tcPr>
            <w:tcW w:w="500" w:type="dxa"/>
            <w:vAlign w:val="bottom"/>
            <w:gridSpan w:val="4"/>
          </w:tcPr>
          <w:p>
            <w:pPr>
              <w:jc w:val="right"/>
              <w:ind w:right="20"/>
              <w:spacing w:after="0"/>
              <w:rPr>
                <w:rFonts w:ascii="Times New Roman" w:cs="Times New Roman" w:eastAsia="Times New Roman" w:hAnsi="Times New Roman"/>
                <w:sz w:val="14"/>
                <w:szCs w:val="14"/>
                <w:color w:val="0E32E1"/>
              </w:rPr>
            </w:pPr>
            <w:hyperlink w:anchor="page102">
              <w:r>
                <w:rPr>
                  <w:rFonts w:ascii="Times New Roman" w:cs="Times New Roman" w:eastAsia="Times New Roman" w:hAnsi="Times New Roman"/>
                  <w:sz w:val="14"/>
                  <w:szCs w:val="14"/>
                  <w:color w:val="0E32E1"/>
                </w:rPr>
                <w:t>100</w:t>
              </w:r>
            </w:hyperlink>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2"/>
            <w:shd w:val="clear" w:color="auto" w:fill="0E32E1"/>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gridSpan w:val="5"/>
            <w:shd w:val="clear" w:color="auto" w:fill="0E32E1"/>
          </w:tcPr>
          <w:p>
            <w:pPr>
              <w:spacing w:after="0" w:line="20" w:lineRule="exact"/>
              <w:rPr>
                <w:sz w:val="1"/>
                <w:szCs w:val="1"/>
                <w:color w:val="auto"/>
              </w:rPr>
            </w:pPr>
          </w:p>
        </w:tc>
        <w:tc>
          <w:tcPr>
            <w:tcW w:w="200" w:type="dxa"/>
            <w:vAlign w:val="bottom"/>
            <w:gridSpan w:val="2"/>
            <w:shd w:val="clear" w:color="auto" w:fill="0E32E1"/>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right w:val="single" w:sz="8" w:color="0E32E1"/>
            </w:tcBorders>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4"/>
                <w:szCs w:val="14"/>
                <w:color w:val="0E32E1"/>
                <w:w w:val="85"/>
              </w:rPr>
              <w:t>Item 12.</w:t>
            </w:r>
          </w:p>
        </w:tc>
        <w:tc>
          <w:tcPr>
            <w:tcW w:w="340" w:type="dxa"/>
            <w:vAlign w:val="bottom"/>
            <w:gridSpan w:val="4"/>
          </w:tcPr>
          <w:p>
            <w:pPr>
              <w:spacing w:after="0"/>
              <w:rPr>
                <w:sz w:val="13"/>
                <w:szCs w:val="13"/>
                <w:color w:val="auto"/>
              </w:rPr>
            </w:pPr>
          </w:p>
        </w:tc>
        <w:tc>
          <w:tcPr>
            <w:tcW w:w="180" w:type="dxa"/>
            <w:vAlign w:val="bottom"/>
          </w:tcPr>
          <w:p>
            <w:pPr>
              <w:spacing w:after="0"/>
              <w:rPr>
                <w:sz w:val="13"/>
                <w:szCs w:val="13"/>
                <w:color w:val="auto"/>
              </w:rPr>
            </w:pPr>
          </w:p>
        </w:tc>
        <w:tc>
          <w:tcPr>
            <w:tcW w:w="5740" w:type="dxa"/>
            <w:vAlign w:val="bottom"/>
            <w:gridSpan w:val="19"/>
          </w:tcPr>
          <w:p>
            <w:pPr>
              <w:spacing w:after="0"/>
              <w:rPr>
                <w:rFonts w:ascii="Times New Roman" w:cs="Times New Roman" w:eastAsia="Times New Roman" w:hAnsi="Times New Roman"/>
                <w:sz w:val="14"/>
                <w:szCs w:val="14"/>
                <w:color w:val="0E32E1"/>
              </w:rPr>
            </w:pPr>
            <w:hyperlink w:anchor="page102">
              <w:r>
                <w:rPr>
                  <w:rFonts w:ascii="Times New Roman" w:cs="Times New Roman" w:eastAsia="Times New Roman" w:hAnsi="Times New Roman"/>
                  <w:sz w:val="14"/>
                  <w:szCs w:val="14"/>
                  <w:color w:val="0E32E1"/>
                </w:rPr>
                <w:t>Security Ownership of Certain Beneficial Owners and Management and Related Stockholder Matters</w:t>
              </w:r>
            </w:hyperlink>
          </w:p>
        </w:tc>
        <w:tc>
          <w:tcPr>
            <w:tcW w:w="2620" w:type="dxa"/>
            <w:vAlign w:val="bottom"/>
            <w:gridSpan w:val="2"/>
          </w:tcPr>
          <w:p>
            <w:pPr>
              <w:spacing w:after="0"/>
              <w:rPr>
                <w:sz w:val="13"/>
                <w:szCs w:val="13"/>
                <w:color w:val="auto"/>
              </w:rPr>
            </w:pPr>
          </w:p>
        </w:tc>
        <w:tc>
          <w:tcPr>
            <w:tcW w:w="500" w:type="dxa"/>
            <w:vAlign w:val="bottom"/>
            <w:gridSpan w:val="4"/>
          </w:tcPr>
          <w:p>
            <w:pPr>
              <w:jc w:val="right"/>
              <w:ind w:right="20"/>
              <w:spacing w:after="0"/>
              <w:rPr>
                <w:rFonts w:ascii="Times New Roman" w:cs="Times New Roman" w:eastAsia="Times New Roman" w:hAnsi="Times New Roman"/>
                <w:sz w:val="14"/>
                <w:szCs w:val="14"/>
                <w:color w:val="0E32E1"/>
              </w:rPr>
            </w:pPr>
            <w:hyperlink w:anchor="page102">
              <w:r>
                <w:rPr>
                  <w:rFonts w:ascii="Times New Roman" w:cs="Times New Roman" w:eastAsia="Times New Roman" w:hAnsi="Times New Roman"/>
                  <w:sz w:val="14"/>
                  <w:szCs w:val="14"/>
                  <w:color w:val="0E32E1"/>
                </w:rPr>
                <w:t>100</w:t>
              </w:r>
            </w:hyperlink>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2"/>
            <w:shd w:val="clear" w:color="auto" w:fill="0E32E1"/>
          </w:tcPr>
          <w:p>
            <w:pPr>
              <w:spacing w:after="0" w:line="20" w:lineRule="exact"/>
              <w:rPr>
                <w:sz w:val="1"/>
                <w:szCs w:val="1"/>
                <w:color w:val="auto"/>
              </w:rPr>
            </w:pPr>
          </w:p>
        </w:tc>
        <w:tc>
          <w:tcPr>
            <w:tcW w:w="120" w:type="dxa"/>
            <w:vAlign w:val="bottom"/>
            <w:tcBorders>
              <w:left w:val="single" w:sz="8" w:color="0E32E1"/>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gridSpan w:val="5"/>
            <w:shd w:val="clear" w:color="auto" w:fill="0E32E1"/>
          </w:tcPr>
          <w:p>
            <w:pPr>
              <w:spacing w:after="0" w:line="20" w:lineRule="exact"/>
              <w:rPr>
                <w:sz w:val="1"/>
                <w:szCs w:val="1"/>
                <w:color w:val="auto"/>
              </w:rPr>
            </w:pPr>
          </w:p>
        </w:tc>
        <w:tc>
          <w:tcPr>
            <w:tcW w:w="1040" w:type="dxa"/>
            <w:vAlign w:val="bottom"/>
            <w:gridSpan w:val="4"/>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1840" w:type="dxa"/>
            <w:vAlign w:val="bottom"/>
            <w:gridSpan w:val="6"/>
            <w:shd w:val="clear" w:color="auto" w:fill="0E32E1"/>
          </w:tcPr>
          <w:p>
            <w:pPr>
              <w:spacing w:after="0" w:line="20" w:lineRule="exact"/>
              <w:rPr>
                <w:sz w:val="1"/>
                <w:szCs w:val="1"/>
                <w:color w:val="auto"/>
              </w:rPr>
            </w:pPr>
          </w:p>
        </w:tc>
        <w:tc>
          <w:tcPr>
            <w:tcW w:w="1460" w:type="dxa"/>
            <w:vAlign w:val="bottom"/>
            <w:gridSpan w:val="3"/>
            <w:shd w:val="clear" w:color="auto" w:fill="0E32E1"/>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right w:val="single" w:sz="8" w:color="0E32E1"/>
            </w:tcBorders>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4"/>
                <w:szCs w:val="14"/>
                <w:color w:val="0E32E1"/>
                <w:w w:val="85"/>
              </w:rPr>
              <w:t>Item 13.</w:t>
            </w:r>
          </w:p>
        </w:tc>
        <w:tc>
          <w:tcPr>
            <w:tcW w:w="120" w:type="dxa"/>
            <w:vAlign w:val="bottom"/>
            <w:gridSpan w:val="2"/>
          </w:tcPr>
          <w:p>
            <w:pPr>
              <w:spacing w:after="0"/>
              <w:rPr>
                <w:sz w:val="13"/>
                <w:szCs w:val="13"/>
                <w:color w:val="auto"/>
              </w:rPr>
            </w:pPr>
          </w:p>
        </w:tc>
        <w:tc>
          <w:tcPr>
            <w:tcW w:w="22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5740" w:type="dxa"/>
            <w:vAlign w:val="bottom"/>
            <w:gridSpan w:val="19"/>
          </w:tcPr>
          <w:p>
            <w:pPr>
              <w:spacing w:after="0"/>
              <w:rPr>
                <w:rFonts w:ascii="Times New Roman" w:cs="Times New Roman" w:eastAsia="Times New Roman" w:hAnsi="Times New Roman"/>
                <w:sz w:val="14"/>
                <w:szCs w:val="14"/>
                <w:color w:val="0E32E1"/>
              </w:rPr>
            </w:pPr>
            <w:hyperlink w:anchor="page102">
              <w:r>
                <w:rPr>
                  <w:rFonts w:ascii="Times New Roman" w:cs="Times New Roman" w:eastAsia="Times New Roman" w:hAnsi="Times New Roman"/>
                  <w:sz w:val="14"/>
                  <w:szCs w:val="14"/>
                  <w:color w:val="0E32E1"/>
                </w:rPr>
                <w:t>Certain Relationships and Related Transactions, and Director Independence</w:t>
              </w:r>
            </w:hyperlink>
          </w:p>
        </w:tc>
        <w:tc>
          <w:tcPr>
            <w:tcW w:w="2620" w:type="dxa"/>
            <w:vAlign w:val="bottom"/>
            <w:gridSpan w:val="2"/>
          </w:tcPr>
          <w:p>
            <w:pPr>
              <w:spacing w:after="0"/>
              <w:rPr>
                <w:sz w:val="13"/>
                <w:szCs w:val="13"/>
                <w:color w:val="auto"/>
              </w:rPr>
            </w:pPr>
          </w:p>
        </w:tc>
        <w:tc>
          <w:tcPr>
            <w:tcW w:w="500" w:type="dxa"/>
            <w:vAlign w:val="bottom"/>
            <w:gridSpan w:val="4"/>
          </w:tcPr>
          <w:p>
            <w:pPr>
              <w:jc w:val="right"/>
              <w:ind w:right="20"/>
              <w:spacing w:after="0"/>
              <w:rPr>
                <w:rFonts w:ascii="Times New Roman" w:cs="Times New Roman" w:eastAsia="Times New Roman" w:hAnsi="Times New Roman"/>
                <w:sz w:val="14"/>
                <w:szCs w:val="14"/>
                <w:color w:val="0E32E1"/>
              </w:rPr>
            </w:pPr>
            <w:hyperlink w:anchor="page102">
              <w:r>
                <w:rPr>
                  <w:rFonts w:ascii="Times New Roman" w:cs="Times New Roman" w:eastAsia="Times New Roman" w:hAnsi="Times New Roman"/>
                  <w:sz w:val="14"/>
                  <w:szCs w:val="14"/>
                  <w:color w:val="0E32E1"/>
                </w:rPr>
                <w:t>100</w:t>
              </w:r>
            </w:hyperlink>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0" w:type="dxa"/>
            <w:vAlign w:val="bottom"/>
            <w:tcBorders>
              <w:top w:val="single" w:sz="8" w:color="0E32E1"/>
            </w:tcBorders>
            <w:gridSpan w:val="2"/>
          </w:tcPr>
          <w:p>
            <w:pPr>
              <w:spacing w:after="0"/>
              <w:rPr>
                <w:sz w:val="20"/>
                <w:szCs w:val="20"/>
                <w:color w:val="auto"/>
              </w:rPr>
            </w:pPr>
            <w:r>
              <w:rPr>
                <w:rFonts w:ascii="Times New Roman" w:cs="Times New Roman" w:eastAsia="Times New Roman" w:hAnsi="Times New Roman"/>
                <w:sz w:val="14"/>
                <w:szCs w:val="14"/>
                <w:color w:val="0E32E1"/>
                <w:w w:val="85"/>
              </w:rPr>
              <w:t>Item 14.</w:t>
            </w:r>
          </w:p>
        </w:tc>
        <w:tc>
          <w:tcPr>
            <w:tcW w:w="120" w:type="dxa"/>
            <w:vAlign w:val="bottom"/>
            <w:tcBorders>
              <w:top w:val="single" w:sz="8" w:color="0E32E1"/>
            </w:tcBorders>
            <w:gridSpan w:val="2"/>
          </w:tcPr>
          <w:p>
            <w:pPr>
              <w:spacing w:after="0"/>
              <w:rPr>
                <w:sz w:val="13"/>
                <w:szCs w:val="13"/>
                <w:color w:val="auto"/>
              </w:rPr>
            </w:pPr>
          </w:p>
        </w:tc>
        <w:tc>
          <w:tcPr>
            <w:tcW w:w="22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2260" w:type="dxa"/>
            <w:vAlign w:val="bottom"/>
            <w:tcBorders>
              <w:top w:val="single" w:sz="8" w:color="0E32E1"/>
            </w:tcBorders>
            <w:gridSpan w:val="9"/>
          </w:tcPr>
          <w:p>
            <w:pPr>
              <w:spacing w:after="0"/>
              <w:rPr>
                <w:rFonts w:ascii="Times New Roman" w:cs="Times New Roman" w:eastAsia="Times New Roman" w:hAnsi="Times New Roman"/>
                <w:sz w:val="14"/>
                <w:szCs w:val="14"/>
                <w:color w:val="0E32E1"/>
              </w:rPr>
            </w:pPr>
            <w:hyperlink w:anchor="page102">
              <w:r>
                <w:rPr>
                  <w:rFonts w:ascii="Times New Roman" w:cs="Times New Roman" w:eastAsia="Times New Roman" w:hAnsi="Times New Roman"/>
                  <w:sz w:val="14"/>
                  <w:szCs w:val="14"/>
                  <w:color w:val="0E32E1"/>
                </w:rPr>
                <w:t>Principal Accountant Fees and Services</w:t>
              </w:r>
            </w:hyperlink>
          </w:p>
        </w:tc>
        <w:tc>
          <w:tcPr>
            <w:tcW w:w="2020" w:type="dxa"/>
            <w:vAlign w:val="bottom"/>
            <w:tcBorders>
              <w:top w:val="single" w:sz="8" w:color="0E32E1"/>
            </w:tcBorders>
            <w:gridSpan w:val="7"/>
          </w:tcPr>
          <w:p>
            <w:pPr>
              <w:spacing w:after="0"/>
              <w:rPr>
                <w:sz w:val="13"/>
                <w:szCs w:val="13"/>
                <w:color w:val="auto"/>
              </w:rPr>
            </w:pPr>
          </w:p>
        </w:tc>
        <w:tc>
          <w:tcPr>
            <w:tcW w:w="4080" w:type="dxa"/>
            <w:vAlign w:val="bottom"/>
            <w:gridSpan w:val="5"/>
          </w:tcPr>
          <w:p>
            <w:pPr>
              <w:spacing w:after="0"/>
              <w:rPr>
                <w:sz w:val="13"/>
                <w:szCs w:val="13"/>
                <w:color w:val="auto"/>
              </w:rPr>
            </w:pPr>
          </w:p>
        </w:tc>
        <w:tc>
          <w:tcPr>
            <w:tcW w:w="500" w:type="dxa"/>
            <w:vAlign w:val="bottom"/>
            <w:gridSpan w:val="4"/>
          </w:tcPr>
          <w:p>
            <w:pPr>
              <w:jc w:val="right"/>
              <w:ind w:right="20"/>
              <w:spacing w:after="0"/>
              <w:rPr>
                <w:rFonts w:ascii="Times New Roman" w:cs="Times New Roman" w:eastAsia="Times New Roman" w:hAnsi="Times New Roman"/>
                <w:sz w:val="14"/>
                <w:szCs w:val="14"/>
                <w:color w:val="0E32E1"/>
              </w:rPr>
            </w:pPr>
            <w:hyperlink w:anchor="page102">
              <w:r>
                <w:rPr>
                  <w:rFonts w:ascii="Times New Roman" w:cs="Times New Roman" w:eastAsia="Times New Roman" w:hAnsi="Times New Roman"/>
                  <w:sz w:val="14"/>
                  <w:szCs w:val="14"/>
                  <w:color w:val="0E32E1"/>
                </w:rPr>
                <w:t>100</w:t>
              </w:r>
            </w:hyperlink>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2"/>
            <w:shd w:val="clear" w:color="auto" w:fill="0E32E1"/>
          </w:tcPr>
          <w:p>
            <w:pPr>
              <w:spacing w:after="0" w:line="20" w:lineRule="exact"/>
              <w:rPr>
                <w:sz w:val="1"/>
                <w:szCs w:val="1"/>
                <w:color w:val="auto"/>
              </w:rPr>
            </w:pPr>
          </w:p>
        </w:tc>
        <w:tc>
          <w:tcPr>
            <w:tcW w:w="120" w:type="dxa"/>
            <w:vAlign w:val="bottom"/>
            <w:tcBorders>
              <w:left w:val="single" w:sz="8" w:color="0E32E1"/>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180" w:type="dxa"/>
            <w:vAlign w:val="bottom"/>
            <w:tcBorders>
              <w:left w:val="single" w:sz="8" w:color="0E32E1"/>
            </w:tcBorders>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80" w:type="dxa"/>
            <w:vAlign w:val="bottom"/>
            <w:tcBorders>
              <w:left w:val="single" w:sz="8" w:color="0E32E1"/>
            </w:tcBorders>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640" w:type="dxa"/>
            <w:vAlign w:val="bottom"/>
            <w:shd w:val="clear" w:color="auto" w:fill="0E32E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right w:val="single" w:sz="8" w:color="0E32E1"/>
            </w:tcBorders>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20" w:type="dxa"/>
            <w:vAlign w:val="bottom"/>
          </w:tcPr>
          <w:p>
            <w:pPr>
              <w:spacing w:after="0"/>
              <w:rPr>
                <w:sz w:val="24"/>
                <w:szCs w:val="24"/>
                <w:color w:val="auto"/>
              </w:rPr>
            </w:pPr>
          </w:p>
        </w:tc>
        <w:tc>
          <w:tcPr>
            <w:tcW w:w="780" w:type="dxa"/>
            <w:vAlign w:val="bottom"/>
            <w:gridSpan w:val="6"/>
          </w:tcPr>
          <w:p>
            <w:pPr>
              <w:spacing w:after="0"/>
              <w:rPr>
                <w:rFonts w:ascii="Times New Roman" w:cs="Times New Roman" w:eastAsia="Times New Roman" w:hAnsi="Times New Roman"/>
                <w:sz w:val="14"/>
                <w:szCs w:val="14"/>
                <w:b w:val="1"/>
                <w:bCs w:val="1"/>
                <w:color w:val="0E32E1"/>
              </w:rPr>
            </w:pPr>
            <w:hyperlink w:anchor="page102">
              <w:r>
                <w:rPr>
                  <w:rFonts w:ascii="Times New Roman" w:cs="Times New Roman" w:eastAsia="Times New Roman" w:hAnsi="Times New Roman"/>
                  <w:sz w:val="14"/>
                  <w:szCs w:val="14"/>
                  <w:b w:val="1"/>
                  <w:bCs w:val="1"/>
                  <w:color w:val="0E32E1"/>
                </w:rPr>
                <w:t>PART IV</w:t>
              </w:r>
            </w:hyperlink>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gridSpan w:val="4"/>
          </w:tcPr>
          <w:p>
            <w:pPr>
              <w:jc w:val="right"/>
              <w:ind w:right="20"/>
              <w:spacing w:after="0"/>
              <w:rPr>
                <w:rFonts w:ascii="Times New Roman" w:cs="Times New Roman" w:eastAsia="Times New Roman" w:hAnsi="Times New Roman"/>
                <w:sz w:val="14"/>
                <w:szCs w:val="14"/>
                <w:color w:val="0E32E1"/>
              </w:rPr>
            </w:pPr>
            <w:hyperlink w:anchor="page102">
              <w:r>
                <w:rPr>
                  <w:rFonts w:ascii="Times New Roman" w:cs="Times New Roman" w:eastAsia="Times New Roman" w:hAnsi="Times New Roman"/>
                  <w:sz w:val="14"/>
                  <w:szCs w:val="14"/>
                  <w:color w:val="0E32E1"/>
                </w:rPr>
                <w:t>101</w:t>
              </w:r>
            </w:hyperlink>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2"/>
            <w:shd w:val="clear" w:color="auto" w:fill="0E32E1"/>
          </w:tcPr>
          <w:p>
            <w:pPr>
              <w:spacing w:after="0" w:line="20" w:lineRule="exact"/>
              <w:rPr>
                <w:sz w:val="1"/>
                <w:szCs w:val="1"/>
                <w:color w:val="auto"/>
              </w:rPr>
            </w:pPr>
          </w:p>
        </w:tc>
        <w:tc>
          <w:tcPr>
            <w:tcW w:w="120" w:type="dxa"/>
            <w:vAlign w:val="bottom"/>
            <w:tcBorders>
              <w:left w:val="single" w:sz="8" w:color="0E32E1"/>
            </w:tcBorders>
            <w:gridSpan w:val="2"/>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592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right w:val="single" w:sz="8" w:color="0E32E1"/>
            </w:tcBorders>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40" w:type="dxa"/>
            <w:vAlign w:val="bottom"/>
            <w:gridSpan w:val="2"/>
          </w:tcPr>
          <w:p>
            <w:pPr>
              <w:spacing w:after="0"/>
              <w:rPr>
                <w:rFonts w:ascii="Times New Roman" w:cs="Times New Roman" w:eastAsia="Times New Roman" w:hAnsi="Times New Roman"/>
                <w:sz w:val="14"/>
                <w:szCs w:val="14"/>
                <w:color w:val="0E32E1"/>
                <w:w w:val="85"/>
              </w:rPr>
            </w:pPr>
            <w:hyperlink w:anchor="page103">
              <w:r>
                <w:rPr>
                  <w:rFonts w:ascii="Times New Roman" w:cs="Times New Roman" w:eastAsia="Times New Roman" w:hAnsi="Times New Roman"/>
                  <w:sz w:val="14"/>
                  <w:szCs w:val="14"/>
                  <w:color w:val="0E32E1"/>
                  <w:w w:val="85"/>
                </w:rPr>
                <w:t>Item 15.</w:t>
              </w:r>
            </w:hyperlink>
          </w:p>
        </w:tc>
        <w:tc>
          <w:tcPr>
            <w:tcW w:w="120" w:type="dxa"/>
            <w:vAlign w:val="bottom"/>
            <w:gridSpan w:val="2"/>
          </w:tcPr>
          <w:p>
            <w:pPr>
              <w:spacing w:after="0"/>
              <w:rPr>
                <w:sz w:val="13"/>
                <w:szCs w:val="13"/>
                <w:color w:val="auto"/>
              </w:rPr>
            </w:pPr>
          </w:p>
        </w:tc>
        <w:tc>
          <w:tcPr>
            <w:tcW w:w="22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2440" w:type="dxa"/>
            <w:vAlign w:val="bottom"/>
            <w:gridSpan w:val="10"/>
          </w:tcPr>
          <w:p>
            <w:pPr>
              <w:spacing w:after="0"/>
              <w:rPr>
                <w:rFonts w:ascii="Times New Roman" w:cs="Times New Roman" w:eastAsia="Times New Roman" w:hAnsi="Times New Roman"/>
                <w:sz w:val="14"/>
                <w:szCs w:val="14"/>
                <w:color w:val="0E32E1"/>
              </w:rPr>
            </w:pPr>
            <w:hyperlink w:anchor="page103">
              <w:r>
                <w:rPr>
                  <w:rFonts w:ascii="Times New Roman" w:cs="Times New Roman" w:eastAsia="Times New Roman" w:hAnsi="Times New Roman"/>
                  <w:sz w:val="14"/>
                  <w:szCs w:val="14"/>
                  <w:color w:val="0E32E1"/>
                </w:rPr>
                <w:t>Exhibit and Financial Statement Schedules</w:t>
              </w:r>
            </w:hyperlink>
          </w:p>
        </w:tc>
        <w:tc>
          <w:tcPr>
            <w:tcW w:w="5920" w:type="dxa"/>
            <w:vAlign w:val="bottom"/>
            <w:gridSpan w:val="11"/>
          </w:tcPr>
          <w:p>
            <w:pPr>
              <w:spacing w:after="0"/>
              <w:rPr>
                <w:sz w:val="13"/>
                <w:szCs w:val="13"/>
                <w:color w:val="auto"/>
              </w:rPr>
            </w:pPr>
          </w:p>
        </w:tc>
        <w:tc>
          <w:tcPr>
            <w:tcW w:w="500" w:type="dxa"/>
            <w:vAlign w:val="bottom"/>
            <w:gridSpan w:val="4"/>
          </w:tcPr>
          <w:p>
            <w:pPr>
              <w:jc w:val="right"/>
              <w:ind w:right="20"/>
              <w:spacing w:after="0"/>
              <w:rPr>
                <w:rFonts w:ascii="Times New Roman" w:cs="Times New Roman" w:eastAsia="Times New Roman" w:hAnsi="Times New Roman"/>
                <w:sz w:val="14"/>
                <w:szCs w:val="14"/>
                <w:color w:val="0E32E1"/>
              </w:rPr>
            </w:pPr>
            <w:hyperlink w:anchor="page103">
              <w:r>
                <w:rPr>
                  <w:rFonts w:ascii="Times New Roman" w:cs="Times New Roman" w:eastAsia="Times New Roman" w:hAnsi="Times New Roman"/>
                  <w:sz w:val="14"/>
                  <w:szCs w:val="14"/>
                  <w:color w:val="0E32E1"/>
                </w:rPr>
                <w:t>101</w:t>
              </w:r>
            </w:hyperlink>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2"/>
            <w:shd w:val="clear" w:color="auto" w:fill="0E32E1"/>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gridSpan w:val="5"/>
            <w:shd w:val="clear" w:color="auto" w:fill="0E32E1"/>
          </w:tcPr>
          <w:p>
            <w:pPr>
              <w:spacing w:after="0" w:line="20" w:lineRule="exact"/>
              <w:rPr>
                <w:sz w:val="1"/>
                <w:szCs w:val="1"/>
                <w:color w:val="auto"/>
              </w:rPr>
            </w:pPr>
          </w:p>
        </w:tc>
        <w:tc>
          <w:tcPr>
            <w:tcW w:w="1220" w:type="dxa"/>
            <w:vAlign w:val="bottom"/>
            <w:gridSpan w:val="5"/>
            <w:shd w:val="clear" w:color="auto" w:fill="0E32E1"/>
          </w:tcPr>
          <w:p>
            <w:pPr>
              <w:spacing w:after="0" w:line="20" w:lineRule="exact"/>
              <w:rPr>
                <w:sz w:val="1"/>
                <w:szCs w:val="1"/>
                <w:color w:val="auto"/>
              </w:rPr>
            </w:pPr>
          </w:p>
        </w:tc>
        <w:tc>
          <w:tcPr>
            <w:tcW w:w="592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right w:val="single" w:sz="8" w:color="0E32E1"/>
            </w:tcBorders>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40" w:type="dxa"/>
            <w:vAlign w:val="bottom"/>
            <w:gridSpan w:val="2"/>
          </w:tcPr>
          <w:p>
            <w:pPr>
              <w:spacing w:after="0"/>
              <w:rPr>
                <w:rFonts w:ascii="Times New Roman" w:cs="Times New Roman" w:eastAsia="Times New Roman" w:hAnsi="Times New Roman"/>
                <w:sz w:val="14"/>
                <w:szCs w:val="14"/>
                <w:color w:val="0E32E1"/>
                <w:w w:val="92"/>
              </w:rPr>
            </w:pPr>
            <w:hyperlink w:anchor="page105">
              <w:r>
                <w:rPr>
                  <w:rFonts w:ascii="Times New Roman" w:cs="Times New Roman" w:eastAsia="Times New Roman" w:hAnsi="Times New Roman"/>
                  <w:sz w:val="14"/>
                  <w:szCs w:val="14"/>
                  <w:color w:val="0E32E1"/>
                  <w:w w:val="92"/>
                </w:rPr>
                <w:t>Item 16</w:t>
              </w:r>
            </w:hyperlink>
          </w:p>
        </w:tc>
        <w:tc>
          <w:tcPr>
            <w:tcW w:w="340" w:type="dxa"/>
            <w:vAlign w:val="bottom"/>
            <w:gridSpan w:val="4"/>
          </w:tcPr>
          <w:p>
            <w:pPr>
              <w:spacing w:after="0"/>
              <w:rPr>
                <w:sz w:val="13"/>
                <w:szCs w:val="13"/>
                <w:color w:val="auto"/>
              </w:rPr>
            </w:pPr>
          </w:p>
        </w:tc>
        <w:tc>
          <w:tcPr>
            <w:tcW w:w="180" w:type="dxa"/>
            <w:vAlign w:val="bottom"/>
          </w:tcPr>
          <w:p>
            <w:pPr>
              <w:spacing w:after="0"/>
              <w:rPr>
                <w:sz w:val="13"/>
                <w:szCs w:val="13"/>
                <w:color w:val="auto"/>
              </w:rPr>
            </w:pPr>
          </w:p>
        </w:tc>
        <w:tc>
          <w:tcPr>
            <w:tcW w:w="2440" w:type="dxa"/>
            <w:vAlign w:val="bottom"/>
            <w:gridSpan w:val="10"/>
          </w:tcPr>
          <w:p>
            <w:pPr>
              <w:spacing w:after="0"/>
              <w:rPr>
                <w:rFonts w:ascii="Times New Roman" w:cs="Times New Roman" w:eastAsia="Times New Roman" w:hAnsi="Times New Roman"/>
                <w:sz w:val="14"/>
                <w:szCs w:val="14"/>
                <w:color w:val="0E32E1"/>
              </w:rPr>
            </w:pPr>
            <w:hyperlink w:anchor="page105">
              <w:r>
                <w:rPr>
                  <w:rFonts w:ascii="Times New Roman" w:cs="Times New Roman" w:eastAsia="Times New Roman" w:hAnsi="Times New Roman"/>
                  <w:sz w:val="14"/>
                  <w:szCs w:val="14"/>
                  <w:color w:val="0E32E1"/>
                </w:rPr>
                <w:t>Form 10-K Summary</w:t>
              </w:r>
            </w:hyperlink>
          </w:p>
        </w:tc>
        <w:tc>
          <w:tcPr>
            <w:tcW w:w="5920" w:type="dxa"/>
            <w:vAlign w:val="bottom"/>
            <w:gridSpan w:val="11"/>
          </w:tcPr>
          <w:p>
            <w:pPr>
              <w:spacing w:after="0"/>
              <w:rPr>
                <w:sz w:val="13"/>
                <w:szCs w:val="13"/>
                <w:color w:val="auto"/>
              </w:rPr>
            </w:pPr>
          </w:p>
        </w:tc>
        <w:tc>
          <w:tcPr>
            <w:tcW w:w="500" w:type="dxa"/>
            <w:vAlign w:val="bottom"/>
            <w:gridSpan w:val="4"/>
          </w:tcPr>
          <w:p>
            <w:pPr>
              <w:jc w:val="right"/>
              <w:ind w:right="20"/>
              <w:spacing w:after="0"/>
              <w:rPr>
                <w:rFonts w:ascii="Times New Roman" w:cs="Times New Roman" w:eastAsia="Times New Roman" w:hAnsi="Times New Roman"/>
                <w:sz w:val="14"/>
                <w:szCs w:val="14"/>
                <w:color w:val="0E32E1"/>
              </w:rPr>
            </w:pPr>
            <w:hyperlink w:anchor="page105">
              <w:r>
                <w:rPr>
                  <w:rFonts w:ascii="Times New Roman" w:cs="Times New Roman" w:eastAsia="Times New Roman" w:hAnsi="Times New Roman"/>
                  <w:sz w:val="14"/>
                  <w:szCs w:val="14"/>
                  <w:color w:val="0E32E1"/>
                </w:rPr>
                <w:t>104</w:t>
              </w:r>
            </w:hyperlink>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2"/>
            <w:shd w:val="clear" w:color="auto" w:fill="0E32E1"/>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0E32E1"/>
            </w:tcBorders>
            <w:shd w:val="clear" w:color="auto" w:fill="0E32E1"/>
          </w:tcPr>
          <w:p>
            <w:pPr>
              <w:spacing w:after="0" w:line="20" w:lineRule="exact"/>
              <w:rPr>
                <w:sz w:val="1"/>
                <w:szCs w:val="1"/>
                <w:color w:val="auto"/>
              </w:rPr>
            </w:pPr>
          </w:p>
        </w:tc>
        <w:tc>
          <w:tcPr>
            <w:tcW w:w="80" w:type="dxa"/>
            <w:vAlign w:val="bottom"/>
            <w:tcBorders>
              <w:bottom w:val="single" w:sz="8" w:color="0E32E1"/>
            </w:tcBorders>
            <w:shd w:val="clear" w:color="auto" w:fill="0E32E1"/>
          </w:tcPr>
          <w:p>
            <w:pPr>
              <w:spacing w:after="0" w:line="20" w:lineRule="exact"/>
              <w:rPr>
                <w:sz w:val="1"/>
                <w:szCs w:val="1"/>
                <w:color w:val="auto"/>
              </w:rPr>
            </w:pPr>
          </w:p>
        </w:tc>
        <w:tc>
          <w:tcPr>
            <w:tcW w:w="140" w:type="dxa"/>
            <w:vAlign w:val="bottom"/>
            <w:tcBorders>
              <w:bottom w:val="single" w:sz="8" w:color="0E32E1"/>
            </w:tcBorders>
            <w:shd w:val="clear" w:color="auto" w:fill="0E32E1"/>
          </w:tcPr>
          <w:p>
            <w:pPr>
              <w:spacing w:after="0" w:line="20" w:lineRule="exact"/>
              <w:rPr>
                <w:sz w:val="1"/>
                <w:szCs w:val="1"/>
                <w:color w:val="auto"/>
              </w:rPr>
            </w:pPr>
          </w:p>
        </w:tc>
        <w:tc>
          <w:tcPr>
            <w:tcW w:w="320" w:type="dxa"/>
            <w:vAlign w:val="bottom"/>
            <w:tcBorders>
              <w:bottom w:val="single" w:sz="8" w:color="0E32E1"/>
            </w:tcBorders>
            <w:shd w:val="clear" w:color="auto" w:fill="0E32E1"/>
          </w:tcPr>
          <w:p>
            <w:pPr>
              <w:spacing w:after="0" w:line="20" w:lineRule="exact"/>
              <w:rPr>
                <w:sz w:val="1"/>
                <w:szCs w:val="1"/>
                <w:color w:val="auto"/>
              </w:rPr>
            </w:pPr>
          </w:p>
        </w:tc>
        <w:tc>
          <w:tcPr>
            <w:tcW w:w="180" w:type="dxa"/>
            <w:vAlign w:val="bottom"/>
            <w:tcBorders>
              <w:left w:val="single" w:sz="8" w:color="0E32E1"/>
              <w:bottom w:val="single" w:sz="8" w:color="0E32E1"/>
            </w:tcBorders>
            <w:shd w:val="clear" w:color="auto" w:fill="0E32E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right w:val="single" w:sz="8" w:color="0E32E1"/>
            </w:tcBorders>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780" w:type="dxa"/>
            <w:vAlign w:val="bottom"/>
            <w:gridSpan w:val="6"/>
          </w:tcPr>
          <w:p>
            <w:pPr>
              <w:spacing w:after="0" w:line="141" w:lineRule="exact"/>
              <w:rPr>
                <w:rFonts w:ascii="Times New Roman" w:cs="Times New Roman" w:eastAsia="Times New Roman" w:hAnsi="Times New Roman"/>
                <w:sz w:val="14"/>
                <w:szCs w:val="14"/>
                <w:color w:val="0E32E1"/>
              </w:rPr>
            </w:pPr>
            <w:hyperlink w:anchor="page106">
              <w:r>
                <w:rPr>
                  <w:rFonts w:ascii="Times New Roman" w:cs="Times New Roman" w:eastAsia="Times New Roman" w:hAnsi="Times New Roman"/>
                  <w:sz w:val="14"/>
                  <w:szCs w:val="14"/>
                  <w:color w:val="0E32E1"/>
                </w:rPr>
                <w:t>Signatures</w:t>
              </w:r>
            </w:hyperlink>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00" w:type="dxa"/>
            <w:vAlign w:val="bottom"/>
            <w:gridSpan w:val="4"/>
          </w:tcPr>
          <w:p>
            <w:pPr>
              <w:jc w:val="right"/>
              <w:ind w:right="20"/>
              <w:spacing w:after="0" w:line="141" w:lineRule="exact"/>
              <w:rPr>
                <w:rFonts w:ascii="Times New Roman" w:cs="Times New Roman" w:eastAsia="Times New Roman" w:hAnsi="Times New Roman"/>
                <w:sz w:val="14"/>
                <w:szCs w:val="14"/>
                <w:color w:val="0E32E1"/>
              </w:rPr>
            </w:pPr>
            <w:hyperlink w:anchor="page106">
              <w:r>
                <w:rPr>
                  <w:rFonts w:ascii="Times New Roman" w:cs="Times New Roman" w:eastAsia="Times New Roman" w:hAnsi="Times New Roman"/>
                  <w:sz w:val="14"/>
                  <w:szCs w:val="14"/>
                  <w:color w:val="0E32E1"/>
                </w:rPr>
                <w:t>105</w:t>
              </w:r>
            </w:hyperlink>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8"/>
        </w:trPr>
        <w:tc>
          <w:tcPr>
            <w:tcW w:w="20" w:type="dxa"/>
            <w:vAlign w:val="bottom"/>
            <w:tcBorders>
              <w:bottom w:val="single" w:sz="8" w:color="9A9A9A"/>
            </w:tcBorders>
          </w:tcPr>
          <w:p>
            <w:pPr>
              <w:spacing w:after="0"/>
              <w:rPr>
                <w:sz w:val="24"/>
                <w:szCs w:val="24"/>
                <w:color w:val="auto"/>
              </w:rPr>
            </w:pPr>
          </w:p>
        </w:tc>
        <w:tc>
          <w:tcPr>
            <w:tcW w:w="400" w:type="dxa"/>
            <w:vAlign w:val="bottom"/>
            <w:tcBorders>
              <w:top w:val="single" w:sz="8" w:color="0E32E1"/>
              <w:bottom w:val="single" w:sz="8" w:color="9A9A9A"/>
            </w:tcBorders>
          </w:tcPr>
          <w:p>
            <w:pPr>
              <w:spacing w:after="0"/>
              <w:rPr>
                <w:sz w:val="24"/>
                <w:szCs w:val="24"/>
                <w:color w:val="auto"/>
              </w:rPr>
            </w:pPr>
          </w:p>
        </w:tc>
        <w:tc>
          <w:tcPr>
            <w:tcW w:w="40" w:type="dxa"/>
            <w:vAlign w:val="bottom"/>
            <w:tcBorders>
              <w:top w:val="single" w:sz="8" w:color="0E32E1"/>
              <w:bottom w:val="single" w:sz="8" w:color="9A9A9A"/>
            </w:tcBorders>
          </w:tcPr>
          <w:p>
            <w:pPr>
              <w:spacing w:after="0"/>
              <w:rPr>
                <w:sz w:val="24"/>
                <w:szCs w:val="24"/>
                <w:color w:val="auto"/>
              </w:rPr>
            </w:pPr>
          </w:p>
        </w:tc>
        <w:tc>
          <w:tcPr>
            <w:tcW w:w="80" w:type="dxa"/>
            <w:vAlign w:val="bottom"/>
            <w:tcBorders>
              <w:top w:val="single" w:sz="8" w:color="0E32E1"/>
              <w:bottom w:val="single" w:sz="8" w:color="9A9A9A"/>
            </w:tcBorders>
          </w:tcPr>
          <w:p>
            <w:pPr>
              <w:spacing w:after="0"/>
              <w:rPr>
                <w:sz w:val="24"/>
                <w:szCs w:val="24"/>
                <w:color w:val="auto"/>
              </w:rPr>
            </w:pPr>
          </w:p>
        </w:tc>
        <w:tc>
          <w:tcPr>
            <w:tcW w:w="40" w:type="dxa"/>
            <w:vAlign w:val="bottom"/>
            <w:tcBorders>
              <w:top w:val="single" w:sz="8" w:color="0E32E1"/>
              <w:bottom w:val="single" w:sz="8" w:color="9A9A9A"/>
            </w:tcBorders>
          </w:tcPr>
          <w:p>
            <w:pPr>
              <w:spacing w:after="0"/>
              <w:rPr>
                <w:sz w:val="24"/>
                <w:szCs w:val="24"/>
                <w:color w:val="auto"/>
              </w:rPr>
            </w:pPr>
          </w:p>
        </w:tc>
        <w:tc>
          <w:tcPr>
            <w:tcW w:w="40" w:type="dxa"/>
            <w:vAlign w:val="bottom"/>
            <w:tcBorders>
              <w:top w:val="single" w:sz="8" w:color="0E32E1"/>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top w:val="single" w:sz="8" w:color="0E32E1"/>
              <w:bottom w:val="single" w:sz="8" w:color="9A9A9A"/>
            </w:tcBorders>
          </w:tcPr>
          <w:p>
            <w:pPr>
              <w:spacing w:after="0"/>
              <w:rPr>
                <w:sz w:val="24"/>
                <w:szCs w:val="24"/>
                <w:color w:val="auto"/>
              </w:rPr>
            </w:pPr>
          </w:p>
        </w:tc>
        <w:tc>
          <w:tcPr>
            <w:tcW w:w="140" w:type="dxa"/>
            <w:vAlign w:val="bottom"/>
            <w:tcBorders>
              <w:top w:val="single" w:sz="8" w:color="0E32E1"/>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This Annual Report on Form 10-K (this "Annual Report"), contains forward-looking statements within the meaning of Section 27A of the Securities Act of 1933, as amended, and Section 21E of the Securities Exchange Act of 1934, as amended, (the "Exchange Act"), that involve substantial risks and uncertainties. The forward-looking statements are contained principally in Part I, Item 1. “Business,” Part I, Item 1A. “Risk Factors,” and Part II, Item 7. “Management’s Discussion and Analysis of Financial Condition and Results of Operations,” but are also contained elsewhere in this Annual Report. In some cases, you can identify forward-looking statements by the words “may,” “might,” “will,” “could,” “would,” “should,” “expect,” “intend,” “plan,” “objective,” “anticipate,” “believe,” “estimate,” “predict,” “project,” “potential,” “continue” and “ongoing,” or the negative of these terms, or other comparable terminology intended to identify statements about the future. These statements involve known and unknown risks, uncertainties and other factors that may cause our actual results, performance or achievements to be materially different from the information expressed or implied by these forward-looking statements. Although we believe that we have a reasonable basis for each forward-looking statement contained in this Annual Report, we caution you that these statements are based on a combination of facts and factors currently known by us and our expectations of the future, about which we cannot be certain. Forward-looking statements include statements about:</w:t>
      </w:r>
    </w:p>
    <w:p>
      <w:pPr>
        <w:spacing w:after="0" w:line="93" w:lineRule="exact"/>
        <w:rPr>
          <w:sz w:val="20"/>
          <w:szCs w:val="20"/>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our expected future growth and our ability to manage such growth;</w:t>
      </w:r>
    </w:p>
    <w:p>
      <w:pPr>
        <w:spacing w:after="0" w:line="178" w:lineRule="exact"/>
        <w:rPr>
          <w:rFonts w:ascii="Times New Roman" w:cs="Times New Roman" w:eastAsia="Times New Roman" w:hAnsi="Times New Roman"/>
          <w:sz w:val="14"/>
          <w:szCs w:val="14"/>
          <w:b w:val="1"/>
          <w:bCs w:val="1"/>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obtain regulatory approval for and commercialize TPST-1495 and TPST-1120 and our future product candidates;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and growth potential of the markets for our product candidates, and our ability to serve those markets;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development, regulatory approval, efficacy and commercialization of competing products;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sales and marketing capabilities or enter into agreements with third parties to market and sell our product candidates;</w:t>
      </w:r>
    </w:p>
    <w:p>
      <w:pPr>
        <w:spacing w:after="0" w:line="178" w:lineRule="exact"/>
        <w:rPr>
          <w:rFonts w:ascii="Times New Roman" w:cs="Times New Roman" w:eastAsia="Times New Roman" w:hAnsi="Times New Roman"/>
          <w:sz w:val="14"/>
          <w:szCs w:val="14"/>
          <w:color w:val="auto"/>
        </w:rPr>
      </w:pPr>
    </w:p>
    <w:p>
      <w:pPr>
        <w:ind w:left="760" w:right="680" w:hanging="246"/>
        <w:spacing w:after="0" w:line="287" w:lineRule="auto"/>
        <w:tabs>
          <w:tab w:leader="none" w:pos="7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regulatory approval for our product candidates or future product candidates in the United States and in any foreign countries in which we make seek to do business;</w:t>
      </w:r>
    </w:p>
    <w:p>
      <w:pPr>
        <w:spacing w:after="0" w:line="124"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and hire our board of directors, senior management, or operational personnel;</w:t>
      </w:r>
    </w:p>
    <w:p>
      <w:pPr>
        <w:spacing w:after="0" w:line="178" w:lineRule="exact"/>
        <w:rPr>
          <w:rFonts w:ascii="Times New Roman" w:cs="Times New Roman" w:eastAsia="Times New Roman" w:hAnsi="Times New Roman"/>
          <w:sz w:val="14"/>
          <w:szCs w:val="14"/>
          <w:color w:val="auto"/>
        </w:rPr>
      </w:pPr>
    </w:p>
    <w:p>
      <w:pPr>
        <w:ind w:left="760" w:right="300" w:hanging="246"/>
        <w:spacing w:after="0" w:line="287" w:lineRule="auto"/>
        <w:tabs>
          <w:tab w:leader="none" w:pos="7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integrate TempestTx, Inc. and Millendo Therapeutics, Inc. (now the Company) successfully and realize the anticipated benefits of the merger of the two entities, which closed in July 2021;</w:t>
      </w:r>
    </w:p>
    <w:p>
      <w:pPr>
        <w:spacing w:after="0" w:line="124"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 regarding the period during which we will qualify as a smaller reporting company under the federal securities laws:</w:t>
      </w:r>
    </w:p>
    <w:p>
      <w:pPr>
        <w:spacing w:after="0" w:line="178" w:lineRule="exact"/>
        <w:rPr>
          <w:rFonts w:ascii="Times New Roman" w:cs="Times New Roman" w:eastAsia="Times New Roman" w:hAnsi="Times New Roman"/>
          <w:sz w:val="14"/>
          <w:szCs w:val="14"/>
          <w:color w:val="auto"/>
        </w:rPr>
      </w:pPr>
    </w:p>
    <w:p>
      <w:pPr>
        <w:ind w:left="760" w:right="360" w:hanging="246"/>
        <w:spacing w:after="0" w:line="287" w:lineRule="auto"/>
        <w:tabs>
          <w:tab w:leader="none" w:pos="7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and maintain our corporate infrastructure, including our ability to remediate our existing material weakness and to design and maintain an effective system of internal controls;</w:t>
      </w:r>
    </w:p>
    <w:p>
      <w:pPr>
        <w:spacing w:after="0" w:line="124"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performance and capital requirements; and</w:t>
      </w:r>
    </w:p>
    <w:p>
      <w:pPr>
        <w:spacing w:after="0" w:line="178" w:lineRule="exact"/>
        <w:rPr>
          <w:rFonts w:ascii="Times New Roman" w:cs="Times New Roman" w:eastAsia="Times New Roman" w:hAnsi="Times New Roman"/>
          <w:sz w:val="14"/>
          <w:szCs w:val="14"/>
          <w:color w:val="auto"/>
        </w:rPr>
      </w:pPr>
    </w:p>
    <w:p>
      <w:pPr>
        <w:ind w:left="760" w:right="380" w:hanging="246"/>
        <w:spacing w:after="0" w:line="287" w:lineRule="auto"/>
        <w:tabs>
          <w:tab w:leader="none" w:pos="7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ability to obtain, maintain and enforce intellectual property protection for our products and technology, as well as our ability to operate our business without infringing, misappropriating or otherwise violating the intellectual property rights of others.</w:t>
      </w:r>
    </w:p>
    <w:p>
      <w:pPr>
        <w:spacing w:after="0" w:line="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You should refer to Item 1A. “Risk Factors” in this Annual Report for a discussion of important factors that may cause our actual results to differ materially from those expressed or implied by our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The forward-looking statements in this Annual Report represent our views as of the date of this Annual Report. We anticipate that subsequent events and developments may cause our views to change. However, while we may elect to update these forward-looking statements at some point in the future, we undertake no obligation to publicly update any forward-looking statements, whether as a result of new information, future events or otherwise, except as required by law. You should, therefore, not rely on these forward-looking statements as representing our views as of any date subsequent to the date of this Annual Report.</w:t>
      </w:r>
    </w:p>
    <w:p>
      <w:pPr>
        <w:spacing w:after="0" w:line="200" w:lineRule="exact"/>
        <w:rPr>
          <w:sz w:val="20"/>
          <w:szCs w:val="20"/>
          <w:color w:val="auto"/>
        </w:rPr>
      </w:pPr>
    </w:p>
    <w:p>
      <w:pPr>
        <w:spacing w:after="0" w:line="21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3" w:name="page4"/>
    <w:bookmarkEnd w:id="3"/>
    <w:p>
      <w:pPr>
        <w:spacing w:after="0" w:line="287" w:lineRule="auto"/>
        <w:rPr>
          <w:sz w:val="20"/>
          <w:szCs w:val="20"/>
          <w:color w:val="auto"/>
        </w:rPr>
      </w:pPr>
      <w:r>
        <w:rPr>
          <w:rFonts w:ascii="Times New Roman" w:cs="Times New Roman" w:eastAsia="Times New Roman" w:hAnsi="Times New Roman"/>
          <w:sz w:val="14"/>
          <w:szCs w:val="14"/>
          <w:color w:val="auto"/>
        </w:rPr>
        <w:t>As used herein, the words “Tempest,” “we,” “us,” and “our” refer to Tempest Therapeutics, Inc. and its direct and indirect subsidiaries, as applicable. In addition, the word “Millendo” refers to the company prior to the completion of the merger with Millendo Therapeutics, Inc. on June 25, 2021 (the “Millendo Merger”).</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are a clinical-stage oncology company focused on leveraging our deep scientific understanding of cancer biology and medicinal chemistry to develop and advance novel orally available therapies for the treatment of solid tumors. Our philosophy is to build a company based upon not only good ideas and creative science, but also upon the efficient translation of those ideas into therapies that will improve patients’ lives. To this end, we are advancing TPST-1120 and TPST-1495, two product candidates in clinical trials that we believe are the first clinical stage molecules designed to treat their respective targets; as well as two preclinical programs, including one that could be the first to target TREX-1, a key cellular enzyme that regulates the innate immune response in tumors. TPST-1120 is a selective antagonist of peroxisome proliferator-activated receptor alpha, or PPARα, and is in ongoing Phase 1 and 2 trials in solid tumors, including a global randomized Phase 1b/2 trial in combination with the standard-of-care first-line regimen of atezolizumab and bevacizumab in patients with advanced or metastatic hepatocellular carcinoma, or HCC. Our second program, TPST-1495, is a dual antagonist of EP2 and EP4, receptors of prostaglandin E2, and is currently in a Phase 1 monotherapy and combination trial in solid tumors. We expect to report data from these programs in 2022 and 2023, starting with the TPST-1120 Phase 1 monotherapy and combination data in mid-2022. Additionally, we expect to select a development candidate in 2022 for a third program that targets the three prime repair exonuclease ("TREX-1"). Finally, we have a fourth program targeting what we believe is a novel oncology drug target in a newly defined tumor pathway, resulting from an exclusive license with the University of California at Berkeley. Beyond these four ongoing programs, we plan to continue to leverage our drug development and company-building experience along with academic relationships to identify promising new targets that may feed new programs into our pipeline.</w:t>
      </w:r>
    </w:p>
    <w:p>
      <w:pPr>
        <w:jc w:val="both"/>
        <w:spacing w:after="0" w:line="257" w:lineRule="auto"/>
        <w:rPr>
          <w:sz w:val="20"/>
          <w:szCs w:val="20"/>
          <w:color w:val="auto"/>
        </w:rPr>
      </w:pPr>
      <w:r>
        <w:rPr>
          <w:rFonts w:ascii="Times New Roman" w:cs="Times New Roman" w:eastAsia="Times New Roman" w:hAnsi="Times New Roman"/>
          <w:sz w:val="14"/>
          <w:szCs w:val="14"/>
          <w:color w:val="auto"/>
        </w:rPr>
        <w:t>We have developed a diversified pipeline of small molecule product candidates that are designed to target tumor cells directly, modulate the immune system to kill cancer cells, or a combination of both, in each case in which we believe are innovative and target scientifically validated pathways. We selected targets that are expressed in a diverse set of tumor types with the intention to address unmet medical needs or improve existing standards of care. Our product development pipeline consists of the following orally-available therapies, which if approved by the U.S. Food and Drug Administration (the "FDA"), we believe will be first in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114935</wp:posOffset>
            </wp:positionV>
            <wp:extent cx="4608195" cy="21355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08195"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40" w:hanging="135"/>
        <w:spacing w:after="0"/>
        <w:tabs>
          <w:tab w:leader="none" w:pos="140" w:val="left"/>
        </w:tabs>
        <w:numPr>
          <w:ilvl w:val="0"/>
          <w:numId w:val="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If accepted to present</w:t>
      </w:r>
    </w:p>
    <w:p>
      <w:pPr>
        <w:spacing w:after="0" w:line="196" w:lineRule="auto"/>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Timing is an estimate based on current projections</w:t>
      </w:r>
    </w:p>
    <w:p>
      <w:pPr>
        <w:spacing w:after="0" w:line="197" w:lineRule="auto"/>
        <w:rPr>
          <w:sz w:val="20"/>
          <w:szCs w:val="20"/>
          <w:color w:val="auto"/>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Pursuant to a collaboration with Roche; TPST retains all product rights</w:t>
      </w:r>
    </w:p>
    <w:p>
      <w:pPr>
        <w:spacing w:after="0" w:line="207" w:lineRule="auto"/>
        <w:rPr>
          <w:sz w:val="20"/>
          <w:szCs w:val="20"/>
          <w:color w:val="auto"/>
        </w:rPr>
      </w:pP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Based on partner projections, ORR on 40 pts in triplet arm expected by YE/early 2023, with additional data in 2023 (including on additional patients, if study expanded)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14"/>
          <w:szCs w:val="14"/>
          <w:color w:val="auto"/>
        </w:rPr>
        <w:t>Study could be either a single indication or biomarker-based basket</w:t>
      </w:r>
    </w:p>
    <w:p>
      <w:pPr>
        <w:spacing w:after="0" w:line="38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5" w:name="page6"/>
    <w:bookmarkEnd w:id="5"/>
    <w:p>
      <w:pPr>
        <w:jc w:val="both"/>
        <w:ind w:left="60" w:hanging="63"/>
        <w:spacing w:after="0" w:line="238" w:lineRule="auto"/>
        <w:rPr>
          <w:sz w:val="20"/>
          <w:szCs w:val="20"/>
          <w:color w:val="auto"/>
        </w:rPr>
      </w:pPr>
      <w:r>
        <w:rPr>
          <w:rFonts w:ascii="Times New Roman" w:cs="Times New Roman" w:eastAsia="Times New Roman" w:hAnsi="Times New Roman"/>
          <w:sz w:val="18"/>
          <w:szCs w:val="18"/>
          <w:color w:val="auto"/>
          <w:vertAlign w:val="superscript"/>
        </w:rPr>
        <w:t>5</w:t>
      </w:r>
      <w:r>
        <w:rPr>
          <w:rFonts w:ascii="Times New Roman" w:cs="Times New Roman" w:eastAsia="Times New Roman" w:hAnsi="Times New Roman"/>
          <w:sz w:val="14"/>
          <w:szCs w:val="14"/>
          <w:color w:val="auto"/>
        </w:rPr>
        <w:t>With additional funding, monotherapy expansion would be in select indications based on target expression and/or a biomarker-positive basket cohort; ORR data expected from monotherapy expansion arms within 12 to 18 months of study commencement, depending on the histology “RCC” renal cancer; “HCC” hepatocellular carcinoma; “CCA” cholangiocarcinoma “FPI” first patient in; “RP2D” recommended Ph2 dose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Strategy</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team has come together to build an integrated company that delivers meaningful therapies to cancer patients, through leveraging our team’s capabilities and research and development engine. We expect to build value for our stockholders with the following over-arching strategy:</w:t>
      </w:r>
    </w:p>
    <w:p>
      <w:pPr>
        <w:spacing w:after="0" w:line="305" w:lineRule="exact"/>
        <w:rPr>
          <w:sz w:val="20"/>
          <w:szCs w:val="20"/>
          <w:color w:val="auto"/>
        </w:rPr>
      </w:pPr>
    </w:p>
    <w:p>
      <w:pPr>
        <w:jc w:val="both"/>
        <w:ind w:left="520" w:hanging="260"/>
        <w:spacing w:after="0" w:line="232"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TPST-1120 from completing our ongoing Phase 1a/b trial and presenting data in the first half of 2022 and facilitating our collaboration with Hoffman-La Roche Ltd., or Roche, which is evaluating TPST-1120 in a randomized, global, first-line HCC study. Roche commenced enrollment in September 2021, and we expect enrollment of the first 40 patients in the TPST-1120 arm to be complete in the second half of 2022. Because TPST-1120 is being combined with a standard-of-care first-line treatment and being compared to that same standard-of-care, we believe positive study results may provide multiple strategic opportunities for us. We expect to present data from the Phase 1a/1b trial by mid-2022 and receive objective response rate, or ORR, results from the Phase 1b/2 from Roche for the first 40 patients in the triplet arm by the end of 2022.</w:t>
      </w:r>
    </w:p>
    <w:p>
      <w:pPr>
        <w:spacing w:after="0" w:line="155" w:lineRule="exact"/>
        <w:rPr>
          <w:rFonts w:ascii="Times New Roman" w:cs="Times New Roman" w:eastAsia="Times New Roman" w:hAnsi="Times New Roman"/>
          <w:sz w:val="14"/>
          <w:szCs w:val="14"/>
          <w:color w:val="auto"/>
        </w:rPr>
      </w:pPr>
    </w:p>
    <w:p>
      <w:pPr>
        <w:jc w:val="both"/>
        <w:ind w:left="520" w:hanging="260"/>
        <w:spacing w:after="0" w:line="232"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TPST-1495, our dual EP2/4 antagonist, through clinical development to near-term meaningful data. We plan to complete the ongoing TPST-1495 monotherapy and combination therapy arms of the Phase 1a/b study and select a recommended Phase 2 dose, or RP2D, in the first and second halves of 2022, respectively. Once the monotherapy RP2D is established, with additional funding, we plan to open expansion arms in targeted patient populations where prostaglandin signaling is implicated in the disease, such as endometrial cancer or those patients with a mutation in the PIK3CA gene. We expect to have ORR data from the dose and schedule optimization arms by the end of 2022 or in early 2023 and from any monotherapy expansion arms in 12 to 18 months of study commencement, depending on the histology.</w:t>
      </w:r>
    </w:p>
    <w:p>
      <w:pPr>
        <w:spacing w:after="0" w:line="155" w:lineRule="exact"/>
        <w:rPr>
          <w:rFonts w:ascii="Times New Roman" w:cs="Times New Roman" w:eastAsia="Times New Roman" w:hAnsi="Times New Roman"/>
          <w:sz w:val="14"/>
          <w:szCs w:val="14"/>
          <w:color w:val="auto"/>
        </w:rPr>
      </w:pPr>
    </w:p>
    <w:p>
      <w:pPr>
        <w:jc w:val="both"/>
        <w:ind w:left="520" w:hanging="260"/>
        <w:spacing w:after="0" w:line="234"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our preclinical programs into clinical studies, including our TREX-1 inhibitor. Our team developed the first-in-human STING (STimulator of INterferon Genes) agonists in a prior company and is widely acknowledged to be leaders in the field. We believe that a selective TREX-1 inhibitor given orally is an innovative approach to selectively engage the STING pathway broadly in the tumor microenvironment of metastatic disease. Our medicinal chemists have developed a series of potent compounds against human TREX-1, which we are optimizing towards selecting a development candidate for investigational new drug application ("IND"), enabling activities in 2022.</w:t>
      </w:r>
    </w:p>
    <w:p>
      <w:pPr>
        <w:spacing w:after="0" w:line="157" w:lineRule="exact"/>
        <w:rPr>
          <w:rFonts w:ascii="Times New Roman" w:cs="Times New Roman" w:eastAsia="Times New Roman" w:hAnsi="Times New Roman"/>
          <w:sz w:val="14"/>
          <w:szCs w:val="14"/>
          <w:color w:val="auto"/>
        </w:rPr>
      </w:pPr>
    </w:p>
    <w:p>
      <w:pPr>
        <w:jc w:val="both"/>
        <w:ind w:left="520" w:hanging="260"/>
        <w:spacing w:after="0" w:line="239"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Explore business development opportunities to maximize the potential of our pipeline and extend financial resources. We believe that our pipeline has broad potential reach and partnerships that bring in additional expertise and/or geographic presence could be important to increase the likelihood of success. We intend to become a fully integrated biopharmaceutical company and build a targeted sales force in the United States to support the commercialization of our drug candidates, if approved.</w:t>
      </w:r>
    </w:p>
    <w:p>
      <w:pPr>
        <w:spacing w:after="0" w:line="155" w:lineRule="exact"/>
        <w:rPr>
          <w:rFonts w:ascii="Times New Roman" w:cs="Times New Roman" w:eastAsia="Times New Roman" w:hAnsi="Times New Roman"/>
          <w:sz w:val="14"/>
          <w:szCs w:val="14"/>
          <w:color w:val="auto"/>
        </w:rPr>
      </w:pPr>
    </w:p>
    <w:p>
      <w:pPr>
        <w:jc w:val="both"/>
        <w:ind w:left="520" w:hanging="260"/>
        <w:spacing w:after="0" w:line="232"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Enhance our pipeline by identifying novel oncology targets and in-licensing opportunities. Although we believe we have a robust pipeline, we continue to evaluate and pursue novel targets, intellectual property and product candidates for acquisition and in-licensing to supplement our internal research efforts and further build our pipeline of targeted molecules for oncology. Through our team’s focus and expertise in oncology and immunology, as well as established relationships with oncology and immunology thought leaders, we are positioning the company as a partner of choice for innovative oncology drug candidate development. We believe continued advances in the biological understanding of diseases will provide opportunities to further expand our portfolio with preclinical and/or clinical product candidates.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Clinical Programs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TPST-1120: PPARα Transcription Factor Antagonist</w:t>
      </w:r>
    </w:p>
    <w:p>
      <w:pPr>
        <w:spacing w:after="0" w:line="1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TPST-1120 is potentially a first-in-class oral, small molecule antagonist of PPARα, and is being studied in both a Phase 1a/b and Phase 1b/2 trial. The Phase 1a/b trial is a multicenter, open-label, dose-escalation, that is evaluating TPST-1120 as both a monotherapy and in combination with nivolumab in patients with advanced solid tumors. The monotherapy dose escalation phase has been completed, and the combination arm is ongoing. Tempest has observed evidence of TPST-1120 clinical activity</w:t>
      </w:r>
    </w:p>
    <w:p>
      <w:pPr>
        <w:spacing w:after="0" w:line="200" w:lineRule="exact"/>
        <w:rPr>
          <w:sz w:val="20"/>
          <w:szCs w:val="20"/>
          <w:color w:val="auto"/>
        </w:rPr>
      </w:pPr>
    </w:p>
    <w:p>
      <w:pPr>
        <w:spacing w:after="0" w:line="210"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6" w:name="page7"/>
    <w:bookmarkEnd w:id="6"/>
    <w:p>
      <w:pPr>
        <w:jc w:val="both"/>
        <w:spacing w:after="0" w:line="234" w:lineRule="auto"/>
        <w:rPr>
          <w:sz w:val="20"/>
          <w:szCs w:val="20"/>
          <w:color w:val="auto"/>
        </w:rPr>
      </w:pPr>
      <w:r>
        <w:rPr>
          <w:rFonts w:ascii="Times New Roman" w:cs="Times New Roman" w:eastAsia="Times New Roman" w:hAnsi="Times New Roman"/>
          <w:sz w:val="14"/>
          <w:szCs w:val="14"/>
          <w:color w:val="auto"/>
        </w:rPr>
        <w:t>in the dose escalation arms, and we plan to disclose the results of the monotherapy and combination therapy dose escalation trial in the first half of 2022. The Phase 1b/2 trial is a randomized, multicenter, global study in collaboration with Roche that is evaluating TPST-1120 in combination with atezolizumab (Tecentriq®) and bevacizumab (Avastin®) in previously untreated patients with advanced HCC, compared to atezolizumab and bevacizumab, a standard of care for that indication and patient population. We expect to have initial ORR data from the first 40 patients in the trial by the end of 2022.</w:t>
      </w:r>
    </w:p>
    <w:p>
      <w:pPr>
        <w:spacing w:after="0" w:line="15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Tumors evolve to modulate metabolism to promote their own survival, promote angiogenesis and to evade immune recognition. PPARα is a transcription factor that is activated through binding of long-chain fatty acid ligands, which in turn regulates the expression of &gt;100 genes that control glucose and lipid homeostasis, inflammation, proliferation, differentiation and cell death. Included among these regulated genes are those that enable fatty acid oxidation, or FAO, and β-oxidation metabolic pathways in cellular peroxisomes and in mitochondria. An FAO metabolic profile is associated with tumor proliferation, induction of angiogenesis and immune suppression. Published studies and internal Tempest analyses of over 9,000 primary or metastatic tumor samples in the Human Cancer Genome, or TCGA, public database reveal a metabolic gene expression profile characterized by increased PPARα, FAO genes and lipogenesis associated with increased metastatic potential and reduced survival enrichment among multiple cancers, including HCC, cholangiocarcinoma, breast carcinoma, colorectal adenocarcinoma, RCC, lung adenocarcinoma and prostate adenocarcinoma. TPST-1120 is designed to collectively block the pathways that support tumor cell proliferation, angiogenesis and immune suppression, resulting in reduced disease and patient benefit.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Summary of TPST-1120 Preclinical Results</w:t>
      </w:r>
    </w:p>
    <w:p>
      <w:pPr>
        <w:spacing w:after="0" w:line="18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4"/>
          <w:szCs w:val="14"/>
          <w:color w:val="auto"/>
        </w:rPr>
        <w:t>We have conducted pre-clinical pharmacology studies along with pharmacokinetics, or PK, and toxicology studies with TPST-1120 to support its ongoing evaluation for the treatment of patients with advanced solid tumors. The combined results of the preclinical studies that we have performed indicate that the TPST-1120 anti-tumor mechanism of action involves both directly inhibiting tumor proliferation and targeting suppressive immune response pathways to promote effective tumor-specific immunity. Our preclinical results support the large body of published literature that the PPARα target genes play an integral role in tumor growth, angiogenesis and evasion of immune recognition and provide the scientific rationale for targeting this pathway with TPST-1120.</w:t>
      </w:r>
    </w:p>
    <w:p>
      <w:pPr>
        <w:spacing w:after="0" w:line="15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4"/>
          <w:szCs w:val="14"/>
          <w:color w:val="auto"/>
        </w:rPr>
        <w:t>Immune checkpoint blockade enhances anti-tumor immunity by restoring the activity of cytotoxic T (Teff) cells. Emerging experimental results suggest that inhibiting FAO with a PPARα antagonist may target resistance mechanisms to both anti-PD-L1/PD-1 and anti-VEGF therapies, supporting the combination of TPST-1120 with either or both therapies. We have conducted preclinical studies showing that while both TPST-1120 or anti-PD-1 monotherapy inhibited outgrowth of established flank MC38 tumors, the combination of these two agents resulted in synergistic anti-tumor activity. In addition, MC38 tumor-bearing mice cured by the combination therapy, unlike age-matched naïve control mice, were completely refractory to tumor growth when rechallenged with autologous MC38 tumor cells, demonstrating that TPST-1120 in combination with anti-PD-1 induced lasting tumor-specific immune memory.</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Significant Anti-Tumor Activity and Induction of Tumor-Specific Immune Memory Observed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MC38 Colon Tumor Bearing Mice Given with TPST-1120 + anti-PD-1 mAb Combination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1815465</wp:posOffset>
            </wp:positionH>
            <wp:positionV relativeFrom="paragraph">
              <wp:posOffset>5715</wp:posOffset>
            </wp:positionV>
            <wp:extent cx="3536950" cy="13271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36950" cy="132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4"/>
          <w:szCs w:val="14"/>
          <w:color w:val="auto"/>
        </w:rPr>
        <w:t>Additionally, tumor resistance to anti-angiogenic drugs is associated with elevated lipogenesis and FAO, primarily through the vascular regression and hypoxic environment that this class of therapies engenders. In response, tumor cells can switch to FAO as a mechanism of resistance against anti-angiogenic therapy. In a preclinical study, we confirmed that combination of TPST-1120 with anti-angiogenesis therapy confers potent anti-tumor activity. Taken together, the experimental results provide scientific rationale for the ongoing clinical evaluation of TPST-1120 therapy in first-line HCC in combination with atezolizumab and bevacizumab, and the potential evaluation of TPST-1120 in combination with cabozantinib in FAO-reliant malignancies such as HCC and RCC.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color w:val="auto"/>
        </w:rPr>
        <w:t>Overview of Ongoing TPST-1120 Clinical Trials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evaluating TPST-1120 in both a Phase 1a/b and Phase 1b/2 clinical studies. The Phase 1a/b trial evaluates both monotherapy and combination therapy with the anti-PD-1 agent nivolumab in patients with advanced solid tumors that our PPARα- dependent transcriptome analysis of diverse human cancers revealed favor the usage of FAO. The monotherapy dose escalation phase of the study is complete, and we expect the combination therapy dose escalation phase to complete in the first half of 2022.</w:t>
      </w:r>
    </w:p>
    <w:p>
      <w:pPr>
        <w:spacing w:after="0" w:line="14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4"/>
          <w:szCs w:val="14"/>
          <w:color w:val="auto"/>
        </w:rPr>
        <w:t>In the monotherapy arm, we are encouraged by observations of tumor shrinkage and prolonged disease control in some patients. Extended time on study has occurred in subjects with late-line treatment refractory cancers, including cholangiocarcinoma which is known to have particularly short time-to-progression with standard of care in the late-line treatment setting. Shown below, one subject with late line cholangiocarcinoma had a 15% tumor shrinkage and was on study for over nine months of treatment, while also demonstrating on-target inhibition of expression of PPARα target genes on pharmacodynamic, or PD, assessment. Additional subjects with late-line advanced cholangiocarcinoma had experienced prolonged stable disease and some reduction of tumor burden, although not to the extent of a RECIST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101600</wp:posOffset>
            </wp:positionV>
            <wp:extent cx="4608195" cy="26676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608195" cy="266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TPST- 1120 combination arm with nivolumab has identified the RP2D and is ongoing, and we are observing an increased level of clinical benefit, including a deep RECIST response in a fourth-line patient with advanced kidney cancer, which was confirmed in subsequent on-study assessments and is ongoing beyond eleven months.</w:t>
      </w:r>
    </w:p>
    <w:p>
      <w:pPr>
        <w:spacing w:after="0" w:line="14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4"/>
          <w:szCs w:val="14"/>
          <w:color w:val="auto"/>
        </w:rPr>
        <w:t>Notably, this patient had been treated with the combination of nivolumab and ipilimumab without experiencing an objective response and progressed on treatment, followed by further progression of cancer on both cabozantinib and everolimus, before initiating treatment with TPST-1120 and nivolumab. The initial RECIST PR was seen at the first on-study assessment at eight weeks and included a response in all target lesions as well as complete radiographic resolution of multiple sites of metastatic disease (see CT scan below), and has been confirmed at subsequent assessments beyond 11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Partial Response in Late-Line RCC Patient Treated with TPST-1120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and Nivolumab Combination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248285</wp:posOffset>
            </wp:positionV>
            <wp:extent cx="4608195" cy="18256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608195"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TPST-1120 is also under investigation in an ongoing randomized clinical trial in first-line HCC. We entered into a clinical collaboration with Roche to evaluate TPST-1120 in combination with atezolizumab and bevacizumab in patients with advanced/metastatic HCC who have not yet been treated with systemic therapy. Roche is operationalizing this trial to evaluate the triplet regimen of TPST-1120 + atezolizumab + bevacizumab randomized against the standard-of-care doublet of atezolizumab + bevacizumab. The primary objective of this trial is to evaluate the anti-tumor efficacy of the combination as determined by confirmed ORR by RECIST 1.1. Additional efficacy endpoints include progression free survival, or PFS, overall survival, or OS, and duration of response, or DOR, while a key exploratory objective is to identify biomarkers that are predictive of response to the experimental treatment, including an assessment activation of the ß-catenin pathway, which is predicted to be present in up to 50% of patients with HCC. We anticipate receiving initial ORR results in the triplet arm by the end of 2022, and are considering the additional development of TPST-1120 in selected indications in combination with immunotherapy and/or anti-angiogenesis therapy.</w:t>
      </w:r>
    </w:p>
    <w:p>
      <w:pPr>
        <w:spacing w:after="0" w:line="1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own worldwide rights to TPST-1120, and have filed and been issued patents, including composition of matter, pharmaceutical compositions, and related methods of use, that are expected to expire in December 2033.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TPST-1495: Dual EP2/EP4 Prostaglandin Receptor Antagonist</w:t>
      </w:r>
    </w:p>
    <w:p>
      <w:pPr>
        <w:spacing w:after="0" w:line="18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Our second clinical molecule is TPST-1495, a potentially first-in-class, oral, small molecule dual antagonist of the prostaglandin E2, or PGE2, receptors, EP2 and EP4. TPST-1495 is engineered to inhibit only these receptors while sparing the homologous - but differentially active - EP1 and EP3 receptors. There is extensive literature demonstrating that PGE2 both enhances tumor proliferation and inhibits anti-cancer immune function; it is known from the scientific literature that many tumors express elevated levels of the cyclooxygenase enzymes that produce PGE2. We currently are evaluating TPST-1495 in a Phase 1a/b trial evaluating both monotherapy and combination therapy with the anti-PD-1 agent pembrolizumab in patients with advanced solid tumors. We have observed dose-dependent TPST-1495 exposure, on-target pharmacodynamic changes and reduction of tumor-specific biomarkers in the ongoing dose optimization stage of the clinical study. Once the monotherapy RP2D is established, with additional funding, we plan to open expansion arms in targeted patient populations where prostaglandin signaling is implicated in the disease, such as endometrial cancer or those patients with a mutation in the PIK3CA gene. We expect to have ORR data from the dose and schedule optimization arms by the end of 2022 or in early 2023 and from any monotherapy expansion arms within 12 to 18 months of study commencement, depending on the histology.</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Elevated expression of COX-2 and overproduction of PGE2 is correlated with progression of diverse malignancies by stimulating tumor cell proliferation, survival, evasion and metastasis as well as host angiogenesis. In addition, PGE2 suppresses anti-tumor immunity by inhibiting the function of critical anti-tumor immune effector cell populations such as dendritic cells, natural killer ("NK cells"), T cells, and M1 macrophages, while promoting the activity of suppressive immune cell populations including myeloid-derived suppressor cells ("MDSCs"), M2 macrophages, and regulatory T cells. Additionally, recent studies have shown that increased expression of COX-2 and production of PGE2 can play a role in the effectiveness of immune checkpoint inhibitor therapy and in the development of adaptive resistance to therapy. This body of literature provides the</w:t>
      </w:r>
    </w:p>
    <w:p>
      <w:pPr>
        <w:spacing w:after="0" w:line="200" w:lineRule="exact"/>
        <w:rPr>
          <w:sz w:val="20"/>
          <w:szCs w:val="20"/>
          <w:color w:val="auto"/>
        </w:rPr>
      </w:pPr>
    </w:p>
    <w:p>
      <w:pPr>
        <w:spacing w:after="0" w:line="20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color w:val="auto"/>
        </w:rPr>
        <w:t>scientific rationale for developing therapeutics that maximally inhibit the prostaglandin pathway, as well as for combining TPST-1495 with immune checkpoint inhibitor monoclonal antibodies.</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Overall, as a dual antagonist targeting EP2 and EP4 while preserving PGE2 signaling through EP1 and EP3 to maintain functional immunity, we believe that TPST-1495 offers the potential for unique therapeutic properties as compared to either broad inhibition of PGE2 signaling via COX inhibitors or EP4 only.</w:t>
      </w:r>
    </w:p>
    <w:p>
      <w:pPr>
        <w:spacing w:after="0" w:line="13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4"/>
          <w:szCs w:val="14"/>
          <w:color w:val="auto"/>
        </w:rPr>
        <w:t>We conducted preclinical studies to evaluate the ability of TPST-1495 to reverse PGE2-mediated suppression of primary human monocyte to dendritic cell differentiation and activation in vitro, as well as the comparative capacity for TPST-1495 and the single EP4 antagonist E7046 (TPST-7317) to reverse prostaglandin-mediated immune suppression in conditions of both high and low PGE2 concentrations in human monocyte cultures in vitro in order to test the capacity of TPST-1495 to reverse immune suppression in a broad range of PGE2 levels that may encompass the range in the tumor microenvironment, or TME. The data from the results suggest that at appropriate dose levels, TPST-1495 may completely block signaling through both EP2 and EP4 pathways in the TME and that this dual blockade is more effective than EP4 blockade alone to reverse PGE2-mediated immune suppression.</w:t>
      </w:r>
    </w:p>
    <w:p>
      <w:pPr>
        <w:spacing w:after="0" w:line="15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4"/>
          <w:szCs w:val="14"/>
          <w:color w:val="auto"/>
        </w:rPr>
        <w:t>We also conducted preclinical studies using several tumor mouse models to evaluate the anti-tumor activity of TPST-1495 and to compare our potency to a single EP4 antagonist, E7046, developed by Eisai Co. Ltd. (“Esai”). We believe that these results demonstrate that TPST-1495 has increased therapeutic activity in tumor-bearing mouse models and has significantly improved anti-tumor activity compared to single EP4 antagonists. As shown in the Figure below, TPST-1495 demonstrated significant efficacy as a monotherapy when given to Balb/c mice bearing established flank CT26 colon tumors. Administration of TPST-1495 at 100 mg/kg twice a day, or BID, significantly increased the total T cell number and percentage of CD4+ and CD8+ T cells within the tumor compared to vehicle control, and consistent with increased T cells in the TME, the absolute number and frequency of AH1 tetramer+ T cells was also significantly elevated in the tumor draining lymph node.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TPST-1495 Anti-Tumor Response in Mice Correlates with Increased CD8+ T cells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and Reduced regs in the TME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1701165</wp:posOffset>
            </wp:positionH>
            <wp:positionV relativeFrom="paragraph">
              <wp:posOffset>261620</wp:posOffset>
            </wp:positionV>
            <wp:extent cx="4089400" cy="2041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089400" cy="204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We also evaluated the anti-tumor activity of TPST 1495 in a spontaneous mouse model which recapitulates many aspects of human CRC. The so-named ApcMin/+ mice harbor one copy of the multiple intestinal neoplasia (Min) mutant allele of the Apc locus and spontaneously develop multiple tumors primarily in the small intestine. Both humans and mice bearing Apc mutations are predisposed to the spontaneous formation of adenomas and adenocarcinomas; humans with Apc mutations typically develop tumors throughout the small and large intestine. To test the impact of TPST-1495 therapy on small intestine tumor development in the ApcMin/+ model, the anti-tumor efficacy of dual antagonism of EP2 and EP4 receptors by TPST-1495 was compared to a single EP4-specific receptor antagonist, TPST-7317 (Eisai/ Adlai Nortye Biopharma). As shown in the Figure below, TPST-7317 did not significantly inhibit the number and/or size of small intestine tumors, whereas treatment with TPST-1495 resulted in an approximately five-fold reduction in tumors compared to control mice. We believe that these results demonstrate that TPST-1495 has potent anti-tumor activity as monotherapy and that antagonizing both EP2 and EP4 is significantly more effective at reducing tumor lesions in ApcMin/+ mice compared to single EP4 antagonists.</w:t>
      </w:r>
    </w:p>
    <w:p>
      <w:pPr>
        <w:spacing w:after="0" w:line="200" w:lineRule="exact"/>
        <w:rPr>
          <w:sz w:val="20"/>
          <w:szCs w:val="20"/>
          <w:color w:val="auto"/>
        </w:rPr>
      </w:pPr>
    </w:p>
    <w:p>
      <w:pPr>
        <w:spacing w:after="0" w:line="21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Dual EP2 and EP4 Antagonism with TPST-1495 has Significantly Increased Anti-Tumor Potency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Compared to a Single EP4 Antagonist in the APC Mouse Model of Human CRC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2778760</wp:posOffset>
            </wp:positionH>
            <wp:positionV relativeFrom="paragraph">
              <wp:posOffset>113665</wp:posOffset>
            </wp:positionV>
            <wp:extent cx="1940560" cy="12598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40560" cy="125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i w:val="1"/>
          <w:iCs w:val="1"/>
          <w:color w:val="auto"/>
        </w:rPr>
        <w:t>Significance: * p &lt; 0.05, *** = p &lt; 0.001, **** = p &lt; 0.0001; TPST-7317 is E7046 single EP4 antagonist developed by Eisai</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Overview of Ongoing TPST-1495 Phase 1a/1b Clinical Trial</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TPST-1495 is being evaluated in an ongoing first-in-human, Phase 1, multicenter, open-label, schedule and dose optimization and expansion trial in subjects with advanced solid tumors. Study objectives include evaluation of safety, tolerability, PK, pharmacodynamics, or PD, and preliminary anti-tumor activity of TPST-1495 as monotherapy and in combination with the checkpoint inhibitor, pembrolizumab. During the currently enrolling schedule and dose optimization stage. TPST-1495 has been evaluated on a once daily (“QD”) or twice daily (“BID”) schedule and with continuous or intermittent administration as monotherapy and in combination with pembrolizumab. Subjects with all histologic types of solid tumors are eligible, but enrollment of subjects with certain histologies, such as colorectal cancer, and endometrial cancer are preferred because the data from preclinical studies and gene expression profiling from primary human tumors indicate that these tumor types may be particularly susceptible to an anti-EP2 and anti-EP4 dual antagonist.</w:t>
      </w:r>
    </w:p>
    <w:p>
      <w:pPr>
        <w:spacing w:after="0" w:line="1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Shown in the figure below, preliminary PK analysis shows a nearly linear, dose-proportional, relationship of steady state drug exposure to administered dose of TPST-1495, representing data from subjects receiving TPST-1495 on once-daily and twice-daily as well as continuous and intermittent dosing schedules.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TPST-1495 Steady-State Concentration by Dose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1734820</wp:posOffset>
            </wp:positionH>
            <wp:positionV relativeFrom="paragraph">
              <wp:posOffset>117475</wp:posOffset>
            </wp:positionV>
            <wp:extent cx="4022090" cy="2101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022090" cy="210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9" w:right="319" w:bottom="1440" w:gutter="0" w:footer="0" w:header="0"/>
        </w:sectPr>
      </w:pPr>
    </w:p>
    <w:bookmarkStart w:id="11" w:name="page12"/>
    <w:bookmarkEnd w:id="11"/>
    <w:p>
      <w:pPr>
        <w:ind w:left="520" w:right="900"/>
        <w:spacing w:after="0" w:line="298" w:lineRule="auto"/>
        <w:rPr>
          <w:sz w:val="20"/>
          <w:szCs w:val="20"/>
          <w:color w:val="auto"/>
        </w:rPr>
      </w:pPr>
      <w:r>
        <w:rPr>
          <w:rFonts w:ascii="Times New Roman" w:cs="Times New Roman" w:eastAsia="Times New Roman" w:hAnsi="Times New Roman"/>
          <w:sz w:val="14"/>
          <w:szCs w:val="14"/>
          <w:i w:val="1"/>
          <w:iCs w:val="1"/>
          <w:color w:val="auto"/>
        </w:rPr>
        <w:t>Abbreviations: BID = twice a day; D = day; h = hour; IC</w:t>
      </w:r>
      <w:r>
        <w:rPr>
          <w:rFonts w:ascii="Times New Roman" w:cs="Times New Roman" w:eastAsia="Times New Roman" w:hAnsi="Times New Roman"/>
          <w:sz w:val="18"/>
          <w:szCs w:val="18"/>
          <w:i w:val="1"/>
          <w:iCs w:val="1"/>
          <w:color w:val="auto"/>
          <w:vertAlign w:val="subscript"/>
        </w:rPr>
        <w:t>50</w:t>
      </w:r>
      <w:r>
        <w:rPr>
          <w:rFonts w:ascii="Times New Roman" w:cs="Times New Roman" w:eastAsia="Times New Roman" w:hAnsi="Times New Roman"/>
          <w:sz w:val="14"/>
          <w:szCs w:val="14"/>
          <w:i w:val="1"/>
          <w:iCs w:val="1"/>
          <w:color w:val="auto"/>
        </w:rPr>
        <w:t xml:space="preserve"> = half maximal inhibitory concentration. For BID administration, Day 1 PK is following a single dose, Day 8 is BID, and Day 22 is BID. Error bars are standard deviations around the mean.</w:t>
      </w:r>
    </w:p>
    <w:p>
      <w:pPr>
        <w:spacing w:after="0" w:line="11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4"/>
          <w:szCs w:val="14"/>
          <w:color w:val="auto"/>
        </w:rPr>
        <w:t>Our PD assessment in subjects treated with TPST-1495 includes both a PGE2 whole blood immune suppression assay conducted with patient blood and measurements of a stable metabolite of PGE2, known as PGEM, in the urine. Shown in the Figure below, the PD results indicate target engagement in subjects dosed with 100 mg, 25 mg or 15 mg of TPST-1495, as indicated by the reversal of PGE2 immune suppression in the whole blood assay, as indicated by the increase of TNFα production due to TPST-1495 exposure in whole blood monocytes upon lipopolysaccharide (LPS) stimulation and suppression of exogenously added PGE2. We have also observed increased levels of PGEM in the urine, resulting from TPST-1495 antagonism of EP2 and EP4 receptors (inferred through measurement of the PGEM metabolite).</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Recovery of TNF-a Production in Whole Blood on the First Day Following Dosing of TPST-1495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130810</wp:posOffset>
            </wp:positionV>
            <wp:extent cx="4608195" cy="22637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608195"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1060" w:right="780"/>
        <w:spacing w:after="0" w:line="255" w:lineRule="auto"/>
        <w:rPr>
          <w:sz w:val="20"/>
          <w:szCs w:val="20"/>
          <w:color w:val="auto"/>
        </w:rPr>
      </w:pPr>
      <w:r>
        <w:rPr>
          <w:rFonts w:ascii="Times New Roman" w:cs="Times New Roman" w:eastAsia="Times New Roman" w:hAnsi="Times New Roman"/>
          <w:sz w:val="14"/>
          <w:szCs w:val="14"/>
          <w:i w:val="1"/>
          <w:iCs w:val="1"/>
          <w:color w:val="auto"/>
        </w:rPr>
        <w:t>Percent increase of TNF-α measured in subjects’ whole blood as indicated by ELISA following stimulation with LPS alone with and without exogenously added PGE2 sampled at the times indicated in the legend post dosing. The values expressed reflect the percent recovery of TNF-α production observed in the presence of PGE2 and TPST-1495 in subject plasma as compared to the level TNF-α production in subject plasma stimulated with LPS alone (without PGE2).</w:t>
      </w:r>
    </w:p>
    <w:p>
      <w:pPr>
        <w:spacing w:after="0" w:line="14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4"/>
          <w:szCs w:val="14"/>
          <w:color w:val="auto"/>
        </w:rPr>
        <w:t>Once the TPST-1495 RP2D and schedule are identified, with additional funding, we plan to open a study expansion stage to further evaluate TPST-1495 in selected cancer indications that are strongly associated with prostaglandin signaling and high expression of EP2 and EP4 receptors, including a so-called “basket cohort” for patients with a tumor mutation in the PIK3A gene. The co-primary objectives of the expansion cohorts are to further characterize the safety profile of TPST-1495 and to assess its preliminary anti-tumor activity as monotherapy in these selected patient populations. Additional exploratory objectives in the expansion cohorts would focus upon characterizing the immunomodulatory activity of TPST-1495 in treated subjects in blood and in the tumor microenvironment, as well as characterization of potential predictive biomarkers for patient selection, such as the PGE2 metabolite known as PGEM.</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expect to identify the TPST-1495 monotherapy RP2D and, with additional funding, to initiate the monotherapy expansion stage in the first half of 2022, and to identify the combination RP2D by the end of 2022 from the ongoing combination study with pembrolizumab.</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own worldwide rights to TPST-1495, and have filed and been issued patents, including composition of matter and pharmaceutical compositions, that are expected to expire between April 2038 and October 2042.</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color w:val="auto"/>
        </w:rPr>
        <w:t>Preclinical Programs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TREX-1 Inhibitor Program</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believe that the exonuclease TREX-1 may be the optimal approach to drug the STING pathway with an orally available small molecule inhibitor. Extensive genetic evidence from human disease that has been confirmed in numerous mouse knock-out investigations point to the STING pathway as a critical innate immune sensor for the development of anti-tumor immunity. Although the STING pathway has significant scientific validation, clinical trials utilizing synthetic cyclic dinucleotide STING agonists have been somewhat disappointing. The underlying scientific hypothesis for these clinical trials was that localized T cell priming in the lymph nodes draining from the injected tumor would have activity against non-injected distal tumors, referred to as the "abscopal effect." Because metastatic tumors have unique antigenic repertoires, we believe an effect therapeutic would need to catalyze global innate activation in the TME of multiple metastases in order to prime T cells that can recognize and eradicate distinct tumors. However, we believe it would be difficult to achieve a therapeutic index with systemically delivered STING-agonists due to the ubiquitous expression of the target as a central innate immune receptor.</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Shown in the figure below, TREX-1 is a cytosolic exonuclease that inhibits activation of the cGAS/ STING pathway by degrading double-stranded ("ds") DNA in the cytoplasm. TREX-1 expression is increased across diverse malignancies, for multiple reasons, including defects in DNA repair mechanism and particular therapeutic interventions such as DNA-modifying chemotherapeutic agents or radiation. The increased expression of TREX-1 in tumors serves as the foundational scientific evidence that tumors can hijack this pathway to prevent activation of the STING pathway and avoid globimmune recognition. In contrast to administering a direct STING agonist systemically, we believe that systemic oral dosing with a potent and specific TREX-1 inhibitor will activate the STING pathway selectively in the "TME" and prime cytolytic CD8+ T cells broadly in tumor draining lymph nodes, thereby serving distinct metastatic lesions having unique antigenic repertoires.</w:t>
      </w:r>
    </w:p>
    <w:p>
      <w:pPr>
        <w:spacing w:after="0" w:line="14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4"/>
          <w:szCs w:val="14"/>
          <w:b w:val="1"/>
          <w:bCs w:val="1"/>
          <w:color w:val="auto"/>
        </w:rPr>
        <w:t>TREX-1 DNA Exonuclease Modulates cGAS/STING Pathway and Innate Immunity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2933700</wp:posOffset>
            </wp:positionH>
            <wp:positionV relativeFrom="paragraph">
              <wp:posOffset>123825</wp:posOffset>
            </wp:positionV>
            <wp:extent cx="1623695" cy="17716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23695" cy="1771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4"/>
          <w:szCs w:val="14"/>
          <w:color w:val="auto"/>
        </w:rPr>
        <w:t>Utilizing published TREX1 X-ray crystal structures to guide medicinal chemistry, we have developed small molecule inhibitors of TREX1 with drug-like physicochemical properties and picomolar potency against both human and mouse TREX1. In preclinical studies, we observed anti-tumor activity in mice with CT26 tumors given a combined therapy of low-dose doxorubicin to induce dsDNA breaks and increase TME TREX1 expression along with administration of a TREX1 small molecule inhibitors. We plan to continue to conduct SAR activities on our TREX1 inhibitor lead series compounds towards selecting a development candidate for IND-enabling studies and eventual clinical evaluation in patients with advanced solid tumor malignancies.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Undisclosed Target Program</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September 2021, we announced that we entered into an exclusive license agreement with the University of California at Berkeley for intellectual property covering a novel drug target that is a component of, to our knowledge, a newly defined pathway that controls the production of a cytokine that tumors can evolve to block to avoid immune recognition and promote metastasis. Interestingly, the target is a suppressor protein, so is predictably not inactivated by progressing tumors and therefore should remain a target for drug inactivation.</w:t>
      </w:r>
    </w:p>
    <w:p>
      <w:pPr>
        <w:spacing w:after="0" w:line="200" w:lineRule="exact"/>
        <w:rPr>
          <w:sz w:val="20"/>
          <w:szCs w:val="20"/>
          <w:color w:val="auto"/>
        </w:rPr>
      </w:pPr>
    </w:p>
    <w:p>
      <w:pPr>
        <w:spacing w:after="0" w:line="20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color w:val="auto"/>
        </w:rPr>
        <w:t>License agreements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February 2021, we entered into a collaboration agreement with Roche to accelerate the development of TPST-1120 into a first-line, randomized study. Under the terms of the agreement, the companies are evaluating TPST-1120 in a global randomized phase 1b/2 clinical study in combination with the standard-of-care first-line regimen of atezolizumab and bevacizumab in patients with advanced or metastatic HCC, not previously treated with systemic therapy. Pursuant to the terms of the agreement, Roche is managing the study operations for the trial, and we will retain global development and commercialization rights to TPST-1120. According to the agreement, Roche will provide us with notice of the amount of TPST-1120 required for a study and the delivery timeline, and we will supply the TPST-1120 to Roche for the study. All rights to invention and discoveries relating solely to TPST-1120 or biomarkers solely related to TPST-1120 made during any study will be our exclusive property. All data generated in the performance of any study under the collaboration agreement will be the property of Roche, but we are entitled to use the data for any lawful purpose.</w:t>
      </w:r>
    </w:p>
    <w:p>
      <w:pPr>
        <w:spacing w:after="0" w:line="3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agreement applies on a study-by-study basis until the last treatment of the last patient in a study receiving TPST-1120 in accordance with the protocol for such study or until the termination of this collaboration agreement by either party. Each party has the right to terminate the collaboration agreement upon 60 days prior written notice to the other party. Upon any termination of the agreement, neither we nor Roche will be entitled to any compensation, damages or other payment. If any individual study supplement is terminated, Roche must return all unused TPST-1120 to us free of charge or destroy such product at our request.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Sales and Marketing</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intend to retain significant development and commercial rights to our product candidates and, if marketing approval is obtained, to commercialize our product candidates on our own, or potentially with a partner, in the United States and other regions. We currently have no sales, marketing or commercial product distribution capabilities. We intend to build the necessary infrastructure and capabilities over time for the United States, and potentially other regions, following further advancement of our product candidates. Clinical data, the size of the addressable patient population, the size of the commercial infrastructure and manufacturing needs may all influence or alter its commercialization plans. If we build a commercial infrastructure to support marketing in North America, such commercial infrastructure could be expected to include a targeted sales force supported by sales management, internal sales support, an internal marketing group and distribution support. To develop the appropriate commercial infrastructure internally, we would have to invest financial and management resources, some of which would have to be deployed prior to any confirmation that one of our product candidates will be approved.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Manufacturing</w:t>
      </w:r>
    </w:p>
    <w:p>
      <w:pPr>
        <w:spacing w:after="0" w:line="1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do not own or operate, and currently have no plans to establish, any manufacturing facilities. We rely and expect to continue to rely, on third parties for the manufacture of our product candidates for preclinical and clinical testing, as well as for commercial manufacture if any of our product candidates obtain marketing approval. We also rely, and expect to continue to rely, on third parties to package, label, store and distribute our investigational product candidates, as well as for our commercial products if marketing approval is obtained. We have internal personnel and utilize consultants with extensive technical, manufacturing, analytical and quality experience to oversee contract manufacturing and testing activities. We will continue to expand and strengthen our network of third-party providers but may also consider investing in internal manufacturing capabilities in the future if there is a technical need, or a strategic or financial benefit.</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Manufacturing is subject to extensive regulations that impose procedural and documentation requirements. At a minimum these regulations govern record keeping, manufacturing processes and controls, personnel, quality control and quality assurance. Our systems, procedures and contractors are required to be in compliance with these regulations and are assessed through regular monitoring and formal audits.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biopharmaceutical and immuno-oncology industries are characterized by intense competition and rapid innovation. Any product candidates that we successfully develop and commercialize will have to compete with existing and future new therapies. While we believe that our technology, development experience and scientific knowledge provide us with competitive advantages, we face potential competition from many different sources, including large and specialty pharmaceutical and biotechnology companies, academic research institutions, government agencies and public and private research institutions that conduct research, seek patent protection, and establish collaborative arrangements for research, development, manufacturing and commercialization.</w:t>
      </w:r>
    </w:p>
    <w:p>
      <w:pPr>
        <w:spacing w:after="0" w:line="200" w:lineRule="exact"/>
        <w:rPr>
          <w:sz w:val="20"/>
          <w:szCs w:val="20"/>
          <w:color w:val="auto"/>
        </w:rPr>
      </w:pPr>
    </w:p>
    <w:p>
      <w:pPr>
        <w:spacing w:after="0" w:line="20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14" w:name="page15"/>
    <w:bookmarkEnd w:id="14"/>
    <w:p>
      <w:pPr>
        <w:jc w:val="both"/>
        <w:spacing w:after="0" w:line="258" w:lineRule="auto"/>
        <w:rPr>
          <w:sz w:val="20"/>
          <w:szCs w:val="20"/>
          <w:color w:val="auto"/>
        </w:rPr>
      </w:pPr>
      <w:r>
        <w:rPr>
          <w:rFonts w:ascii="Times New Roman" w:cs="Times New Roman" w:eastAsia="Times New Roman" w:hAnsi="Times New Roman"/>
          <w:sz w:val="14"/>
          <w:szCs w:val="14"/>
          <w:color w:val="auto"/>
        </w:rPr>
        <w:t>If our TPST-1120, TPST-1495, or our other product candidates are approved for the treatment of tumors, they may compete with other products used to treat such diseases. There are a variety of treatments used for cancerous tumors that include chemotherapy drugs, small molecules, monoclonal antibodies, antibody-drug conjugates, bi-specific antibodies, cell therapies, oncolytic viruses and vaccines, as well as other approaches. In addition, there are several competitors in clinical development for the treatment of HCC, RCC, cholangiocarcinoma, CRC and other indications that we may be targeting with TPST-1120 and TPST-1495, including companies such as Agios, Ikena, Ono, Adlai Nortye, Merck, Roche, Exelixis, and AstraZeneca.</w:t>
      </w:r>
    </w:p>
    <w:p>
      <w:pPr>
        <w:spacing w:after="0" w:line="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TPST-1120, our small molecule designed to be a selective antagonist of PPARα, is the first PPARα antagonist in the clinic. We are not aware of other companies developing such an antagonist. For TPST-1495, our small molecule designed to be a dual antagonist of the EP2 and EP4 receptor, we are aware of other clinical-stage EP-4-only antagonists being developed by Adlai Nortye, Ikena, and Ono.</w:t>
      </w:r>
    </w:p>
    <w:p>
      <w:pPr>
        <w:spacing w:after="0" w:line="1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Many of our competitors, either alone or with strategic partners, have substantially greater financial, technical and human resources than we do. Accordingly, our competitors may be more successful than us in research and development, manufacturing, preclinical testing, conducting clinical trials, obtaining approval for treatments and achieving widespread market acceptance, rendering our treatments obsolete or non-competitive. Merger and acquisition activity in the biotechnology and biopharmaceutical industries may result in even more resources being concentrated among a smaller number of our competitors. These companies also compete with us in recruiting and retaining qualified scientific and management personnel, establishing clinical trial sites and patient registration for clinical trials and acquiring technologies complementary to, or necessary for, our programs. Smaller or early-stage companies may also prove to be significant competitors, particularly through collaborative arrangements with large and established companies.</w:t>
      </w:r>
    </w:p>
    <w:p>
      <w:pPr>
        <w:spacing w:after="0" w:line="15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4"/>
          <w:szCs w:val="14"/>
          <w:color w:val="auto"/>
        </w:rPr>
        <w:t>Our commercial opportunity could be substantially limited if our competitors develop and commercialize products that are more effective, safer, less toxic, more convenient or less expensive than our comparable products. In geographies that are critical to our commercial success, competitors may also obtain regulatory approvals before us, resulting in our competitors building a strong market position in advance of the entry of our products. The key competitive factors affecting the success of all of our programs are likely to be their efficacy, safety, convenience and availability of reimbursement. In addition, our ability to compete may be affected in many cases by insurers or other third-party payors seeking to encourage the use of generic drugs.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strive to protect and enhance the proprietary technology, inventions and improvements that are commercially important to our business, including obtaining, maintaining and defending our patent rights. Our policy is to seek to protect our proprietary position by, among other methods, filing patent applications and obtaining issued patents in the United States and in markets outside of the United States directed to our proprietary technology, inventions, improvements and product candidates that are important to the development and implementation of our business. We also rely on trade secrets and know-how relating to our proprietary technology and product candidates and continuing innovation to develop, strengthen and maintain our proprietary position in the field of oncology. We also plan to rely on data exclusivity, market exclusivity and patent term extensions when available. Our commercial success will depend in part on our ability to obtain and maintain patent and other proprietary protection for our technology, inventions, improvements, and product candidates; to preserve the confidentiality of our trade secrets; to defend and enforce our proprietary rights, including any patents that we may own or license in the future; and to operate without infringing on the valid and enforceable patents and other proprietary rights of third parties.</w:t>
      </w:r>
    </w:p>
    <w:p>
      <w:pPr>
        <w:spacing w:after="0" w:line="1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December 31, 2021, our patent portfolio consisted of issued patents and pending patent applications that we own or in-licensed related to TPST-1120, TPST-1495 and various other compounds and programs, such as TREX1. In total, as of that date, we owned two issued United States patents, six pending United States patent applications, one international patent application filed under the Patent Cooperation Treaty (PCT application), and in various markets outside of the United States, including Europe, China and Japan: 26 issued patents and 28 pending patent applications.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With respect to TPST-1120, we own issued patents and pending patent applications in the United States, Europe, China, Japan and other markets outside of the United States. The issued United States patents covering TPST-1120 as composition of matter, pharmaceutical compositions, and related methods of use are expected to expire in December 2033, absent any patent term extensions for regulatory delay. Any additional patents that may issue from these pending patent applications are expected to expire in December 2033, absent any patent term adjustments or patent term extensions for regulatory delay.</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With respect to TPST-1495, we own issued patents and pending patent applications in the United States, Europe, China, Japan and other markets outside of the United States. The issued United State patents covering TPST-1495 as composition of matter and pharmaceutical composition are expected to expire between April 2038 and April 2039, absent any patent term extensions for regulatory delay. Any additional patents that may issue from these pending patent applications are expected to expire between April 2038 and October 2042, absent any patent term adjustments or patent term extensions for regulatory delay.</w:t>
      </w:r>
    </w:p>
    <w:p>
      <w:pPr>
        <w:spacing w:after="0" w:line="200" w:lineRule="exact"/>
        <w:rPr>
          <w:sz w:val="20"/>
          <w:szCs w:val="20"/>
          <w:color w:val="auto"/>
        </w:rPr>
      </w:pPr>
    </w:p>
    <w:p>
      <w:pPr>
        <w:spacing w:after="0" w:line="20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15" w:name="page16"/>
    <w:bookmarkEnd w:id="15"/>
    <w:p>
      <w:pPr>
        <w:jc w:val="both"/>
        <w:spacing w:after="0" w:line="287" w:lineRule="auto"/>
        <w:rPr>
          <w:sz w:val="20"/>
          <w:szCs w:val="20"/>
          <w:color w:val="auto"/>
        </w:rPr>
      </w:pPr>
      <w:r>
        <w:rPr>
          <w:rFonts w:ascii="Times New Roman" w:cs="Times New Roman" w:eastAsia="Times New Roman" w:hAnsi="Times New Roman"/>
          <w:sz w:val="14"/>
          <w:szCs w:val="14"/>
          <w:color w:val="auto"/>
        </w:rPr>
        <w:t>With respect to TREX-1, we own pending patent applications in the United States and Taiwan and a pending PCT application. Any patents that may issue from these pending patent applications are expected to expire between June 2041 and December 2042, absent any patent term adjustments or patent term extensions for regulatory delay.</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2021, our patent portfolio also included a pending patent application in the United States that is exclusively licensed to us by the University of California at Berkeley. The licensed patent application does not cover any of our current product candidates.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also possess substantial know-how and trade secrets relating to the development and commercialization of our product candidates, including related manufacturing processes and technology.</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With respect to our product candidates and processes that we intend to develop and commercialize in the normal course of business, we intend to pursue patent protection covering, when possible, compositions, methods of use, dosing and formulations. We may also pursue patent protection with respect to manufacturing and drug development processes and technologies.</w:t>
      </w:r>
    </w:p>
    <w:p>
      <w:pPr>
        <w:spacing w:after="0" w:line="1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Issued patents can provide protection for varying periods of time, depending upon the date of filing of the patent application, the date of patent issuance and the legal term of patents in the countries in which they are obtained. In general, patents issued for patent applications filed in the United States can provide exclusionary rights for 20 years from the earliest effective filing date. The term of United States patents may be extended by delays encountered during prosecution that are caused by the USPTO, also known as patent term adjustment. In addition, in certain instances, the term of an issued United States patent that covers or claims an FDA approved product can be extended to recapture a portion of the term effectively lost as a result of the FDA regulatory review period, which is called patent term extension. The restoration period cannot be longer than five years and the total patent term, including the restoration period, must not exceed 14 years following FDA approval. The term of patents outside of the United States varies in accordance with the laws of the foreign jurisdiction, but typically is also 20 years from the earliest effective filing date.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patent positions of companies like ours are generally uncertain and involve complex legal and factual questions. No consistent policy regarding the scope of claims allowable in patents in the field of oncology has emerged in the United States. The relevant patent laws and their interpretation outside of the United States are also uncertain. Changes in either the patent laws or their interpretation in the United States and other countries may diminish our ability to protect our technology or product candidates and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We cannot guarantee that patents will be granted with respect to any of its pending patent applications or with respect to any patent applications we may file in the future, nor can we be sure that any patents that may be granted to us in the future will be commercially useful in protecting its products, the methods of use or manufacture of those products.</w:t>
      </w:r>
    </w:p>
    <w:p>
      <w:pPr>
        <w:spacing w:after="0" w:line="157"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Moreover, even its issued patents may not guarantee us the right to practice our technology in relation to the commercialization of its products. Patent and other intellectual property rights in the pharmaceutical and biotechnology space are evolving and involve many risks and uncertainties. For example, third parties may have blocking patents that could be used to prevent us from commercializing our product candidates and practicing our proprietary technology, and our issued patents may be challenged, invalidated or circumvented, which could limit our ability to stop competitors from marketing related products or could limit the term of patent protection that otherwise may exist for its product candidates. In addition, the scope of the rights granted under any issued patents may not provide us with protection or competitive advantages against competitors with similar technology. Furthermore, our competitors may independently develop similar technologies that are outside the scope of the rights granted under any issued patents.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protection for such product may expire or remain in force for only a short period following commercialization, thereby reducing the commercial advantage the patent provides.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regulation</w:t>
      </w:r>
    </w:p>
    <w:p>
      <w:pPr>
        <w:spacing w:after="0" w:line="17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Government authorities in the United States at the federal, state and local level and in other countries and jurisdictions extensively regulate, among other things, the research, development, testing, manufacture, quality control, approval, labeling, packaging, storage, record-keeping, promotion, advertising, distribution, post-approval monitoring and reporting, marketing and</w:t>
      </w:r>
    </w:p>
    <w:p>
      <w:pPr>
        <w:spacing w:after="0" w:line="38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6" w:name="page17"/>
    <w:bookmarkEnd w:id="16"/>
    <w:p>
      <w:pPr>
        <w:jc w:val="both"/>
        <w:spacing w:after="0" w:line="270" w:lineRule="auto"/>
        <w:rPr>
          <w:sz w:val="20"/>
          <w:szCs w:val="20"/>
          <w:color w:val="auto"/>
        </w:rPr>
      </w:pPr>
      <w:r>
        <w:rPr>
          <w:rFonts w:ascii="Times New Roman" w:cs="Times New Roman" w:eastAsia="Times New Roman" w:hAnsi="Times New Roman"/>
          <w:sz w:val="14"/>
          <w:szCs w:val="14"/>
          <w:color w:val="auto"/>
        </w:rPr>
        <w:t>export and import of pharmaceutical products, such as our investigational medicines and any future investigational medicines. Generally, before a new pharmaceutical product can be marketed, considerable data demonstrating its quality, safety and efficacy must be obtained, organized into a format specific for each regulatory authority, submitted for review and approved by the regulatory authority.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FDA Approval Process</w:t>
      </w:r>
    </w:p>
    <w:p>
      <w:pPr>
        <w:spacing w:after="0" w:line="1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the United States, pharmaceutical products are subject to extensive regulation by the FDA, the Federal Food, Drug, and Cosmetic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Failure to comply with applicable U.S. requirements may subject a company to a variety of administrative or judicial sanctions, such as clinical hold, FDA refusal to approve pending a New Drug Applications ("NDA") warning or untitled letters, product recalls, product seizures, total or partial suspension of production or distribution, injunctions, fines, civil penalties and criminal prosecution.</w:t>
      </w:r>
    </w:p>
    <w:p>
      <w:pPr>
        <w:spacing w:after="0" w:line="1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investigational medicines and any future investigational medicines must be approved by the FDA pursuant to an NDA before they may be legally marketed in the United States. The process generally involves the following:</w:t>
      </w:r>
    </w:p>
    <w:p>
      <w:pPr>
        <w:spacing w:after="0" w:line="316" w:lineRule="exact"/>
        <w:rPr>
          <w:sz w:val="20"/>
          <w:szCs w:val="20"/>
          <w:color w:val="auto"/>
        </w:rPr>
      </w:pPr>
    </w:p>
    <w:p>
      <w:pPr>
        <w:ind w:left="520" w:hanging="260"/>
        <w:spacing w:after="0" w:line="255"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Completion of extensive preclinical laboratory and animal studies in accordance with applicable regulations, including studies conducted in accordance with Good Laboratory Practice ("GLP") requirements;</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Submission to the FDA of an IND, which must become effective before human clinical trials may begin;</w:t>
      </w:r>
    </w:p>
    <w:p>
      <w:pPr>
        <w:spacing w:after="0" w:line="16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Approval by an Institutional Review Board ("IRB") or independent ethics committee at each clinical trial site before each clinical trial may be commenced;</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of adequate and well-controlled human clinical trials in accordance with applicable IND regulations, Good Clinical Practice (“GCP”) requirements and other clinical trial-related regulations to establish the safety and efficacy of the investigational product for each proposed indication;</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Submission to the FDA of an NDA;</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of any user fees for FDA review of an NDA;</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determination by the FDA within 60 days of its receipt of an NDA to accept the filing for review;</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Satisfactory completion of one or more FDA pre-approval inspections of the manufacturing facility or facilities where the drug, or components thereof, will be produced to assess compliance with Good Manufacturing Practices (“cGMP”) requirements to assure that the facilities, methods and controls are adequate to preserve the drug’s identity, strength, quality and purity;</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Satisfactory completion of any potential FDA audits of the clinical trial sites that generated the data in support of the NDA to assure compliance with GCPs and integrity of the clinical data;</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FDA review and approval of an NDA, including consideration of the views of any FDA advisory committee; and</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any post-approval requirements, including risk evaluation and mitigation strategy (“REMS”), where applicable, and post-approval studies required by the FDA as a condition of approval.</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preclinical and clinical testing and approval process requires substantial time, effort and financial resources, and we cannot be certain that any approvals for our product candidates will be granted on a timely basis, or at all.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Preclinical Studies</w:t>
      </w:r>
    </w:p>
    <w:p>
      <w:pPr>
        <w:spacing w:after="0" w:line="1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Before testing any drug product candidates in humans, the product candidate must undergo rigorous preclinical testing. Preclinical tests include laboratory evaluation of product chemistry, formulation and toxicity, as well as in vitro and animal studies to assess the potential for adverse events and in some cases to establish a rationale for therapeutic use. The conduct of the preclinical tests must comply with federal regulations and requirements, including GLP. An IND sponsor must submit the</w:t>
      </w:r>
    </w:p>
    <w:p>
      <w:pPr>
        <w:spacing w:after="0" w:line="200" w:lineRule="exact"/>
        <w:rPr>
          <w:sz w:val="20"/>
          <w:szCs w:val="20"/>
          <w:color w:val="auto"/>
        </w:rPr>
      </w:pPr>
    </w:p>
    <w:p>
      <w:pPr>
        <w:spacing w:after="0" w:line="20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17" w:name="page18"/>
    <w:bookmarkEnd w:id="17"/>
    <w:p>
      <w:pPr>
        <w:jc w:val="both"/>
        <w:spacing w:after="0" w:line="261" w:lineRule="auto"/>
        <w:rPr>
          <w:sz w:val="20"/>
          <w:szCs w:val="20"/>
          <w:color w:val="auto"/>
        </w:rPr>
      </w:pPr>
      <w:r>
        <w:rPr>
          <w:rFonts w:ascii="Times New Roman" w:cs="Times New Roman" w:eastAsia="Times New Roman" w:hAnsi="Times New Roman"/>
          <w:sz w:val="14"/>
          <w:szCs w:val="14"/>
          <w:color w:val="auto"/>
        </w:rPr>
        <w:t>results of the preclinical tests, together with manufacturing information, analytical data, any available clinical data or literature and plans for clinical studies, among other things, to the FDA as part of an IND. An IND is a request for authorization from the FDA to administer an investigational product to humans and must become effective before human clinical trials may begin. Some long-term preclinical testing may continue after an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Clinical Trials</w:t>
      </w:r>
    </w:p>
    <w:p>
      <w:pPr>
        <w:spacing w:after="0" w:line="1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Clinical trials involve the administration of the investigational new drug to healthy volunteers or patients under the supervision of a qualified investigator, generally a physician not employed by or under the trial sponsor’s control. Clinical trials must be conducted: (i) in compliance with federal regulations; (ii) in compliance with GCP, an international standard meant to protect the rights and health of patients and to define the roles of clinical trial sponsors, administrators and monitors; as well as (iii) under protocols detailing, among other things, the objectives of the trial, the parameters to be used in monitoring safety and the effectiveness criteria to be evaluated in the trial. Each protocol involving testing on U.S. patients and subsequent protocol amendments must be submitted to the FDA as part of an IND.</w:t>
      </w:r>
    </w:p>
    <w:p>
      <w:pPr>
        <w:spacing w:after="0" w:line="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w:t>
      </w:r>
    </w:p>
    <w:p>
      <w:pPr>
        <w:spacing w:after="0" w:line="1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There also are requirements governing the reporting of ongoing clinical trials and completed clinical trial results to public registries. Information about certain clinical trials, including clinical trial results, must be submitted within specific timeframes for publication on the www.clinicaltrials.gov website. Information related to the product, patient population, phase of investigation, clinical trial sites and investigators and other aspects of the clinical trial is then made public as part of the registration. Disclosure of the results of these clinical trials can be delayed in certain circumstances for up to two years after the date of completion of the trial.</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an NDA. The FDA will accept a well-designed and well-conducted foreign clinical trial not conducted under an IND if the clinical trial was conducted in accordance with GCP requirements, and the FDA is able to validate the data through an onsite inspection if deemed necessary.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Clinical trials are generally conducted in three sequential phases, known as Phase 1, Phase 2 and Phase 3:</w:t>
      </w:r>
    </w:p>
    <w:p>
      <w:pPr>
        <w:spacing w:after="0" w:line="179" w:lineRule="exact"/>
        <w:rPr>
          <w:sz w:val="20"/>
          <w:szCs w:val="20"/>
          <w:color w:val="auto"/>
        </w:rPr>
      </w:pPr>
    </w:p>
    <w:p>
      <w:pPr>
        <w:jc w:val="both"/>
        <w:ind w:left="520" w:hanging="260"/>
        <w:spacing w:after="0" w:line="270"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pharmacokinetics, pharmacologic action, side effect tolerability, safety of the product candidate, and, if possible, early evidence of effectiveness.</w:t>
      </w:r>
    </w:p>
    <w:p>
      <w:pPr>
        <w:spacing w:after="0" w:line="135"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Phase 2 clinical trials generally involve studies in disease-affected patients to evaluate proof of concept and/or determine the dosing regimen(s) for subsequent investigations. At the same time, safety and further pharmacokinetic and pharmacodynamic information is collected, possible adverse effects and safety risks are identified, and a preliminary evaluation of efficacy is conducted.</w:t>
      </w:r>
    </w:p>
    <w:p>
      <w:pPr>
        <w:spacing w:after="0" w:line="135"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labeling. In most cases, the FDA requires two adequate and well-controlled Phase 3 clinical trials to demonstrate the efficacy of the drug.</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These Phases may overlap or be combined. For example, a Phase 1/2 clinical trial may contain both a dose-escalation stage and a dose expansion stage, the latter of which may confirm tolerability at the recommended dose for expansion in future clinical trials (as in traditional Phase 1 clinical trials) and provide insight into the anti-tumor effects of the investigational therapy in selected subpopulation(s).</w:t>
      </w:r>
    </w:p>
    <w:p>
      <w:pPr>
        <w:spacing w:after="0" w:line="200" w:lineRule="exact"/>
        <w:rPr>
          <w:sz w:val="20"/>
          <w:szCs w:val="20"/>
          <w:color w:val="auto"/>
        </w:rPr>
      </w:pPr>
    </w:p>
    <w:p>
      <w:pPr>
        <w:spacing w:after="0" w:line="20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18" w:name="page19"/>
    <w:bookmarkEnd w:id="18"/>
    <w:p>
      <w:pPr>
        <w:jc w:val="both"/>
        <w:spacing w:after="0" w:line="264" w:lineRule="auto"/>
        <w:rPr>
          <w:sz w:val="20"/>
          <w:szCs w:val="20"/>
          <w:color w:val="auto"/>
        </w:rPr>
      </w:pPr>
      <w:r>
        <w:rPr>
          <w:rFonts w:ascii="Times New Roman" w:cs="Times New Roman" w:eastAsia="Times New Roman" w:hAnsi="Times New Roman"/>
          <w:sz w:val="14"/>
          <w:szCs w:val="14"/>
          <w:color w:val="auto"/>
        </w:rPr>
        <w:t>Typically, during the development of oncology therapies, all subjects enrolled in Phase 1 clinical trials are disease-affected patients and, as a result, considerably more information on clinical activity may be collected during such trials than during Phase 1 clinical trials for non-oncology therapies. A single Phase 3 or Phase 2 trial with other confirmatory evidence may be sufficient in rare instances to provide substantial evidence of effectiveness (generally subject to the requirement of additional post-approval studies). The manufacturer of an investigational drug in a phase 2 or 3 clinical trial for a serious or life-threatening disease is required to make available, such as by posting on its website, its policy on evaluating and responding to requests for expanded access.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Phase 1, Phase 2, Phase 3 and other types of clinical trials may not be completed successfully within any specified period, if at all. The FDA, the IRB, or the sponsor may suspend or terminate a clinical trial at any time on various grounds, including non-compliance with regulatory requirements or a finding that the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Concurrent with clinical trials, companies usually complete additional animal studies and must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potency and purity of the final product. Additionally, appropriate packaging must be selected and tested, and stability studies must be conducted to demonstrate that the investigational medicines do not undergo unacceptable deterioration over their shelf life.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FDA Review Process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After completion of the required clinical testing, an NDA is prepared and submitted to the FDA. FDA approval of an NDA is required before marketing of the product may begin in the U.S. An NDA must include the results of all preclinical, clinical and other testing and a compilation of data relating to the product’s pharmacology, chemistry, manufacture and controls. To support marketing approval, the data submitted must be sufficient in quality and quantity to establish the safety and efficacy of the investigational product to the satisfaction of the FDA. FDA approval of an NDA must be obtained before a drug may be marketed in the United States. The cost of preparing and submitting an NDA is substantial. Under the Prescription Drug User Fee Act (“PDUFA”), each NDA must be accompanied by a substantial user fee. The FDA adjusts the PDUFA user fees on an annual basis.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 The applicant under an approved NDA is also subject to an annual program fee.</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FDA reviews each submitted NDA before it determines whether to file it and may request additional information. The FDA must make a decision on whether to file an NDA within 60 days of receipt, and such decision could include a refusal to file by the FDA. Once the submission is filed, the FDA begins an in-depth review of an NDA. The FDA has agreed to certain performance goals in the review of an NDA. Most applications for standard review drug products are reviewed within ten to twelve months; most applications for priority review drugs are reviewed in six to eight months. Priority review can be applied to drugs that the FDA determines may offer significant improvement in safety or effectiveness compared to marketed products or where no adequate therapy exists. The review process for both standard and priority review may be extended by the FDA for three additional months to consider certain late-submitted information, or information intended to clarify information already provided in the submission. The FDA does not always meet its goal dates for standard and priority timeframes for an NDA, and the review process can be extended by FDA requests for additional information or clarification.</w:t>
      </w:r>
    </w:p>
    <w:p>
      <w:pPr>
        <w:spacing w:after="0" w:line="1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FDA may also refer applications for novel drug products, or drug products that present difficult questions of safety or efficacy, to an outside advisory committee—typically a panel that includes clinicians and other experts—for review, evaluation and a recommendation as to whether the application should be approved and under what conditions, if any. The FDA is not bound by the recommendation of an advisory committee, but it generally follows such recommendations.</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Before approving an NDA,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w:t>
      </w:r>
    </w:p>
    <w:p>
      <w:pPr>
        <w:spacing w:after="0" w:line="38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19" w:name="page20"/>
    <w:bookmarkEnd w:id="19"/>
    <w:p>
      <w:pPr>
        <w:jc w:val="both"/>
        <w:spacing w:after="0" w:line="287" w:lineRule="auto"/>
        <w:rPr>
          <w:sz w:val="20"/>
          <w:szCs w:val="20"/>
          <w:color w:val="auto"/>
        </w:rPr>
      </w:pPr>
      <w:r>
        <w:rPr>
          <w:rFonts w:ascii="Times New Roman" w:cs="Times New Roman" w:eastAsia="Times New Roman" w:hAnsi="Times New Roman"/>
          <w:sz w:val="14"/>
          <w:szCs w:val="14"/>
          <w:color w:val="auto"/>
        </w:rPr>
        <w:t>production of the product within required specifications. The FDA also typically inspects clinical trial sites to ensure compliance with GCP requirements and the integrity of the data supporting safety and efficacy.</w:t>
      </w:r>
    </w:p>
    <w:p>
      <w:pPr>
        <w:spacing w:after="0" w:line="1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After the FDA evaluates an NDA and the manufacturing facilities, it issues either an approval letter or a complete response letter. A complete response letter ("CRL"), generally outlines the deficiencies in the submission and may require substantial additional testing, or information, in order for the FDA to reconsider the application, such as additional clinical data, additional pivotal clinical trial(s), and/or other significant and time-consuming requirements related to clinical trials, preclinical studies or manufacturing. If a CRL is issued, the applicant may resubmit an NDA addressing all of the deficiencies identified in the letter, withdraw the application, engage in formal dispute resolution or request an opportunity for a hearing. The FDA has committed to reviewing resubmissions in two or six months depending on the type of information included. Even if such data and information are submitted, the FDA may decide that an NDA does not satisfy the criteria for approval.</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a potential condition of an NDA approval, the FDA may require a REMS to help ensure that the benefits of the drug outweigh the potential risks to patients. A REMS can include medication guides, communication plans for healthcare professionals and elements to assure a product’s safe use ("ETASU"). An ETASU can include, but is not limited to, special training or certification for prescribing or dispensing the product, dispensing the product only under certain circumstances, special monitoring and the use of patient-specific registries. The requirement for a REMS can materially affect the potential market and profitability of the product. Moreover, the FDA may require substantial post-approval testing and surveillance to monitor the product’s safety or efficacy.</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Changes to some of the conditions established in an approved application, including changes in indications, labeling, or manufacturing processes or facilities, require submission and FDA approval of an NDA supplement or, in some case, a new NDA, before the change can be implemented. An NDA supplement for a new indication typically requires clinical data similar to that in the original application, and the FDA uses the same procedures and actions in reviewing NDA supplements as it does in reviewing NDAs.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Orphan Drug Designation</w:t>
      </w:r>
    </w:p>
    <w:p>
      <w:pPr>
        <w:spacing w:after="0" w:line="1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Under the Orphan Drug Act, the FDA may grant orphan drug designation to drugs intended to treat a rare disease or condition, which is generally a disease or condition that affects fewer than 200,000 individuals in the United States, or more than 200,000 individuals in the United States but for which there is no reasonable expectation that the cost of developing and making the product for this type of disease or condition will be recovered from sales of the product in the United States.</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Orphan drug designation must be requested before submitting an NDA. After the FDA grants orphan drug designation, the identity of the drug and its potential orphan use are disclosed publicly by the FDA. Orphan drug designation does not convey any advantage in, or shorten the duration of, the regulatory review and approval process.</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If a product that has orphan designation subsequently receives the first FDA approval for the disease or condition for which it has such designation, the product is entitled to a seven-year exclusive marketing period in the U.S. for that product, for that indication. During the seven-year exclusivity period, the FDA may not approve any other applications to market the same drug for the same disease, except in limited circumstances, such as a showing of clinical superiority to the product with orphan drug exclusivity by means of greater effectiveness, greater safety, or providing a major contribution to patient care, or in instances of drug supply issues. Orphan drug exclusivity does not prevent the FDA from approving a different drug for the same disease or condition, or the same drug for a different disease or condition. Other benefits of orphan drug designation include tax credits for certain research and an exemption from the NDA user fee.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Expedited Development and Review Programs</w:t>
      </w:r>
    </w:p>
    <w:p>
      <w:pPr>
        <w:spacing w:after="0" w:line="181" w:lineRule="exact"/>
        <w:rPr>
          <w:sz w:val="20"/>
          <w:szCs w:val="20"/>
          <w:color w:val="auto"/>
        </w:rPr>
      </w:pPr>
    </w:p>
    <w:p>
      <w:pPr>
        <w:ind w:right="160"/>
        <w:spacing w:after="0" w:line="413" w:lineRule="auto"/>
        <w:rPr>
          <w:sz w:val="20"/>
          <w:szCs w:val="20"/>
          <w:color w:val="auto"/>
        </w:rPr>
      </w:pPr>
      <w:r>
        <w:rPr>
          <w:rFonts w:ascii="Times New Roman" w:cs="Times New Roman" w:eastAsia="Times New Roman" w:hAnsi="Times New Roman"/>
          <w:sz w:val="14"/>
          <w:szCs w:val="14"/>
          <w:color w:val="auto"/>
        </w:rPr>
        <w:t xml:space="preserve">The FDA is authorized to designate certain products for expedited review if they are intended to address an unmet medical need in the treatment of a serious or life-threatening disease or condition. </w:t>
      </w:r>
      <w:r>
        <w:rPr>
          <w:rFonts w:ascii="Times New Roman" w:cs="Times New Roman" w:eastAsia="Times New Roman" w:hAnsi="Times New Roman"/>
          <w:sz w:val="14"/>
          <w:szCs w:val="14"/>
          <w:b w:val="1"/>
          <w:bCs w:val="1"/>
          <w:i w:val="1"/>
          <w:iCs w:val="1"/>
          <w:color w:val="auto"/>
        </w:rPr>
        <w:t>Fast Track Designation</w:t>
      </w:r>
    </w:p>
    <w:p>
      <w:pPr>
        <w:spacing w:after="0" w:line="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Fast track designation may be granted for products that are intended to treat a serious or life-threatening disease or condition for which there is no effective treatment and preclinical or clinical data demonstrate the potential to address unmet medical needs for the condition. Fast track designation applies to both the product and the specific indication for which it is being studied. The sponsor of an investigational drug product may request that the FDA designate the drug candidate for a specific indication as a fast track drug concurrent with, or after, the submission of the IND for the drug candidate. The FDA must determine if the drug candidate qualifies for fast track designation within 60 days of receipt of the sponsor’s request. For fast track products, sponsors</w:t>
      </w:r>
    </w:p>
    <w:p>
      <w:pPr>
        <w:spacing w:after="0" w:line="200" w:lineRule="exact"/>
        <w:rPr>
          <w:sz w:val="20"/>
          <w:szCs w:val="20"/>
          <w:color w:val="auto"/>
        </w:rPr>
      </w:pPr>
    </w:p>
    <w:p>
      <w:pPr>
        <w:spacing w:after="0" w:line="20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20" w:name="page21"/>
    <w:bookmarkEnd w:id="20"/>
    <w:p>
      <w:pPr>
        <w:jc w:val="both"/>
        <w:spacing w:after="0" w:line="264" w:lineRule="auto"/>
        <w:rPr>
          <w:sz w:val="20"/>
          <w:szCs w:val="20"/>
          <w:color w:val="auto"/>
        </w:rPr>
      </w:pPr>
      <w:r>
        <w:rPr>
          <w:rFonts w:ascii="Times New Roman" w:cs="Times New Roman" w:eastAsia="Times New Roman" w:hAnsi="Times New Roman"/>
          <w:sz w:val="14"/>
          <w:szCs w:val="14"/>
          <w:color w:val="auto"/>
        </w:rPr>
        <w:t>may have greater interactions with the FDA and the FDA may initiate review of sections of a fast track product’s NDA before the application is complete. This rolling review is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At the time of an NDA filing, the FDA will determine whether to grant priority review designation. Additionally, fast track designation may be withdrawn if the FDA believes that the designation is no longer supported by data emerging in the clinical trial process.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Breakthrough Therapy Designation</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Breakthrough therapy designation may be granted for products that are intended, alone or in combination with one or more other products, to treat a serious or life-threatening condition and preliminary clinical evidence indicates that the product may demonstrate substantial improvement over currently approved therapies on one or more clinically significant endpoints. Under the breakthrough therapy program, the sponsor of a new drug candidate may request that the FDA designate the candidate for a specific indication as a breakthrough therapy concurrent with, or after, the submission of an IND for the drug candidate. The FDA must determine if the drug product qualifies for breakthrough therapy designation within 60 days of receipt of the sponsor’s request.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studies in an efficient manner.</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Priority Review</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Priority review may be granted for products that are intended to treat a serious or life-threatening condition and, if approved, would provide a significant improvement in safety and effectiveness compared to available therapies. The FDA will attempt to direct additional resources to the evaluation of an application designated for priority review in an effort to facilitate the review.</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Accelerated Approval</w:t>
      </w:r>
    </w:p>
    <w:p>
      <w:pPr>
        <w:spacing w:after="0" w:line="1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Accelerated approval may be granted for products that are intended to treat a serious or life-threatening condition and that generally provide a meaningful therapeutic advantage to patients over existing treatments. A product eligible for accelerated approval may be approved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In clinical trials, a surrogate endpoint is a measurement of laboratory or clinical signs of a disease or condition that substitutes for a direct measurement of how a patient feels, functions or survives. 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studies to demonstrate a clinical or survival benefit. The accelerated approval pathway is contingent on a sponsor’s agreement to conduct additional post-approval confirmatory studies to verify and describe the product’s clinical benefit. These confirmatory trials must be completed with due diligence and, in some cases, the FDA may require that the trial be designed, initiated and/or fully enrolled prior to approval.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standards for approval, but may expedite the development or approval process.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Pediatric Information</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Under the Pediatric Research Equity Act ("PREA"), an NDA or supplements to an NDA must contain data to assess the safety and effectiveness of the drug for the claimed indications in all relevant pediatric subpopulations and to support dosing and administration for each pediatric subpopulation for which the drug is safe and effective. The FDA may grant full or partial waivers, or deferrals, for submission of data. Unless otherwise required by regulation, PREA does not apply to any drug for an indication for which orphan designation has been granted, with certain exceptions.</w:t>
      </w:r>
    </w:p>
    <w:p>
      <w:pPr>
        <w:spacing w:after="0" w:line="200" w:lineRule="exact"/>
        <w:rPr>
          <w:sz w:val="20"/>
          <w:szCs w:val="20"/>
          <w:color w:val="auto"/>
        </w:rPr>
      </w:pPr>
    </w:p>
    <w:p>
      <w:pPr>
        <w:spacing w:after="0" w:line="20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21" w:name="page22"/>
    <w:bookmarkEnd w:id="21"/>
    <w:p>
      <w:pPr>
        <w:jc w:val="both"/>
        <w:spacing w:after="0" w:line="264" w:lineRule="auto"/>
        <w:rPr>
          <w:sz w:val="20"/>
          <w:szCs w:val="20"/>
          <w:color w:val="auto"/>
        </w:rPr>
      </w:pPr>
      <w:r>
        <w:rPr>
          <w:rFonts w:ascii="Times New Roman" w:cs="Times New Roman" w:eastAsia="Times New Roman" w:hAnsi="Times New Roman"/>
          <w:sz w:val="14"/>
          <w:szCs w:val="14"/>
          <w:color w:val="auto"/>
        </w:rPr>
        <w:t>The Best Pharmaceuticals for Children Act ("BPCA"), provides NDA holders a six-month extension of any exclusivity—patent or nonpatent—for a drug if certain conditions are met. Conditions for exclusivity include the FDA’s determination that information relating to the use of a new drug in the pediatric population may produce health benefits in that population, the FDA making a written request for pediatric studies, and the applicant agreeing to perform, and reporting on, the requested studies within the statutory timeframe. Applications under the BPCA are treated as priority applications, with all of the benefits that designation confers.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Post-Approval Requirements</w:t>
      </w:r>
    </w:p>
    <w:p>
      <w:pPr>
        <w:spacing w:after="0" w:line="1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Once an NDA is approved, a product will be subject to certain post-approval requirements. For instance, the FDA closely regulates the post-approval marketing and promotion of drugs, including standards and regulations for direct-to-consumer advertising, off-label promotion, industry-sponsored scientific and educational activities and promotional activities involving the internet. Drugs may be marketed only for the approved indications and in a manner consistent with the approved labeling.</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Adverse event reporting and submission of periodic reports are required following FDA approval of an NDA. The FDA also may require post-marketing testing, known as phase 4 testing, REMS, and surveillance to monitor the effects of an approved product, or the FDA may place conditions on an approval that could restrict the distribution or use of the product. In addition, quality control, drug manufacture, packaging and labeling procedures must continue to conform to cGMP after approval. Drug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 Accordingly, manufacturers must continue to expend time, money and effort in the areas of production and quality-control to maintain compliance with cGMP. Regulatory authorities may withdraw product approvals or request product recalls if a company fails to comply with regulatory standards, if it encounters problems following initial marketing, or if previously unrecognized problems are subsequently discovered.</w:t>
      </w:r>
    </w:p>
    <w:p>
      <w:pPr>
        <w:spacing w:after="0" w:line="1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or other restrictions under a REMS program. Other potential consequences include, among other things:</w:t>
      </w:r>
    </w:p>
    <w:p>
      <w:pPr>
        <w:spacing w:after="0" w:line="140" w:lineRule="exact"/>
        <w:rPr>
          <w:sz w:val="20"/>
          <w:szCs w:val="20"/>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the marketing or manufacturing of the product, suspension of the approval, complete withdrawal of the product from the market or a product recall;</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Fines, warning or other enforcement-related letters or holds on post-approval clinical studies;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of the FDA to approve pending NDAs or supplements to approved NDAs, or suspension or revocation of product license approvals;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seizure or detention, or refusal to permit the import or export of products; or</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Injunctions or the imposition of civil or criminal penalties.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Hatch-Waxman Act Orange Book Listing</w:t>
      </w:r>
    </w:p>
    <w:p>
      <w:pPr>
        <w:spacing w:after="0" w:line="1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Under the Drug Price Competition and Patent Term Restoration Act of 1984, commonly referred to as the Hatch Waxman Amendments, NDA applicants are required to identify to the FDA each patent whose claims cover the applicant’s drug or approved method of using the drug. Upon approval of a drug, the applicant must update its listing of patents to the NDA in timely fashion and each of the patents listed in the application for the drug is then published in the FDA’s Approved Drug Products with Therapeutic Equivalence Evaluations, commonly known as the Orange Book.</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Drugs listed in the Orange Book can, in turn, be cited by potential generic competitors in support of approval of an abbreviated new drug application ("ANDA"). An ANDA provides for marketing of a drug product that has the same active ingredient(s), strength, route of administration, and dosage form as the listed drug and has been shown through bioequivalence testing to be therapeutically equivalent to the listed drug. An approved ANDA product is considered to be therapeutically equivalent to the listed drug. Other than the requirement for bioequivalence testing, ANDA applicants are not required to conduct, or submit results of, pre-clinical or clinical tests to prove the safety or effectiveness of their drug product. Drugs approved under the</w:t>
      </w:r>
    </w:p>
    <w:p>
      <w:pPr>
        <w:spacing w:after="0" w:line="200" w:lineRule="exact"/>
        <w:rPr>
          <w:sz w:val="20"/>
          <w:szCs w:val="20"/>
          <w:color w:val="auto"/>
        </w:rPr>
      </w:pPr>
    </w:p>
    <w:p>
      <w:pPr>
        <w:spacing w:after="0" w:line="20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22" w:name="page23"/>
    <w:bookmarkEnd w:id="22"/>
    <w:p>
      <w:pPr>
        <w:jc w:val="both"/>
        <w:spacing w:after="0" w:line="287" w:lineRule="auto"/>
        <w:rPr>
          <w:sz w:val="20"/>
          <w:szCs w:val="20"/>
          <w:color w:val="auto"/>
        </w:rPr>
      </w:pPr>
      <w:r>
        <w:rPr>
          <w:rFonts w:ascii="Times New Roman" w:cs="Times New Roman" w:eastAsia="Times New Roman" w:hAnsi="Times New Roman"/>
          <w:sz w:val="14"/>
          <w:szCs w:val="14"/>
          <w:color w:val="auto"/>
        </w:rPr>
        <w:t>ANDA pathway are commonly referred to as “generic equivalents” to the listed drug and can often be substituted by pharmacists under prescriptions written for the original listed drug pursuant to each state’s laws on drug substitution.</w:t>
      </w:r>
    </w:p>
    <w:p>
      <w:pPr>
        <w:spacing w:after="0" w:line="1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ANDA applicant is required to certify to the FDA concerning any patents identified for the reference listed drug in the Orange Book. Specifically, the applicant must certify to each patent in one of the following ways: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A certification that the new product will not infringe the already approved product’s listed patents, or that such patents are invalid, is called a Paragraph IV certification. For patents listed that claim an approved method of use, under certain circumstances the ANDA applicant may also elect to submit a section viii statement certifying that its proposed ANDA label does not contain (or carves out) any language regarding the patented method-of-use rather than certify to a listed method-of-use patent. If the applicant does not challenge the listed patents through a Paragraph IV certification, the ANDA application will not be approved until all the listed patents claiming the referenced product have expired. If the ANDA applicant has provided a Paragraph IV certification to the FDA, the applicant must also send notice of the Paragraph IV certification to the NDA-holder and patentee(s) once the ANDA has been accepted for filing by the FDA (referred to as the “notice letter”). The NDA and patent holders may then initiate a patent infringement lawsuit in response to the notice letter. The filing of a patent infringement lawsuit within 45 days of the receipt of a Paragraph IV certification automatically prevents the FDA from approving the ANDA until the earlier of 30 months from the date the notice letter is received, expiration of the patent, the date of a settlement order or consent decree signed and entered by the court stating that the patent that is the subject of the certification is invalid or not infringed, or a decision in the patent case that is favorable to the ANDA applicant.</w:t>
      </w:r>
    </w:p>
    <w:p>
      <w:pPr>
        <w:spacing w:after="0" w:line="1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ANDA application also will not be approved until any applicable non-patent exclusivity listed in the Orange Book for the referenced product has expired. In some instances, an ANDA applicant may receive approval prior to expiration of certain non-patent exclusivity if the applicant seeks, and the FDA permits, the omission of such exclusivity-protected information from the ANDA prescribing information.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Exclusivity</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Upon an NDA approval of a new chemical entity ("NCE"), which is a drug that contains no active moiety that has been approved by the FDA in any other NDA, that drug receives five years of marketing exclusivity during which the FDA cannot receive any ANDA seeking approval of a generic version of that drug unless the application contains a Paragraph IV certification, in which case the application may be submitted one year prior to expiration of the NCE exclusivity. If there is no listed patent in the Orange Book, there may not be a Paragraph IV certification, and, thus, no ANDA for a generic version of the drug may be filed before the expiration of the exclusivity period.</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Certain changes to an approved drug, such as the approval of a new indication, the approval of a new strength, and the approval of a new condition of use, are associated with a three-year period of exclusivity from the date of approval during which the FDA cannot approve an ANDA for a generic drug that includes the change. In some instances, an ANDA applicant may receive approval prior to expiration of the three-year exclusivity if the applicant seeks, and the FDA permits, the omission of such exclusivity-protected information from the ANDA package insert.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Patent Term Extension</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Hatch Waxman Amendments permit a patent term extension as compensation for patent term lost during the FDA regulatory review process. Patent term extension, however, cannot extend the remaining term of a patent beyond a total of 14 years from the product’s approval date. After an NDA approval, owners of relevant drug patents may apply for the extension. The allowable patent term extension is calculated as half of the drug’s testing phase (the time between an IND application and an NDA submission) and all of the review phase (the time between an NDA submission and approval) up to a maximum of five years. The time can be reduced for any time the FDA determines that the applicant did not pursue approval with due diligence.</w:t>
      </w:r>
    </w:p>
    <w:p>
      <w:pPr>
        <w:spacing w:after="0" w:line="14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The United States Patent and Trademark Office ("USPTO"), in consultation with the FDA, reviews and approves the application for any patent term extension or restoration. However, the USPTO may not grant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requested.</w:t>
      </w:r>
    </w:p>
    <w:p>
      <w:pPr>
        <w:spacing w:after="0" w:line="31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total patent term after the extension may not exceed 14 years, and only one patent can be extended. The application for the extension must be submitted prior to the expiration of the patent, and for patents that might expire during the application phase, the patent owner may request an interim patent extension. An interim patent extension increases the patent term by one year and</w:t>
      </w:r>
    </w:p>
    <w:p>
      <w:pPr>
        <w:spacing w:after="0" w:line="38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23" w:name="page24"/>
    <w:bookmarkEnd w:id="23"/>
    <w:p>
      <w:pPr>
        <w:jc w:val="both"/>
        <w:spacing w:after="0" w:line="287" w:lineRule="auto"/>
        <w:rPr>
          <w:sz w:val="20"/>
          <w:szCs w:val="20"/>
          <w:color w:val="auto"/>
        </w:rPr>
      </w:pPr>
      <w:r>
        <w:rPr>
          <w:rFonts w:ascii="Times New Roman" w:cs="Times New Roman" w:eastAsia="Times New Roman" w:hAnsi="Times New Roman"/>
          <w:sz w:val="14"/>
          <w:szCs w:val="14"/>
          <w:color w:val="auto"/>
        </w:rPr>
        <w:t>may be renewed up to four times. For each interim patent extension granted, the post-approval patent extension is reduced by one year. The director of the USPTO must determine that approval of the drug covered by the patent for which a patent extension is being sought is likely. Interim patent extensions are not available for a drug for which an NDA has not been submitted.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Coverage, Pricing, and Reimbursement</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the United States and in foreign markets, sales of pharmaceutical products depend, in part, on the extent to which third-party payors provide coverage and establish adequate reimbursement levels for such products. In the United States, third-party payors include federal and state healthcare programs, private managed care providers, health insurers and other organizations. Adequate coverage and reimbursement from governmental healthcare programs, such as Medicare and Medicaid in the United States, and commercial payors are critical to new product acceptance.</w:t>
      </w:r>
    </w:p>
    <w:p>
      <w:pPr>
        <w:spacing w:after="0" w:line="13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or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In the United States, no uniform policy of coverage and reimbursement for products exists among third-party payors. Therefore, coverage and reimbursement for products can differ significantly from payor to payor. Decisions regarding the extent of coverage and amount of reimbursement to be provided for each of our product candidates will be made on a plan-by-plan basis. One payor’s determination to provide coverage for a product does not assure that other payors will also provide coverage, and adequate reimbursement, for the product. Additionally,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Healthcare Laws</w:t>
      </w:r>
    </w:p>
    <w:p>
      <w:pPr>
        <w:spacing w:after="0" w:line="17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to FDA restrictions on marketing of pharmaceutical products, several other types of state and federal laws have been applied to restrict certain general business and marketing practices in the pharmaceutical industry in recent years. These laws include anti-kickback statutes, false claims statutes and other healthcare laws and regulations.</w:t>
      </w:r>
    </w:p>
    <w:p>
      <w:pPr>
        <w:spacing w:after="0" w:line="1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federal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This statute has been interpreted to apply to arrangements between pharmaceutical manufacturers on the one hand and prescribers, purchasers and formulary managers, among others, on the other. Although there are a number of statutory exceptions and regulatory safe harbors protecting certain common activities from prosecution or other regulatory sanctions, the exceptions and safe harbors are drawn narrowly, and practices that involve remuneration intended to induce prescribing, purchases or recommendations may be subject to scrutiny if they do not qualify for an exception or safe harbor. In addition, a person or entity does not need to have actual knowledge of the statute or specific intent to violate it in order to commit a violation.</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Federal civil and criminal false claims laws, including the federal civil False Claims Act, prohibit any person or entity from knowingly presenting, or causing to be presented, a false claim for payment to the federal government, or knowingly making, or causing to be made, a false statement to have a false claim paid. This includes claims made to programs where the federal government reimburses, such as Medicare and Medicaid, as well as programs where the federal government is a direct purchaser, such as when it purchases off the Federal Supply Schedule. Recently, several pharmaceutical and other healthcare companies have been prosecuted under these laws for allegedly inflating drug prices they report to pricing services, which in</w:t>
      </w:r>
    </w:p>
    <w:p>
      <w:pPr>
        <w:spacing w:after="0" w:line="200" w:lineRule="exact"/>
        <w:rPr>
          <w:sz w:val="20"/>
          <w:szCs w:val="20"/>
          <w:color w:val="auto"/>
        </w:rPr>
      </w:pPr>
    </w:p>
    <w:p>
      <w:pPr>
        <w:spacing w:after="0" w:line="20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14"/>
          <w:szCs w:val="14"/>
          <w:color w:val="auto"/>
        </w:rPr>
        <w:t>turn were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may also violate false claims laws. Additionally, the government may assert that a claim including items or services resulting from a violation of the federal Anti-Kickback Statute constitutes a false or fraudulent claim for purposes of the federal civil False Claims Act. Most states also have statutes or regulations similar to the federal Anti-Kickback Statute and civil False Claims Act, which apply to items and services reimbursed under Medicaid and other state programs, or, in several states, apply regardless of the payor.</w:t>
      </w:r>
    </w:p>
    <w:p>
      <w:pPr>
        <w:spacing w:after="0" w:line="1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Other federal statutes pertaining to healthcare fraud and abuse include the civil monetary penalties statute, which prohibits, among other things, the offer or payment of remuneration to a Medicaid or Medicare beneficiary that the offerer or payor knows or should know is likely to influence the beneficiary to order a receive a reimbursable item or service from a particular supplier, and the additional federal criminal statutes created by the Health Insurance Portability and Accountability Act of 1996 ("HIPAA"), which prohibits, among other things, knowingly and 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 Similar to the federal Anti-Kickback Statute, a person or entity does not need to have actual knowledge of the statute or specific intent to violate it in order to commit a violation.</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Further, pursuant to the Patient Protection and Affordable Care Act, as amended by the Health Care and Education Reconciliation (the “Affordable Care Act” or the “ACA”), CMS has issued a final rule that requires manufacturers of prescription drugs to collect and report information on certain payments or transfers of value to physicians (defined to include doctors, dentists, optometrists, podiatrists and chiropractors), other healthcare professionals (such as physicians assistants and nurse practitioners), and teaching hospitals, as well as investment interests held by physicians and their immediate family members. The reports must be submitted on an annual basis. The reported data is made available in searchable form on a public website on an annual basis. Failure to submit required information may result in civil monetary penalties.</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HIPAA, as amended by the Health Information Technology for Economic and Clinical Health Act and its implementing regulations, imposes obligations, including mandatory contractual terms, on covered entities, business associates and their covered subcontractors with respect to safeguarding the privacy, security and transmission of individually identifiable health information.</w:t>
      </w:r>
    </w:p>
    <w:p>
      <w:pPr>
        <w:spacing w:after="0" w:line="1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addition, several states now require prescription drug companies to report certain expenses relating to the marketing and promotion of drug products and to report gifts and payments to individual healthcare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drug pricing information, including information pertaining to and justifying price increases. In addition, states such as California, Connecticut, Nevada and Massachusetts require pharmaceutical companies to implement compliance programs and/or marketing codes. Several additional states are considering similar proposals. Certain states and local jurisdictions also require the registration of pharmaceutical sales and medical representatives. Compliance with these laws is difficult and time consuming, and companies that do not comply with these state laws face civil penalties.</w:t>
      </w:r>
    </w:p>
    <w:p>
      <w:pPr>
        <w:spacing w:after="0" w:line="1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Efforts to ensure that business arrangements with third parties comply with applicable healthcare laws and regulations involve substantial costs. If a drug company’s operations are found to be in violation of any such requirements, it may be subject to significant penalties, including civil, criminal and administrative penalties, damages, fines, disgorgement, imprisonment, the curtailment or restructuring of its operations, loss of eligibility to obtain approvals from the FDA, exclusion from participation in government contracting, healthcare reimbursement or other federal or state government healthcare programs, including Medicare and Medicaid, integrity oversight and reporting obligations, imprisonment, and reputational harm. Although effective compliance programs can mitigate the risk of investigation and prosecution for violations of these laws, these risks cannot be entirely eliminated. Any action for an alleged or suspected violation can cause a drug company to incur significant legal expenses and divert management’s attention from the operation of the business, even if such action is successfully defended.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 Healthcare Reform</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the United States there have been, and continue to be, proposals by the federal government, state governments, regulators and third-party payors to control or manage the increased costs of health care and, more generally, to reform the U.S. healthcare system. The pharmaceutical industry has been a particular focus of these efforts and has been significantly affected by major legislative initiatives. For example, in March 2010, the ACA was enacted, which intended to broaden access to health insurance, reduce or constrain the growth of healthcare spending, enhance remedies against fraud and abuse, add new transparency requirements for the healthcare and health insurance industries, impose new taxes and fees on the health industry</w:t>
      </w:r>
    </w:p>
    <w:p>
      <w:pPr>
        <w:spacing w:after="0" w:line="200" w:lineRule="exact"/>
        <w:rPr>
          <w:sz w:val="20"/>
          <w:szCs w:val="20"/>
          <w:color w:val="auto"/>
        </w:rPr>
      </w:pPr>
    </w:p>
    <w:p>
      <w:pPr>
        <w:spacing w:after="0" w:line="20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25" w:name="page26"/>
    <w:bookmarkEnd w:id="25"/>
    <w:p>
      <w:pPr>
        <w:jc w:val="both"/>
        <w:spacing w:after="0" w:line="256" w:lineRule="auto"/>
        <w:rPr>
          <w:sz w:val="20"/>
          <w:szCs w:val="20"/>
          <w:color w:val="auto"/>
        </w:rPr>
      </w:pPr>
      <w:r>
        <w:rPr>
          <w:rFonts w:ascii="Times New Roman" w:cs="Times New Roman" w:eastAsia="Times New Roman" w:hAnsi="Times New Roman"/>
          <w:sz w:val="14"/>
          <w:szCs w:val="14"/>
          <w:color w:val="auto"/>
        </w:rPr>
        <w:t>and impose additional health policy reforms, substantially changed the way healthcare is financed by both governmental and private insurers, and significantly impacts the U.S. pharmaceutical industry. The ACA, among other things, (i) subjected therapeutic biologics to potential competition by lower-cost biosimilars by creating a licensure framework for follow-on biologic products, (ii) proscribed a new methodology by which rebates owed by manufacturers under the Medicaid Drug Rebate Program are calculated for drugs and therapeutic biologics that are inhaled, infused, instilled, implanted or injected, (iii) increased the minimum Medicaid rebates owed by manufacturers under the Medicaid Drug Rebate Program and extended the rebate program to individuals enrolled in Medicaid managed care organizations, (iv) established annual nondeductible fees and taxes on manufacturers of certain branded prescription drugs and therapeutic biologics, apportioned among these entities according to their market share in certain government healthcare programs, (v) established a new Medicare Part D coverage gap discount program, in which manufacturers must agree to offer 50% (now 70%) point of-sale discounts off negotiated prices of applicable brand drugs and therapeutic biologics to eligible beneficiaries during their coverage gap period, as a condition for the manufacturer’s outpatient drugs and therapeutic biologics to be covered under Medicare Part D, (vi) 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(vii) expanded the entities eligible for discounts under the Public Health program, (viii) created a new Patient-Centered Outcomes Research Institute to oversee, identify priorities in, and conduct comparative clinical effectiveness research, along with funding for such research, and (ix) established a Center for Medicare Innovation at CMS to test innovative payment and service delivery models to lower Medicare and Medicaid spending, potentially including prescription drug spending.</w:t>
      </w:r>
    </w:p>
    <w:p>
      <w:pPr>
        <w:spacing w:after="0" w:line="157"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There have been judicial, executive brand, and Congressional challenges to certain aspects of the ACA, to repeal or replace certain aspects, of the ACA. By way of example, the Tax Cuts and Jobs Act of 2017 (the "Tax Act"), was enacted and included, among other things, a provision that repealed, effective January 1, 2019, the tax-based shared responsibility payment imposed by the ACA on certain individuals who fail to maintain qualifying health coverage for all or part of a year that is commonly referred to as the “individual mandate.” There have been subsequent challenges to the constitutionality of the ACA following the repeal of the individual mandate. On June 17, 2021, the U.S. Supreme Court dismissed a challenge on procedural grounds that argued the ACA is unconstitutional in its entirety because the individual mandate was repealed by Congress. Thus, the ACA will remain in effect in its current form. However, it is possible that the ACA will be subject to judicial or Congressional challenges in the future. It is unclear how such challenges will impact the ACA. Tempest cannot predict the ultimate content, timing or effect of any healthcare reform legislation or the impact of potential legislation on its business.</w:t>
      </w:r>
    </w:p>
    <w:p>
      <w:pPr>
        <w:spacing w:after="0" w:line="1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other legislative changes have been proposed and adopted in the United States since the ACA was enacted to reduce healthcare expenditures. On August 2, 2011, the Budget Control Act of 2011, was enacted which, among other things, included aggregate reductions of Medicare payments to providers of 2% per fiscal year. These reductions went into effect on April 1, 2013 and, due to subsequent legislative amendments to the statute will remain in effect through 2031, with the exception of a temporary suspension from May 1, 2020 through March 31, 2022, unless additional Congressional action is taken. Under current legislation, the actual reduction in Medicare payments will vary from 1% in 2022 to up to 3% in the final fiscal year of this sequester.</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Moreover,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Tempest’s ability to develop, market and sell any products Tempest may develop.</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Moreover, payment methodologies may be subject to changes in healthcare legislation and regulatory initiatives. For example, the Medicare Prescription Drug, Improvement, and Modernization Act of 2003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While the MMA only applies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Recently there has been heightened governmental scrutiny over the manner in which manufacturers set prices for their marketed products, which has resulted in several Congressional inquiries and proposed and enacted federal and state legislation designed</w:t>
      </w:r>
    </w:p>
    <w:p>
      <w:pPr>
        <w:spacing w:after="0" w:line="38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26" w:name="page27"/>
    <w:bookmarkEnd w:id="26"/>
    <w:p>
      <w:pPr>
        <w:jc w:val="both"/>
        <w:spacing w:after="0" w:line="258" w:lineRule="auto"/>
        <w:rPr>
          <w:sz w:val="20"/>
          <w:szCs w:val="20"/>
          <w:color w:val="auto"/>
        </w:rPr>
      </w:pPr>
      <w:r>
        <w:rPr>
          <w:rFonts w:ascii="Times New Roman" w:cs="Times New Roman" w:eastAsia="Times New Roman" w:hAnsi="Times New Roman"/>
          <w:sz w:val="14"/>
          <w:szCs w:val="14"/>
          <w:color w:val="auto"/>
        </w:rPr>
        <w:t>to, among other things, bring more transparency to product pricing, review the relationship between pricing and manufacturer patient programs, and reform government program reimbursement methodologies for drug products. At the federal level,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Additionally, on May 30, 2018, the Trickett Wendler, Frank Mongiello, Jordan McLinn, and Matthew Bellina Right to Try Act of 2017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authorization under an FDA expanded access program; however, manufacturers are not obligated to provide investigational new drug products under the current federal right to try law.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Facilities</w:t>
      </w:r>
    </w:p>
    <w:p>
      <w:pPr>
        <w:spacing w:after="0" w:line="1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corporate headquarters are located at 7000 Shoreline Court, Suite 275, South San Francisco, California 94080 where we occupy approximately 9,780 square feet of research and development laboratory and related office space under a lease that ends in February 2024. In addition, in January 2022 we entered into an agreement to lease approximately an additional 20,116 square feet of laboratory and office space at 2000 Sierra Point Parkway, Brisbane, California 94005, which we anticipate occupying beginning in November 2022. We believe that our existing facilities meet our current needs. We may need additional office space in the future as we continue to build our development, commercial and support teams. We believe that we can find suitable additional space in the future on commercially reasonable terms.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Employees and Human Capital Resources</w:t>
      </w:r>
    </w:p>
    <w:p>
      <w:pPr>
        <w:spacing w:after="0" w:line="18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4"/>
          <w:szCs w:val="14"/>
          <w:color w:val="auto"/>
        </w:rPr>
        <w:t>As of December 31, 2021, we had 17 employees, including ten holding Ph.D., M.D., JD, LL.M., and/or MBA degrees, our employees have established internal expertise in chemistry, biochemistry, molecular biology, immunology, pharmacology, toxicology, pre-clinical development, regulatory and quality, translational medicine, and early-to-late-stage clinical development, as well as finance, business development and strategic transactions. None of our employees are represented by a labor union or covered by collective bargaining agreements. We will continue to add experienced and talented scientists in areas, such as medicinal chemistry, that we believe are critical for the discovery of highly differentiated small-molecule compounds.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Compensation and Benefits</w:t>
      </w:r>
    </w:p>
    <w:p>
      <w:pPr>
        <w:spacing w:after="0" w:line="19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consider a number of measures and objectives in managing our human capital assets, including, among others, employee engagement, development and training, talent acquisition and retention, employee safety and wellness, diversity and inclusion, and compensation and pay equity. We provide our employees with salaries and bonuses intended to be competitive for our industry, opportunities for equity ownership, development programs that enable continued learning and growth and a benefits package to promote well-being across all aspects of their lives, including health care, retirement planning and paid time off. The principal purposes of our equity incentive plans are to attract, retain and motivate selected employees, consultants and directors through the granting of equity-based compensation awards and cash-based compensation awards, in order to increase stockholder value and the success of our company by motivating such individuals to perform to the best of their abilities and achieve our objectives.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Diversity, Equity and Inclusion (DEI)</w:t>
      </w:r>
    </w:p>
    <w:p>
      <w:pPr>
        <w:spacing w:after="0" w:line="18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4"/>
          <w:szCs w:val="14"/>
          <w:color w:val="auto"/>
        </w:rPr>
        <w:t>We believe that a diverse workforce is important to our success and we are fundamentally committed to creating and maintaining a work environment in which employees are treated fairly, with dignity, decency, respect and in accordance with all applicable laws. We understand that varied perspectives lead to the best ideas and outcomes. We believe that by creating a workplace where every individual can feel welcome and valued, we will be better able to achieve our corporate objectives. All employees must adhere to a code of business conduct and ethics and our employee handbook, which combined, define standards for appropriate behavior. Our recruitment, hiring, development, training, compensation, and advancement is based on qualifications, performance, skills, and experience without regard to gender, gender identity, sexual orientation, race, or</w:t>
      </w:r>
    </w:p>
    <w:p>
      <w:pPr>
        <w:spacing w:after="0" w:line="200" w:lineRule="exact"/>
        <w:rPr>
          <w:sz w:val="20"/>
          <w:szCs w:val="20"/>
          <w:color w:val="auto"/>
        </w:rPr>
      </w:pPr>
    </w:p>
    <w:p>
      <w:pPr>
        <w:spacing w:after="0" w:line="210"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color w:val="auto"/>
        </w:rPr>
        <w:t>ethnicity. People of color and those who are part of underrepresented groups in the biotech industry are encouraged to apply for open positions.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internet website address is www.Tempesttx.com. In addition to the information about us and our subsidiaries contained in this Annual Report, information about us can be found on our website.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website and information included in or linked to our website are not part of this Annual Report.</w:t>
      </w:r>
    </w:p>
    <w:p>
      <w:pPr>
        <w:spacing w:after="0" w:line="1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Our annual reports on Form 10-K, quarterly reports on Form 10-Q, current reports on Form 8-K and amendments to those reports filed or furnished pursuant to Section 13(a) or 15(d) of the Securities Exchange Act of 1934, as amended, are available free of charge through our website as soon as reasonably practicable after they are electronically filed with or furnished to the Securities and Exchange Commission ("SEC"). Additionally, the SEC maintains an internet site that contains reports, proxy and information statements and other information. The address of the SEC’s website is www.sec.gov.</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Our business involves significant risks, some of which are described below. You should carefully consider the risks described below, together with all of the other information contained in this Annual Report on Form 10-K, including the section entitled “Management’s Discussion and Analysis of Financial Condition and Results of Operations” and the financial statements and the related notes. Any of these events could cause the trading price of our common stock to decline, which would cause you to lose all or part of your investment.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or may make from time to time. Such risks may be amplified by the COVID-19 pandemic and its potential impact on our business and the global economy.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Summary of Selected Risks Associated with Our Business</w:t>
      </w:r>
    </w:p>
    <w:p>
      <w:pPr>
        <w:spacing w:after="0" w:line="3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business is subject to numerous risks and uncertainties, including those discussed at length in the section titled "Risk Factors." Below is a summary of some of the risks and uncertainties as of the date of the filing of this Annual Report on Form 10-K, any one of which could materially adversely affect our business, financial condition, operating results, and prospects. You should read this summary together with the more detailed description of each risk factor contained below.</w:t>
      </w:r>
    </w:p>
    <w:p>
      <w:pPr>
        <w:spacing w:after="0" w:line="157" w:lineRule="exact"/>
        <w:rPr>
          <w:sz w:val="20"/>
          <w:szCs w:val="20"/>
          <w:color w:val="auto"/>
        </w:rPr>
      </w:pPr>
    </w:p>
    <w:p>
      <w:pPr>
        <w:jc w:val="both"/>
        <w:ind w:left="520" w:hanging="260"/>
        <w:spacing w:after="0" w:line="270"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history of operating losses, and we may not achieve or sustain profitability. We anticipate that we will continue to incur losses for the foreseeable future. If we fail to obtain additional funding to conduct our planned research and development efforts, we could be forced to delay, reduce or eliminate our product development programs or commercial development efforts.</w:t>
      </w:r>
    </w:p>
    <w:p>
      <w:pPr>
        <w:spacing w:after="0" w:line="146" w:lineRule="exact"/>
        <w:rPr>
          <w:rFonts w:ascii="Times New Roman" w:cs="Times New Roman" w:eastAsia="Times New Roman" w:hAnsi="Times New Roman"/>
          <w:sz w:val="14"/>
          <w:szCs w:val="14"/>
          <w:color w:val="auto"/>
        </w:rPr>
      </w:pPr>
    </w:p>
    <w:p>
      <w:pPr>
        <w:ind w:left="520" w:right="40" w:hanging="260"/>
        <w:spacing w:after="0" w:line="255"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expect that we will need to raise additional funding to finance our operations. This additional financing may not be available on acceptable terms or at all. Failure to obtain this necessary capital when needed may force us to delay, limit or terminate our product development efforts or other operations.</w:t>
      </w:r>
    </w:p>
    <w:p>
      <w:pPr>
        <w:spacing w:after="0" w:line="156"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identified material weaknesses in our internal control over financial reporting. Failure to achieve and maintain effective internal control over financial reporting could harm our business and negatively impact the value of our common stock.</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develop, obtain regulatory approval for and commercialize TPST-1495 and TPST-1120 and its future product candidates, or if we experience significant delays in doing so, our business will be materially harmed.</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 in preclinical studies and earlier clinical trials for our product candidates may not be indicative of the results that may be obtained in later clinical trials, which may delay or prevent obtaining regulatory approval.</w:t>
      </w:r>
    </w:p>
    <w:p>
      <w:pPr>
        <w:spacing w:after="0" w:line="145"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ongoing COVID-19 pandemic, or similar public health crises, could have a material adverse impact on our business, financial condition and results of operations, including the execution of our planned clinical trials.</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successful in our efforts to expand our pipeline of product candidates and develop marketable products.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28" w:name="page29"/>
    <w:bookmarkEnd w:id="28"/>
    <w:p>
      <w:pPr>
        <w:ind w:left="520" w:hanging="260"/>
        <w:spacing w:after="0" w:line="287"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commercial success of our product candidates, including TPST-1495 and TPST-1120, will depend upon their degree of market acceptance by providers, patients, patient advocacy groups, third-party payors and the general medical community.</w:t>
      </w:r>
    </w:p>
    <w:p>
      <w:pPr>
        <w:spacing w:after="0" w:line="124"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significant competition in an environment of rapid technological change, and it is possible that our competitors may achieve regulatory approval before us or develop therapies that are more advanced or effective than ours, which may harm our business, financial condition and ability to successfully market or commercialize TPST-1495, TPST-1120, and our other product candidates.</w:t>
      </w:r>
    </w:p>
    <w:p>
      <w:pPr>
        <w:spacing w:after="0" w:line="135" w:lineRule="exact"/>
        <w:rPr>
          <w:rFonts w:ascii="Times New Roman" w:cs="Times New Roman" w:eastAsia="Times New Roman" w:hAnsi="Times New Roman"/>
          <w:sz w:val="14"/>
          <w:szCs w:val="14"/>
          <w:color w:val="auto"/>
        </w:rPr>
      </w:pPr>
    </w:p>
    <w:p>
      <w:pPr>
        <w:ind w:left="520" w:hanging="260"/>
        <w:spacing w:after="0" w:line="263"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establish sales and marketing capabilities or enter into agreements with third parties to market and sell our product candidates, we may be unable to generate any revenues.</w:t>
      </w:r>
    </w:p>
    <w:p>
      <w:pPr>
        <w:spacing w:after="0" w:line="332"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successful in finding strategic collaborators for continuing development of certain of our future product candidates or successfully commercializing or competing in the market for certain indications.</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Food and Drug Administration (“FDA”) regulatory approval process is lengthy and time-consuming, and we may experience significant delays in the clinical development and regulatory approval of our product candidates.</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expect to expand our development and regulatory capabilities, and as a result, we may encounter difficulties in managing our growth, which could disrupt our operations.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maintain proper and effective internal controls, our ability to produce accurate financial statements on a timely basis could be impaired.</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Financial Position and Capital Needs</w:t>
      </w:r>
    </w:p>
    <w:p>
      <w:pPr>
        <w:spacing w:after="0" w:line="17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have a history of operating losses, and we may not achieve or sustain profitability. We anticipate that we will continue to incur losses for the foreseeable future. If we fail to obtain additional funding to conduct our planned research and development efforts, we could be forced to delay, reduce or eliminate our product development programs or commercial development efforts.</w:t>
      </w:r>
    </w:p>
    <w:p>
      <w:pPr>
        <w:spacing w:after="0" w:line="1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are a clinical-stage biotechnology company with a limited operating history. Biotechnology product development is a highly speculative undertaking and involves a substantial degree of risk. Our operations to date have been limited primarily to organizing and staffing, business planning, raising capital, acquiring and developing product and technology rights, manufacturing, and conducting research and development activities for our product candidates. We have never generated any revenue from product sales and we have not obtained regulatory approvals for any of our product candidates.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incurred net losses of $19.2 million and $28.3 million for the years ended December 31, 2020 and 2021, respectively. As of December 31, 2021, we had an accumulated deficit of $100.1 million.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several years and for the foreseeable future as we continue to conduct research and development, clinical testing, regulatory compliance activities, manufacturing activities, and, if any of our product candidates is approved, sales and marketing activities. Our prior losses, combined with our expected future losses, have had and will continue to have an adverse effect on our stockholders’ equity and working capital.</w:t>
      </w:r>
    </w:p>
    <w:p>
      <w:pPr>
        <w:spacing w:after="0" w:line="141"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expect that we will need to raise additional funding to finance our operations. This additional financing may not be available on acceptable terms or at all. Failure to obtain this necessary capital when needed may force us to delay, limit or terminate our product development efforts or other operations.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will require substantial future capital in order to complete planned and future preclinical and clinical development for our product candidates and potentially commercialize these product candidates. We expect our spending levels to increase in connection with our preclinical studies and clinical trials of our product candidates. In addition, if we obtain marketing approval for any of our product candidates, we expect to incur significant expenses related to commercial launch, product sales, medical affairs, marketing, manufacturing and distribution. Furthermore, we expect to incur additional costs associated with operating as a public company. Accordingly, we will need to obtain substantial additional funding in connection with our continuing operations before any commercial revenue may occur.</w:t>
      </w:r>
    </w:p>
    <w:p>
      <w:pPr>
        <w:spacing w:after="0" w:line="200" w:lineRule="exact"/>
        <w:rPr>
          <w:sz w:val="20"/>
          <w:szCs w:val="20"/>
          <w:color w:val="auto"/>
        </w:rPr>
      </w:pPr>
    </w:p>
    <w:p>
      <w:pPr>
        <w:spacing w:after="0" w:line="20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9" w:name="page30"/>
    <w:bookmarkEnd w:id="29"/>
    <w:p>
      <w:pPr>
        <w:jc w:val="both"/>
        <w:spacing w:after="0" w:line="270" w:lineRule="auto"/>
        <w:rPr>
          <w:sz w:val="20"/>
          <w:szCs w:val="20"/>
          <w:color w:val="auto"/>
        </w:rPr>
      </w:pPr>
      <w:r>
        <w:rPr>
          <w:rFonts w:ascii="Times New Roman" w:cs="Times New Roman" w:eastAsia="Times New Roman" w:hAnsi="Times New Roman"/>
          <w:sz w:val="14"/>
          <w:szCs w:val="14"/>
          <w:color w:val="auto"/>
        </w:rPr>
        <w:t>Additional capital might not be available when we need it and our actual cash requirements might be greater than anticipated. If we require additional capital at a time when investment in our industry or in the marketplace in general is limited, we might not be able to raise funding on favorable terms, if at all. If we are not able to obtain financing when needed or on terms favorable to us, we may need to delay, reduce or eliminate certain research and development programs or other operations, sell some or all of our assets or merge with another entity.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operations have consumed significant amounts of cash since inception. Our future capital requirements will depend on many factors, including:</w:t>
      </w:r>
    </w:p>
    <w:p>
      <w:pPr>
        <w:spacing w:after="0" w:line="179" w:lineRule="exact"/>
        <w:rPr>
          <w:sz w:val="20"/>
          <w:szCs w:val="20"/>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the scope, progress and results of discovery, preclinical development, laboratory testing and clinical trials for our product candidates;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the manufacturing of our product candidates;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related to the extent to which we enter into partnerships or other arrangements with third parties to further develop our product candidates;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fees associated with the discovery, acquisition or in-license of product candidates or technologies;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collaborations on favorable terms, if at all;</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future commercialization activities, if any, including product sales, marketing, manufacturing and distribution, for any of our product candidates for which we receive marketing approval;</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if any, received from commercial sales of our product candidates, should any of our product candidates receive marketing approval; and</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preparing, filing and prosecuting patent applications, maintaining and enforcing our intellectual property rights and defending intellectual property-related claims.</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product candidates, if approved, may not achieve commercial success. Our commercial revenues, if any, will be derived from sales of product candidates that we do not expect to be commercially available for many years, if at all. Accordingly, we will need to continue to rely on additional financing to achieve our business objectives, which may not be available to us on acceptable terms, or at all.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limited operating history may make it difficult for you to evaluate the success of our business to date and to assess our future viability.</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operations to date have been limited to organizing and staffing, business planning, raising capital, acquiring our technology, identifying potential product candidates, undertaking research and preclinical studies of our product candidates, manufacturing, and establishing licensing arrangements. We have not yet demonstrated the ability to complete clinical trials of our product candidates, obtain marketing approvals, manufacture a commercial scale product or conduct sales and marketing activities necessary for successful commercialization. Consequently, any predictions you make about our future success or viability may not be as accurate as they could be if we had a longer operating history.</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as a new business, we may encounter unforeseen expenses, difficulties, complications, delays and other known and unknown factors. We will need to transition from a company with a licensing and research focus to a company that is also capable of supporting clinical development and commercial activities. We may not be successful in such a transition.</w:t>
      </w:r>
    </w:p>
    <w:p>
      <w:pPr>
        <w:spacing w:after="0" w:line="31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have identified material weaknesses in our internal control over financial reporting. Failure to achieve and maintain effective internal control over financial reporting could harm our business and negatively impact the value of our common stock.</w:t>
      </w:r>
    </w:p>
    <w:p>
      <w:pPr>
        <w:spacing w:after="0" w:line="13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In connection with the preparation and audit of our financial statements as of and for the year ended December 31, 2020, a material weakness was identified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Specifically, we identified the following material weaknesses in our internal control over financial reporting:</w:t>
      </w:r>
    </w:p>
    <w:p>
      <w:pPr>
        <w:spacing w:after="0" w:line="200" w:lineRule="exact"/>
        <w:rPr>
          <w:sz w:val="20"/>
          <w:szCs w:val="20"/>
          <w:color w:val="auto"/>
        </w:rPr>
      </w:pPr>
    </w:p>
    <w:p>
      <w:pPr>
        <w:spacing w:after="0" w:line="35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30" w:name="page31"/>
    <w:bookmarkEnd w:id="30"/>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have sufficient resources with appropriate knowledge and expertise to design, implement, document and operate effective internal controls over financial reporting.</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and implement controls surrounding review of clinical trial expenses, including the evaluation of the terms of our clinical trial contracts. Specifically, we failed to properly review and evaluate the progress of expenses incurred in our clinical trial contracts that resulted in the inaccurate accrual of clinical trial expenses.</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These material weaknesses resulted in adjustments to our financial statements for the year ended December 31, 2020. Additionally, these material weaknesses could result in a misstatement of our accounts or disclosures that would result in a material misstatement of our annual or interim financial statements that would not be prevented or detected.</w:t>
      </w:r>
    </w:p>
    <w:p>
      <w:pPr>
        <w:spacing w:after="0" w:line="1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are actively recruiting additional accounting personnel with appropriate experience, certification, education and training as a component of our plans to remediate the material weaknesses. We also plan to design and implement controls related to review of clinical trial expenses to properly evaluate progress of expense incurred in clinical trial contracts. To the extent that we are not able to hire and retain such individuals, or is unable to successfully design and implement such controls, the material weaknesses identified may not be remediated and management may be required to record additional adjustments to our financial statements in the future.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utilize our net operating loss carryforwards and tax credit carryforwards may be subject to limitations.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ability to use our federal and state net operating losses (“NOLs”) to offset potential future taxable income and related income taxes that would otherwise be due is dependent upon our generation of future taxable income, and we cannot predict with certainty when, or whether, we will generate sufficient taxable income to use all of our NOLs.</w:t>
      </w:r>
    </w:p>
    <w:p>
      <w:pPr>
        <w:spacing w:after="0" w:line="1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Under Section 382 and Section 383 of the Code and corresponding provisions of state law, if a corporation undergoes an “ownership change,” its ability to use its pre-change NOL carryforwards and other pre-change tax attributes (such as research tax credits) to offset its post-change income or taxes may be limited. A Section 382 “ownership change” is generally defined as a greater than 50 percentage point change (by value) in its equity ownership by certain stockholders over a three-year period. We may have experienced ownership changes in the past, including as a result of the merger with Millendo, and may experience ownership changes in the future due to subsequent shifts in our stock ownership (some of which are outside of our control). Furthermore, the merger constituted an ownership change (within the meaning of Section 382 of the Code) of Millendo which may have eliminated or otherwise substantially limited our ability to use Millendo’s federal and state NOLs to offset our future taxable income. Consequently, even if we achieve profitability, we may not be able to utilize a material portion of Tempest prior to the merger, Millendo’s or our combined NOL carryforwards and other tax attributes, which could have a material adverse effect on cash flow and results of operations. Similar provisions of state tax law may also apply to limit our ability to use of accumulated state tax attributes. There is also a risk that due to regulatory changes, such as suspensions on the use of NOLs, or other unforeseen reasons, our existing NOLs could expire or otherwise be unavailable to offset future income tax liabilities.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and Strategy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expect to expand our development and regulatory capabilities, and as a result, we may encounter difficulties in managing our growth, which could disrupt our operations.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expect to experience significant growth in the number of our employees and the scope of our operations, particularly in the areas of product candidate development, growing our capability to conduct clinical trials, and, if approved, through commercialization of our product candidates. To manage our anticipated future growth, we must continue to implement and improve our managerial, operational and financial systems, expand our facilities and continue to recruit and train additional qualified personnel, or contract with third parties to provide these capabilities.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must attract and retain highly skilled employees to succeed.</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harm our</w:t>
      </w:r>
    </w:p>
    <w:p>
      <w:pPr>
        <w:spacing w:after="0" w:line="38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31" w:name="page32"/>
    <w:bookmarkEnd w:id="31"/>
    <w:p>
      <w:pPr>
        <w:jc w:val="both"/>
        <w:spacing w:after="0" w:line="261" w:lineRule="auto"/>
        <w:rPr>
          <w:sz w:val="20"/>
          <w:szCs w:val="20"/>
          <w:color w:val="auto"/>
        </w:rPr>
      </w:pPr>
      <w:r>
        <w:rPr>
          <w:rFonts w:ascii="Times New Roman" w:cs="Times New Roman" w:eastAsia="Times New Roman" w:hAnsi="Times New Roman"/>
          <w:sz w:val="14"/>
          <w:szCs w:val="14"/>
          <w:color w:val="auto"/>
        </w:rPr>
        <w:t>results of operations and increase our capabilities to successfully commercialize our product candidates. In particular, we believe that our future success is highly dependent upon the contributions of our senior management, particularly our Chief Executive Officer, Stephen Brady, our President, Thomas Dubensky and our Chief Medical Officer, Sam Whiting. The loss of services of Messrs. Dubensky or Brady or Whiting, or any of our other senior management, could delay or prevent the successful development of our product pipeline, completion of our planned clinical trials or the commercialization of our product candidates, if approved. The competition for qualified personnel in the biotechnology field is intense and as a result, we may be unable to continue to attract and retain qualified personnel necessary for the development of our business or to recruit suitable replacement personnel.</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acquisitions or strategic alliances could disrupt our business and harm our financial condition and results of operations.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 The risks we face in connection with acquisitions, include:</w:t>
      </w:r>
    </w:p>
    <w:p>
      <w:pPr>
        <w:spacing w:after="0" w:line="143" w:lineRule="exact"/>
        <w:rPr>
          <w:sz w:val="20"/>
          <w:szCs w:val="20"/>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diversion of management time and focus from operating our business to addressing acquisition integration challenges;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coordination of research and development efforts;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retention of key employees from the acquired company;</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relationships with strategic partners as a result of product acquisitions or strategic positioning resulting from the acquisition;</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cultural challenges associated with integrating employees from the acquired company into our organization;</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need to implement or improve controls, procedures and policies at a business that prior to the acquisition may have lacked sufficiently effective controls, procedures and policies;</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liability for activities of the acquired company before the acquisition, including intellectual property infringement claims, violation of laws, commercial disputes, tax liabilities and other known liabilities;</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unanticipated write-offs or charges; and</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or other claims in connection with the acquired company, including claims from terminated employees, customers, former stockholders or other third parties.</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failure to address these risks or other problems encountered in connection with our past or future acquisitions or strategic alliances could cause us to fail to realize the anticipated benefits of these transactions, cause us to incur unanticipated liabilities and harm the business generally. There is also a risk that future acquisitions will result in the incurrence of debt, contingent liabilities, amortization expenses or incremental operating expenses, any of which could harm our financial condition or results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Product Development and Regulatory Approval</w:t>
      </w:r>
    </w:p>
    <w:p>
      <w:pPr>
        <w:spacing w:after="0" w:line="17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develop, obtain regulatory approval for and commercialize TPST-1495 and TPST-1120 and our future product candidates, or if we experience significant delays in doing so, our business will be materially harmed.</w:t>
      </w:r>
    </w:p>
    <w:p>
      <w:pPr>
        <w:spacing w:after="0" w:line="200" w:lineRule="exact"/>
        <w:rPr>
          <w:sz w:val="20"/>
          <w:szCs w:val="20"/>
          <w:color w:val="auto"/>
        </w:rPr>
      </w:pPr>
    </w:p>
    <w:p>
      <w:pPr>
        <w:spacing w:after="0" w:line="37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32" w:name="page33"/>
    <w:bookmarkEnd w:id="32"/>
    <w:p>
      <w:pPr>
        <w:jc w:val="both"/>
        <w:spacing w:after="0" w:line="261" w:lineRule="auto"/>
        <w:rPr>
          <w:sz w:val="20"/>
          <w:szCs w:val="20"/>
          <w:color w:val="auto"/>
        </w:rPr>
      </w:pPr>
      <w:r>
        <w:rPr>
          <w:rFonts w:ascii="Times New Roman" w:cs="Times New Roman" w:eastAsia="Times New Roman" w:hAnsi="Times New Roman"/>
          <w:sz w:val="14"/>
          <w:szCs w:val="14"/>
          <w:color w:val="auto"/>
        </w:rPr>
        <w:t>We plan to invest a substantial amount of our efforts and financial resources in our current lead product candidates, TPST-1495, a dual EP2/EP4 prostaglandin (“PGE2”) receptor antagonist, and TPST-1120, a peroxisome proliferator-activated receptor alpha (“PPARα”) antagonist for the treatment of various cancers. We have initiated Phase 1 clinical trials of TPST-1495 and TPST-1120 for the treatment of advanced solid tumors. In addition, we plan to advance our program targeting the three prime repair exonuclease (“TREX-1”) and select a development candidate for this program by first half of 2022. Our ability to generate product revenue will depend heavily on the successful development and eventual commercialization of TPST-1495 and TPST-1120 and our other product candidates, which may never occur. We currently generate no revenue from sales of any product and we may never be able to develop or commercialize a marketable product.</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Each of our programs and product candidates will require further clinical and/or preclinical development, regulatory approval in multiple jurisdictions, obtaining preclinical, clinical and commercial manufacturing supply, capacity and expertise, building of a commercial organization, substantial investment and significant marketing efforts before we generate any revenue from product sales. TPST-1495 and TPST-1120 and our other product candidates must be authorized for marketing by the FDA, the Health Products and Food Branch of Health Canada (“HPFB”), the European Medicines Agency (“EMA”), and certain other foreign regulatory agencies before we may commercialize any of our product candidates in the United States, Canada, EU, or other jurisdictions.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success of TPST-1495 and TPST-1120 and our other product candidates depends on multiple factors, including:</w:t>
      </w:r>
    </w:p>
    <w:p>
      <w:pPr>
        <w:spacing w:after="0" w:line="179" w:lineRule="exact"/>
        <w:rPr>
          <w:sz w:val="20"/>
          <w:szCs w:val="20"/>
          <w:color w:val="auto"/>
        </w:rPr>
      </w:pPr>
    </w:p>
    <w:p>
      <w:pPr>
        <w:ind w:left="520" w:hanging="260"/>
        <w:spacing w:after="0" w:line="287"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 completion of preclinical studies, including those compliant with Good Laboratory Practice (“GLP”), or GLP toxicology studies, biodistribution studies and minimum effective dose studies in animals, and successful enrollment and completion of clinical trials compliant with current Good Clinical Practices (“GCPs”);</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Investigational New Drug applications or other regulatory applications, that allow commencement of our planned clinical trials or future clinical trials for our product candidates in relevant territories;</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and maintaining relationships with contract research organizations (“CROs”) and clinical sites for the clinical development of our product candidates, both in the United States and internationally;</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maintenance of arrangements with third-party contract manufacturing organizations (“CMOs”) for key materials used in our manufacturing processes and to establish backup sources for clinical and large-scale commercial supply;</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positive results from our clinical programs that are supportive of safety and efficacy and provide an acceptable risk-benefit profile for our product candidates in the intended patient populations;</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receipt of regulatory approvals from applicable regulatory authorities, including those necessary for pricing and reimbursement of our product candidates;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establishment and maintenance of patent and trade secret protection and regulatory exclusivity for our product candidates;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 launch of our product candidates, if and when approved, whether alone or in collaboration with others;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acceptance of our product candidates, if and when approved, by patients, patient advocacy groups, third-party payors and the general medical community;</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compete with developers of other therapies available in the market;</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establishment and maintenance of adequate reimbursement from third-party payors for our product candidates;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acquire or in-license additional product candidates;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prosecution, maintenance, enforcement and defense of intellectual property rights and claims;</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maintenance of a continued acceptable safety profile of our product candidates following approval, including meeting any post-marketing commitments or requirements imposed by or agreed to with applicable regulatory authorities;</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factors surrounding the approval process, such as government shutdowns; or</w:t>
      </w: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33" w:name="page34"/>
    <w:bookmarkEnd w:id="33"/>
    <w:p>
      <w:pPr>
        <w:ind w:left="520" w:hanging="260"/>
        <w:spacing w:after="0" w:line="287"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interruptions resulting from geopolitical actions, including war and terrorism such as Russia's recent incursion into Ukraine, natural disasters including earthquakes, typhoons, floods and fires, and public health emergencies, such as the ongoing COVID-19 pandemic</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in enrollment of our clinical trials due to the COVID-19 pandemic.</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If we do not succeed in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12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Success in preclinical studies and earlier clinical trials for our product candidates may not be indicative of the results that may be obtained in later clinical trials, which may delay or prevent obtaining regulatory approval.</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Clinical development is expensive and can take many years to complete, and our outcome is inherently uncertain. Failure can occur at any time during the clinical trial process. Success in preclinical studies and early clinical trials may not be predictive of results in later-stage clinical trials, and successful results from early or small clinical trials may not be replicated or show as favorable an outcome in later-stage or larger clinical trials, even if successful. We will be required to demonstrate through adequate and well-controlled clinical trials that our product candidates are safe and effective for their intended uses before we can seek regulatory approvals for their commercial sale. The conduct of phase 3 trials and the submission of an a New Drug Application (“NDA”) is a complicated process. We have not previously completed any clinical trials, has limited experience in preparing, submitting and supporting regulatory filings, and has not previously submitted an NDA. Consequently, we may be unable to successfully and efficiently execute and complete necessary clinical trials and other requirements in a way that leads to NDA submission and approval of any product candidate we are developing.</w:t>
      </w:r>
    </w:p>
    <w:p>
      <w:pPr>
        <w:spacing w:after="0" w:line="1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Although TPST-1495 and TPST-1120 are being evaluated in clinical trials, our other product candidates, such as TREX-1, have not been evaluated in human clinical trials, and we may experience unexpected or negative results in the future if and when TREX-1 or our other product candidates are evaluated in clinical trials. Any positive results we observe for TREX-1 in preclinical animal models may not be predictive of our future clinical trials in humans, as animal models carry inherent limitations relevant to all preclinical studies. Our product candidates, including TREX-1, may also fail to show the desired safety and efficacy in later stages of clinical development even if they successfully advance through initial clinical trials. Even if our clinical trials demonstrate acceptable safety and efficacy of TPST-1495, TPST-1120 or TREX-1 or any other product candidates and such product candidates receive regulatory approval, the labeling we obtain through negotiations with the FDA or foreign regulatory authorities may not include data on secondary endpoints and may not provide us with a competitive advantage over other products approved for the same or similar indications.</w:t>
      </w:r>
    </w:p>
    <w:p>
      <w:pPr>
        <w:spacing w:after="0" w:line="3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Many companies in the biotechnology industry have suffered significant setbacks in late-stage clinical trials after achieving positive results in early-stage development, and there is a high failure rate for product candidates proceeding through clinical trials. In addition, different methodologies, assumptions and applications we utilize to assess particular safety or efficacy parameters may yield different statistical results. Even if we believe the data collected from clinical trials of our product candidates are promising, these data may not be sufficient to support approval by the FDA or foreign regulatory authorities. Preclinical and clinical data can be interpreted in different ways. Accordingly, the FDA or foreign regulatory authorities could interpret these data in different ways from us or our partners, which could delay, limit or prevent regulatory approval. If our study data does not consistently or sufficiently demonstrate the safety or efficacy of any of our product candidates, including TPST-1495 and TPST-1120, to the satisfaction of the FDA or foreign regulatory authorities, then the regulatory approvals for such product candidates could be significantly delayed as we work to meet approval requirements, or, if we are not able to meet these requirements, such approvals could be withheld or withdrawn.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encounter difficulties enrolling patients in our clinical trials, our clinical development activities could be delayed or otherwise adversely affected.</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may experience difficulties in patient enrollment in our clinical trials for a variety of reasons, including, without limitation, the impact of the COVID-19 pandemic. The timely completion of clinical trials in accordance with our protocols depends, among other things, on our ability to enroll a sufficient number of patients who remain in the study until our conclusion. The enrollment of patients depends on many factors, including:</w:t>
      </w:r>
    </w:p>
    <w:p>
      <w:pPr>
        <w:spacing w:after="0" w:line="136" w:lineRule="exact"/>
        <w:rPr>
          <w:sz w:val="20"/>
          <w:szCs w:val="20"/>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patient eligibility criteria defined in the protocol;</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of the patient population required for analysis of the trial’s primary endpoints;</w:t>
      </w: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34" w:name="page35"/>
    <w:bookmarkEnd w:id="34"/>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proximity of patients to study sites;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 of the trial;</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recruit clinical trial investigators with the appropriate competencies and experience;</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patient consents; and</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patients enrolled in our clinical trials will drop out of the trials before the infusion of our product candidates or trial completion.</w:t>
      </w:r>
    </w:p>
    <w:p>
      <w:pPr>
        <w:spacing w:after="0" w:line="3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intend to conduct a number of clinical trials for product candidates in the fields of cancer in geographies which are affected by the COVID-19 pandemic. We believe COVID-19 could have an impact on various aspects of our future clinical trials. For example, investigators may not want to take the risk of exposing cancer patients to COVID-19 since the dosing of patients is conducted within an in-patient setting. Other potential impacts of the COVID-19 pandemic on our future various clinical trials include patient dosing and study monitoring, which may be paused or delayed due to changes in policies at various clinical sites, federal, state, local or foreign laws, rules and regulations, including quarantines or other travel restrictions, prioritization of healthcare resources toward pandemic efforts, including diminished attention of physicians serving as our clinical trial investigators and reduced availability of site staff supporting the conduct of our clinical trials, interruption or delays in the operations of the government regulators, or other reasons related to the COVID-19 pandemic. It is unknown how long these pauses or disruptions could continue.</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some of our clinical trial sites are also being used by some of our competitors, which may reduce the number of patients who are available for our clinical trials in that clinical trial site.</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Moreover, because our product candidates represent unproven methods for cancer treatment, potential patients and their doctors may be inclined to use existing therapies rather than enroll patients in our clinical trials.</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Delays in patient enrollment may result in increased costs or may affect the timing or outcome of our ongoing clinical trial and planned clinical trials, which could prevent completion of these trials and adversely affect our ability to advance the development of our product candidates.</w:t>
      </w:r>
    </w:p>
    <w:p>
      <w:pPr>
        <w:spacing w:after="0" w:line="12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Interim and preliminary data from our clinical trials that we may announce or publish from time to time may change as more patient data becomes available and are subject to audit and verification procedures that could result in material changes in the final data.</w:t>
      </w:r>
    </w:p>
    <w:p>
      <w:pPr>
        <w:spacing w:after="0" w:line="12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From time to time, we may publish interim or preliminary data from our clinical studies. Interim data from clinical trials that we may complete are subject to the risk that one or more of the clinical outcomes may materially change as patient enrollment continues and more patient data become available.</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Preliminary or interim data also remain subject to audit and verification procedures that may result in the final data being materially different from the preliminary data we previously published. As a result, interim and preliminary data should be viewed with caution until the final data is available. Adverse differences between preliminary or interim data and final data could significantly harm our business prospects.</w:t>
      </w:r>
    </w:p>
    <w:p>
      <w:pPr>
        <w:spacing w:after="0" w:line="1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Even if we complete the necessary preclinical studies and clinical trials, we cannot predict when, or if, we will obtain regulatory approval to commercialize a product candidate and the approval may be for a narrower indication than we seek.</w:t>
      </w:r>
    </w:p>
    <w:p>
      <w:pPr>
        <w:spacing w:after="0" w:line="1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Prior to commercialization, TPST-1495, TPST-1120 and our other product candidates must be approved by the FDA pursuant to an NDA in the United States and pursuant to similar marketing applications by the HPFB, EMA and similar regulatory authorities outside the United States. The process of obtaining marketing approvals, both in the United States and abroad, is expensive and takes many years, if approval is obtained at all, and can vary substantially based upon a variety of factors, including the type, complexity and novelty of the product candidates involved. Failure to obtain marketing approval for a product candidate will prevent us from commercializing the product candidate. We have not received approval to market</w:t>
      </w:r>
    </w:p>
    <w:p>
      <w:pPr>
        <w:spacing w:after="0" w:line="200" w:lineRule="exact"/>
        <w:rPr>
          <w:sz w:val="20"/>
          <w:szCs w:val="20"/>
          <w:color w:val="auto"/>
        </w:rPr>
      </w:pPr>
    </w:p>
    <w:p>
      <w:pPr>
        <w:spacing w:after="0" w:line="20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35" w:name="page36"/>
    <w:bookmarkEnd w:id="35"/>
    <w:p>
      <w:pPr>
        <w:jc w:val="both"/>
        <w:spacing w:after="0" w:line="257" w:lineRule="auto"/>
        <w:rPr>
          <w:sz w:val="20"/>
          <w:szCs w:val="20"/>
          <w:color w:val="auto"/>
        </w:rPr>
      </w:pPr>
      <w:r>
        <w:rPr>
          <w:rFonts w:ascii="Times New Roman" w:cs="Times New Roman" w:eastAsia="Times New Roman" w:hAnsi="Times New Roman"/>
          <w:sz w:val="14"/>
          <w:szCs w:val="14"/>
          <w:color w:val="auto"/>
        </w:rPr>
        <w:t>TPST-1495, TPST-1120 or any of our other product candidates from regulatory authorities in any jurisdiction. We have no experience in submitting and supporting the applications necessary to gain marketing approvals, and, in the event regulatory authorities indicate that we may submit such applications, we may be unable to do so as quickly and efficiently as desired.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us from obtaining marketing approval or prevent or limit commercial use. Regulatory authorities have substantial discretion in the approval process and may refuse to accept or file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Approval of TPST-1495 and TPST-1120 and our other product candidates may be delayed or refused for many reasons, including:</w:t>
      </w:r>
    </w:p>
    <w:p>
      <w:pPr>
        <w:spacing w:after="0" w:line="179" w:lineRule="exact"/>
        <w:rPr>
          <w:sz w:val="20"/>
          <w:szCs w:val="20"/>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comparable foreign regulatory authorities may disagree with the design or implementation of our clinical trials;</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demonstrate, to the satisfaction of the FDA or comparable foreign regulatory authorities, that our product candidates are safe and effective for any of their proposed indications;</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populations studied in clinical trials may not be sufficiently broad or representative to assure efficacy and safety in the populations for which we seek approval;</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clinical trials may not meet the level of statistical significance required by the FDA or comparable foreign regulatory authorities for approval;</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demonstrate that our product candidates’ clinical and other benefits outweigh their safety risks;</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data collected from clinical trials of our product candidates may not be sufficient to support the submission of an NDA or other comparable submission in foreign jurisdictions or to obtain regulatory approval in the United States or elsewhere;</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facilities of third-party manufacturers with which we contract or procure certain service or raw materials, may not be adequate to support approval of our product candidates; and</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approval policies or regulations of the FDA or comparable foreign regulatory authorities may significantly change in a manner rendering our clinical data insufficient for approval.</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Even if our product candidates meet their pre-specified safety and efficacy endpoints in clinical trials, the regulatory authorities may not complete their review processes in a timely manner and may not consider such the clinical trial results sufficient to grant,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Regulatory authorities also may approve a product candidate for more limited indications than requested or they may impose significant limitations in the form of narrow indications, warnings, contraindications or Risk Evaluation and Mitigation Strategies ("REMS"). These regulatory authorities may also grant approval subject to the performance of costly post-marketing clinical trials. In addition, regulatory authorities may not approve the labeling claims that are necessary or desirable for the successful commercialization of our product candidates. Any of the foregoing scenarios could materially harm the commercial prospects for our product candidates and adversely affect our business, financial condition, results of operations and prospects.</w:t>
      </w:r>
    </w:p>
    <w:p>
      <w:pPr>
        <w:spacing w:after="0" w:line="13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ongoing COVID-19 pandemic, or similar public health crises, could have a material adverse impact on our business, financial condition and results of operations, including the execution of our planned clinical trials.</w:t>
      </w:r>
    </w:p>
    <w:p>
      <w:pPr>
        <w:spacing w:after="0" w:line="12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ongoing COVID-19 pandemic has spread globally, including within the United States, and while cases and hospitalization are currently on the decline in the United States, there can be no assurances they will not continue at the current rate or not</w:t>
      </w:r>
    </w:p>
    <w:p>
      <w:pPr>
        <w:spacing w:after="0" w:line="38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36" w:name="page37"/>
    <w:bookmarkEnd w:id="36"/>
    <w:p>
      <w:pPr>
        <w:jc w:val="both"/>
        <w:spacing w:after="0" w:line="261" w:lineRule="auto"/>
        <w:rPr>
          <w:sz w:val="20"/>
          <w:szCs w:val="20"/>
          <w:color w:val="auto"/>
        </w:rPr>
      </w:pPr>
      <w:r>
        <w:rPr>
          <w:rFonts w:ascii="Times New Roman" w:cs="Times New Roman" w:eastAsia="Times New Roman" w:hAnsi="Times New Roman"/>
          <w:sz w:val="14"/>
          <w:szCs w:val="14"/>
          <w:color w:val="auto"/>
        </w:rPr>
        <w:t>increase in the future especially in light of the number of variants that are emerging across the world. Governments in the United States and elsewhere have taken and are continuing to take severe measures to slow the spread of COVID-19, including requiring that certain businesses close or conduct only the minimum necessary operations. The pandemic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extent to which the COVID-19 pandemic will continue to impact our business and operating results will depend on future developments that are highly uncertain and cannot be accurately predicted.</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Site initiation, participant recruitment and enrollment, participant dosing, distribution of clinical trial materials, study monitoring and data analysis for our planned clinical trials may be delayed due to changes in hospital or university policies, federal, state or local regulations, prioritization of hospital resources toward pandemic efforts, or other reasons related to the pandemic. Additionally, some participants and clinical investigators may not be able to comply with clinical trial protocols. For example, quarantines or other travel limitations (whether voluntary or required) and limited supplies of vaccines, including booster shots, may impede participant movement, affect sponsor access to study sites, or interrupt healthcare services, and we may be unable to conduct our planned clinical trials. If the global effort to control the spread of the COVID-19 and treat COVID-19 patients continues, we risk a delay in activating sites and enrolling subjects as previously projected. Any such delays to our planned clinical trials for TPST-1495 and TPST-1120 and the planned clinical trials for our other product candidates could impact the use and sufficiency of our existing cash reserves, and it may be required to raise additional capital earlier than it had previously planned. We may be unable to raise additional capital if and when needed, which may result in further delays or suspension of our development plans.</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Further, infections and deaths related to COVID-19 are disrupting certain healthcare and healthcare regulatory systems globally. Such disruptions could divert healthcare resources away from, or materially delay review by, the FDA and comparable foreign regulatory agencies. It is unknown how long these disruptions could continue, were they to occur. Any elongation or de-prioritization of our clinical trials or delay in regulatory review resulting from such disruptions could materially adversely affect the development and study of our product candidates.</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currently utilize third parties to, among other things, manufacture raw materials and our product candidates, components, parts, and consumables, and to perform quality testing. If we or any third-party in the supply chain for materials used in the production of our product candidates are adversely impacted by restrictions resulting from the COVID-19 pandemic, our supply chain may be disrupted, limiting our ability to manufacture product candidates for our clinical trials.</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response to the COVID-19 pandemic, we complied with applicable regulation and limited required on-site staff to essential workers, with the balance of our employees continuing their work primarily outside of our offices. Due to shelter-in-place orders or other mandated local travel restrictions, third parties conducting clinical or manufacturing activities may not be able to access laboratory or manufacturing space, and our core activities may be significantly limited or curtailed, possibly for an extended period of time.</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While the potential economic impact brought by and the duration of the pandemic may be difficult to assess or predict, it has already caused, and is likely to result in further, significant disruption of global financial markets and the trading prices of biopharmaceutical companies have been highly volatile as a result of the COVID-19 pandemic, which may reduce our ability to access capital either at all or on favorable terms. In addition, a recession, depression or other sustained adverse market event resulting from the global effort to control COVID-19 infections could materially and adversely affect our business.</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ultimate impact of the current pandemic, or any other health epidemic, is highly uncertain and subject to change. We do not yet know the full extent of potential delays or impacts on our business, our planned clinical trials, healthcare systems or the global economy as a whole. However, these effects could have a material adverse impact on our business, financial condition and results of operations.</w:t>
      </w:r>
    </w:p>
    <w:p>
      <w:pPr>
        <w:spacing w:after="0" w:line="1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TPST-1495, TPST-1120 and our other product candidates may cause undesirable and/or unforeseen side effects or be perceived by the public as unsafe, which could delay or prevent their advancement into clinical trials or regulatory approval, limit the commercial potential or result in significant negative consequences.</w:t>
      </w:r>
    </w:p>
    <w:p>
      <w:pPr>
        <w:spacing w:after="0" w:line="1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is the case with pharmaceuticals generally, it is likely that there may be side effects and adverse events associated with our product candidates’ use. Results of our clinical trials could reveal a high and unacceptable severity and prevalence of side effects or unexpected characteristics. As we continue developing our product candidates and initiate clinical trials of our additional product candidates, serious adverse events ("SAEs"), undesirable side effects, relapse of disease or unexpected characteristics may emerge causing us to abandon these product candidates or limit their development to more narrow uses or</w:t>
      </w:r>
    </w:p>
    <w:p>
      <w:pPr>
        <w:spacing w:after="0" w:line="200" w:lineRule="exact"/>
        <w:rPr>
          <w:sz w:val="20"/>
          <w:szCs w:val="20"/>
          <w:color w:val="auto"/>
        </w:rPr>
      </w:pPr>
    </w:p>
    <w:p>
      <w:pPr>
        <w:spacing w:after="0" w:line="20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37" w:name="page38"/>
    <w:bookmarkEnd w:id="37"/>
    <w:p>
      <w:pPr>
        <w:jc w:val="both"/>
        <w:spacing w:after="0" w:line="287" w:lineRule="auto"/>
        <w:rPr>
          <w:sz w:val="20"/>
          <w:szCs w:val="20"/>
          <w:color w:val="auto"/>
        </w:rPr>
      </w:pPr>
      <w:r>
        <w:rPr>
          <w:rFonts w:ascii="Times New Roman" w:cs="Times New Roman" w:eastAsia="Times New Roman" w:hAnsi="Times New Roman"/>
          <w:sz w:val="14"/>
          <w:szCs w:val="14"/>
          <w:color w:val="auto"/>
        </w:rPr>
        <w:t>subpopulations in which the SAEs or undesirable side effects or other characteristics are less prevalent, less severe or more acceptable from a risk-benefit perspective or in which efficacy is more pronounced or durable.</w:t>
      </w:r>
    </w:p>
    <w:p>
      <w:pPr>
        <w:spacing w:after="0" w:line="1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If any such adverse events occur, our clinical trials could be suspended or terminated and the FDA, the HPFB, the European Commission, the EMA or other regulatory authorities could order us to cease further development of, or deny approval of, our product candidates for any or all targeted indications. Even if we can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adversely affect our business, financial condition, results of operations and prospects significantly, including our ability to successfully sign collaboration or license agreements with external partners. Other treatments for cancers that utilize prostaglandin E2 antagonist or a PPARα antagonist or similar mechanism of action could also generate data that could adversely affect the clinical, regulatory or commercial perception of TPST-1495 and TPST-1120 and our other product candidates.</w:t>
      </w:r>
    </w:p>
    <w:p>
      <w:pPr>
        <w:spacing w:after="0" w:line="14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Additionally, if any of our product candidates receives marketing approval, the FDA could require us to adopt a REMS to ensure that the benefits of the product outweigh our risks, which may include, for example, a Medication Guide outlining the risks of the product for distribution to patients and a communication plan to health care practitioners, or other elements to assure safe use of the product.</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Furthermore, if we or others later identify undesirable side effects caused by our product candidates, several potentially significant negative consequences could result, including:</w:t>
      </w:r>
    </w:p>
    <w:p>
      <w:pPr>
        <w:spacing w:after="0" w:line="179" w:lineRule="exact"/>
        <w:rPr>
          <w:sz w:val="20"/>
          <w:szCs w:val="20"/>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suspend or withdraw approvals of such product candidate;</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require additional warnings in the product labeling;</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change the way a product candidate is administered or conduct additional clinical trials;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be sued and held liable for harm caused to patients; and</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reputation may suffer.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of these occurrences may harm our business, financial condition, results of operations and prospects significantly.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successful in our efforts to expand our pipeline of product candidates and develop marketable products.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are researching or have in preclinical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obtaining manufacturing supply capability,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develop further product candidates, we may not be able to obtain product revenue in future periods, which would adversely affect our business, prospects, financial condition and results of operations.</w:t>
      </w:r>
    </w:p>
    <w:p>
      <w:pPr>
        <w:spacing w:after="0" w:line="1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Although our pipeline includes multiple programs, we are primarily focused on our lead product candidates, TPST-1495 and TPST-1120, and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w:t>
      </w:r>
    </w:p>
    <w:p>
      <w:pPr>
        <w:spacing w:after="0" w:line="200" w:lineRule="exact"/>
        <w:rPr>
          <w:sz w:val="20"/>
          <w:szCs w:val="20"/>
          <w:color w:val="auto"/>
        </w:rPr>
      </w:pPr>
    </w:p>
    <w:p>
      <w:pPr>
        <w:spacing w:after="0" w:line="38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color w:val="auto"/>
        </w:rPr>
        <w:t>collaboration, licensing or other royalty arrangements in cases in which it would have been more advantageous for us to retain sole development and commercialization rights.</w:t>
      </w:r>
    </w:p>
    <w:p>
      <w:pPr>
        <w:spacing w:after="0" w:line="17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 candidates, when and if any of them are approved.</w:t>
      </w:r>
    </w:p>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product candidates and the activities associated with their development and potential commercialization, including their testing, manufacturing, recordkeeping, labeling, storage, approval, advertising, promotion, sale and distribution, are subject to comprehensive regulation by the FDA and other U.S. and international regulatory authorities. These requirements include submissions of safety and other post-marketing information and reports, registration and listing requirements, requirements relating to manufacturing, including current Good Manufacturing Practices (“cGMP”), quality control, quality assurance and corresponding maintenance of records and documents, including periodic inspections by the FDA and other regulatory authorities and requirements regarding the distribution of samples to providers and recordkeeping. In addition, manufacturers of drug products and their facilities are subject to continual review and periodic, unannounced inspections by the FDA and other regulatory authorities for compliance with cGMP.</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FDA may also impose requirements for costly post-marketing studies or clinical trials and surveillance to monitor the safety or efficacy of any approved product. The FDA closely regulates the post-approval marketing and promotion of drugs to ensure that they are marketed in a manner consistent with the provisions of the approved labeling. The FDA imposes stringent restrictions on manufacturers’ communications regarding use of their products. If we promote our product candidates in a manner inconsistent with FDA-approved labeling or otherwise not in compliance with FDA regulations, we may be subject to enforcement action. Violations of the Federal Food, Drug, and Cosmetic Act relating to the promotion of prescription drugs may lead to investigations alleging violations of federal and state healthcare fraud and abuse laws, as well as state consumer protection laws and similar laws in international jurisdictions.</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later discovery of previously unknown adverse events or other problems with our product candidates, manufacturers or manufacturing processes, or failure to comply with regulatory requirements, may yield various results, including:</w:t>
      </w:r>
    </w:p>
    <w:p>
      <w:pPr>
        <w:spacing w:after="0" w:line="124" w:lineRule="exact"/>
        <w:rPr>
          <w:sz w:val="20"/>
          <w:szCs w:val="20"/>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such product candidates, manufacturers or manufacturing processes;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the labeling or marketing of a product;</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product distribution or use;</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requirements to conduct post-marketing studies or clinical trials;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warning or untitled letters;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withdrawal of any approved product from the market;</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to approve pending applications or supplements to approved applications that we submit;</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recall of product candidates;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fines, restitution or disgorgement of profits or revenues;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suspension or withdrawal of marketing approvals;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to permit the import or export of our product candidates;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seizure; or</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injunctions or the imposition of civil or criminal penalties.</w:t>
      </w:r>
    </w:p>
    <w:p>
      <w:pPr>
        <w:spacing w:after="0" w:line="17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occurrence of any event or penalty described above may inhibit our ability to commercialize our product candidates and generate revenue and could require us to expend significant time and resources in response and could generate negative</w:t>
      </w:r>
    </w:p>
    <w:p>
      <w:pPr>
        <w:spacing w:after="0" w:line="38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39" w:name="page40"/>
    <w:bookmarkEnd w:id="39"/>
    <w:p>
      <w:pPr>
        <w:jc w:val="both"/>
        <w:spacing w:after="0" w:line="270" w:lineRule="auto"/>
        <w:rPr>
          <w:sz w:val="20"/>
          <w:szCs w:val="20"/>
          <w:color w:val="auto"/>
        </w:rPr>
      </w:pPr>
      <w:r>
        <w:rPr>
          <w:rFonts w:ascii="Times New Roman" w:cs="Times New Roman" w:eastAsia="Times New Roman" w:hAnsi="Times New Roman"/>
          <w:sz w:val="14"/>
          <w:szCs w:val="14"/>
          <w:color w:val="auto"/>
        </w:rPr>
        <w:t>publicity. 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it may lose any marketing approval that it has obtained, and we may not achieve or sustain profitability.</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Non-compliance with Canadian and European requirements regarding safety monitoring or pharmacovigilance, and with requirements related to the development of products for the pediatric population, can also result in significant financial penalties. Similarly, failure to comply with Canada’s or Europe’s requirements regarding the protection of personal information can also lead to significant penalties and sanctions.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failure to obtain regulatory approval in international jurisdictions would prevent us from marketing our product candidates outside the United States.</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To market and sell TPST-1495, TPST-1120 and our other product candidates in other jurisdictions, we must obtain separate marketing approvals and comply with numerous and varying regulatory requirements. The approval procedure varies among countries and can involve additional testing. The time and data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or non-compliance with foreign regulatory requirements could result in significant delays, difficulties and costs for us and could delay or prevent the introduction of our product candidates in certain countries.</w:t>
      </w:r>
    </w:p>
    <w:p>
      <w:pPr>
        <w:spacing w:after="0" w:line="31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Commercialization and Manufacturing</w:t>
      </w:r>
    </w:p>
    <w:p>
      <w:pPr>
        <w:spacing w:after="0" w:line="17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commercial success of our product candidates, including TPST-1495 and TPST-1120, will depend upon their degree of market acceptance by providers, patients, patient advocacy groups, third-party payors and the general medical community.</w:t>
      </w:r>
    </w:p>
    <w:p>
      <w:pPr>
        <w:spacing w:after="0" w:line="1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Even if the requisite approvals from the FDA, the HPFB, the EMA and other regulatory authorities internationally are obtained, the commercial success of our product candidates will depend, in part, on the acceptance of providers, patients and third-party payors of drugs designed to act as a dual antagonist of EP2 and EP4 and PPARα antagonists in general, and our product candidates in particular, as medically necessary, cost-effective and safe. In addition, we may face challenges in seeking to establish and grow sales of TPST-1495 and TPST-1120 or our other product candidates. Any product that we commercialize may not gain acceptance by providers, patients, patient advocacy groups, third-party payors and the general medical community. If these products do not achieve an adequate level of acceptance, we may not generate significant product revenue and may not become profitable. The degree of market acceptance of TPST-1495, TPST-1120 and our other product candidates, if approved for commercial sale, will depend on several factors, including:</w:t>
      </w:r>
    </w:p>
    <w:p>
      <w:pPr>
        <w:spacing w:after="0" w:line="146" w:lineRule="exact"/>
        <w:rPr>
          <w:sz w:val="20"/>
          <w:szCs w:val="20"/>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efficacy, durability and safety of such product candidates as demonstrated in clinical trials;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and perceived advantages of product candidates over alternative treatments;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treatment relative to alternative treatments;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clinical indications for which the product candidate is approved by the FDA, the HPFB or the European Commission;</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of providers to prescribe new therapies;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of the target patient population to try new therapies;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prevalence and severity of any side effects;</w:t>
      </w: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40" w:name="page41"/>
    <w:bookmarkEnd w:id="40"/>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labeling or product insert requirements of the FDA, the HPFB, EMA or other regulatory authorities, including any limitations or warnings contained in a product’s approved labeling;</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strength of marketing and distribution support;</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market introduction of competitive products;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quality of our relationships with patient advocacy groups;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publicity concerning our product candidates or competing products and treatments; and</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sufficient third-party payor coverage and adequate reimbursement.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Even if a potential product displays a favorable efficacy and safety profile in preclinical studies and clinical trials, market acceptance of the product will not be fully known until after it is launched.</w:t>
      </w:r>
    </w:p>
    <w:p>
      <w:pPr>
        <w:spacing w:after="0" w:line="17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pricing, insurance coverage and reimbursement status of newly approved products is uncertain. Failure to obtain or maintain adequate coverage and reimbursement for our product candidates, if approved, could limit our ability to market those products and decrease our ability to generate product revenue.</w:t>
      </w:r>
    </w:p>
    <w:p>
      <w:pPr>
        <w:spacing w:after="0" w:line="1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Successful sales of our product candidates, if approved, depend on the availability of coverage and adequate reimbursement from third-party payors including governmental healthcare programs, such as Medicare and Medicaid, managed care organizations and commercial payors, among others. Significant uncertainty exists as to the coverage and reimbursement status of any product candidates for which we obtain regulatory approval. In addition, because our product candidates represent new approaches to the treatment of cancer, we cannot accurately estimate the potential revenue from our product candidates.</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expect that coverage and reimbursement by third-party payors will be essential for most patients to be able to afford these treatments. Accordingly, sales of our product candidates will depend substantially, both domestically and internationally, on the extent to which the costs of our product candidates will be paid by health maintenance, managed care, pharmacy benefit and similar healthcare management organizations, or will be reimbursed by government payors, private health coverage insurers and other third-party payors. Even if coverage is provided, the established reimbursement amount may not be high enough to allow us to establish or maintain pricing sufficient to realize a sufficient return on our investment.</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will be covered and reimbursed. The Medicare program covers certain individuals aged 65 or older, disabled or suffering from end-stage renal disease. The Medicaid program, which varies from state-to-state, covers certain individuals and families who have limited financial means. The Medicare and Medicaid programs increasingly are used as models for how private payors and other government payors develop their coverage and reimbursement policies for drugs. One payor’s determination to provide coverage for a drug product, however, does not assure that other payors will also provide coverage for the drug product. Further, a payor’s decision to provide coverage for a drug product does not imply that an adequate reimbursement rate will be approved.</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to government and private payors, professional organizations such as the American Medical Association, can influence decisions about coverage and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compared to existing alternatives. Such organizations may set</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guidelines that limit reimbursement or utilization of our product candidates, if approved. Even if favorable coverage and reimbursement status is attained for one or more product candidates for which our collaborators receive regulatory approval, less favorable coverage policies and reimbursement rates may be implemented in the future.</w:t>
      </w:r>
    </w:p>
    <w:p>
      <w:pPr>
        <w:spacing w:after="0" w:line="1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therapeutics such as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w:t>
      </w:r>
    </w:p>
    <w:p>
      <w:pPr>
        <w:spacing w:after="0" w:line="200" w:lineRule="exact"/>
        <w:rPr>
          <w:sz w:val="20"/>
          <w:szCs w:val="20"/>
          <w:color w:val="auto"/>
        </w:rPr>
      </w:pPr>
    </w:p>
    <w:p>
      <w:pPr>
        <w:spacing w:after="0" w:line="20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41" w:name="page42"/>
    <w:bookmarkEnd w:id="41"/>
    <w:p>
      <w:pPr>
        <w:jc w:val="both"/>
        <w:spacing w:after="0" w:line="264" w:lineRule="auto"/>
        <w:rPr>
          <w:sz w:val="20"/>
          <w:szCs w:val="20"/>
          <w:color w:val="auto"/>
        </w:rPr>
      </w:pPr>
      <w:r>
        <w:rPr>
          <w:rFonts w:ascii="Times New Roman" w:cs="Times New Roman" w:eastAsia="Times New Roman" w:hAnsi="Times New Roman"/>
          <w:sz w:val="14"/>
          <w:szCs w:val="14"/>
          <w:color w:val="auto"/>
        </w:rPr>
        <w:t>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revenues and profits.</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Moreover, increasing efforts by government and other third-party payors, in the United States and internationally, to cap or reduce healthcare costs may cause such payors to limit both coverage and the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certain third-party payors, such as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 Recently there have been instances in which third-party payors have refused to reimburse treatments for patients for whom the treatment is indicated in the FDA-approved product labeling. Even if we are successful in obtaining FDA approval to commercialize our product candidates, we cannot guarantee that we will be able to secure reimbursement for all patients for whom treatment with our product candidates is indicated.</w:t>
      </w:r>
    </w:p>
    <w:p>
      <w:pPr>
        <w:spacing w:after="0" w:line="14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third parties on which we depend to conduct our planned preclinical studies or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rely on third party CROs, CMOs, consultants and others to design, conduct, supervise and monitor key activities relating to, discovery, manufacturing, preclinical studies and clinical trials of our product candidates, and we intend to do the same for future activities relating to existing and future programs. Because we rely on third parties and does not have the ability to conduct all required testing,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testing, discovery, manufacturing, preclinical studies or clinical trials being delayed or unsuccessful, in whole or in part.</w:t>
      </w:r>
    </w:p>
    <w:p>
      <w:pPr>
        <w:spacing w:after="0" w:line="1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as well as in accordance with GLP, GCP and other applicable laws, regulations and standards. Our reliance on third parties that it does not control does not relieve us of these responsibilities and requirements. The FDA and other regulatory authorities enforce GCP through periodic inspections of trial sponsors, principal investigators and trial sites. If we or any of these third parties fails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have complied with GCP. In addition, our clinical trials must be conducted with product produced in accordance with cGMP. Our failure to comply with these regulations may require it to repeat clinical trials, which could delay or prevent the receipt of regulatory approvals. Any such event could have an adverse effect on our business, financial condition, results of operations and prospects.</w:t>
      </w:r>
    </w:p>
    <w:p>
      <w:pPr>
        <w:spacing w:after="0" w:line="14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face significant competition in an environment of rapid technological change, and it is possible that our competitors may achieve regulatory approval before us or develop therapies that are more advanced or effective than our therapies, which may harm our business, financial condition and our ability to successfully market or commercialize TPST-1495, TPST-1120, and our other product candidates.</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biopharmaceutical industry, and the immuno-oncology industry specifically, is characterized by intense competition and rapid innovation. We are aware of other companies focused on developing cancer therapies in various indications. We may also face competition from large and specialty pharmaceutical and biotechnology companies, academic research institutions,</w:t>
      </w:r>
    </w:p>
    <w:p>
      <w:pPr>
        <w:spacing w:after="0" w:line="38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42" w:name="page43"/>
    <w:bookmarkEnd w:id="42"/>
    <w:p>
      <w:pPr>
        <w:jc w:val="both"/>
        <w:spacing w:after="0" w:line="287" w:lineRule="auto"/>
        <w:rPr>
          <w:sz w:val="20"/>
          <w:szCs w:val="20"/>
          <w:color w:val="auto"/>
        </w:rPr>
      </w:pPr>
      <w:r>
        <w:rPr>
          <w:rFonts w:ascii="Times New Roman" w:cs="Times New Roman" w:eastAsia="Times New Roman" w:hAnsi="Times New Roman"/>
          <w:sz w:val="14"/>
          <w:szCs w:val="14"/>
          <w:color w:val="auto"/>
        </w:rPr>
        <w:t>government agencies and public and private research institutions that conduct research, seek patent protection, and establish collaborative arrangements for research, development, manufacturing and commercialization.</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Many of our potential competitors, alone or with their strategic partners, may have substantially greater financial, technical and other resources than we do, such as larger research and development, clinical, marketing and manufacturing organizations. Mergers and acquisitions in the biotechnology and pharmaceutical industries may result in even more resources being concentrated among a smaller number of competitors. Our commercial opportunity could be reduced or eliminated if competitors develop and commercialize products that are safer, more effective, have fewer or less severe side effects, are more convenient or are less expensive than any product candidates that we may develop. Competitors also may obtain FDA or other regulatory approval for their products more rapidly than we may obtain approval for our products, which could result in our competitors establishing a strong market position before we are able to enter the market, if ever. Additionally, new or advanced technologies developed by our competitors may render our current or future product candidates uneconomical or obsolete, and we may not be successful in marketing our product candidates against competitors.</w:t>
      </w:r>
    </w:p>
    <w:p>
      <w:pPr>
        <w:spacing w:after="0" w:line="1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To become and remain profitable, we must develop and eventually commercialize product candidates with significant market potential, which will require us to be successful in a range of challenging activities.</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These activities include, among other things, completing preclinical studies and initiating and completing clinical trials of our product candidates, obtaining marketing approval for these product candidates, manufacturing, marketing and selling those products that are approved and satisfying any post 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common stock and could impair our ability to raise capital, maintain our research and development efforts, expand our business or continue operations. A decline in the value of our common stock also could cause you to lose all or part of your investment.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rely on third parties to manufacture our clinical product supplies, and we may have to rely on third parties to produce and process our product candidates, if approved.</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must currently rely on outside vendors to manufacture supplies and process our product candidates. We have not yet manufactured or processed our product candidates on a commercial scale and may not be able to achieve manufacturing and processing and may be unable to create an inventory of mass-produced, off-the-shelf product to satisfy demands for any of our product candidates.</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do not yet have sufficient information to reliably estimate the cost of the commercial manufacturing and processing of our product candidates, and the actual cost to manufacture and process our product candidates could materially and adversely affect the commercial viability of our product candidates. As a result, we may never be able to develop a commercially viable product.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we anticipate reliance on a limited number of third-party manufacturers exposes it to the following risks:</w:t>
      </w:r>
    </w:p>
    <w:p>
      <w:pPr>
        <w:spacing w:after="0" w:line="179" w:lineRule="exact"/>
        <w:rPr>
          <w:sz w:val="20"/>
          <w:szCs w:val="20"/>
          <w:color w:val="auto"/>
        </w:rPr>
      </w:pPr>
    </w:p>
    <w:p>
      <w:pPr>
        <w:jc w:val="both"/>
        <w:ind w:left="520" w:hanging="260"/>
        <w:spacing w:after="0" w:line="270"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identify manufacturers on acceptable terms or at all because the number of potential manufacturers is limited, and the FDA may have questions regarding any replacement contractor. This may require new testing and regulatory interactions. In addition, a new manufacturer would have to be educated in, or develop substantially equivalent processes for, production of our products after receipt of FDA questions, if any.</w:t>
      </w:r>
    </w:p>
    <w:p>
      <w:pPr>
        <w:spacing w:after="0" w:line="135" w:lineRule="exact"/>
        <w:rPr>
          <w:rFonts w:ascii="Times New Roman" w:cs="Times New Roman" w:eastAsia="Times New Roman" w:hAnsi="Times New Roman"/>
          <w:sz w:val="14"/>
          <w:szCs w:val="14"/>
          <w:color w:val="auto"/>
        </w:rPr>
      </w:pPr>
    </w:p>
    <w:p>
      <w:pPr>
        <w:ind w:left="520" w:hanging="260"/>
        <w:spacing w:after="0" w:line="263"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third-party manufacturers might be unable to timely formulate and manufacture our product or produce the quantity and quality required to meet our clinical and commercial needs, if any.</w:t>
      </w:r>
    </w:p>
    <w:p>
      <w:pPr>
        <w:spacing w:after="0" w:line="33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 manufacturers may not be able to execute our manufacturing procedures appropriately.</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contract manufacturers may not perform as agreed or may not remain in the contract manufacturing business for the time required to supply our clinical trials or to successfully produce, store and distribute our products.</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Manufacturers are subject to ongoing periodic unannounced inspection by the FDA, the Drug Enforcement Administration and corresponding state agencies to ensure strict compliance with cGMP and other government regulations and corresponding foreign standards. We do not have control over third-party manufacturers’ compliance with these regulations and standards.</w:t>
      </w:r>
    </w:p>
    <w:p>
      <w:pPr>
        <w:spacing w:after="0" w:line="38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43" w:name="page44"/>
    <w:bookmarkEnd w:id="43"/>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own, or may have to share, the intellectual property rights to any improvements made by our third-party manufacturers in the manufacturing process for our products.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third-party manufacturers could breach or terminate their agreement(s) with us.</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contract manufacturers would also be subject to the same risks we face in developing our own manufacturing capabilities, as described above. Each of these risks could delay our clinical trials, the approval, if any, of our product candidates by the FDA or the commercialization of our product candidates or result in higher costs or deprive us of potential product revenue. In addition, we will rely on third parties to perform release tests on our product candidates prior to delivery to patients. If these tests are not appropriately done and test data are not reliable, patients could be put at risk of serious harm.</w:t>
      </w:r>
    </w:p>
    <w:p>
      <w:pPr>
        <w:spacing w:after="0" w:line="13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our ability to obtain marketing approval, or our ability to provide supply of our product candidates for patients, if approved, could be delayed or stopped.</w:t>
      </w:r>
    </w:p>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intend to establish manufacturing relationships with a limited number of suppliers to manufacture raw materials, the drug substance and finished product of any product candidate for which we are responsible for preclinical or clinical development. Each supplier may require licenses to manufacture such components if such processes are not owned by the supplier or in the public domain. As part of any marketing approval, a manufacturer and its processes are required to be qualified by the FDA prior to regulatory approval. If supply from the approved vendor is interrupted, there could be a significant disruption in commercial supply. An alternative vendor would need to be qualified through an NDA supplement which could result in further delay. The FDA or other regulatory agencies outside of the United States may also require additional studies if a new supplier is relied upon for commercial production. Switching vendors may involve substantial costs and is likely to result in a delay in our desired clinical and commercial timelines.</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process of manufacturing drugs is complex, highly regulated and subject to multiple risks. Manufacturing drugs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manufacturers, such facilities may need to be closed for an extended period of time to investigate and remedy the contamination, which could delay clinical trials and adversely harm our business. Moreover, if the FDA determines that our CMOs are not in compliance with FDA laws and regulations, including those governing cGMP, the FDA may deny an NDA approval until the deficiencies are corrected or we replace the manufacturer in our NDA with a manufacturer that is in compliance.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 Furthermore, although we do not have day-to-day control over the operations of our CMOs, we are responsible for ensuring compliance with applicable laws and regulations, including cGMP.</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If our manufacturers are unable to produce sufficient quantities for clinical trials or for commercialization, commercialization efforts would be impaired, which would have an adverse effect on our business, financial condition, results of operations and prospects.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believe that we will rely upon on a limited number of manufacturers for our product candidates, which may include single-source suppliers for the various steps of manufacture. This reliance on a limited number of manufacturers and the complexity of drug manufacturing and the difficulty of scaling up a manufacturing process could cause the delay of clinical trials, regulatory submissions, required approvals or commercialization of our product candidates, cause us to incur higher costs and prevent us from commercializing our product candidates successfully. Furthermore, if our suppliers fail to deliver the required commercial quantities of materials on a timely basis and at commercially reasonable prices, and we are unable to secure one or more replacement suppliers capable of production in a timely manner at a substantially equivalent cost, our clinical trials may be delayed or we could lose potential revenue.</w:t>
      </w:r>
    </w:p>
    <w:p>
      <w:pPr>
        <w:spacing w:after="0" w:line="200" w:lineRule="exact"/>
        <w:rPr>
          <w:sz w:val="20"/>
          <w:szCs w:val="20"/>
          <w:color w:val="auto"/>
        </w:rPr>
      </w:pPr>
    </w:p>
    <w:p>
      <w:pPr>
        <w:spacing w:after="0" w:line="20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establish sales and marketing capabilities or enter into agreements with third parties to market and sell our product candidates, we may be unable to generate any revenues.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currently do not have an organization for the sales, marketing and distribution of TPST-1495, TPST-1120, TREX-1 and our other product candidates, and the cost of establishing and maintaining such an organization may exceed the cost-effectiveness of doing so. To market any products that may be approved, we must build our sales, marketing, managerial and other non-technical capabilities or make arrangements with third parties to perform these services. With respect to certain of our current programs as well as future programs, we may rely completely on an alliance partner for sales and marketing. In addition, although we intend to establish a sales organization if we are able to obtain approval to market any product candidates, we may enter into strategic alliances with third parties to develop and commercialize TPST-1495, TPST-1120 and other product candidates, including in markets outside of the United States or for other large markets that are beyond our resources. This will reduce the revenue generated from the sales of these products.</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Any future strategic alliance partners may not dedicate sufficient resources to the commercialization of our product candidates or may otherwise fail in their commercialization due to factors beyond our control. If we are unable to establish effective alliances to enable the sale of our product candidates to healthcare professionals and in geographical regions, including the United States, that will not be covered by our marketing and sales force, or if our potential future strategic alliance partners do not successfully commercialize the product candidates, our ability to generate revenues from product sales will be adversely affected.</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If we are unable to establish adequate sales, marketing and distribution capabilities, whether independently or with third parties, we may not be able to generate sufficient product revenue and may not become profitable.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1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not be successful in finding strategic collaborators for continuing development of certain of our future product candidates or successfully commercializing or competing in the market for certain indications.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 the future, we may decide to collaborate with non-profit organizations, universities and pharmaceutical and biotechnology companies for the development and potential commercialization of existing and new product candidates. 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for our product candidate. The terms of any additional collaborations or other arrangements that we may establish may not be favorable to us.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expense. If we elect to increase our expenditures to fund development or commercialization activities on our product candidates,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success of any potential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such collaboration arrangements. These disagreements can be difficult to resolve if neither of</w:t>
      </w:r>
    </w:p>
    <w:p>
      <w:pPr>
        <w:spacing w:after="0" w:line="200" w:lineRule="exact"/>
        <w:rPr>
          <w:sz w:val="20"/>
          <w:szCs w:val="20"/>
          <w:color w:val="auto"/>
        </w:rPr>
      </w:pPr>
    </w:p>
    <w:p>
      <w:pPr>
        <w:spacing w:after="0" w:line="20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color w:val="auto"/>
        </w:rPr>
        <w:t>the parties has final decision-making authority. Collaborations with pharmaceutical or biotechnology companies and other third parties often are terminated or allowed to expire by the other party.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such termination or expiration would adversely affect us financially and could harm our business reputation.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Government Regulation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FDA regulatory approval process is lengthy and time-consuming, and we may experience significant delays in the clinical development and regulatory approval of our product candidates.</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Obtaining FDA approval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for our product candidates, the FDA may approve our product candidates for a more limited indication or a narrower patient population than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may also experience delays in obtaining regulatory approvals, including but not limited to:</w:t>
      </w:r>
    </w:p>
    <w:p>
      <w:pPr>
        <w:spacing w:after="0" w:line="179" w:lineRule="exact"/>
        <w:rPr>
          <w:sz w:val="20"/>
          <w:szCs w:val="20"/>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regulatory authorization to begin a trial, if applicable;</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redesigning our study protocols and need to conduct additional studies as may be required by a regulator;</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governmental or regulatory delays and changes in regulation or policy relating to the development and commercialization of our product candidate by the FDA or other comparable foreign regulatory authorities;</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timing and cost of meeting regulatory requirements established by the FDA, and other comparable foreign regulatory authorities;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financial resources to commence and complete the planned trials;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negotiating the terms of any collaboration agreements we may choose to initiate or conclude;</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reaching agreement on acceptable terms with prospective CROs and clinical trial sites, the terms of which can be subject to extensive negotiation and may vary significantly among different CROs and trial sites;</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third-party contractors, such as CROs, or investigators to comply with regulatory requirements, including GCPs;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sites deviating from trial protocol or dropping out of a trial;</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 or failure in obtaining the necessary approvals from regulators or institutional review boards ("IRBs"), in order to commence a clinical trial at a prospective trial site, or their suspension or termination of a clinical trial once commenced;</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recruit and enroll suitable patients to participate in a trial;</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having patients complete a trial, including having patients enrolled in clinical trials dropping out of the trial before the product candidate is manufactured and returned to the site, or return for post-treatment follow-up;</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difficulty in having patients complete a trial or return for post-treatment follow-up;</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trial sites deviating from trial protocol or dropping out of a trial;</w:t>
      </w: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46" w:name="page47"/>
    <w:bookmarkEnd w:id="46"/>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addressing any patient safety concerns that arise during the course of a trial;</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add new clinical trial sites; or</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varying interpretations of the data generated from our preclinical or clinical trials;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defending intellectual property disputes, including patent infringement actions brought by third parties;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competing technological and market developments;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and timing of establishing, expanding and scaling manufacturing capabilities;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manufacture, or obtain from third parties, sufficient quantities of qualified materials under cGMP, for the completion in pre-clinical and clinical studies;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problems with biopharmaceutical product candidate storage, stability and distribution resulting in global supply chain disruptions;</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establishing sales, marketing and distribution capabilities for any product candidate for which we may receive regulatory approval in regions where we choose to commercialize our products on our own; or</w:t>
      </w:r>
    </w:p>
    <w:p>
      <w:pPr>
        <w:spacing w:after="0" w:line="124"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unforeseen business disruptions or market fluctuations that delay our product development or clinical trials and increase our costs or expenses, such as business or operational disruptions, delays, or system failures due to malware, unauthorized access, terrorism, war, natural disasters, strikes, geopolitical conflicts (such as Russia's recent incursion into Ukraine), restrictions on trade, import or export restrictions, or public health crises, such as the ongoing COVID-19 pandemic.</w:t>
      </w:r>
    </w:p>
    <w:p>
      <w:pPr>
        <w:spacing w:after="0" w:line="13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could also encounter delays if physicians encounter unresolved ethical issues associated with enrolling patients in clinical trials of our product candidates in lieu of prescribing existing treatments that have established safety and efficacy profiles. Further, a clinical trial may be suspended or terminated by us, the IRBs for the institutions in which such trials are being conducted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safety issues or adverse side effects, failure to demonstrate a benefit from using a product candidate, changes in governmental regulations or administrative actions, lack of adequate funding to continue the clinical trial, or based on a recommendation by the Data Safety Monitoring Committee.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Many of the factors that cause, or lead to, a delay in the commencement or completion of clinical trials may ultimately lead to the denial of regulatory approval of our product candidates.</w:t>
      </w:r>
    </w:p>
    <w:p>
      <w:pPr>
        <w:spacing w:after="0" w:line="17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seek Breakthrough Therapy designation or Fast Track designation by the FDA for one or more of our product candidates but may not receive such designation. Even if we secure such designation, it may not lead to a faster development or regulatory review or approval process and it does not increase the likelihood that our product candidates will receive marketing approval.</w:t>
      </w:r>
    </w:p>
    <w:p>
      <w:pPr>
        <w:spacing w:after="0" w:line="1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may seek Breakthrough Therapy or Fast Track designation for some of our product candidates. If a product candidate is intended for the treatment of a serious or life-threatening condition and clinical or preclinical data demonstrate the potential to address unmet medical needs for this condition, the product candidate may be eligible for Fast Track designation. The benefits of Fast Track designation include more frequent meetings with FDA to discuss the drug’s development plan and ensure collection of appropriate data needed to support drug approval, more frequent written communication from FDA about such things as the design of the proposed clinical trials and use of biomarkers, eligibility for Accelerated Approval and Priority Review, if relevant criteria are met, and rolling review, which means that a drug company can submit completed sections of our NDA for review by FDA, rather than waiting until every section of our NDA is completed before the entire application can be reviewed. NDA review usually does not begin until the entire application has been submitted to the FDA.</w:t>
      </w:r>
    </w:p>
    <w:p>
      <w:pPr>
        <w:spacing w:after="0" w:line="200" w:lineRule="exact"/>
        <w:rPr>
          <w:sz w:val="20"/>
          <w:szCs w:val="20"/>
          <w:color w:val="auto"/>
        </w:rPr>
      </w:pPr>
    </w:p>
    <w:p>
      <w:pPr>
        <w:spacing w:after="0" w:line="21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47" w:name="page48"/>
    <w:bookmarkEnd w:id="47"/>
    <w:p>
      <w:pPr>
        <w:jc w:val="both"/>
        <w:spacing w:after="0" w:line="264" w:lineRule="auto"/>
        <w:rPr>
          <w:sz w:val="20"/>
          <w:szCs w:val="20"/>
          <w:color w:val="auto"/>
        </w:rPr>
      </w:pPr>
      <w:r>
        <w:rPr>
          <w:rFonts w:ascii="Times New Roman" w:cs="Times New Roman" w:eastAsia="Times New Roman" w:hAnsi="Times New Roman"/>
          <w:sz w:val="14"/>
          <w:szCs w:val="14"/>
          <w:color w:val="auto"/>
        </w:rPr>
        <w:t>A breakthrough therapy is defined as a drug 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by the FDA may be eligible for all features of Fast Track designation, intensive guidance on an efficient drug development program, beginning as early as Phase 1, and organizational commitment involving senior managers at FDA.</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FDA has broad discretion whether or not to grant these designations, so even if we believe a particular product candidate is eligible, it cannot assure that the FDA would decide to grant the designation. Even if we obtain Fast Track designation and/or Breakthrough Therapy designation for one or more of our product candidates, it may not experience a faster development process, review or approval compared to non-expedited FDA review procedures. In addition, the FDA may withdraw Fast Track designation or Breakthrough Therapy designation if it believes that the designation is no longer supported. These designations do not guarantee qualification for the FDA’s priority review procedures or a faster review or approval process.</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We may attempt to secure FDA approval of our product candidates through the accelerated approval pathway. If we are unable to obtain accelerated approval, we may be required to conduct additional preclinical studies or clinical trials beyond those that we currently contemplate, which could increase the expense of obtaining, and delay the receipt of, necessary marketing approvals.</w:t>
      </w:r>
    </w:p>
    <w:p>
      <w:pPr>
        <w:spacing w:after="0" w:line="3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are developing certain product candidates for the treatment of serious conditions, and therefore may decide to seek approval of such product candidates under the FDA’s accelerated approval pathway. A product may be eligible for accelerated approval if it is designed to treat a serious or life-threatening disease or condition and provides a meaningful therapeutic benefit over existing treatments based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of or lack of alternative treatments. For the purposes of accelerated approval, a surrogate endpoint is a marker, such as a laboratory measurement, radiographic image, physical sign, or other measure that is thought to predict clinical benefit, but is not itself a measure of clinical benefit.</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verity and describe the drug’s anticipated effect on irreversible morbidity or mortality or other clinical benefit. In some cases, the FDA may require that the trial be designed, initiated, and/or fully enrolled prior to approval. If the sponsor fails to conduct such studies in a timely manner, or if such post-approval studies fail to verify the drug’s predicted clinical benefit, or if other evidence demonstrates that our product candidate is not shown to be safe and effective under the conditions of use, the FDA may withdraw its approval of the drug on an expedited basis.</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If we decide to submit an NDA seeking accelerated approval or receives an expedited regulatory designation for any of our product candidates, there can be no assurance that such submission or application will be accepted or that any expedited development, review or approval will be granted on a timely basis, or at all. If any of our competitors were to receive full approval on the basis of a confirmatory trial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may not occur.</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Failure to obtain accelerated approval or any other form of expedited development, review or approval for our product candidates would result in a longer time period to commercialization of such product candidate, if any, and could increase the cost of development of such product candidate harm our competitive position in the marketplace.</w:t>
      </w:r>
    </w:p>
    <w:p>
      <w:pPr>
        <w:spacing w:after="0" w:line="12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be unsuccessful in obtaining Orphan Drug Designation for our product candidates or transfer of designations obtained by others for future product candidates, and, even if we obtain such designation, it may be unable to maintain the benefits associated with Orphan Drug Designation, including the potential for market exclusivity.</w:t>
      </w:r>
    </w:p>
    <w:p>
      <w:pPr>
        <w:spacing w:after="0" w:line="1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FDA may designate drugs intended to treat relatively small patient populations as orphan drugs. Under the Orphan Drug Act, the FDA may designate a drug as an orphan drug if it is intended to treat a rare disease or condition, which is defined as a patient population of fewer than 200,000 individuals in the United States, or a patient population greater than 200,000 in the United States when there is no reasonable expectation that the cost of developing and making available the drug in the United States will be recovered from sales in the United States for that drug. Orphan drug designation must be requested before submitting an NDA. In the United States, Orphan Drug Designation entitles a party to financial incentives such as opportunities</w:t>
      </w:r>
    </w:p>
    <w:p>
      <w:pPr>
        <w:spacing w:after="0" w:line="200" w:lineRule="exact"/>
        <w:rPr>
          <w:sz w:val="20"/>
          <w:szCs w:val="20"/>
          <w:color w:val="auto"/>
        </w:rPr>
      </w:pPr>
    </w:p>
    <w:p>
      <w:pPr>
        <w:spacing w:after="0" w:line="20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48" w:name="page49"/>
    <w:bookmarkEnd w:id="48"/>
    <w:p>
      <w:pPr>
        <w:jc w:val="both"/>
        <w:spacing w:after="0" w:line="261" w:lineRule="auto"/>
        <w:rPr>
          <w:sz w:val="20"/>
          <w:szCs w:val="20"/>
          <w:color w:val="auto"/>
        </w:rPr>
      </w:pPr>
      <w:r>
        <w:rPr>
          <w:rFonts w:ascii="Times New Roman" w:cs="Times New Roman" w:eastAsia="Times New Roman" w:hAnsi="Times New Roman"/>
          <w:sz w:val="14"/>
          <w:szCs w:val="14"/>
          <w:color w:val="auto"/>
        </w:rPr>
        <w:t>for tax credits for qualified clinical research costs and exemption from prescription drug user fees. Generally, if a drug with an Orphan Drug Designation subsequently receives the first marketing approval for the indication for which it has such designation, the drug is entitled to a period of marketing exclusivity, which precludes FDA from approving another marketing application for the same drug and indication for that time period, except in limited circumstances. If a competitor is able to obtain orphan drug exclusivity prior to us for a product that constitutes the same active moiety and treats the same indications as our product candidates, we may not be able to obtain approval of its drug by the applicable regulatory authority for a significant period of time unless we are able to show that its drug is clinically superior to the approved drug. The applicable period is seven years in the United States.</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may seek Orphan Drug Designation for one or more of our product candidates in the United States as part of our business strategy. However, Orphan Drug Designation does not guarantee future orphan drug marketing exclusivity. Even after an orphan drug is approved, the FDA can also subsequently approve a later application for the same drug for the same condition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Moreover, orphan drug 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Enacted and future legislation may increase the difficulty and cost for us to commercialize and obtain marketing approval of our product candidates and may affect the prices we may set.</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March 2010, the Patient Protection and Affordable Care Act, as amended by the Health Care and Education Reconciliation Act of 2010, or collectively the Affordable Care Act (“ACA”), was enacted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The ACA contains provisions that may potentially affect the profitability of our product candidates, if approved, including, for example, increased rebates for products sold to Medicaid programs, extension of Medicaid rebates to Medicaid managed care plans, mandatory discounts for certain Medicare Part D beneficiaries and annual fees based on pharmaceutical companies’ share of sales to federal health care programs, and expansion of the entities eligible for discounts under the 340B Drug Pricing Program.</w:t>
      </w:r>
    </w:p>
    <w:p>
      <w:pPr>
        <w:spacing w:after="0" w:line="1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While Congress has not passed legislation to comprehensively repeal the ACA, legislation affecting the ACA has been signed into law, including the Tax Cuts and Jobs Act of 2017, which eliminated, effective January 1, 2019, the tax-based shared responsibility payment imposed by the ACA on certain individuals who fail to maintain qualifying health coverage for all or part of a year, which is commonly referred to as the “individual mandate.” On June 17, 2021, the U.S. Supreme Court dismissed the most recent judicial challenge to the ACA brought by several states without specifically ruling on the constitutionality of the law. While Congress continues to amend the ACA, the law appears likely to continue the downward pressure on pharmaceutical pricing, and may also increase our regulatory burdens and operating costs. In the future, there may be other efforts to challenge, repeal or replace the ACA. We are continuing to monitor any changes to the ACA that, in turn, may potentially impact our business in the future.</w:t>
      </w:r>
    </w:p>
    <w:p>
      <w:pPr>
        <w:spacing w:after="0" w:line="1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Additionally, on May 30, 2018, the Trickett Wendler, Frank Mongiello, Jordan McLinn and Matthew Bellina Right to Try Act of 2017 was signed into law. The law, among other things, provides a federal framework for certain patients who have been diagnosed with life-threatening diseases or conditions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authorization under an FDA expanded access program; however, manufacturers are not obligated to provide investigational new drug products under the current federal right to try law. We may choose to seek an expanded access program for our product candidates, or to utilize comparable rules in other countries that allow the use of a drug, on a named patient basis or under a compassionate use program.</w:t>
      </w:r>
    </w:p>
    <w:p>
      <w:pPr>
        <w:spacing w:after="0" w:line="200" w:lineRule="exact"/>
        <w:rPr>
          <w:sz w:val="20"/>
          <w:szCs w:val="20"/>
          <w:color w:val="auto"/>
        </w:rPr>
      </w:pPr>
    </w:p>
    <w:p>
      <w:pPr>
        <w:spacing w:after="0" w:line="21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49" w:name="page50"/>
    <w:bookmarkEnd w:id="49"/>
    <w:p>
      <w:pPr>
        <w:jc w:val="both"/>
        <w:spacing w:after="0" w:line="257" w:lineRule="auto"/>
        <w:rPr>
          <w:sz w:val="20"/>
          <w:szCs w:val="20"/>
          <w:color w:val="auto"/>
        </w:rPr>
      </w:pPr>
      <w:r>
        <w:rPr>
          <w:rFonts w:ascii="Times New Roman" w:cs="Times New Roman" w:eastAsia="Times New Roman" w:hAnsi="Times New Roman"/>
          <w:sz w:val="14"/>
          <w:szCs w:val="14"/>
          <w:color w:val="auto"/>
        </w:rPr>
        <w:t>Recently, the cost of prescription pharmaceuticals has been the subject of considerable discussion in the United States at both the federal and state levels. While several proposed reform measures will require Congress to pass legislation to become effective, Congress and the new Biden administration have each indicated that it will seek new legislative and/or administrative measures to address prescription drug costs. Since the Presidential inauguration, the Biden administration has taken several executive actions that signal changes in policy from the prior administration. For example, on July 9, 2021, President Biden signed an executive order to promote competition in the U.S. economy that included several initiatives aimed prescription drugs. Among other provisions, the executive order directed the Secretary of the U.S. Department of Health and Human Services (“HHS”) to issue a report to the White House within 45 days that includes a plan to, among other things, reduce prices for prescription drugs, including prices paid by the federal government for such drugs. At the state level, legislatures and agencies are increasingly passing legislation and implementing regulations designed to control spending on and patient out-of-pocket costs for drug products. These measures include constraints on pricing, discounting and reimbursement; restrictions on certain product access and marketing; cost disclosure and transparency measures that require detailed reporting of drug pricing and marketing information both at product launch and in the event of a price increase; and, in some cases, measures designed to encourage importation from other countries and bulk purchasing.</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Legislative and regulatory proposals have also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3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FDA’s ability to review and approve new products may be hindered by a variety of factors, including budget and funding levels, ability to hire and retain key personnel, statutory, regulatory and policy changes and global health concerns.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In addition, government funding of other government agencies that fund research and development activities is subject to the political process, which is inherently fluid and unpredictable. 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ability of the FDA and other government agencies to properly administer their functions is highly dependent on the levels of government funding and the ability to fill key leadership appointments, among various factors. Delays in filling or replacing key positions could significantly impact the ability of the FDA and other agencies to fulfill their functions, and could greatly impact healthcare and the pharmaceutical industry.</w:t>
      </w:r>
    </w:p>
    <w:p>
      <w:pPr>
        <w:spacing w:after="0" w:line="13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Separately, in response to the COVID-19 pandemic, on March 10, 2020, the FDA announced its intention to postpone most foreign inspections of manufacturing facilities and, subsequently, on March 18, 2020, the FDA temporarily postponed routine surveillance inspections of domestic manufacturing facilities. Regulatory authorities outside the United States may adopt similar restrictions or other policy measures in response to the COVID-19 pandemic.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200" w:lineRule="exact"/>
        <w:rPr>
          <w:sz w:val="20"/>
          <w:szCs w:val="20"/>
          <w:color w:val="auto"/>
        </w:rPr>
      </w:pPr>
    </w:p>
    <w:p>
      <w:pPr>
        <w:spacing w:after="0" w:line="21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50" w:name="page51"/>
    <w:bookmarkEnd w:id="50"/>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internal computer and information systems, or those used by our CROs, CMOs or other contractors or consultants, may fail or suffer security breaches, which could result in a material disruption of our development programs.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Despite the implementation of appropriate security measures, our internal computer and information systems and those of our current and any future CROs, CMOs and other contractors or consultants may become vulnerable to damage from computer viruses, unauthorized access, natural disasters, terrorism, war and telecommunication and electrical failures.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data from completed or future preclinical studies or clinical trials could result in significant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significantly delayed. Our internal information technology systems and infrastructure are also vulnerable to damage from natural disasters, terrorism, war, telecommunication and electrical failures. System failures or outages, including any potential disruptions due to significantly increased global demand on certain cloud-based systems during the COVID-19 pandemic, could compromise our ability to perform our day-to-day operations, which could harm our ability to conduct business or delay our financial reporting. Such failures could materially adversely affect our operating results and financial condition.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a variety of privacy and data security laws, and our failure to comply with them could harm our business.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maintain a large quantity of sensitive information, including confidential business and patient health information in connection with our preclinical and clinical studies, and is subject to laws and regulations governing the privacy and security of such information. In the United States, there are numerous federal and state privacy and data security laws and regulations governing the collection, use, disclosure and protection of personal information, including health information privacy laws, security breach notification laws, and consumer protection laws. Each of these laws is subject to varying interpretations and constantly evolving. In addition, we may obtain health information from third parties (including research institutions from which it obtains clinical trial data) that are subject to privacy and security requirements under the Health Insurance Portability and Accountability Act of 1996 (“HIPAA”). Depending on the facts and circumstances, we could be subject to criminal penalties if it knowingly obtains, uses or discloses individually identifiable health information maintained by a HIPAA covered entity in a manner that is not authorized or permitted by HIPAA.</w:t>
      </w:r>
    </w:p>
    <w:p>
      <w:pPr>
        <w:spacing w:after="0" w:line="3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Certain states have also adopted comparable privacy and security laws and regulations, some of which may be more stringent than HIPAA. For example, California enacted the California Consumer Privacy Act (the “CCPA”), which took effect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privacy legislation in the United States, which could increase our potential liability and adversely affect our business.</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Canada, the Personal Information Protection and Electronic Documents Act (“PIPEDA”) and similar provincial laws may impose obligations with respect to processing personal information, including health-related information. PIPEDA requires companies to obtain an individual’s consent when collecting, using or disclosing that individual’s personal information. Individuals have the right to access and challenge the accuracy of their personal information held by an organization, and personal information may only be used for the purposes for which it was collected. If an organization intends to use personal information for another purpose, it must again obtain that individual’s consent. Failure to comply with PIPEDA could result in significant fines and penalties.</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May 2018, the General Data Protection Regulation (the “GDPR”), took effect in the European Economic Area (the “EEA”). The GDPR governs the collection, use, disclosure, transfer or other processing of personal data of natural persons. Among other things, the GDPR imposes strict obligations on the ability to process health-related and other personal data of data subjects in the EEA, including in relation to use, collection, analysis and transfer (including cross-border transfer) of such personal data. The GDPR includes requirements relating to the consent of the individuals to whom the personal data relates, including detailed notices for clinical trial subjects and investigators. The GDPR also includes certain requirements regarding the security of personal data and notification of data processing obligations or security incidents to appropriate data protection authorities or data subjects as well as requirements for establishing a lawful basis on which personal data can be processed. In addition, the GDPR increases the scrutiny of transfers of personal data from clinical trial sites located in the EEA to the United States and other jurisdictions that the European Commission does not recognize as having “adequate” data protection laws, and imposes</w:t>
      </w:r>
    </w:p>
    <w:p>
      <w:pPr>
        <w:spacing w:after="0" w:line="200" w:lineRule="exact"/>
        <w:rPr>
          <w:sz w:val="20"/>
          <w:szCs w:val="20"/>
          <w:color w:val="auto"/>
        </w:rPr>
      </w:pPr>
    </w:p>
    <w:p>
      <w:pPr>
        <w:spacing w:after="0" w:line="21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51" w:name="page52"/>
    <w:bookmarkEnd w:id="51"/>
    <w:p>
      <w:pPr>
        <w:jc w:val="both"/>
        <w:spacing w:after="0" w:line="259" w:lineRule="auto"/>
        <w:rPr>
          <w:sz w:val="20"/>
          <w:szCs w:val="20"/>
          <w:color w:val="auto"/>
        </w:rPr>
      </w:pPr>
      <w:r>
        <w:rPr>
          <w:rFonts w:ascii="Times New Roman" w:cs="Times New Roman" w:eastAsia="Times New Roman" w:hAnsi="Times New Roman"/>
          <w:sz w:val="14"/>
          <w:szCs w:val="14"/>
          <w:color w:val="auto"/>
        </w:rPr>
        <w:t>substantial fines for breaches and violations (up to the greater of €20 million or 4% of our annual worldwide gross revenue). Further, recent legal developments in Europe have created complexity and compliance uncertainty regarding certain transfers of information from the EEA to the United States. For example, on June 16, 2020, the Court of Justice of the European Union (the “CJEU”), declared the EU-U.S. Privacy Shield framework (the “Privacy Shield”), to be invalid. As a result, the Privacy Shield is no longer a valid mechanism for transferring personal data from the EEA to the United States. Moreover, it is uncertain whether the standard contractual clauses will also be invalidated by the European courts or legislature, which seems possible given the rationale behind the CJEU’s concerns about U.S. law and practice on government surveillance. The GDPR also confers a private right of action on data subjects and consumer associations to lodge complaints with supervisory authorities, seek judicial remedies and obtain compensation for damages resulting from violations of the GDPR.</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w:t>
      </w:r>
    </w:p>
    <w:p>
      <w:pPr>
        <w:spacing w:after="0" w:line="1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be unable to adequately protect our information systems from cyberattacks, which could result in the disclosure of confidential information, damage Our reputation, and subject us to significant financial and legal exposure.</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The COVID-19 pandemic is generally increasing the attack surface available to criminals, as more companies and individuals work online and work remotely, and as such, the risk of a cybersecurity incident potentially occurring, and our investment in risk mitigations against such an incident, is increasing. For example, there has been an increase in phishing and spam emails as well as social engineering attempts from “hackers” hoping to use the recent COVID-19 pandemic to their advantage.</w:t>
      </w:r>
    </w:p>
    <w:p>
      <w:pPr>
        <w:spacing w:after="0" w:line="1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the computer systems of various third parties on which we rely, including our CROs, CMOs and other contractors, consultants and law and accounting firms, may sustain damage from computer viruses, unauthorized access, data breaches, phishing attacks, cybercriminals, natural disasters (including hurricanes and earthquakes), terrorism, war and telecommunication and electrical failures. We rely on our third-party providers to implement effective security measures and identify and correct for any such failures, deficiencies or breaches.</w:t>
      </w:r>
    </w:p>
    <w:p>
      <w:pPr>
        <w:spacing w:after="0" w:line="1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employees, principal investigators, CROs, CMOs and consultants may engage in misconduct or other improper activities, including non-compliance with regulatory standards and requirements and insider trading.</w:t>
      </w:r>
    </w:p>
    <w:p>
      <w:pPr>
        <w:spacing w:after="0" w:line="1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are exposed to the risk of fraud or other misconduct by our employees, principal investigators, consultants and commercial partners. Misconduct by these parties could include intentional failures to comply with the regulations of FDA and non-U.S. regulators, to provide accurate information to the FDA and non-U.S. regulators, to comply with healthcare fraud and abuse laws and regulations in the United States and abroad, to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could cause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or asserting our rights, those actions could have a significant impact on our business, including the imposition of significant fines or other sanctions.</w:t>
      </w:r>
    </w:p>
    <w:p>
      <w:pPr>
        <w:spacing w:after="0" w:line="14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38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52" w:name="page53"/>
    <w:bookmarkEnd w:id="52"/>
    <w:p>
      <w:pPr>
        <w:jc w:val="both"/>
        <w:spacing w:after="0" w:line="258" w:lineRule="auto"/>
        <w:rPr>
          <w:sz w:val="20"/>
          <w:szCs w:val="20"/>
          <w:color w:val="auto"/>
        </w:rPr>
      </w:pPr>
      <w:r>
        <w:rPr>
          <w:rFonts w:ascii="Times New Roman" w:cs="Times New Roman" w:eastAsia="Times New Roman" w:hAnsi="Times New Roman"/>
          <w:sz w:val="14"/>
          <w:szCs w:val="14"/>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3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operations and relationships with future customers, providers and third-party payors will be subject to applicable anti-kickback, fraud and abuse and other healthcare laws and regulations, which could expose us to penalties including criminal sanctions, civil penalties, contractual damages, reputational harm and diminished profits and future earnings.</w:t>
      </w:r>
    </w:p>
    <w:p>
      <w:pPr>
        <w:spacing w:after="0" w:line="12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Healthcare providers and third-party payors will play a primary role in the recommendation and prescription of any product candidates for which we obtain marketing approval. Our future arrangements with providers, third-party payors and customers will subject us to broadly applicable fraud and abuse and other healthcare laws and regulations that may constrain the business or financial arrangements and relationships through which we market, sell and distribute any product candidates for which we obtain marketing approval.</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Restrictions under applicable U.S. federal and state healthcare laws and regulations include the following:</w:t>
      </w:r>
    </w:p>
    <w:p>
      <w:pPr>
        <w:spacing w:after="0" w:line="179" w:lineRule="exact"/>
        <w:rPr>
          <w:sz w:val="20"/>
          <w:szCs w:val="20"/>
          <w:color w:val="auto"/>
        </w:rPr>
      </w:pPr>
    </w:p>
    <w:p>
      <w:pPr>
        <w:jc w:val="both"/>
        <w:ind w:left="520" w:hanging="260"/>
        <w:spacing w:after="0" w:line="261"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Anti-Kickback Statute, a criminal law that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 A person or entity does not need to have actual knowledge of the federal Anti-Kickback Statute or specific intent to violate it in order to have committed a violation. Violations of the federal Anti-Kickback Statute can result in significant civil monetary penalties and criminal fines, as well as imprisonment and exclusion from participation in federal health care programs;</w:t>
      </w:r>
    </w:p>
    <w:p>
      <w:pPr>
        <w:spacing w:after="0" w:line="143"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civil False Claims Act, imposes significant civil penalties and treble damages,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or services resulting from a violation of the U.S. federal Anti-Kickback Statute constitutes a false or fraudulent claim for purposes of the civil False Claims Act;</w:t>
      </w:r>
    </w:p>
    <w:p>
      <w:pPr>
        <w:spacing w:after="0" w:line="140"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Criminal Statute on False Statements Relating to Health Care Matters makes it a crime to knowingly and willfully falsify, conceal, 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spacing w:after="0" w:line="135"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Civil Monetary Penalties Law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spacing w:after="0" w:line="200" w:lineRule="exact"/>
        <w:rPr>
          <w:sz w:val="20"/>
          <w:szCs w:val="20"/>
          <w:color w:val="auto"/>
        </w:rPr>
      </w:pPr>
    </w:p>
    <w:p>
      <w:pPr>
        <w:spacing w:after="0" w:line="20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53" w:name="page54"/>
    <w:bookmarkEnd w:id="53"/>
    <w:p>
      <w:pPr>
        <w:jc w:val="both"/>
        <w:ind w:left="520" w:hanging="260"/>
        <w:spacing w:after="0" w:line="270"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HIPAA imposes criminal and civil liability for, among other things, knowingly and willfully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135"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Physician Payment Sunshine Act requires applicable manufacturers of covered drugs, devices, biologics, and medical supplies for which payment is available under Medicare, Medicaid, or the Children’s Health Insurance Program, among others, to track and report payments and other transfers of value provided during the previous year to U.S. licensed physicians, teaching hospitals, and for reports submitted on or after January 1, 2022, physician assistants, nurse practitioners, clinical nurse specialists, certified nurse anesthetists, and certified nurse midwives, as well as certain ownership and investment interests held by physicians and their immediate family;</w:t>
      </w:r>
    </w:p>
    <w:p>
      <w:pPr>
        <w:spacing w:after="0" w:line="140"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and</w:t>
      </w:r>
    </w:p>
    <w:p>
      <w:pPr>
        <w:spacing w:after="0" w:line="124"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from government-funded healthcare programs, such as Medicare and Medicaid, disgorgement, contractual damages, reputational harm, diminished profits and future earnings, and the curtailment or restructuring of our operations. If any of the physicians or other healthcare providers or entities with whom we expect to do business is found to be not in compliance with applicable laws, it may be costly to us in terms of money, time and resources, and we may be subject to criminal, civil or administrative sanctions, including exclusion from government-funded healthcare programs.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comply with environmental, health, and safety laws and regulations, we could become subject to fines or penalties or incur costs that could harm our business.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may produce hazardous waste products. We generally contract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Although we maintain workers’ compensation insurance to cover for costs and expenses, we may incur due to injuries to our employees resulting from the use of hazardous materials, this insurance may not provide adequate coverage against potential liabilities.</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tax laws or regulations could materially adversely affect us.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New tax laws or regulations could be enacted at any time, and existing tax laws or regulations could be interpreted, modified or applied in a manner that is adverse to us, which could adversely affect our business and financial condition. For example, legislation enacted in 2017, informally titled the Tax Act, enacted many significant changes to the U.S. tax laws, including changes in corporate tax rates, the utilization of NOLs and other deferred tax assets, the deductibility of expenses, and the taxation of foreign earnings. Future guidance from the Internal Revenue Service and other tax authorities with respect to the</w:t>
      </w:r>
    </w:p>
    <w:p>
      <w:pPr>
        <w:spacing w:after="0" w:line="200" w:lineRule="exact"/>
        <w:rPr>
          <w:sz w:val="20"/>
          <w:szCs w:val="20"/>
          <w:color w:val="auto"/>
        </w:rPr>
      </w:pPr>
    </w:p>
    <w:p>
      <w:pPr>
        <w:spacing w:after="0" w:line="20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54" w:name="page55"/>
    <w:bookmarkEnd w:id="54"/>
    <w:p>
      <w:pPr>
        <w:jc w:val="both"/>
        <w:spacing w:after="0" w:line="264" w:lineRule="auto"/>
        <w:rPr>
          <w:sz w:val="20"/>
          <w:szCs w:val="20"/>
          <w:color w:val="auto"/>
        </w:rPr>
      </w:pPr>
      <w:r>
        <w:rPr>
          <w:rFonts w:ascii="Times New Roman" w:cs="Times New Roman" w:eastAsia="Times New Roman" w:hAnsi="Times New Roman"/>
          <w:sz w:val="14"/>
          <w:szCs w:val="14"/>
          <w:color w:val="auto"/>
        </w:rPr>
        <w:t>Tax Act may affect us, and certain aspects of the Tax Act could be repealed or modified in future legislation. For example, the Coronavirus Aid, Relief, and Economic Security Act (the “CARES Act”), modified certain provisions of the Tax Act. In addition, it is uncertain if and to what extent various states will conform to the Tax Act, the CARES Act, or any newly enacted federal tax legislation. The impact of changes under the Tax Act, the CARES Act, or future reform legislation could increase our future U.S. tax expense and could have a material adverse impact on our business and financial condition.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Intellectual Property</w:t>
      </w:r>
    </w:p>
    <w:p>
      <w:pPr>
        <w:spacing w:after="0" w:line="17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success depends in part on our ability to obtain, maintain and protect our intellectual property. It is difficult and costly to protect our proprietary rights and technology, and we may not be able to ensure their protection.</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commercial success will depend in large part on obtaining and maintaining patent, trademark, trade secret and other intellectual property protection of our proprietary technologies and product candidates, which include TPST-1495, TPST-1120 and the other product candidates we have in development, their respective components, formulations, combination therapies, methods used to manufacture them and methods of treatment, as well as successfully defending our patents and other intellectual property rights against third-party challenges. Our ability to stop unauthorized third parties from making, using, selling, offering to sell, importing or otherwise commercializing our product candidates is dependent upon the extent to which we have rights under valid and enforceable patents or trade secrets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 and our ability to commercialize any product candidates we may develop may be adversely affected.</w:t>
      </w:r>
    </w:p>
    <w:p>
      <w:pPr>
        <w:spacing w:after="0" w:line="1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activities before it is too late to obtain patent protection. Moreover, in some circumstances, we may not have the right to control the preparation, filing and prosecution of patent applications, or to maintain the patents, covering technology that we license from or licenses to third parties and may be reliant on our licensors or licensees to do so. Our pending and future patent applications may not result in issued patents.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in-licenses may be challenged, narrowed, circumvented or invalidated by third parties. Consequently, we do not know whether any of our platform advances and product candidates will be protectable or remain protected by valid and enforceable patents. In addition, our existing patents and any future patents we obtain may not be sufficiently broad to prevent others from using our technology or from developing competing products and technologies.</w:t>
      </w:r>
    </w:p>
    <w:p>
      <w:pPr>
        <w:spacing w:after="0" w:line="14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 the future, we may depend on intellectual property licensed from third parties, and our licensors may not always act in our best interest. If we fail to comply with our obligations under our intellectual property licenses, if the licenses are terminated, or if disputes regarding these licenses arise, we could lose significant rights that may be important to our business.</w:t>
      </w:r>
    </w:p>
    <w:p>
      <w:pPr>
        <w:spacing w:after="0" w:line="12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may in the future depend on patents, know-how and proprietary technology licensed from third parties. Our licenses to such patents, know-how and proprietary technology may not provide exclusive rights in all relevant fields of use and in all territories in which we may wish to develop or commercialize our products in the future. The agreements under which we license patents, know-how and proprietary technology from others may be complex, and certain provisions in such agreements may be susceptible to multiple interpretations.</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may need to obtain licenses from third parties to advance our research or allow commercialization of product candidates Tempest may develop. It is possible that we may be unable to obtain any licenses at a reasonable cost or on reasonable terms, if at all. In either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or product candidates.</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If our future licensors fail to adequately protect our licensed intellectual property, our ability to commercialize product candidates could suffer. We may not have complete control over the maintenance, prosecution and litigation of our future in-licensed patents and patent applications. For example, we cannot be certain that activities such as the maintenance and prosecution by our future licensors have been or will be conducted in compliance with applicable laws and regulations or will result in valid and enforceable patents and other intellectual property rights. It is possible that future our licensors’ infringement</w:t>
      </w:r>
    </w:p>
    <w:p>
      <w:pPr>
        <w:spacing w:after="0" w:line="200" w:lineRule="exact"/>
        <w:rPr>
          <w:sz w:val="20"/>
          <w:szCs w:val="20"/>
          <w:color w:val="auto"/>
        </w:rPr>
      </w:pPr>
    </w:p>
    <w:p>
      <w:pPr>
        <w:spacing w:after="0" w:line="20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color w:val="auto"/>
        </w:rPr>
        <w:t>proceedings or defense activities may be less vigorous than had we conducted them ourselves or may not be conducted in accordance with our best interests.</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the resolution of any contract interpretation disagreement that may arise could narrow what we might believe to be the scope of our rights to the relevant patents, know-how and proprietary technology, or increase what we believe to be our financial or other obligations under the relevant agreement. Disputes that may arise between us and our future licensors regarding intellectual property subject to a license agreement could include disputes regarding:</w:t>
      </w:r>
    </w:p>
    <w:p>
      <w:pPr>
        <w:spacing w:after="0" w:line="136" w:lineRule="exact"/>
        <w:rPr>
          <w:sz w:val="20"/>
          <w:szCs w:val="20"/>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rights granted under the license agreement and other interpretation-related issues;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the extent to which our technology and processes infringe on intellectual property of the licensor that is not subject to the licensing agreement;</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 to sublicense patent and other rights to third parties under collaborative development relationships;</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diligence obligations with respect to the use of the licensed technology in relation to our development and commercialization of our product candidates and what activities satisfy those diligence obligations;</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royalty, milestone or other payment obligations that may result from the advancement or commercial sale of any of our product candidates; and</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ownership of inventions and know-how resulting from the joint creation or use of intellectual property by our licensors and us.</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If disputes over intellectual property that we license in the future prevent or impair our ability to maintain our licensing arrangements on acceptable terms, we may be unable to successfully develop and commercialize the affected technology or product candidates.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owned and in-licensed patents and patent applications may not provide sufficient protection of our product candidates or result in any competitive advantage.</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is highly uncertain. Our pending and future patent applications and those of our licensors may not result in patents being issued which protect our product candidates or which effectively prevent others from commercializing competitive product candidates.</w:t>
      </w:r>
    </w:p>
    <w:p>
      <w:pPr>
        <w:spacing w:after="0" w:line="1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 xml:space="preserve">The strength of patents in the biotechnology and pharmaceutical field involves complex legal and scientific questions and can be uncertain. The patent applications that we own or, in the future, in-license may fail to result in issued patents with claims that cover our product candidates or uses thereof in the United States or in other foreign countries. For example, while our patent applications are pending, we may be subject to a third party preissuance submission of prior art to the United States Patent and Trademark Office (the “USPTO”), or become involved in interference or derivation proceedings, or equivalent proceedings in foreign jurisdictions. Even if patents do successfully issue, third parties may challenge their inventorship, validity, enforceability or scope, including through opposition, revocation, reexamination, post-grant and </w:t>
      </w:r>
      <w:r>
        <w:rPr>
          <w:rFonts w:ascii="Times New Roman" w:cs="Times New Roman" w:eastAsia="Times New Roman" w:hAnsi="Times New Roman"/>
          <w:sz w:val="14"/>
          <w:szCs w:val="14"/>
          <w:i w:val="1"/>
          <w:iCs w:val="1"/>
          <w:color w:val="auto"/>
        </w:rPr>
        <w:t>inter partes</w:t>
      </w:r>
      <w:r>
        <w:rPr>
          <w:rFonts w:ascii="Times New Roman" w:cs="Times New Roman" w:eastAsia="Times New Roman" w:hAnsi="Times New Roman"/>
          <w:sz w:val="14"/>
          <w:szCs w:val="14"/>
          <w:color w:val="auto"/>
        </w:rPr>
        <w:t xml:space="preserve"> review proceedings. An adverse determination in any such submission, proceeding or litigation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Furthermore, even if they are unchallenged, our patents and patent applications may not adequately protect our intellectual property or prevent others from designing around our claims. Moreover, some of our owned and in-licensed patents and patent applications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development, testing, and regulatory review of new product candidates, the period of time during which we could market our product candidates under patent protection would be reduced or eliminated.</w:t>
      </w:r>
    </w:p>
    <w:p>
      <w:pPr>
        <w:spacing w:after="0" w:line="200" w:lineRule="exact"/>
        <w:rPr>
          <w:sz w:val="20"/>
          <w:szCs w:val="20"/>
          <w:color w:val="auto"/>
        </w:rPr>
      </w:pPr>
    </w:p>
    <w:p>
      <w:pPr>
        <w:spacing w:after="0" w:line="38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56" w:name="page57"/>
    <w:bookmarkEnd w:id="56"/>
    <w:p>
      <w:pPr>
        <w:jc w:val="both"/>
        <w:spacing w:after="0" w:line="255" w:lineRule="auto"/>
        <w:rPr>
          <w:sz w:val="20"/>
          <w:szCs w:val="20"/>
          <w:color w:val="auto"/>
        </w:rPr>
      </w:pPr>
      <w:r>
        <w:rPr>
          <w:rFonts w:ascii="Times New Roman" w:cs="Times New Roman" w:eastAsia="Times New Roman" w:hAnsi="Times New Roman"/>
          <w:sz w:val="14"/>
          <w:szCs w:val="14"/>
          <w:color w:val="auto"/>
        </w:rPr>
        <w:t>Since patent applications in the United States and other countries are confidential for a period of time after filing or until issuance, at any moment in time, we cannot be certain that it was in the past or will be in the future the first to file any patent application related to our product candidates. In addition, some patent applications in the United States may be maintained in secrecy until the patents are issued. As a result, there may be prior art of which we are not aware that may affect the validity or enforceability of a patent claim, and we may be subject to priority disputes. We may be required to disclaim part or all of the term of certain patents or all of the term of certain patent applications.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patent office or other governmental authority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that block our efforts or potentially result in our product candidates or our activities infringing such claims. It is possible that our competitors may have filed, and may in the future file, patent applications covering our products or technology similar to our products and technology. Those patent applications may have priority over our owned and in-licensed patent applications or patents, which could require us to obtain rights to issued patents covering such technologies. The possibility also exists that others will develop products that have the same effect as our product candidates on an independent basis that do not infringe our patents or other intellectual property rights, or will design around the claims of patents that we have had issued that cover our product candidates or their use. Likewise, our currently owned patents and patent applications, if issued as patents, directed to our proprietary technologies and our product candidates are expected to expire from 2033 through 2041, without taking into account any possible patent term adjustments or extensions. Our earliest patents may expire before, or soon after, our first product achieves marketing approval in the United States or foreign jurisdictions. Additionally, we cannot be assured that the USPTO or relevant foreign patent offices will grant any of the pending patent applications we own or in-licenses currently or in the future. Upon the expiration of our current patents, we may lose the right to exclude others from practicing these inventions. The expiration of these patents could also have a similar material adverse effect on our business, financial condition, results of operations and prospects.</w:t>
      </w:r>
    </w:p>
    <w:p>
      <w:pPr>
        <w:spacing w:after="0" w:line="3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24" w:lineRule="exact"/>
        <w:rPr>
          <w:sz w:val="20"/>
          <w:szCs w:val="20"/>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may be able to make or use compounds that are similar to the active compositions of our product candidates but that are not covered by the claims of our patents;</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APIs in our current product candidates will eventually become commercially available in generic drug products, and no patent protection may be available with regard to formulation or method of use;</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our future licensors, as the case may be, may fail to meet our or our obligations to the U.S. government regarding any patents and patent applications funded by U.S. government grants, leading to the loss or unenforceability of patent rights;</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our future licensors, as the case may be, might not have been the first to file patent applications for certain inventions;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may independently develop similar or alternative technologies or duplicate any of our technologies;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possible that our pending patent applications will not result in issued patents;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possible that there are prior public disclosures that could invalidate our owned or in-licensed patents, as the case may be, or parts of our owned or in-licensed patents;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possible that others may circumvent our owned or in-licensed patents;</w:t>
      </w:r>
    </w:p>
    <w:p>
      <w:pPr>
        <w:spacing w:after="0" w:line="178" w:lineRule="exact"/>
        <w:rPr>
          <w:rFonts w:ascii="Times New Roman" w:cs="Times New Roman" w:eastAsia="Times New Roman" w:hAnsi="Times New Roman"/>
          <w:sz w:val="14"/>
          <w:szCs w:val="14"/>
          <w:color w:val="auto"/>
        </w:rPr>
      </w:pPr>
    </w:p>
    <w:p>
      <w:pPr>
        <w:ind w:left="520" w:hanging="260"/>
        <w:spacing w:after="0" w:line="263" w:lineRule="auto"/>
        <w:tabs>
          <w:tab w:leader="none" w:pos="5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possible that there are unpublished applications or patent applications maintained in secrecy that may later issue with claims covering our product candidates or technology similar to ours;</w:t>
      </w:r>
    </w:p>
    <w:p>
      <w:pPr>
        <w:spacing w:after="0" w:line="33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laws of foreign countries may not protect our or our future licensors’, as the case may be, proprietary rights to the same extent as the laws of the United States;</w:t>
      </w: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57" w:name="page58"/>
    <w:bookmarkEnd w:id="57"/>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claims of our owned or in-licensed issued patents or patent applications, if and when issued, may not adequately cover our product candidates;</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owned or in-licensed issued patents may not provide us with any competitive advantages, may be narrowed in scope, or be held invalid or unenforceable as a result of legal challenges by third parties;</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inventors of our owned or in-licensed patents or patent applications may become involved with competitors, develop products or processes that design around our patents, or become hostile to us or the patents or patent applications on which they are named as inventors;</w:t>
      </w:r>
    </w:p>
    <w:p>
      <w:pPr>
        <w:spacing w:after="0" w:line="124" w:lineRule="exact"/>
        <w:rPr>
          <w:rFonts w:ascii="Times New Roman" w:cs="Times New Roman" w:eastAsia="Times New Roman" w:hAnsi="Times New Roman"/>
          <w:sz w:val="14"/>
          <w:szCs w:val="14"/>
          <w:color w:val="auto"/>
        </w:rPr>
      </w:pPr>
    </w:p>
    <w:p>
      <w:pPr>
        <w:jc w:val="both"/>
        <w:ind w:left="520" w:hanging="260"/>
        <w:spacing w:after="0" w:line="287"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possible that our owned or in-licensed patents or patent applications may omit individual(s) that should be listed as inventor(s) or include individual(s) that should not be listed as inventor(s), which may cause these patents or patents issuing from these patent applications to be held invalid or unenforceable or such omitted individuals may grant licenses to third parties;</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engaged in scientific collaborations in the past and will continue to do so in the future and our collaborators may develop adjacent or competing products that are outside the scope of our patents;</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develop additional proprietary technologies for which we can obtain patent protection;</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possible that product candidates or diagnostic tests we develop may be covered by third parties’ patents or other exclusive rights; or</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patents of others may have an adverse effect on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of the foregoing could have a material adverse effect on our business, financial conditions, results of operations and prospects.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strategy of obtaining rights to key technologies through in-licenses may not be successful.</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future growth of our business may depend in part on our ability to in-license or otherwise acquire the rights to additional product candidates and technologies. We cannot assure you that we will be able to in-license or acquire the rights to any product candidates or technologies from third parties on acceptable terms or at all.</w:t>
      </w:r>
    </w:p>
    <w:p>
      <w:pPr>
        <w:spacing w:after="0" w:line="1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For example, our agreements with certain of our third-party research partners provide that improvements developed in the course of our relationship may be owned solely by either we or our third-party research partner, or jointly between us and the third party. If we determine that exclusive rights to such improvements owned solely by a research partner or other third party with whom we collaborate are necessary to commercialize our drug candidates or maintain our competitive advantage, we may need to obtain an exclusive license from such third party in order to use the improvements and continue developing, manufacturing or marketing our drug candidates. We may not be able to obtain such a license on an exclusive basis, on commercially reasonable terms, or at all, which could prevent us from commercializing our drug candidates or allow our competitors or others the opportunity to access technology that is important to our business. We also may need the cooperation of any co-owners of our intellectual property in order to enforce such intellectual property against third parties, and such cooperation may not be provided to us.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addition, the in-licensing and acquisition of these technologies is a highly competitive area, and a number of more established companies are also pursuing strategies to license or acquire product candidates or technologies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license rights to us. Furthermore, we may be unable to identify suitable product candidates or technologies within our area of focus. If we are unable to successfully obtain rights to suitable product candidates or technologies, our business and prospects could be materially and adversely affected.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protect the confidentiality of our trade secrets, our business and competitive position would be harmed.</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to patent protection, we rely upon know-how and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w:t>
      </w:r>
    </w:p>
    <w:p>
      <w:pPr>
        <w:spacing w:after="0" w:line="38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58" w:name="page59"/>
    <w:bookmarkEnd w:id="58"/>
    <w:p>
      <w:pPr>
        <w:jc w:val="both"/>
        <w:spacing w:after="0" w:line="257" w:lineRule="auto"/>
        <w:rPr>
          <w:sz w:val="20"/>
          <w:szCs w:val="20"/>
          <w:color w:val="auto"/>
        </w:rPr>
      </w:pPr>
      <w:r>
        <w:rPr>
          <w:rFonts w:ascii="Times New Roman" w:cs="Times New Roman" w:eastAsia="Times New Roman" w:hAnsi="Times New Roman"/>
          <w:sz w:val="14"/>
          <w:szCs w:val="14"/>
          <w:color w:val="auto"/>
        </w:rPr>
        <w:t>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we are to be kept confidential and not disclosed to third parties, except in certain specified circumstances. In the case of employees, the agreements provide that all inventions conceived by the individual, and that are related to our current or planned business or research and development or made during normal working hours, on our premises or using our equipment or proprietary information (or as otherwise permitted by applicable law), are our exclusive property. In the case of consultants and other third parties, the agreements provide that all inventions conceived in connection with the services provided are our exclusive property. However, we cannot guarantee that we have entered into such agreements with each party that may have or have had access to our trade secrets or proprietary technology and processes. We have also adopted policies and conducts training that provides guidance on our expectations, and our advice for best practices, in protecting our trade secrets. Despite these efforts, any of these parties may breach the agreements and disclose our proprietary information, including our trade secrets, and we may not be able to obtain adequate remedies for such breaches.</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addition to contractual measures, we try to protect the confidential nature of our proprietary information through other appropriate precautions, such as physical and technological security measures. However, trade secrets and know-how can be difficult to protect. These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any recourse we might take against this type of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us from receiving legal recourse. If any of our confidential or proprietary information, such as our trade secrets, were to be disclosed or misappropriated, such as through a data breach, or if any of that information was independently developed by a competitor, our competitive position could be harmed. Additionally, certain trade secret and proprietary information may be required to be disclosed in submissions to regulatory authorities. If such authorities do not maintain the confidential basis of such information or disclose it as part of the basis of regulatory approval, our competitive position could be adversely affected.</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addition, courts outside the United States are sometimes less willing to protect trade secrets. If we choose to go to court to stop a third party from using any of our trade secrets, we may incur substantial costs. Even if we are successful, these types of lawsuits may result in substantial cost and require significant time from our scientists and management. Although we take steps to protect our proprietary information and trade secrets, third parties may independently develop substantially equivalent proprietary information and techniques or otherwise gain access to our trade secrets or disclose our technology, through legal or illegal means. As a result, we may not be able to meaningfully protect our trade secrets. Any of the foregoing could have a material adverse effect on our business, financial condition, results of operations and prospects.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Third-party claims of intellectual property infringement may prevent, delay or otherwise interfere with our product discovery and development efforts.</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 xml:space="preserve">Our commercial success depends in part on our ability to develop, manufacture, market and sell our product candidates and use our proprietary technologies without infringing, misappropriating or otherwise violating the intellectual property or other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Times New Roman" w:cs="Times New Roman" w:eastAsia="Times New Roman" w:hAnsi="Times New Roman"/>
          <w:sz w:val="14"/>
          <w:szCs w:val="14"/>
          <w:i w:val="1"/>
          <w:iCs w:val="1"/>
          <w:color w:val="auto"/>
        </w:rPr>
        <w:t>inter partes</w:t>
      </w:r>
      <w:r>
        <w:rPr>
          <w:rFonts w:ascii="Times New Roman" w:cs="Times New Roman" w:eastAsia="Times New Roman" w:hAnsi="Times New Roman"/>
          <w:sz w:val="14"/>
          <w:szCs w:val="14"/>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misappropriate or otherwise violate their intellectual property rights. Numerous U.S. and foreign issued patents and pending patent applications that are owned by third parties exist in the fields in which we are developing our product candidates.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 third parties may allege they have patent rights encompassing our product candidates, technologies or methods.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a third party claims that we infringe, misappropriate or otherwise violate their intellectual property rights, we may face a number of issues, including, but not limited to:</w:t>
      </w: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59" w:name="page60"/>
    <w:bookmarkEnd w:id="59"/>
    <w:p>
      <w:pPr>
        <w:ind w:left="520" w:hanging="260"/>
        <w:spacing w:after="0" w:line="287" w:lineRule="auto"/>
        <w:tabs>
          <w:tab w:leader="none" w:pos="51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infringement and other intellectual property claims that, regardless of merit, may be expensive and time-consuming to litigate and may divert our management’s attention from our core business;</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plus the patent owner’s attorneys’ fees;</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court prohibiting us from developing, manufacturing, marketing or selling our product candidates, or from using our proprietary technologies, unless the third-party licenses our product rights or proprietary technology to us, which it is not required to do, on commercially reasonable terms or at all;</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license is available from a third party, we may have to pay substantial royalties, upfront fees and other amounts, and/or grant cross-licenses to intellectual property rights for our product candidates;</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we redesign our product candidates or processes so they do not infringe, which may not be possible or may require substantial monetary expenditures and time; and</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Third parties may assert that we are employing their proprietary technology without authorization, including by enforcing our patents against us by filing a patent infringement lawsuit against us. In this regard, patents issued in the United States by law enjoy a presumption of validity that can be rebutted only with evidence that is “clear and convincing,” a heightened standard of proof.</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There may be third-party patents of which we are currently unaware of with claims to materials, formulations,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 upon these patents.</w:t>
      </w:r>
    </w:p>
    <w:p>
      <w:pPr>
        <w:spacing w:after="0" w:line="13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If any third-party patents were held by a court of competent jurisdiction to cover the manufacturing process of our product candidates, or materials used in or formed during the manufacturing process, or any final product itself, the holders of those patents may be able to block our ability to commercialize our product candidate unless we obtain a license under the applicable patents, or until those patents were to expire or those patents are finally determined to be invalid or unenforceable. Similarly, if any third-party patent were held by a court of competent jurisdiction to cover aspects of our formulations, processes for manufacture or methods of use, including combination therapy or patient selection methods, the holders of that patent may be able to block our ability to develop and commercialize the product candidate unless we obtain a license or until such patent expires or is finally determined to be invalid or unenforceable. In either case, a license may not be available on commercially reasonable terms, or at all, particularly if such patent is owned or controlled by one of our primary competitors. If we are unable to obtain a necessary license to a third-party patent on commercially reasonable terms, or at all, our ability to commercialize our product candidates may be impaired or delayed, which could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time and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license of this nature would be available at all or whether it would be available on commercially reasonable terms.</w:t>
      </w:r>
    </w:p>
    <w:p>
      <w:pPr>
        <w:spacing w:after="0" w:line="200" w:lineRule="exact"/>
        <w:rPr>
          <w:sz w:val="20"/>
          <w:szCs w:val="20"/>
          <w:color w:val="auto"/>
        </w:rPr>
      </w:pPr>
    </w:p>
    <w:p>
      <w:pPr>
        <w:spacing w:after="0" w:line="20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60" w:name="page61"/>
    <w:bookmarkEnd w:id="60"/>
    <w:p>
      <w:pPr>
        <w:jc w:val="both"/>
        <w:spacing w:after="0" w:line="287" w:lineRule="auto"/>
        <w:rPr>
          <w:sz w:val="20"/>
          <w:szCs w:val="20"/>
          <w:color w:val="auto"/>
        </w:rPr>
      </w:pPr>
      <w:r>
        <w:rPr>
          <w:rFonts w:ascii="Times New Roman" w:cs="Times New Roman" w:eastAsia="Times New Roman" w:hAnsi="Times New Roman"/>
          <w:sz w:val="14"/>
          <w:szCs w:val="14"/>
          <w:color w:val="auto"/>
        </w:rPr>
        <w:t>Furthermore, even in the absence of litigation, we may need to obtain licenses from third parties to advance our research or allow commercialization of our product candidates and we may fail to obtain any of these licenses at a reasonable cost or on reasonable terms, if at all.</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that event, we would be unable to further develop and commercialize our product candidates, which could significantly harm our business.</w:t>
      </w:r>
    </w:p>
    <w:p>
      <w:pPr>
        <w:spacing w:after="0" w:line="17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be involved in lawsuits to protect or enforce our patents or the patents of our licensors, which could be expensive, time-consuming and unsuccessful and could result in a finding that such patents are unenforceable or invalid.</w:t>
      </w:r>
    </w:p>
    <w:p>
      <w:pPr>
        <w:spacing w:after="0" w:line="12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Competitors may infringe our patents or the patents of our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 patent litigation in the United States, defendant counterclaims alleging invalidity and/or unenforceability are commonplace, and there are numerous grounds upon which a third party can assert invalidity or unenforceability of a patent.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These types of mechanisms include re-examination, post-grant review, inter partes review, interference proceedings, derivation proceedings, and equivalent proceedings in foreign jurisdictions (e.g., opposition proceedings). These types of proceedings could result in revocation or amendment to our patents such that they no longer cover our product candidates. The outcome for any particular patent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Defense of these types of claims, regardless of their merit, would involve substantial litigation expense and would be a substantial diversion of employee resources from our business.</w:t>
      </w:r>
    </w:p>
    <w:p>
      <w:pPr>
        <w:spacing w:after="0" w:line="1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Conversely, we may choose to challenge the patentability of claims in a third party’s U.S. patent by requesting that the USPTO review the patent claims in re-examination, post-grant review, inter partes review, interference proceedings, derivation proceedings, and equivalent proceedings in foreign jurisdictions (e.g., opposition proceedings), or we may choose to challenge a third party’s patent in patent opposition proceedings in the Canadian Intellectual Property Office (“CIPO”), the European Patent Office (“EPO”), or another foreign patent office. Even if successful, the costs of these opposition proceedings could be substantial, and may consume our time or other resources. If we fail to obtain a favorable result at the USPTO, CIPO, EPO or other patent office then we may be exposed to litigation by a third party alleging that the patent may be infringed by our product candidates or proprietary technologies.</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that perception could have a substantial adverse effect on the price of our common stock. Any of the foregoing could have a material adverse effect on our business financial condition, results of operations and prospects.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protect our intellectual property rights throughout the world.</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For example, patents covering methods-of-use are not available in certain foreign countries.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do not have or have not obtained patent protection to develop their own products and, further, may export otherwise infringing products to territories where we have patent protection but where enforcement is not as strong as that in the United States. These products may compete with our</w:t>
      </w:r>
    </w:p>
    <w:p>
      <w:pPr>
        <w:spacing w:after="0" w:line="200" w:lineRule="exact"/>
        <w:rPr>
          <w:sz w:val="20"/>
          <w:szCs w:val="20"/>
          <w:color w:val="auto"/>
        </w:rPr>
      </w:pPr>
    </w:p>
    <w:p>
      <w:pPr>
        <w:spacing w:after="0" w:line="21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61" w:name="page62"/>
    <w:bookmarkEnd w:id="61"/>
    <w:p>
      <w:pPr>
        <w:jc w:val="both"/>
        <w:spacing w:after="0" w:line="263" w:lineRule="auto"/>
        <w:rPr>
          <w:sz w:val="20"/>
          <w:szCs w:val="20"/>
          <w:color w:val="auto"/>
        </w:rPr>
      </w:pPr>
      <w:r>
        <w:rPr>
          <w:rFonts w:ascii="Times New Roman" w:cs="Times New Roman" w:eastAsia="Times New Roman" w:hAnsi="Times New Roman"/>
          <w:sz w:val="14"/>
          <w:szCs w:val="14"/>
          <w:color w:val="auto"/>
        </w:rPr>
        <w:t>product candidates in jurisdictions where we do not have any issued patents and our patent claims or other intellectual property rights may not be effective or sufficient to prevent them from competing.</w:t>
      </w:r>
    </w:p>
    <w:p>
      <w:pPr>
        <w:spacing w:after="0" w:line="3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management’s efforts and attention from other aspects of our business. Proceedings to enforce our patent rights in foreign jurisdictions could result in substantial costs and divert management’s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Third parties may assert that our employees or consultants have wrongfully used or disclosed confidential information or misappropriated trade secrets.</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As is common in the biotechnology and pharmaceutical industries, we employ individuals who were previously employed at universities or other biopharmaceutical or pharmaceutical companies, including our competitors or potential competitors. Although we try to ensure that our employees and consultants do not use the proprietary information or know-how of others in their work for us, we may be subject to claims that our employees, consultants or independent contractors have inadvertently or otherwise used or disclosed intellectual property, including trade secrets or other proprietary information, of a former employer or other third parties. We may then have to pursue litigation to defend against these claims. If we fail in defending any claims of this nature, in addition to paying monetary damages, we may lose valuable intellectual property rights or personnel. Even if we are successful in defending against these types of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that perception could have a substantial adverse effect on the price of our common stock. This type of litigation or proceeding could substantially increase our operating losses and reduce our resources available for development activities, and we may not have sufficient financial or other resources to adequately conduct this type of litigation or proceedings. For example, some of our competitors may be able to sustain the costs of this type of litigation or proceedings more effectively than us can because of their substantially greater financial resources. In any case, uncertainties resulting from the initiation and continuation of intellectual property litigation or other intellectual property related proceedings could adversely affect our ability to compete in the marketplace.</w:t>
      </w:r>
    </w:p>
    <w:p>
      <w:pPr>
        <w:spacing w:after="0" w:line="14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Periodic maintenance fees on any issued patent are due to be paid to the USPTO and foreign patent agencies in several stages over the lifetime of the patent. The USPTO and various foreign patent agencies also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laws and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Were a noncompliance event to occur, our competitors might be able to enter the market, which would have a material adverse effect on our business financial condition, results of operations and prospects.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patent law in the United States and in non-U.S. jurisdictions could diminish the value of patents in general, thereby impairing our ability to protect our product candidates.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w:t>
      </w:r>
    </w:p>
    <w:p>
      <w:pPr>
        <w:spacing w:after="0" w:line="38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62" w:name="page63"/>
    <w:bookmarkEnd w:id="62"/>
    <w:p>
      <w:pPr>
        <w:jc w:val="both"/>
        <w:spacing w:after="0" w:line="257" w:lineRule="auto"/>
        <w:rPr>
          <w:sz w:val="20"/>
          <w:szCs w:val="20"/>
          <w:color w:val="auto"/>
        </w:rPr>
      </w:pPr>
      <w:r>
        <w:rPr>
          <w:rFonts w:ascii="Times New Roman" w:cs="Times New Roman" w:eastAsia="Times New Roman" w:hAnsi="Times New Roman"/>
          <w:sz w:val="14"/>
          <w:szCs w:val="14"/>
          <w:color w:val="auto"/>
        </w:rPr>
        <w:t>Past or future patent reform legislation could increase the uncertainties and costs surrounding the prosecution of our patent applications and the enforcement or defense of our issued patents. For example, in March 2013, under the Leahy-Smith America Invents Act (“America Invents Act”), the United States moved from a “first to invent” to a “first-to-file” patent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continue to evolve as the USPTO continues to promulgate new regulations and procedures in connection with the America Invents Act. In addition, the courts have yet to address many of these provisions and the applicability of the act and new regulations on the specific patents discussed in this filing have not been determined and would need to be reviewed. Moreover, the America Invents Act and our implementation could increase the uncertainties and costs surrounding the prosecution of our patent applications and the enforcement or defense of our issued patents.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or license in the future. For example, in the case, Assoc. for Molecular Pathology v. Myriad Genetics, Inc., the U.S. Supreme Court held that certain claims to DNA molecules are not patent-eligible.</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Similarly, other cases by the U.S. Supreme Court have held that certain methods of treatment or diagnosis are not patent-eligible. U.S. law regarding patent-eligibility continues to evolve. While we do not believe that any of our patents will be found invalid based on these changes to U.S. patent law, we cannot predict how future decisions by the courts, the U.S. Congress or the USPTO may impact the value of our patents and patent applications. Any similar adverse changes in the patent laws of other jurisdictions could also have a material adverse effect on our business, financial condition, results of operations and prospects.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Patent terms may be inadequate to protect our competitive position on our product candidates for an adequate amount of time.</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Given the amount of time required for the development, testing and regulatory review of new product candidates, patents protecting our product candidates might expire before or shortly after we or our partners commercialize those candidates. As a result, our owned and licensed patent portfolio may not provide us with sufficient rights to exclude others from commercializing products similar or identical to ours.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do not obtain patent term extension for any product candidates it may develop, our business may be materially harmed.</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 of 1984 (the “Hatch-Waxman Amendments”). The Hatch-Waxman Amendments permit a patent extension term of up to five years as compensation for patent term lost during clinical trials and the FDA regulatory review process. A patent term extension cannot extend the remaining term of a patent beyond a total of 14 years from the date of product approval, only one patent per product may be extended and only those claims covering the approved drug, a method for using it, or a method for manufacturing it may be extended. U.S. and ex-U.S. law concerning patent term extensions and foreign equivalents continue to evolve. Even if we were to seek a patent term extension, it may not be granted because of, for example, the failure to exercise due diligence during the testing phase or regulatory review process, the failure to apply within applicable deadlines, the failure to apply prior to expiration of relevant patents, or any other failure to satisfy applicable requirements. Moreover, the applicable time period of extension or the scope of patent protection afforded could be less than we request. If we are unable to obtain patent term extension or term of any such extension is less than it requests, our competitors may obtain approval of competing products following our patent expiration sooner than expected, and our business, financial condition, results of operations and prospects could be materially harmed.</w:t>
      </w:r>
    </w:p>
    <w:p>
      <w:pPr>
        <w:spacing w:after="0" w:line="200" w:lineRule="exact"/>
        <w:rPr>
          <w:sz w:val="20"/>
          <w:szCs w:val="20"/>
          <w:color w:val="auto"/>
        </w:rPr>
      </w:pPr>
    </w:p>
    <w:p>
      <w:pPr>
        <w:spacing w:after="0" w:line="21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63" w:name="page64"/>
    <w:bookmarkEnd w:id="63"/>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Intellectual property discovered through government funded programs may be subject to federal regulations such as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march-in</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 xml:space="preserve"> rights, certain reporting requirements and a preference for U.S.-based companies. Compliance with such regulations may limit our exclusive rights and limit our ability to contract with non-U.S. manufacturers.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Although we do not currently own issued patents or pending patent applications that have been generated through the use of U.S. government funding, we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Ownership of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trading price of the shares of our common stock has been and is likely to continue to be volatile, and purchasers of our common stock could incur substantial losses.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market price of our common stock has been and is likely to continue to be volatile. Some of the factors that may cause the market price of our common stock to fluctuate include:</w:t>
      </w:r>
    </w:p>
    <w:p>
      <w:pPr>
        <w:spacing w:after="0" w:line="179" w:lineRule="exact"/>
        <w:rPr>
          <w:sz w:val="20"/>
          <w:szCs w:val="20"/>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results of clinical trials and preclinical studies of our product candidates, or those of our competitors or our existing or future collaborators;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meet or exceed financial and development projections we may provide to the public;</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meet or exceed the financial and development projections of the investment community;</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do not achieve the perceived benefits of the merger with Millendo as rapidly or to the extent anticipated by financial or industry analysts;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of significant acquisitions, strategic collaborations, joint ventures or capital commitments by us or our competitors;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taken by regulatory agencies with respect to our product candidates, clinical studies, manufacturing process or sales and marketing terms;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disputes or other developments relating to proprietary rights, including patents, litigation matters, and our ability to obtain patent protection for our technologies;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departures of key personnel;</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lawsuits, including patent or stockholder litigation;</w:t>
      </w: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64" w:name="page65"/>
    <w:bookmarkEnd w:id="64"/>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securities or industry analysts do not publish research or reports about our business, or if they issue adverse or misleading opinions regarding our business and stock;</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market valuations of similar companies;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market or macroeconomic conditions or market conditions in the pharmaceutical and biotechnology sectors;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securities by us or our securityholders in the future;</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raise an adequate amount of capital to fund our operations and continued development of our product candidates;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trading volume of our common stock;</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competitors of new commercial products, clinical progress or lack thereof, significant contracts, commercial relationships or capital commitments;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publicity relating to precision medicine product candidates, including with respect to other products in such markets;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introduction of technological innovations or new therapies that compete with our products and services; and</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period-to-period fluctuations in our financial results.</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Moreover, the stock markets in general have experienced substantial volatility that has often been unrelated to the operating performance of individual companies. These broad market fluctuations may also adversely affect the trading price of our common stock. In addition, a recession, depression or other sustained adverse market event resulting from the COVID-19 pandemic or otherwise could materially and adversely affect our business and the value of our common stock. 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and financial condition.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sales of shares by existing stockholders could cause our stock price to decline.</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If our existing securityholders sell, or indicate an intention to sell, substantial amounts of our common stock in the public market after legal restrictions on resale lapse, the trading price of our common stock could decline. As of December 31, 2021, of the total 6,900,595 shares of common stock outstanding, approximately 4,230,786 shares will be available for sale in the public market beginning 180 days after the closing of the merger with Millendo as a result of the expiration of lock-up agreements between Millendo and us on the one hand and certain securityholders of Millendo and us on the other hand. All other outstanding shares of common stock, other than shares held by our affiliates, will be freely tradable, without restriction, in the public market. In addition, shares of common stock that are subject to outstanding options will become eligible for sale in the public market to the extent permitted by the provisions of various vesting agreements and Rules 144 and 701 under the Securities Act. If these shares are sold, the trading price of our common stock could decline.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executive officers, directors and principal stockholders have the ability to control or significantly influence all matters submitted to our stockholders for approval.</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executive officers, directors and principal stockholders, in the aggregate, beneficially own approximately 65.8% of our outstanding shares of common stock. As a result, if these persons were to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and approval of any merger, consolidation or sale of all or substantially all of the company’s assets. This concentration of voting power could delay or prevent an acquisition on terms that other stockholders may desire.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Status as a Public Company and Other General Matters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65" w:name="page66"/>
    <w:bookmarkEnd w:id="65"/>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expect to continue to incur increased costs as a result of operating as a public company, and our management is required to devote substantial time to compliance with our public company responsibilities and corporate governance practices.</w:t>
      </w:r>
    </w:p>
    <w:p>
      <w:pPr>
        <w:spacing w:after="0" w:line="1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As a relatively new public company, we continue to incur significant legal, accounting and other expenses that we did not incur as a private company. The Sarbanes-Oxley Act, the Dodd-Frank Wall Street Reform and Consumer Protection Act, the listing requirements of the Nasdaq Stock Market and other applicable securities rules and regulations impose various requirements on public companies. Our management and other personnel need to devote a substantial amount of time to compliance with these requirements. Moreover, these rules and regulations increase our legal and financial compliance costs and will make some activities more time-consuming and costly. For example, we expect that these rules and regulations may make it more difficult and more expensive for us to obtain directors’ and officers’ liability insurance, compared to when we were a private company, which could make it more difficult for us to attract and retain qualified members of our board of directors. We cannot predict or estimate the amount of additional costs we will continue to incur as a public company or the timing of such costs. Once we are no longer a smaller reporting company or otherwise no longer qualifies for applicable exemptions, we will be subject to additional laws and regulations affecting public companies that will increase our costs and the demands on management and could harm our operating results.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maintain proper and effective internal controls, our ability to produce accurate financial statements on a timely basis could be impaired.</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are subject to the reporting requirements of the Securities Exchange Act of 1934, as amended (the “Exchange Act”), The Sarbanes-Oxley Act, the Dodd-Frank Wall Street Reform and Consumer Protection Act, and the rules and regulations of the stock market on which our common stock is listed. The Sarbanes-Oxley Act requires, among other things, that we maintain effective disclosure controls and procedures and internal control over financial reporting and that, after a transitional period, we furnish a report by management on, among other things, the effectiveness of our internal control over financial reporting. This assessment includes disclosure of any material weaknesses identified by our management in our internal control over financial reporting. However, due to recent changes in Securities and Exchange Commission (“SEC”) rules related to smaller reporting companies, Millendo was not required to have its auditors formally attest to the effectiveness of its internal control over financial reporting in connection with the Annual Report on Form 10-K for the year ended December 31, 2020. Additionally, we will not be required to have our auditors formally attest to the effectiveness of our internal control over financial reporting until we cease to be a smaller reporting company.</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may identify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5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If we are not able to comply with the requirements of Section 404 of the Sarbanes-Oxley Act (“Section 404”),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15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4"/>
          <w:szCs w:val="14"/>
          <w:color w:val="auto"/>
        </w:rPr>
        <w:t>Additionally, as a privately held company, we were not required to evaluate our internal control over financial reporting in a manner that meets the standards of publicly traded companies required by Section 404. In connection with the preparation and audit of our financial statements as of and for the year ended December 31, 2020, a material weaknesses was identified in our internal control over financial reporting. We cannot assure you that the material weaknesses identified will be remediated by us on the timelines currently anticipated, or at all, or that there will not be additional material weaknesses or significant deficiencies in the internal control over financial reporting in the future. Any failure to maintain effective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reporting on internal control over financial reporting, investors may lose confidence in the accuracy and completeness of our financial reports, the market price of our common stock could decline, and we could be subject to sanctions or investigations by Nasdaq Stock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00" w:lineRule="exact"/>
        <w:rPr>
          <w:sz w:val="20"/>
          <w:szCs w:val="20"/>
          <w:color w:val="auto"/>
        </w:rPr>
      </w:pPr>
    </w:p>
    <w:p>
      <w:pPr>
        <w:spacing w:after="0" w:line="21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6" w:name="page67"/>
    <w:bookmarkEnd w:id="66"/>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or the third parties upon whom we depend may be adversely affected by natural disasters and other calamities, including pandemics, such as the global outbreak of COVID-19, and our business continuity and disaster recovery plans may not adequately protect us from a serious disaster.</w:t>
      </w:r>
    </w:p>
    <w:p>
      <w:pPr>
        <w:spacing w:after="0" w:line="12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Natural disasters could severely disrupt our operations and have a material adverse effect on our business, results of operations, financial condition and prospects. If a natural disaster, fire, hurricane, power outage or other event occurred that prevented us from using all or a significant portion of our headquarters, that damaged critical infrastructure, such as our suppliers’ manufacturing facilities, or that otherwise disrupted operations, such as data storage, it may be difficult or, in certain cases, impossible for us to continue our business for a substantial period of time.</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Occurrences of epidemics or pandemics, depending on their scale, may cause different degrees of damage to the national and local economies within our geographic focus. Global economic conditions may be disrupted by widespread outbreaks of infectious or contagious diseases, and such disruption may adversely affect clinical development plans. For example, the COVID-19 pandemic could have an adverse effect on the coordination of research and development, our capital raising efforts, and the financial condition of our business, as well as our ability to retain key personnel and continue to expand product candidate development and conduct clinical trials. In addition, the impact of the COVID-19 pandemic is likely to continue to cause substantial changes in consumer behavior and has caused restrictions on business and individual activities, which are likely to lead to reduced economic activity. Extraordinary actions taken by international, federal, state and local public health and governmental authorities to contain and combat the outbreak and spread of the COVID-19 pandemic in regions throughout the world, including travel bans, quarantines, “stay-at-home” orders and similar mandates for many individuals and businesses to substantially restrict daily activities could have an adverse effect on our financial condition and ability to raise financing.</w:t>
      </w:r>
    </w:p>
    <w:p>
      <w:pPr>
        <w:spacing w:after="0" w:line="31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a result of the COVID-19 pandemic, we may experience reduction in research and development, clinical testing, regulatory compliance activities, and manufacturing activities, and is unable at this time to estimate the extent of the effect of the COVID-19 pandemic on our business. The extent and duration of the economic slowdown attributable to the COVID-19 pandemic remains uncertain at this time. A continued significant economic slowdown could have a substantial adverse effect on our financial condition, liquidity, and results of operations. If these conditions persist for an extended term, it could have a material adverse effect on our future revenue and sales.</w:t>
      </w:r>
    </w:p>
    <w:p>
      <w:pPr>
        <w:spacing w:after="0" w:line="14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entails a significant risk of product liability and our ability to obtain sufficient insurance coverage could have a material and adverse effect on our business, financial condition, results of operations and prospects.</w:t>
      </w:r>
    </w:p>
    <w:p>
      <w:pPr>
        <w:spacing w:after="0" w:line="1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will face an inherent risk of product liability exposure related to the testing of our product candidates in clinical trials and will face an even greater risk if we commercialize any of our product candidates. Any such product liability claims may include allegations of defects in manufacturing, defects in design, a failure to warn of dangers inherent in a product, negligence, strict liability or breach of warranty. Claims could also be asserted under U.S. state consumer protection acts. If we cannot successfully defend against claims that our product candidates caused injuries, we could incur substantial liabilities. Regardless of merit or eventual outcome, liability claims may result in:</w:t>
      </w:r>
    </w:p>
    <w:p>
      <w:pPr>
        <w:spacing w:after="0" w:line="140" w:lineRule="exact"/>
        <w:rPr>
          <w:sz w:val="20"/>
          <w:szCs w:val="20"/>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decreased demand for any product candidates that we may develop;</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injury to our reputation and significant negative media attention;</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withdrawal of clinical trial participants;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time and costs to defend the related litigation;</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monetary awards to trial participants or patients;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revenue;</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termination of our collaboration relationships or disputes with our collaborators;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voluntary product recalls, withdrawals or labeling restrictions; and</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commercialize any product candidates that we may develop.</w:t>
      </w: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67" w:name="page68"/>
    <w:bookmarkEnd w:id="67"/>
    <w:p>
      <w:pPr>
        <w:jc w:val="both"/>
        <w:spacing w:after="0" w:line="264" w:lineRule="auto"/>
        <w:rPr>
          <w:sz w:val="20"/>
          <w:szCs w:val="20"/>
          <w:color w:val="auto"/>
        </w:rPr>
      </w:pPr>
      <w:r>
        <w:rPr>
          <w:rFonts w:ascii="Times New Roman" w:cs="Times New Roman" w:eastAsia="Times New Roman" w:hAnsi="Times New Roman"/>
          <w:sz w:val="14"/>
          <w:szCs w:val="14"/>
          <w:color w:val="auto"/>
        </w:rPr>
        <w:t>While we currently have insurance that we believe is appropriate for our stage of development, we may need to obtain higher levels prior to clinical development or marketing any of our future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spacing w:after="0" w:line="13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Provisions in our certificate of incorporation and by-laws and under Delaware law could make an acquisition of us, which may be beneficial to our stockholders, more difficult and may prevent attempts by our stockholders to replace or remove our current management.</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Provisions in our certificate of incorporation and by-laws may discourage, delay or prevent a merger, acquisition or other change in control of the company that stockholders may consider favorable, including transactions in which our common stockholders might otherwise receive a premium price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43" w:lineRule="exact"/>
        <w:rPr>
          <w:sz w:val="20"/>
          <w:szCs w:val="20"/>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 classified board of directors such that not all members of the board are elected at one time;</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allow the authorized number of our directors to be changed only by resolution of our board of directors;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the manner in which stockholders can remove directors from the board;</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advance notice requirements for stockholder proposals that can be acted on at stockholder meetings and for nominations to our board of directors;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who may call stockholder meetings;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 actions by our stockholders by written consent;</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that stockholder actions be effected at a duly called stockholders meeting;</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the approval of the holders of at least 75 percent of the votes that all our stockholders would be entitled to cast to amend or repeal certain provisions of our certificate of incorporation or by-laws.</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Moreover, because we are incorporated in Delaware, we are governed by the provisions of Section 203 of the Delaware General Corporation Law, which prohibits a person who owns 15 percent or more of our outstanding voting stock from merging or combining with us for a period of three years after the date of the transaction in which the person acquired 15 percent or more of our outstanding voting stock, unless the merger or combination is approved in a manner prescribed by the statute.</w:t>
      </w:r>
    </w:p>
    <w:p>
      <w:pPr>
        <w:spacing w:after="0" w:line="1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1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bylaws provide that the Court of Chancery of the State of Delaware is the sole and exclusive forum for any derivative action or proceeding brought on our behalf, any action asserting a breach of fiduciary duty, any action asserting a claim against it arising pursuant to any provisions of the DGCL, our certificate of incorporation or our bylaws, or any action asserting a claim against us that is governed by the internal affairs doctrine. The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bylaws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200" w:lineRule="exact"/>
        <w:rPr>
          <w:sz w:val="20"/>
          <w:szCs w:val="20"/>
          <w:color w:val="auto"/>
        </w:rPr>
      </w:pPr>
    </w:p>
    <w:p>
      <w:pPr>
        <w:spacing w:after="0" w:line="21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i w:val="1"/>
          <w:iCs w:val="1"/>
          <w:color w:val="auto"/>
        </w:rPr>
        <w:t>We do not anticipate that we will pay any cash dividends in the foreseeable future.</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current expectation is that we will retain our future earnings, if any, to fund our growth as opposed to paying dividends. As a result, capital appreciation, if any, of our common stock will be your sole source of gain, if any, for the foreseeable future.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exposed to increased litigation, including stockholder litigation, which could have an adverse effect on our business and operations.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may be exposed to increased litigation from stockholders, customers, suppliers, consumers and other third parties due to the combination of Millendo’s business and ours following the merger. Such litigation may have an adverse impact on our business and results of operations or may cause disruptions to our operations. In addition, in the past, stockholders have initiated class action lawsuits against biotechnology companies following periods of volatility in the market prices of these companies’ stock. Such litigation, if instituted against us, could cause us to incur substantial costs and divert management’s attention and resources, which could have a material adverse effect on our business, financial condition and results of operations. We also remain the subject of various securities class action lawsuits and shareholder derivative lawsuits that were filed against OvaScience and certain of our officer and directors, as described in more detail in Part II, Item 3 under the heading “Legal Proceedings” of this Annual Report on Form 10-K.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trading market for our common stock will be influenced by the research and reports that equity research analysts publish about us and our business. We have no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or fails to publish reports on us regularly, demand for our common stock could decrease, which in turn could cause our stock price or trading volume to decline.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a smaller reporting company, and the reduced reporting requirements applicable to smaller reporting companies may make our common stock less attractive to investors.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are a “smaller reporting company” as defined in Section 12 of the Exchange Act. For as long as we continue to be a smaller reporting company, we may take advantage of exemptions from various reporting requirements that are applicable to other public companies that are not smaller reporting companies, including not being required to comply with the auditor attestation requirements of Section 404 of Sarbanes-Oxley Act of 2002, reduced disclosure obligations regarding executive compensation in our periodic reports and proxy statements, and exemptions from the requirements of holding nonbinding advisory votes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corporate headquarters are located at 700 Shoreline Court, Suite 275, South San Francisco, California, 94080, where we occupy approximately 9,780 square feet of office space under a lease agreement entered into in February 2019. In addition, in January 2022, we entered into an agreement to lease approximately an additional 20,116 square feet of laboratory and office space at 2000 Sierra Point Parkway, Brisbane, California 94005, which we anticipate occupying beginning in November 2022. As a result of the merger with Millendo, we assumed Millendo’s noncancelable operating leases for 21,000 square feet of office space in Ann Arbor, Michigan under two separate leases.</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believe our existing facilities are sufficient for our needs for the foreseeable future. To meet the future needs of our business, we may lease additional or alternate space, and we believe suitable additional or alternative space will be available in the future on commercially reasonable terms.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200" w:lineRule="exact"/>
        <w:rPr>
          <w:sz w:val="20"/>
          <w:szCs w:val="20"/>
          <w:color w:val="auto"/>
        </w:rPr>
      </w:pPr>
    </w:p>
    <w:p>
      <w:pPr>
        <w:spacing w:after="0" w:line="24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69" w:name="page70"/>
    <w:bookmarkEnd w:id="69"/>
    <w:p>
      <w:pPr>
        <w:jc w:val="both"/>
        <w:spacing w:after="0" w:line="287" w:lineRule="auto"/>
        <w:rPr>
          <w:sz w:val="20"/>
          <w:szCs w:val="20"/>
          <w:color w:val="auto"/>
        </w:rPr>
      </w:pPr>
      <w:r>
        <w:rPr>
          <w:rFonts w:ascii="Times New Roman" w:cs="Times New Roman" w:eastAsia="Times New Roman" w:hAnsi="Times New Roman"/>
          <w:sz w:val="14"/>
          <w:szCs w:val="14"/>
          <w:color w:val="auto"/>
        </w:rPr>
        <w:t>As a result of the merger with Millendo, the Company is party to various litigation matters given Millendo’s role as successor to OvaScience, Inc. (“OvaScience”). OvaScience merged with Millendo in 2018. Prior to the merger with Millendo, OvaScience was sued in three matters that are disclosed below.</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November 9, 2016, a purported shareholder derivative action was filed in Massachusetts State court (Cima v. Dipp) against certain former officers and directors of OvaScience and OvaScience alleging breach of fiduciary duties, unjust enrichment, abuse of control, gross mismanagement and waste of corporate assets for purported actions related to OvaScience’s January 2015 follow-on public offering. No material proceedings have occurred since the case was filed. On February 25, 2022, the parties filed a joint status report with the Court.</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March 24, 2017, a purported shareholder class action lawsuit was filed in Massachusetts Federal court (Dahhan v. OvaScience, Inc.) OvaScience and certain former officers of OvaScience alleging violations of Sections 10(b) and 20(a) of the Exchange Act (the “Dahhan Action”). On March 4, 2022, the parties filed a motion to preliminarily approve a settlement of the action. The settlement is subject to both preliminary and final approval.</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July 27, 2017, a purported shareholder derivative complaint was filed in Massachusetts Federal court (Chiu v. Dipp) against OvaScience and certain former officers and directors of OvaScience alleging breach of fiduciary duties, unjust enrichment and violations of Section 14(a) of the Exchange Act. related to OvaScience’s January 2015 follow-on public offering and other public statements concerning OvaScience’s AUGMENT treatment. Following the Court’s dismissal of an amended complaint, the parties agreed that plaintiffs could file a second amended complaint and that the case would be stayed pending the resolution of the Dahhan Action. In May 2018, the court entered an order staying this case pending the resolution of the Dahhan Action.</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to the matters described above, we may be a party to litigation and subject to claims incident to the ordinary course of business from time to time. Regardless of the outcome, litigation can have an adverse impact on the Company because of defense and settlement costs, and diversion of management resources.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 OF EQUITY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w:t>
      </w:r>
    </w:p>
    <w:p>
      <w:pPr>
        <w:spacing w:after="0" w:line="19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 xml:space="preserve">On June 25, 2021, Millendo completed a merger with TempestTx, Inc. In connection with and immediately following the merger, the combined company changed its name to Tempest Therapeutics. </w:t>
      </w:r>
      <w:r>
        <w:rPr>
          <w:rFonts w:ascii="Times New Roman" w:cs="Times New Roman" w:eastAsia="Times New Roman" w:hAnsi="Times New Roman"/>
          <w:sz w:val="14"/>
          <w:szCs w:val="14"/>
          <w:color w:val="231F20"/>
        </w:rPr>
        <w:t xml:space="preserve">Millendo’s shares of common stock were listed on the Nasdaq Stock Market through the close of business on Friday, June 25, 2021 under the ticker symbol “MLND.” On Monday, June 28, 2021, we began trading on the Nasdaq Stock Market under the ticker symbol </w:t>
      </w:r>
      <w:r>
        <w:rPr>
          <w:rFonts w:ascii="Times New Roman" w:cs="Times New Roman" w:eastAsia="Times New Roman" w:hAnsi="Times New Roman"/>
          <w:sz w:val="14"/>
          <w:szCs w:val="14"/>
          <w:color w:val="000000"/>
        </w:rPr>
        <w:t>“TPST.”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Stockholders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March 15, 2022, we had 7,173,094 shares of common stock outstanding held by 39 holders of record.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have never declared or paid cash dividends on our capital stock. We intend to retain all available funds and future earnings, if any, to fund the development and expansion of our business, and we do not anticipate paying any cash dividends in the foreseeable future.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Sales of Unregistered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Purchases of Equity Securities by the Issuer and Affiliated Parties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17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i w:val="1"/>
          <w:iCs w:val="1"/>
          <w:color w:val="auto"/>
        </w:rPr>
        <w:t>You should read the following discussion and analysis of our financial condition and results of operations in conjunction with the financial statements and the related notes to those statements included later in this Annual Report.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these forward-looking statements. Factors that could cause or contribute to these differences include those discussed below and elsewhere in this Annual Report, particularly in Item 1A. “Risk Factors” and “Special Note Regarding Forward-Looking Statements.”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9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4"/>
          <w:szCs w:val="14"/>
          <w:color w:val="auto"/>
        </w:rPr>
        <w:t>We are a clinical-stage oncology company focused on leveraging a deep scientific understanding of cancer biology and medicinal chemistry to develop and advance novel, orally available therapies for the treatment of solid tumors. Our philosophy is to build a company based upon not only creative science and thoughtful management, but also upon the efficient translation of those ideas into therapies that will improve patient’s lives. To this end, we currently are advancing three programs, TPST-1495, TPST-1120 and a third program targeting the three prime repair exonuclease ("TREX-1"). TPST-1495 is a dual antagonist of the EP2 and EP4 prostaglandin E2 receptors, and, to our knowledge, is the only such dual antagonist in clinical development. TPST-1495 is currently in a Phase 1 trial in solid tumors. Our second clinical program, TPST-1120, is a selective antagonist of peroxisome proliferator-activated receptor alpha (" PPARα"), and is also in a Phase 1 trial in solid tumors. Similar to TPST-1495, we believe TPST-1120 is the only PPARα antagonist in clinical development. We also have a third program in</w:t>
      </w:r>
    </w:p>
    <w:p>
      <w:pPr>
        <w:spacing w:after="0" w:line="200" w:lineRule="exact"/>
        <w:rPr>
          <w:sz w:val="20"/>
          <w:szCs w:val="20"/>
          <w:color w:val="auto"/>
        </w:rPr>
      </w:pPr>
    </w:p>
    <w:p>
      <w:pPr>
        <w:spacing w:after="0" w:line="21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color w:val="auto"/>
        </w:rPr>
        <w:t>preclinical studies that could be the first to target TREX-1, a cellular enzyme that regulates the innate immune response in tumors.</w:t>
      </w:r>
    </w:p>
    <w:p>
      <w:pPr>
        <w:spacing w:after="0" w:line="1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have no products approved for commercial sale and have not generated any revenue from product sales. From inception to December 31, 2021, we have raised $150.1 million, through sales of common stock, convertible preferred stock and issuance of debt.</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never been profitable and has incurred operating losses in each period since inception. Our net losses were $28.3 million and $19.2 million for the years ended December 31, 2021 and 2020, respectively. As of December 31, 2021, we had an accumulated deficit of $100.1 million. Substantially all of the operating losses resulted from expenses incurred in connection with our research and development programs and from general and administrative costs associated with our operations.</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expect to incur significant expenses and increasing operating losses for at least the next several years as we initiate and continue the clinical development of, and seek regulatory approval for, our product candidates and add personnel necessary to advance our pipeline of clinical-stage product candidates. In addition, operating as a publicly traded company will involve the hiring of additional financial and other personnel, upgrading our financial information and other systems, and incurring substantial costs associated with operating as a public company. We expect our operating losses will fluctuate significantly from quarter to quarter and year to year due to timing of clinical development programs and efforts to achieve regulatory approval.</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of December 31, 2021, we had cash and cash equivalents of $51.8 million. Our ability to fund continued development will require additional capital, and we intend to raise such capital through the issuance of additional debt or equity including in connection with potential merger opportunities, or through business development activities. Our ability to continue as a going concern is dependent upon our ability to successfully accomplish these plans and secure sources of financing and ultimately attain profitable operations. If we are unable to obtain adequate capital, we could be forced to cease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Oxford Loan and Security Agreement</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January 15, 2021, we entered into a loan and security agreement with Oxford Finance LLC (“Oxford”) to borrow a term loan amount of $35.0 million to be funded in three tranches. Tranche A of $15.0 million was funded to us on January 15, 2021. Tranche B of $10.0 million will be available through March 31, 2022 contingent upon achievement of each of the following: (i) receipt of at least $50.0 million in Series C equity capital, (ii) initiation of the Phase 1 combination study of TPST-1495 or monotherapy expansion study, and (iii) initiation of Phase 2 trial of TPST-1120 or the 1L Triplet Collaboration study. Tranche C of $10.0 million is available at Oxford’s option. The term loan matures on August 1, 2025 and has an annual floating interest rate of 7.15% which is an index rate plus 7%. The index rate is the greater of (i) 30-day US LIBOR or (ii) 0.15%.</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Merger Agreement</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March 29, 2021, TempestTx, Inc. (“Private Tempest”) and Millendo Therapeutics, Inc. (“Millendo”) entered into an Agreement and Plan of Merger (the "Merger Agreement"). Concurrent with the execution and delivery of the Merger Agreement, Private Tempest entered into funding agreements with certain investors named therein, pursuant to which the investors agreed to purchase, in the aggregate, $30.0 million of common stock of Private Tempest, convertible into securities of Millendo.</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June 25, 2021, Private Tempest closed the merger with Millendo. Pursuant to the Merger Agreement, Mars Merger Corp. (“Merger Sub”), a direct, wholly owned subsidiary of Millendo merged with and into Private Tempest, with Private Tempest surviving as a wholly owned subsidiary of Millendo. Following the closing of the merger, Millendo effected a 1-for-15 reverse stock split of its common stock and changed its corporate name to Tempest Therapeutics, Inc.</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Research and development expenses represent costs incurred to conduct research and development, such as the development of our product candidates.</w:t>
      </w: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color w:val="auto"/>
        </w:rPr>
        <w:t>We recognize all research and development costs as they are incurred. Research and development expenses consist primarily of the following:</w:t>
      </w:r>
    </w:p>
    <w:p>
      <w:pPr>
        <w:spacing w:after="0" w:line="179" w:lineRule="exact"/>
        <w:rPr>
          <w:sz w:val="20"/>
          <w:szCs w:val="20"/>
          <w:color w:val="auto"/>
        </w:rPr>
      </w:pPr>
    </w:p>
    <w:p>
      <w:pPr>
        <w:ind w:left="1020" w:hanging="251"/>
        <w:spacing w:after="0"/>
        <w:tabs>
          <w:tab w:leader="none" w:pos="10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Salaries, benefits and stock-based compensation;</w:t>
      </w:r>
    </w:p>
    <w:p>
      <w:pPr>
        <w:spacing w:after="0" w:line="17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licensing costs;</w:t>
      </w:r>
    </w:p>
    <w:p>
      <w:pPr>
        <w:spacing w:after="0" w:line="17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allocated occupancy;</w:t>
      </w:r>
    </w:p>
    <w:p>
      <w:pPr>
        <w:spacing w:after="0" w:line="17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materials and supplies;</w:t>
      </w:r>
    </w:p>
    <w:p>
      <w:pPr>
        <w:spacing w:after="0" w:line="17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contracted research and manufacturing;</w:t>
      </w:r>
    </w:p>
    <w:p>
      <w:pPr>
        <w:spacing w:after="0" w:line="17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consulting arrangements; and</w:t>
      </w:r>
    </w:p>
    <w:p>
      <w:pPr>
        <w:spacing w:after="0" w:line="17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expenses incurred to advance our research and development activities.</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largest component of our operating expenses has historically been the investment in research and development activities. We expect research and development expenses will increase in the future as we advance our product candidates into and through clinical trials and pursues regulatory approvals, which will require a significant investment in costs of clinical trials, regulatory support and contract manufacturing and inventory build-up. In addition, we continue to evaluate opportunities to acquire or in-license other product candidates and technologies, which may result in higher research and development expenses due to license fee and/or milestone payments, as well as added clinical development costs.</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process of conducting clinical trials necessary to obtain regulatory approval is costly and time consuming. We may never succeed in timely developing and achieving regulatory approval for our product candidates. The probability of success of our product candidates may be affected by numerous factors, including clinical data, competition, manufacturing capability and commercial viability. As a result, we are unable to determine the duration and completion costs of our development projects or when and to what extent we will generate revenue from the commercialization and sale of any of our product candidates.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 Expenses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General and administrative expenses consist of employee-related expenses, including salaries, benefits, travel and noncash stock-based compensation, for our personnel in executive, finance and accounting, and other administrative functions, as well as fees paid for legal, accounting and tax services, consulting fees and facilities costs not otherwise included in research and development expense. Legal costs include general corporate legal fees and patent costs. We expect to incur additional expenses as a result of becoming a public company following completion of the merger, including expenses related to compliance with the rules and regulations of the SEC and Nasdaq, additional insurance, investor relations and other administrative expenses and professional services.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(Expense) Income , Net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(expense) income, net consists primarily of interest expense, interest income, and various income or expense items of a non-recurring nature.</w:t>
      </w: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86"/>
        </w:trPr>
        <w:tc>
          <w:tcPr>
            <w:tcW w:w="7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Results of Operations</w:t>
            </w:r>
          </w:p>
        </w:tc>
        <w:tc>
          <w:tcPr>
            <w:tcW w:w="1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40"/>
        </w:trPr>
        <w:tc>
          <w:tcPr>
            <w:tcW w:w="7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summarizes our operating results for the years ended December 31, 2021 and 2020:</w:t>
            </w: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72"/>
        </w:trPr>
        <w:tc>
          <w:tcPr>
            <w:tcW w:w="520" w:type="dxa"/>
            <w:vAlign w:val="bottom"/>
          </w:tcPr>
          <w:p>
            <w:pPr>
              <w:spacing w:after="0"/>
              <w:rPr>
                <w:sz w:val="24"/>
                <w:szCs w:val="24"/>
                <w:color w:val="auto"/>
              </w:rPr>
            </w:pPr>
          </w:p>
        </w:tc>
        <w:tc>
          <w:tcPr>
            <w:tcW w:w="7120" w:type="dxa"/>
            <w:vAlign w:val="bottom"/>
            <w:tcBorders>
              <w:bottom w:val="single" w:sz="8" w:color="CCEEFF"/>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71"/>
        </w:trPr>
        <w:tc>
          <w:tcPr>
            <w:tcW w:w="520" w:type="dxa"/>
            <w:vAlign w:val="bottom"/>
          </w:tcPr>
          <w:p>
            <w:pPr>
              <w:spacing w:after="0"/>
              <w:rPr>
                <w:sz w:val="14"/>
                <w:szCs w:val="14"/>
                <w:color w:val="auto"/>
              </w:rPr>
            </w:pPr>
          </w:p>
        </w:tc>
        <w:tc>
          <w:tcPr>
            <w:tcW w:w="7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Expenses:</w:t>
            </w:r>
          </w:p>
        </w:tc>
        <w:tc>
          <w:tcPr>
            <w:tcW w:w="1420" w:type="dxa"/>
            <w:vAlign w:val="bottom"/>
            <w:shd w:val="clear" w:color="auto" w:fill="CCEEFF"/>
          </w:tcPr>
          <w:p>
            <w:pPr>
              <w:spacing w:after="0"/>
              <w:rPr>
                <w:sz w:val="14"/>
                <w:szCs w:val="14"/>
                <w:color w:val="auto"/>
              </w:rPr>
            </w:pPr>
          </w:p>
        </w:tc>
        <w:tc>
          <w:tcPr>
            <w:tcW w:w="1500" w:type="dxa"/>
            <w:vAlign w:val="bottom"/>
            <w:gridSpan w:val="3"/>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shd w:val="clear" w:color="auto" w:fill="CCEEFF"/>
          </w:tcPr>
          <w:p>
            <w:pPr>
              <w:spacing w:after="0"/>
              <w:rPr>
                <w:sz w:val="14"/>
                <w:szCs w:val="14"/>
                <w:color w:val="auto"/>
              </w:rPr>
            </w:pPr>
          </w:p>
        </w:tc>
      </w:tr>
      <w:tr>
        <w:trPr>
          <w:trHeight w:val="180"/>
        </w:trPr>
        <w:tc>
          <w:tcPr>
            <w:tcW w:w="520" w:type="dxa"/>
            <w:vAlign w:val="bottom"/>
          </w:tcPr>
          <w:p>
            <w:pPr>
              <w:spacing w:after="0"/>
              <w:rPr>
                <w:sz w:val="15"/>
                <w:szCs w:val="15"/>
                <w:color w:val="auto"/>
              </w:rPr>
            </w:pPr>
          </w:p>
        </w:tc>
        <w:tc>
          <w:tcPr>
            <w:tcW w:w="712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42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17,166</w:t>
            </w:r>
          </w:p>
        </w:tc>
        <w:tc>
          <w:tcPr>
            <w:tcW w:w="100" w:type="dxa"/>
            <w:vAlign w:val="bottom"/>
          </w:tcPr>
          <w:p>
            <w:pPr>
              <w:spacing w:after="0"/>
              <w:rPr>
                <w:sz w:val="15"/>
                <w:szCs w:val="15"/>
                <w:color w:val="auto"/>
              </w:rPr>
            </w:pPr>
          </w:p>
        </w:tc>
        <w:tc>
          <w:tcPr>
            <w:tcW w:w="8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0"/>
        </w:trPr>
        <w:tc>
          <w:tcPr>
            <w:tcW w:w="520" w:type="dxa"/>
            <w:vAlign w:val="bottom"/>
          </w:tcPr>
          <w:p>
            <w:pPr>
              <w:spacing w:after="0"/>
              <w:rPr>
                <w:sz w:val="15"/>
                <w:szCs w:val="15"/>
                <w:color w:val="auto"/>
              </w:rPr>
            </w:pPr>
          </w:p>
        </w:tc>
        <w:tc>
          <w:tcPr>
            <w:tcW w:w="71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4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9,820</w:t>
            </w:r>
          </w:p>
        </w:tc>
        <w:tc>
          <w:tcPr>
            <w:tcW w:w="10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71"/>
        </w:trPr>
        <w:tc>
          <w:tcPr>
            <w:tcW w:w="520" w:type="dxa"/>
            <w:vAlign w:val="bottom"/>
          </w:tcPr>
          <w:p>
            <w:pPr>
              <w:spacing w:after="0"/>
              <w:rPr>
                <w:sz w:val="14"/>
                <w:szCs w:val="14"/>
                <w:color w:val="auto"/>
              </w:rPr>
            </w:pPr>
          </w:p>
        </w:tc>
        <w:tc>
          <w:tcPr>
            <w:tcW w:w="7120" w:type="dxa"/>
            <w:vAlign w:val="bottom"/>
            <w:tcBorders>
              <w:bottom w:val="single" w:sz="8" w:color="CCEEFF"/>
            </w:tcBorders>
          </w:tcPr>
          <w:p>
            <w:pPr>
              <w:ind w:left="1020"/>
              <w:spacing w:after="0"/>
              <w:rPr>
                <w:sz w:val="20"/>
                <w:szCs w:val="20"/>
                <w:color w:val="auto"/>
              </w:rPr>
            </w:pPr>
            <w:r>
              <w:rPr>
                <w:rFonts w:ascii="Times New Roman" w:cs="Times New Roman" w:eastAsia="Times New Roman" w:hAnsi="Times New Roman"/>
                <w:sz w:val="14"/>
                <w:szCs w:val="14"/>
                <w:color w:val="auto"/>
              </w:rPr>
              <w:t>Total expenses</w:t>
            </w:r>
          </w:p>
        </w:tc>
        <w:tc>
          <w:tcPr>
            <w:tcW w:w="14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26,986</w:t>
            </w: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71"/>
        </w:trPr>
        <w:tc>
          <w:tcPr>
            <w:tcW w:w="520" w:type="dxa"/>
            <w:vAlign w:val="bottom"/>
          </w:tcPr>
          <w:p>
            <w:pPr>
              <w:spacing w:after="0"/>
              <w:rPr>
                <w:sz w:val="14"/>
                <w:szCs w:val="14"/>
                <w:color w:val="auto"/>
              </w:rPr>
            </w:pPr>
          </w:p>
        </w:tc>
        <w:tc>
          <w:tcPr>
            <w:tcW w:w="7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Operating loss</w:t>
            </w:r>
          </w:p>
        </w:tc>
        <w:tc>
          <w:tcPr>
            <w:tcW w:w="14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(26,986)</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0"/>
        </w:trPr>
        <w:tc>
          <w:tcPr>
            <w:tcW w:w="520" w:type="dxa"/>
            <w:vAlign w:val="bottom"/>
          </w:tcPr>
          <w:p>
            <w:pPr>
              <w:spacing w:after="0"/>
              <w:rPr>
                <w:sz w:val="15"/>
                <w:szCs w:val="15"/>
                <w:color w:val="auto"/>
              </w:rPr>
            </w:pPr>
          </w:p>
        </w:tc>
        <w:tc>
          <w:tcPr>
            <w:tcW w:w="71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Interest expense</w:t>
            </w:r>
          </w:p>
        </w:tc>
        <w:tc>
          <w:tcPr>
            <w:tcW w:w="14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(1,282)</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520" w:type="dxa"/>
            <w:vAlign w:val="bottom"/>
          </w:tcPr>
          <w:p>
            <w:pPr>
              <w:spacing w:after="0"/>
              <w:rPr>
                <w:sz w:val="15"/>
                <w:szCs w:val="15"/>
                <w:color w:val="auto"/>
              </w:rPr>
            </w:pPr>
          </w:p>
        </w:tc>
        <w:tc>
          <w:tcPr>
            <w:tcW w:w="7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Interest income and other income (expense), net</w:t>
            </w:r>
          </w:p>
        </w:tc>
        <w:tc>
          <w:tcPr>
            <w:tcW w:w="14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80"/>
        </w:trPr>
        <w:tc>
          <w:tcPr>
            <w:tcW w:w="520" w:type="dxa"/>
            <w:vAlign w:val="bottom"/>
          </w:tcPr>
          <w:p>
            <w:pPr>
              <w:spacing w:after="0"/>
              <w:rPr>
                <w:sz w:val="15"/>
                <w:szCs w:val="15"/>
                <w:color w:val="auto"/>
              </w:rPr>
            </w:pPr>
          </w:p>
        </w:tc>
        <w:tc>
          <w:tcPr>
            <w:tcW w:w="71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42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96"/>
        </w:trPr>
        <w:tc>
          <w:tcPr>
            <w:tcW w:w="520" w:type="dxa"/>
            <w:vAlign w:val="bottom"/>
          </w:tcPr>
          <w:p>
            <w:pPr>
              <w:spacing w:after="0"/>
              <w:rPr>
                <w:sz w:val="16"/>
                <w:szCs w:val="16"/>
                <w:color w:val="auto"/>
              </w:rPr>
            </w:pPr>
          </w:p>
        </w:tc>
        <w:tc>
          <w:tcPr>
            <w:tcW w:w="712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Net loss</w:t>
            </w:r>
          </w:p>
        </w:tc>
        <w:tc>
          <w:tcPr>
            <w:tcW w:w="1420" w:type="dxa"/>
            <w:vAlign w:val="bottom"/>
            <w:tcBorders>
              <w:top w:val="single" w:sz="8" w:color="auto"/>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0"/>
        </w:trPr>
        <w:tc>
          <w:tcPr>
            <w:tcW w:w="520" w:type="dxa"/>
            <w:vAlign w:val="bottom"/>
          </w:tcPr>
          <w:p>
            <w:pPr>
              <w:spacing w:after="0" w:line="20" w:lineRule="exact"/>
              <w:rPr>
                <w:sz w:val="1"/>
                <w:szCs w:val="1"/>
                <w:color w:val="auto"/>
              </w:rPr>
            </w:pPr>
          </w:p>
        </w:tc>
        <w:tc>
          <w:tcPr>
            <w:tcW w:w="7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w:t>
      </w:r>
    </w:p>
    <w:p>
      <w:pPr>
        <w:spacing w:after="0" w:line="181"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4"/>
          <w:szCs w:val="14"/>
          <w:color w:val="auto"/>
        </w:rPr>
        <w:t>Our research and development expenses for the years ended December 31, 2021 and 2020 were primarily incurred in connection with our most advanced product candidates, TPST-1120 and TPST-1495. We have not historically tracked research and development expense by program other than direct external expenses in conducting clinical trials for TPST-1120 and TPST-1495. We typically have various early-stage research and drug discovery projects, as well as various potential product candidates undergoing clinical trials. Our internal resources, employees and infrastructure are not directly tied to any one research and drug discovery project and our resources are typically deployed across multiple projects. As such, we do not maintain information regarding these costs incurred for these early-stage research and drug discovery programs on a project specific basis.</w:t>
      </w:r>
    </w:p>
    <w:p>
      <w:pPr>
        <w:spacing w:after="0" w:line="143" w:lineRule="exact"/>
        <w:rPr>
          <w:sz w:val="20"/>
          <w:szCs w:val="20"/>
          <w:color w:val="auto"/>
        </w:rPr>
      </w:pPr>
    </w:p>
    <w:p>
      <w:pPr>
        <w:jc w:val="both"/>
        <w:ind w:right="80"/>
        <w:spacing w:after="0" w:line="287" w:lineRule="auto"/>
        <w:rPr>
          <w:sz w:val="20"/>
          <w:szCs w:val="20"/>
          <w:color w:val="auto"/>
        </w:rPr>
      </w:pPr>
      <w:r>
        <w:rPr>
          <w:rFonts w:ascii="Times New Roman" w:cs="Times New Roman" w:eastAsia="Times New Roman" w:hAnsi="Times New Roman"/>
          <w:sz w:val="14"/>
          <w:szCs w:val="14"/>
          <w:color w:val="auto"/>
        </w:rPr>
        <w:t>Research and development expense increased by $2.8 million to $17.2 million for the year ended December 31, 2021. The following table summarizes our research and development expenses for the years ended December 31, 2021 and 2020:</w:t>
      </w:r>
    </w:p>
    <w:p>
      <w:pPr>
        <w:sectPr>
          <w:pgSz w:w="11900" w:h="16838" w:orient="portrait"/>
          <w:cols w:equalWidth="0" w:num="1">
            <w:col w:w="11360"/>
          </w:cols>
          <w:pgMar w:left="300" w:top="897" w:right="2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Research and development outside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48195" cy="1143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8195" cy="11430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Compensation expense</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48195" cy="1143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8195"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Consulting and professional services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48195" cy="1143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8195" cy="11430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research and development expense</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67"/>
        </w:trPr>
        <w:tc>
          <w:tcPr>
            <w:tcW w:w="28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4"/>
                <w:szCs w:val="14"/>
                <w:color w:val="auto"/>
              </w:rPr>
            </w:pPr>
          </w:p>
        </w:tc>
      </w:tr>
      <w:tr>
        <w:trPr>
          <w:trHeight w:val="180"/>
        </w:trPr>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11,355</w:t>
            </w:r>
          </w:p>
        </w:tc>
        <w:tc>
          <w:tcPr>
            <w:tcW w:w="4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9,612</w:t>
            </w:r>
          </w:p>
        </w:tc>
      </w:tr>
      <w:tr>
        <w:trPr>
          <w:trHeight w:val="180"/>
        </w:trPr>
        <w:tc>
          <w:tcPr>
            <w:tcW w:w="280" w:type="dxa"/>
            <w:vAlign w:val="bottom"/>
          </w:tcPr>
          <w:p>
            <w:pPr>
              <w:spacing w:after="0"/>
              <w:rPr>
                <w:sz w:val="15"/>
                <w:szCs w:val="15"/>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2,869</w:t>
            </w: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2,070</w:t>
            </w:r>
          </w:p>
        </w:tc>
      </w:tr>
      <w:tr>
        <w:trPr>
          <w:trHeight w:val="180"/>
        </w:trPr>
        <w:tc>
          <w:tcPr>
            <w:tcW w:w="280" w:type="dxa"/>
            <w:vAlign w:val="bottom"/>
          </w:tcPr>
          <w:p>
            <w:pPr>
              <w:spacing w:after="0"/>
              <w:rPr>
                <w:sz w:val="15"/>
                <w:szCs w:val="15"/>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303</w:t>
            </w: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r>
      <w:tr>
        <w:trPr>
          <w:trHeight w:val="180"/>
        </w:trPr>
        <w:tc>
          <w:tcPr>
            <w:tcW w:w="280" w:type="dxa"/>
            <w:vAlign w:val="bottom"/>
          </w:tcPr>
          <w:p>
            <w:pPr>
              <w:spacing w:after="0"/>
              <w:rPr>
                <w:sz w:val="15"/>
                <w:szCs w:val="15"/>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1,634</w:t>
            </w: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1,352</w:t>
            </w:r>
          </w:p>
        </w:tc>
      </w:tr>
      <w:tr>
        <w:trPr>
          <w:trHeight w:val="184"/>
        </w:trPr>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1,005</w:t>
            </w:r>
          </w:p>
        </w:tc>
        <w:tc>
          <w:tcPr>
            <w:tcW w:w="4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966</w:t>
            </w:r>
          </w:p>
        </w:tc>
      </w:tr>
      <w:tr>
        <w:trPr>
          <w:trHeight w:val="171"/>
        </w:trPr>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17,166</w:t>
            </w:r>
          </w:p>
        </w:tc>
        <w:tc>
          <w:tcPr>
            <w:tcW w:w="4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14,389</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20" w:space="720"/>
            <w:col w:w="2420"/>
          </w:cols>
          <w:pgMar w:left="300" w:top="897" w:right="239" w:bottom="1440" w:gutter="0" w:footer="0" w:header="0"/>
          <w:type w:val="continuous"/>
        </w:sectPr>
      </w:pPr>
    </w:p>
    <w:p>
      <w:pPr>
        <w:spacing w:after="0" w:line="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4"/>
          <w:szCs w:val="14"/>
          <w:color w:val="auto"/>
        </w:rPr>
        <w:t>The growth in total research and development expense of $2.8 million for the year ended December 31, 2021 was primarily attributable to expanded research and development efforts and increased fees for consulting services and compensation expenses.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 and Administrative</w:t>
      </w:r>
    </w:p>
    <w:p>
      <w:pPr>
        <w:spacing w:after="0" w:line="181"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General and administrative expenses increased by $4.9 million to $9.8 million for the year ended December 31, 2021. The increase was primarily due to an increase in compensation related expense of $1.7 million and fees associated with audit and tax services related to the Millendo merger of $1.9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(Expense) and Income, Net</w:t>
      </w:r>
    </w:p>
    <w:p>
      <w:pPr>
        <w:spacing w:after="0" w:line="200" w:lineRule="exact"/>
        <w:rPr>
          <w:sz w:val="20"/>
          <w:szCs w:val="20"/>
          <w:color w:val="auto"/>
        </w:rPr>
      </w:pPr>
    </w:p>
    <w:p>
      <w:pPr>
        <w:spacing w:after="0" w:line="24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897" w:right="239" w:bottom="1440" w:gutter="0" w:footer="0" w:header="0"/>
          <w:type w:val="continuous"/>
        </w:sectPr>
      </w:pPr>
    </w:p>
    <w:bookmarkStart w:id="74" w:name="page75"/>
    <w:bookmarkEnd w:id="74"/>
    <w:p>
      <w:pPr>
        <w:jc w:val="both"/>
        <w:ind w:right="80"/>
        <w:spacing w:after="0" w:line="287" w:lineRule="auto"/>
        <w:rPr>
          <w:sz w:val="20"/>
          <w:szCs w:val="20"/>
          <w:color w:val="auto"/>
        </w:rPr>
      </w:pPr>
      <w:r>
        <w:rPr>
          <w:rFonts w:ascii="Times New Roman" w:cs="Times New Roman" w:eastAsia="Times New Roman" w:hAnsi="Times New Roman"/>
          <w:sz w:val="14"/>
          <w:szCs w:val="14"/>
          <w:color w:val="auto"/>
        </w:rPr>
        <w:t>For the year ended December 31, 2021, total interest expense was $1.3 million related to the Oxford Loan. There was no interest expense for the year ended December 31, 2020. Interest income was $7 and $90 for the years ended December 31, 2021 and 2020, respectively.</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Sources of Liquidity</w:t>
      </w:r>
    </w:p>
    <w:p>
      <w:pPr>
        <w:spacing w:after="0" w:line="181"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Since inception through December 31, 2021, our operations have been financed primarily by net cash proceeds from the sale of our common stock, convertible preferred stock and issuance of debt. As of December 31, 2021, we had $51.8 million in cash and cash equivalents and an accumulated deficit of $100.1 million. We expect that our research and development and general and administrative expenses will increase, and, as a result, we anticipate that we will continue to incur increasing losses in the foreseeable future.</w:t>
      </w:r>
    </w:p>
    <w:p>
      <w:pPr>
        <w:spacing w:after="0" w:line="146"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4"/>
          <w:szCs w:val="14"/>
          <w:color w:val="auto"/>
        </w:rPr>
        <w:t>We believe our cash and cash equivalents as of December 31, 2021 and our access to our term loan will fund our ongoing working capital, investing, and financing requirements for at least the next 12 months.</w:t>
      </w:r>
    </w:p>
    <w:p>
      <w:pPr>
        <w:spacing w:after="0" w:line="146" w:lineRule="exact"/>
        <w:rPr>
          <w:sz w:val="20"/>
          <w:szCs w:val="20"/>
          <w:color w:val="auto"/>
        </w:rPr>
      </w:pPr>
    </w:p>
    <w:p>
      <w:pPr>
        <w:jc w:val="both"/>
        <w:ind w:right="80"/>
        <w:spacing w:after="0" w:line="232" w:lineRule="auto"/>
        <w:rPr>
          <w:sz w:val="20"/>
          <w:szCs w:val="20"/>
          <w:color w:val="auto"/>
        </w:rPr>
      </w:pPr>
      <w:r>
        <w:rPr>
          <w:rFonts w:ascii="Times New Roman" w:cs="Times New Roman" w:eastAsia="Times New Roman" w:hAnsi="Times New Roman"/>
          <w:sz w:val="14"/>
          <w:szCs w:val="14"/>
          <w:color w:val="auto"/>
        </w:rPr>
        <w:t>On January 15, 2021, we entered into a loan and security agreement with Oxford to borrow a term loan amount of $35.0 million to be funded in three tranches. Tranche A of $15.0 million was funded on January 15, 2021. Tranche B of $10.0 million will be available through March 31, 2022 contingent upon achievement of each of the following: i) receipt of at least $50.0 million in Series C equity capital, ii) initiation of the Phase 1 combination study of TPST-1495 or monotherapy expansion study, and iii) initiation of Phase 2 trial of TPST-1120 or the 1L Triplet Collaboration study. Tranche C of $10.0 million is available at Oxford’s option. The term loan matures on August 1, 2025 and has an annual floating interest rate of 7.15% which is an index rate plus 7%. The index rate is the greater of (i) 30-day US LIBOR or (ii) 0.15%.</w:t>
      </w:r>
    </w:p>
    <w:p>
      <w:pPr>
        <w:spacing w:after="0" w:line="166"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On July 23, 2021, we entered into a sales agreement (the “Sales Agreement”) with Jefferies LLC (the “Agent”), pursuant to which we may sell, from time to time, up to an aggregate sales price of $100.0 million of our common stock through the Agent in a series of one or more ATM equity offerings. As of December 31, 2021, we sold 248,160 shares of common stock under the ATM Program for net proceeds of approximately $3.7 million.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tc>
        <w:tc>
          <w:tcPr>
            <w:tcW w:w="1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40"/>
        </w:trPr>
        <w:tc>
          <w:tcPr>
            <w:tcW w:w="7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summarizes our cash flows for the years ended December 31, 2021 and 2020:</w:t>
            </w: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03"/>
        </w:trPr>
        <w:tc>
          <w:tcPr>
            <w:tcW w:w="520" w:type="dxa"/>
            <w:vAlign w:val="bottom"/>
          </w:tcPr>
          <w:p>
            <w:pPr>
              <w:spacing w:after="0"/>
              <w:rPr>
                <w:sz w:val="24"/>
                <w:szCs w:val="24"/>
                <w:color w:val="auto"/>
              </w:rPr>
            </w:pPr>
          </w:p>
        </w:tc>
        <w:tc>
          <w:tcPr>
            <w:tcW w:w="704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71"/>
        </w:trPr>
        <w:tc>
          <w:tcPr>
            <w:tcW w:w="520" w:type="dxa"/>
            <w:vAlign w:val="bottom"/>
          </w:tcPr>
          <w:p>
            <w:pPr>
              <w:spacing w:after="0"/>
              <w:rPr>
                <w:sz w:val="14"/>
                <w:szCs w:val="14"/>
                <w:color w:val="auto"/>
              </w:rPr>
            </w:pPr>
          </w:p>
        </w:tc>
        <w:tc>
          <w:tcPr>
            <w:tcW w:w="704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gridSpan w:val="3"/>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Borders>
              <w:bottom w:val="single" w:sz="8" w:color="auto"/>
            </w:tcBorders>
            <w:shd w:val="clear" w:color="auto" w:fill="CCEEFF"/>
          </w:tcPr>
          <w:p>
            <w:pPr>
              <w:spacing w:after="0"/>
              <w:rPr>
                <w:sz w:val="14"/>
                <w:szCs w:val="14"/>
                <w:color w:val="auto"/>
              </w:rPr>
            </w:pPr>
          </w:p>
        </w:tc>
      </w:tr>
      <w:tr>
        <w:trPr>
          <w:trHeight w:val="171"/>
        </w:trPr>
        <w:tc>
          <w:tcPr>
            <w:tcW w:w="520" w:type="dxa"/>
            <w:vAlign w:val="bottom"/>
          </w:tcPr>
          <w:p>
            <w:pPr>
              <w:spacing w:after="0"/>
              <w:rPr>
                <w:sz w:val="14"/>
                <w:szCs w:val="14"/>
                <w:color w:val="auto"/>
              </w:rPr>
            </w:pPr>
          </w:p>
        </w:tc>
        <w:tc>
          <w:tcPr>
            <w:tcW w:w="7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Cash used in operating activities</w:t>
            </w:r>
          </w:p>
        </w:tc>
        <w:tc>
          <w:tcPr>
            <w:tcW w:w="134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(25,957)</w:t>
            </w:r>
          </w:p>
        </w:tc>
        <w:tc>
          <w:tcPr>
            <w:tcW w:w="80" w:type="dxa"/>
            <w:vAlign w:val="bottom"/>
          </w:tcPr>
          <w:p>
            <w:pPr>
              <w:spacing w:after="0"/>
              <w:rPr>
                <w:sz w:val="14"/>
                <w:szCs w:val="14"/>
                <w:color w:val="auto"/>
              </w:rPr>
            </w:pPr>
          </w:p>
        </w:tc>
        <w:tc>
          <w:tcPr>
            <w:tcW w:w="8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(19,017)</w:t>
            </w:r>
          </w:p>
        </w:tc>
      </w:tr>
      <w:tr>
        <w:trPr>
          <w:trHeight w:val="180"/>
        </w:trPr>
        <w:tc>
          <w:tcPr>
            <w:tcW w:w="520" w:type="dxa"/>
            <w:vAlign w:val="bottom"/>
          </w:tcPr>
          <w:p>
            <w:pPr>
              <w:spacing w:after="0"/>
              <w:rPr>
                <w:sz w:val="15"/>
                <w:szCs w:val="15"/>
                <w:color w:val="auto"/>
              </w:rPr>
            </w:pPr>
          </w:p>
        </w:tc>
        <w:tc>
          <w:tcPr>
            <w:tcW w:w="7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Cash used in investing activities</w:t>
            </w:r>
          </w:p>
        </w:tc>
        <w:tc>
          <w:tcPr>
            <w:tcW w:w="13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0"/>
        </w:trPr>
        <w:tc>
          <w:tcPr>
            <w:tcW w:w="520" w:type="dxa"/>
            <w:vAlign w:val="bottom"/>
          </w:tcPr>
          <w:p>
            <w:pPr>
              <w:spacing w:after="0"/>
              <w:rPr>
                <w:sz w:val="15"/>
                <w:szCs w:val="15"/>
                <w:color w:val="auto"/>
              </w:rPr>
            </w:pPr>
          </w:p>
        </w:tc>
        <w:tc>
          <w:tcPr>
            <w:tcW w:w="7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Cash provided by financing activities</w:t>
            </w:r>
          </w:p>
        </w:tc>
        <w:tc>
          <w:tcPr>
            <w:tcW w:w="13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59,063</w:t>
            </w:r>
          </w:p>
        </w:tc>
        <w:tc>
          <w:tcPr>
            <w:tcW w:w="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34,599</w:t>
            </w:r>
          </w:p>
        </w:tc>
      </w:tr>
      <w:tr>
        <w:trPr>
          <w:trHeight w:val="171"/>
        </w:trPr>
        <w:tc>
          <w:tcPr>
            <w:tcW w:w="520" w:type="dxa"/>
            <w:vAlign w:val="bottom"/>
          </w:tcPr>
          <w:p>
            <w:pPr>
              <w:spacing w:after="0"/>
              <w:rPr>
                <w:sz w:val="14"/>
                <w:szCs w:val="14"/>
                <w:color w:val="auto"/>
              </w:rPr>
            </w:pPr>
          </w:p>
        </w:tc>
        <w:tc>
          <w:tcPr>
            <w:tcW w:w="7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134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33,009</w:t>
            </w:r>
          </w:p>
        </w:tc>
        <w:tc>
          <w:tcPr>
            <w:tcW w:w="80" w:type="dxa"/>
            <w:vAlign w:val="bottom"/>
          </w:tcPr>
          <w:p>
            <w:pPr>
              <w:spacing w:after="0"/>
              <w:rPr>
                <w:sz w:val="14"/>
                <w:szCs w:val="14"/>
                <w:color w:val="auto"/>
              </w:rPr>
            </w:pPr>
          </w:p>
        </w:tc>
        <w:tc>
          <w:tcPr>
            <w:tcW w:w="8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15,576</w:t>
            </w:r>
          </w:p>
        </w:tc>
      </w:tr>
      <w:tr>
        <w:trPr>
          <w:trHeight w:val="20"/>
        </w:trPr>
        <w:tc>
          <w:tcPr>
            <w:tcW w:w="5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operating activities</w:t>
      </w:r>
    </w:p>
    <w:p>
      <w:pPr>
        <w:spacing w:after="0" w:line="181"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Cash used in operating activities for the year ended December 31, 2021 was $26.0 million, consisting of a net loss of $28.3 million, add back of non-cash adjustments for depreciation, stock-based compensation, non-cash operating lease expense and other non-cash items totaling $3.0 million, plus changes in operating assets and liabilities of $0.6 million.</w:t>
      </w:r>
    </w:p>
    <w:p>
      <w:pPr>
        <w:spacing w:after="0" w:line="124"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Cash used in operating activities for the year ended December 31, 2020 was $19.0 million consisting of a net loss of $19.2 million, add back of non-cash adjustments for depreciation, stock-based compensation, non-cash operating lease expense offset by other non-cash items totaling $1.3 million, less changes in operating assets and liabilities of $1.1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investing activities</w:t>
      </w:r>
    </w:p>
    <w:p>
      <w:pPr>
        <w:spacing w:after="0" w:line="181"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Cash used in investing activities for the years ended December 2021 and 2020 was related to purchases of property and equipment, primarily related to office, laboratory and computer equipment. Cash provided by investing activities for the years</w:t>
      </w:r>
    </w:p>
    <w:p>
      <w:pPr>
        <w:spacing w:after="0" w:line="38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899" w:right="2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color w:val="auto"/>
        </w:rPr>
        <w:t>ended December 31, 2021 and 2020 was due to a repayment of promissory notes of $38 thousand and $44 thousand,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financing activities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Cash provided by financing activities for the year ended December 2021 was $59.1 million consisting of (i) proceeds from Oxford Loan of $14.9 million (net of issuance costs), (ii) issuance of common stock of $30.0 million concurrent with closing of the merger with Millendo and (iii) cash of $17.0 million brought over by Millendo as a result of the merger, offset by payment of reverse recapitalization costs of $6.4 million. Cash provided by financing activities for the year ended December 31, 2020 was primarily related to proceeds from the issuance of Series B-1 preferred stock of $34.5 million (net of issuance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Material Cash Requirements</w:t>
      </w:r>
    </w:p>
    <w:p>
      <w:pPr>
        <w:spacing w:after="0" w:line="1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expect our expenses to increase in connection with our ongoing development activities, particularly as we continue the research, development and clinical trials of, and seeks regulatory approval for, our product candidates. In addition, subject to obtaining regulatory approval of any of our product candidates, we anticipate that we will need substantial additional funding in connection with our continuing operations.</w:t>
      </w:r>
    </w:p>
    <w:p>
      <w:pPr>
        <w:spacing w:after="0" w:line="13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Until we can generate a sufficient amount of product revenue to finance our cash requirements, we expect to finance our future cash needs primarily through the issuance of additional equity, borrowings and strategic alliances with partner companies. To the extent that we raise additional capital through the issuance of additional equity or convertible debt securities, the ownership interest of our stockholders will be diluted, and the terms of these securities may include liquidation or other preferences that adversely affect the rights of existing stockholders. Debt financing, if available, may involve agreements that include covenants limiting or restricting our ability to take specific actions, such as incurring additional debt, making capital expenditures or declaring dividends. If we raise additional funds through marketing and distribution arrangements or other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commercialization efforts or grant rights to develop and market product candidates to third parties that we would otherwise prefer to develop and market ourself.</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8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4"/>
          <w:szCs w:val="14"/>
          <w:color w:val="auto"/>
        </w:rPr>
        <w:t>Our Management’s Discussion and Analysis of Financial Condition and Results of Operations is based on our financial statements, which have been prepared in accordance with U.S. generally accepted accounting principles (“US GAAP”). The preparation of these financial statements requires us to make estimates and judgments that affect the reported amounts of assets, liabilities and expenses. On an ongoing basis, we evaluate these estimates and judgments. We base our estimates on historical experience and on various assumptions that we believe to be reasonable under the circumstances. These estimates and assumptions form the basis for making judgments about the carrying values of assets and liabilities and the recording of expenses that are not readily apparent from other sources. Actual results may differ materially from these estimates. We believe that the accounting policies discussed below are critical to understanding our historical and future performance, as these policies relate to the more significant areas involving management’s judgments and estimates.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record accrued expenses for estimated costs of our research and development activities conducted by third-party service providers, which include the conduct of preclinical studies and clinical trials and contract manufacturing activities. We record the estimated costs of research and development activities based upon the estimated amount of services provided but not yet invoiced, and we include these costs in accrued liabilities in the consolidated balance sheets and within research and development expense in the consolidated statements of operations. These costs are a significant component of our research and development expense. We record accrued expenses for these costs based on the estimated amount of work completed and in accordance with agreements established with these third parties.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estimate the amount of work completed through discussions with internal personnel and external service providers as to the progress or stage of completion of the services and the agreed-upon fee to be paid for such services. We make significant judgments and estimates in determining the accrued balance in each reporting period, which includes gathering information from multiple sources. In certain circumstances, the determination of the nature and level of services that have been received during the reporting period requires judgment because the timing and pattern of vendor invoicing did not correspond to the level of services provided and invoicing from clinical study sites and other vendors may not yet be available to us. As actual costs become known, we adjust our accrued estimates. Although we do not expect our estimates to be materially different from</w:t>
      </w:r>
    </w:p>
    <w:p>
      <w:pPr>
        <w:spacing w:after="0" w:line="200" w:lineRule="exact"/>
        <w:rPr>
          <w:sz w:val="20"/>
          <w:szCs w:val="20"/>
          <w:color w:val="auto"/>
        </w:rPr>
      </w:pPr>
    </w:p>
    <w:p>
      <w:pPr>
        <w:spacing w:after="0" w:line="20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76" w:name="page77"/>
    <w:bookmarkEnd w:id="76"/>
    <w:p>
      <w:pPr>
        <w:jc w:val="both"/>
        <w:spacing w:after="0" w:line="270" w:lineRule="auto"/>
        <w:rPr>
          <w:sz w:val="20"/>
          <w:szCs w:val="20"/>
          <w:color w:val="auto"/>
        </w:rPr>
      </w:pPr>
      <w:r>
        <w:rPr>
          <w:rFonts w:ascii="Times New Roman" w:cs="Times New Roman" w:eastAsia="Times New Roman" w:hAnsi="Times New Roman"/>
          <w:sz w:val="14"/>
          <w:szCs w:val="14"/>
          <w:color w:val="auto"/>
        </w:rPr>
        <w:t>amounts actually incurred, our understanding of the status and timing of services performed, the number of patients enrolled and the rate of patient enrollment may vary from our estimates and could result in us reporting amounts that are too high or too low in any particular period. Our accrued expenses are dependent, in part, upon the receipt of timely and accurate reporting from clinical research organizations and other third-party service providers.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recognize noncash stock-based compensation expense related to stock-based awards to employees, non-employees and directors, including stock options, based on the fair value on the grant date using the Black-Scholes option pricing model. The related stock-based compensation is recognized as expense on a straight line-basis over the employee’s, non-employee’s or director’s requisite service period (generally the vesting period). Noncash stock compensation expense is based on awards ultimately expected to vest and is reduced by an estimate for future forfeitures.</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determining the fair value of stock options, we use the Black-Scholes option-pricing model and assumptions discussed below. Each of these inputs is subjective and generally requires significant judgment to determine.</w:t>
      </w:r>
    </w:p>
    <w:p>
      <w:pPr>
        <w:spacing w:after="0" w:line="5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Fair Value of Common Stock</w:t>
      </w:r>
      <w:r>
        <w:rPr>
          <w:rFonts w:ascii="Times New Roman" w:cs="Times New Roman" w:eastAsia="Times New Roman" w:hAnsi="Times New Roman"/>
          <w:sz w:val="14"/>
          <w:szCs w:val="14"/>
          <w:color w:val="auto"/>
        </w:rPr>
        <w:t>—Up until the merger, the fair value of the shares of common stock underlying stock options had historically been determined by our board of directors. Because there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had been no public market for our common stock before the merger, the board of directors exercised reasonable judgment and considered a number of objective and subjective factors to determine the best estimate of the fair value of our common stock, including important developments in our operations, sales of redeemable convertible preferred stock, actual operating results and financial performance, the conditions in the life sciences industry and the economy in general, the stock price performance and volatility of comparable public companies, and the lack of liquidity of our common stock, among other factors.</w:t>
      </w:r>
    </w:p>
    <w:p>
      <w:pPr>
        <w:spacing w:after="0" w:line="8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Expected Term</w:t>
      </w:r>
      <w:r>
        <w:rPr>
          <w:rFonts w:ascii="Times New Roman" w:cs="Times New Roman" w:eastAsia="Times New Roman" w:hAnsi="Times New Roman"/>
          <w:sz w:val="14"/>
          <w:szCs w:val="14"/>
          <w:color w:val="auto"/>
        </w:rPr>
        <w:t>—Our expected term represents the period that the stock-based awards are expected to be outstanding and is determined using the simplified method (based on the mid-point between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vesting date and the end of the contractual term) for employee options.</w:t>
      </w:r>
    </w:p>
    <w:p>
      <w:pPr>
        <w:spacing w:after="0" w:line="6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Expected Volatility</w:t>
      </w:r>
      <w:r>
        <w:rPr>
          <w:rFonts w:ascii="Times New Roman" w:cs="Times New Roman" w:eastAsia="Times New Roman" w:hAnsi="Times New Roman"/>
          <w:sz w:val="14"/>
          <w:szCs w:val="14"/>
          <w:color w:val="auto"/>
        </w:rPr>
        <w:t>—The expected stock price volatility assumption was determined by examining the historical volatilities for industry peers, as we did not have any trading history for our common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stock. We will continue to analyze the historical stock price volatility and expected term assumption as more historical data for our common stock becomes available.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Risk-Free Interest Rate</w:t>
      </w:r>
      <w:r>
        <w:rPr>
          <w:rFonts w:ascii="Times New Roman" w:cs="Times New Roman" w:eastAsia="Times New Roman" w:hAnsi="Times New Roman"/>
          <w:sz w:val="14"/>
          <w:szCs w:val="14"/>
          <w:color w:val="auto"/>
        </w:rPr>
        <w:t>—The risk-free interest rate is based on the U.S. Treasury zero coupon issues in effect at the time of grant for periods corresponding with the expected term of option.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Expected Dividend</w:t>
      </w:r>
      <w:r>
        <w:rPr>
          <w:rFonts w:ascii="Times New Roman" w:cs="Times New Roman" w:eastAsia="Times New Roman" w:hAnsi="Times New Roman"/>
          <w:sz w:val="14"/>
          <w:szCs w:val="14"/>
          <w:color w:val="auto"/>
        </w:rPr>
        <w:t>—We have never paid dividends on our common stock and have no plans to pay dividends on our common stock. Therefore, we use an expected dividend yield of zero.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2 to our Consolidated Financial Statements for a description of recent accounting pronouncements applicable to our Consolidated Financial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Smaller Reporting Company Status</w:t>
      </w:r>
    </w:p>
    <w:p>
      <w:pPr>
        <w:spacing w:after="0" w:line="19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4"/>
          <w:szCs w:val="14"/>
          <w:color w:val="auto"/>
        </w:rPr>
        <w:t>We are a smaller reporting company as defined in the Securities Exchange Act of 1934, as amended. We may take advantage of certain of the scaled disclosures available to smaller reporting companies and will be able to take advantage of these scaled disclosures for so long as (i) our voting and non-voting common stock held by nonaffiliates is less than $250.0 million measured on the last business day of our second fiscal quarter or (ii)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exposed to market risks in the ordinary course of our business. These risks primarily include interest rate fluctuation. As of December 31, 2021 and 2020, we had cash and cash equivalents of approximately $51.8 million and $18.8 million, respectively, which consisted primarily of bank deposit and money market funds. Such interest-earning instruments carry a degree of interest rate risk; however, historical fluctuations of interest income have not been significant.</w:t>
      </w:r>
    </w:p>
    <w:p>
      <w:pPr>
        <w:spacing w:after="0" w:line="200" w:lineRule="exact"/>
        <w:rPr>
          <w:sz w:val="20"/>
          <w:szCs w:val="20"/>
          <w:color w:val="auto"/>
        </w:rPr>
      </w:pPr>
    </w:p>
    <w:p>
      <w:pPr>
        <w:spacing w:after="0" w:line="20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86"/>
        </w:trPr>
        <w:tc>
          <w:tcPr>
            <w:tcW w:w="11100" w:type="dxa"/>
            <w:vAlign w:val="bottom"/>
            <w:gridSpan w:val="9"/>
          </w:tcPr>
          <w:p>
            <w:pPr>
              <w:jc w:val="right"/>
              <w:ind w:right="6700"/>
              <w:spacing w:after="0"/>
              <w:rPr>
                <w:sz w:val="20"/>
                <w:szCs w:val="20"/>
                <w:color w:val="auto"/>
              </w:rPr>
            </w:pPr>
            <w:r>
              <w:rPr>
                <w:rFonts w:ascii="Times New Roman" w:cs="Times New Roman" w:eastAsia="Times New Roman" w:hAnsi="Times New Roman"/>
                <w:sz w:val="14"/>
                <w:szCs w:val="14"/>
                <w:b w:val="1"/>
                <w:bCs w:val="1"/>
                <w:color w:val="auto"/>
                <w:w w:val="99"/>
              </w:rPr>
              <w:t>ITEM 8. FINANCIAL STATEMENTS AND SUPPLEMENTARY DATA</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23"/>
        </w:trPr>
        <w:tc>
          <w:tcPr>
            <w:tcW w:w="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60" w:type="dxa"/>
            <w:vAlign w:val="bottom"/>
            <w:gridSpan w:val="2"/>
          </w:tcPr>
          <w:p>
            <w:pPr>
              <w:jc w:val="center"/>
              <w:ind w:right="4160"/>
              <w:spacing w:after="0"/>
              <w:rPr>
                <w:sz w:val="20"/>
                <w:szCs w:val="20"/>
                <w:color w:val="auto"/>
              </w:rPr>
            </w:pPr>
            <w:r>
              <w:rPr>
                <w:rFonts w:ascii="Times New Roman" w:cs="Times New Roman" w:eastAsia="Times New Roman" w:hAnsi="Times New Roman"/>
                <w:sz w:val="14"/>
                <w:szCs w:val="14"/>
                <w:b w:val="1"/>
                <w:bCs w:val="1"/>
                <w:color w:val="auto"/>
              </w:rPr>
              <w:t>TEMPEST THERAPEUTICS, INC.</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6"/>
        </w:trPr>
        <w:tc>
          <w:tcPr>
            <w:tcW w:w="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580" w:type="dxa"/>
            <w:vAlign w:val="bottom"/>
            <w:gridSpan w:val="4"/>
          </w:tcPr>
          <w:p>
            <w:pPr>
              <w:jc w:val="center"/>
              <w:ind w:right="2340"/>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61"/>
        </w:trPr>
        <w:tc>
          <w:tcPr>
            <w:tcW w:w="40" w:type="dxa"/>
            <w:vAlign w:val="bottom"/>
          </w:tcPr>
          <w:p>
            <w:pPr>
              <w:spacing w:after="0"/>
              <w:rPr>
                <w:sz w:val="24"/>
                <w:szCs w:val="24"/>
                <w:color w:val="auto"/>
              </w:rPr>
            </w:pPr>
          </w:p>
        </w:tc>
        <w:tc>
          <w:tcPr>
            <w:tcW w:w="4300" w:type="dxa"/>
            <w:vAlign w:val="bottom"/>
            <w:tcBorders>
              <w:bottom w:val="single" w:sz="8" w:color="0E32E1"/>
            </w:tcBorders>
            <w:gridSpan w:val="6"/>
          </w:tcPr>
          <w:p>
            <w:pPr>
              <w:spacing w:after="0"/>
              <w:rPr>
                <w:rFonts w:ascii="Times New Roman" w:cs="Times New Roman" w:eastAsia="Times New Roman" w:hAnsi="Times New Roman"/>
                <w:sz w:val="14"/>
                <w:szCs w:val="14"/>
                <w:color w:val="0E32E1"/>
              </w:rPr>
            </w:pPr>
            <w:hyperlink w:anchor="page78">
              <w:r>
                <w:rPr>
                  <w:rFonts w:ascii="Times New Roman" w:cs="Times New Roman" w:eastAsia="Times New Roman" w:hAnsi="Times New Roman"/>
                  <w:sz w:val="14"/>
                  <w:szCs w:val="14"/>
                  <w:color w:val="0E32E1"/>
                </w:rPr>
                <w:t xml:space="preserve">Report of Independent Registered Public Accounting Firm </w:t>
              </w:r>
            </w:hyperlink>
            <w:r>
              <w:rPr>
                <w:rFonts w:ascii="Times New Roman" w:cs="Times New Roman" w:eastAsia="Times New Roman" w:hAnsi="Times New Roman"/>
                <w:sz w:val="14"/>
                <w:szCs w:val="14"/>
                <w:color w:val="0E32E1"/>
              </w:rPr>
              <w:t>(PCAOB ID 42)</w:t>
            </w:r>
          </w:p>
        </w:tc>
        <w:tc>
          <w:tcPr>
            <w:tcW w:w="6760" w:type="dxa"/>
            <w:vAlign w:val="bottom"/>
            <w:gridSpan w:val="2"/>
          </w:tcPr>
          <w:p>
            <w:pPr>
              <w:spacing w:after="0"/>
              <w:rPr>
                <w:sz w:val="24"/>
                <w:szCs w:val="24"/>
                <w:color w:val="auto"/>
              </w:rPr>
            </w:pPr>
          </w:p>
        </w:tc>
        <w:tc>
          <w:tcPr>
            <w:tcW w:w="140" w:type="dxa"/>
            <w:vAlign w:val="bottom"/>
            <w:tcBorders>
              <w:bottom w:val="single" w:sz="8" w:color="0E32E1"/>
            </w:tcBorders>
          </w:tcPr>
          <w:p>
            <w:pPr>
              <w:jc w:val="right"/>
              <w:spacing w:after="0"/>
              <w:rPr>
                <w:rFonts w:ascii="Times New Roman" w:cs="Times New Roman" w:eastAsia="Times New Roman" w:hAnsi="Times New Roman"/>
                <w:sz w:val="14"/>
                <w:szCs w:val="14"/>
                <w:color w:val="0E32E1"/>
                <w:w w:val="85"/>
              </w:rPr>
            </w:pPr>
            <w:hyperlink w:anchor="page78">
              <w:r>
                <w:rPr>
                  <w:rFonts w:ascii="Times New Roman" w:cs="Times New Roman" w:eastAsia="Times New Roman" w:hAnsi="Times New Roman"/>
                  <w:sz w:val="14"/>
                  <w:szCs w:val="14"/>
                  <w:color w:val="0E32E1"/>
                  <w:w w:val="85"/>
                </w:rPr>
                <w:t>77</w:t>
              </w:r>
            </w:hyperlink>
          </w:p>
        </w:tc>
        <w:tc>
          <w:tcPr>
            <w:tcW w:w="40" w:type="dxa"/>
            <w:vAlign w:val="bottom"/>
          </w:tcPr>
          <w:p>
            <w:pPr>
              <w:spacing w:after="0"/>
              <w:rPr>
                <w:sz w:val="24"/>
                <w:szCs w:val="24"/>
                <w:color w:val="auto"/>
              </w:rPr>
            </w:pPr>
          </w:p>
        </w:tc>
      </w:tr>
      <w:tr>
        <w:trPr>
          <w:trHeight w:val="160"/>
        </w:trPr>
        <w:tc>
          <w:tcPr>
            <w:tcW w:w="40" w:type="dxa"/>
            <w:vAlign w:val="bottom"/>
          </w:tcPr>
          <w:p>
            <w:pPr>
              <w:spacing w:after="0"/>
              <w:rPr>
                <w:sz w:val="13"/>
                <w:szCs w:val="13"/>
                <w:color w:val="auto"/>
              </w:rPr>
            </w:pPr>
          </w:p>
        </w:tc>
        <w:tc>
          <w:tcPr>
            <w:tcW w:w="4280" w:type="dxa"/>
            <w:vAlign w:val="bottom"/>
            <w:tcBorders>
              <w:bottom w:val="single" w:sz="8" w:color="0E32E1"/>
            </w:tcBorders>
            <w:gridSpan w:val="5"/>
          </w:tcPr>
          <w:p>
            <w:pPr>
              <w:spacing w:after="0"/>
              <w:rPr>
                <w:rFonts w:ascii="Times New Roman" w:cs="Times New Roman" w:eastAsia="Times New Roman" w:hAnsi="Times New Roman"/>
                <w:sz w:val="14"/>
                <w:szCs w:val="14"/>
                <w:color w:val="0E32E1"/>
              </w:rPr>
            </w:pPr>
            <w:hyperlink w:anchor="page78">
              <w:r>
                <w:rPr>
                  <w:rFonts w:ascii="Times New Roman" w:cs="Times New Roman" w:eastAsia="Times New Roman" w:hAnsi="Times New Roman"/>
                  <w:sz w:val="14"/>
                  <w:szCs w:val="14"/>
                  <w:color w:val="0E32E1"/>
                </w:rPr>
                <w:t xml:space="preserve">Report of Independent Registered Public Accounting Firm </w:t>
              </w:r>
            </w:hyperlink>
            <w:r>
              <w:rPr>
                <w:rFonts w:ascii="Times New Roman" w:cs="Times New Roman" w:eastAsia="Times New Roman" w:hAnsi="Times New Roman"/>
                <w:sz w:val="14"/>
                <w:szCs w:val="14"/>
                <w:color w:val="0E32E1"/>
              </w:rPr>
              <w:t>(PCAOB ID 34)</w:t>
            </w:r>
          </w:p>
        </w:tc>
        <w:tc>
          <w:tcPr>
            <w:tcW w:w="6780" w:type="dxa"/>
            <w:vAlign w:val="bottom"/>
            <w:gridSpan w:val="3"/>
          </w:tcPr>
          <w:p>
            <w:pPr>
              <w:spacing w:after="0"/>
              <w:rPr>
                <w:sz w:val="13"/>
                <w:szCs w:val="13"/>
                <w:color w:val="auto"/>
              </w:rPr>
            </w:pPr>
          </w:p>
        </w:tc>
        <w:tc>
          <w:tcPr>
            <w:tcW w:w="140" w:type="dxa"/>
            <w:vAlign w:val="bottom"/>
            <w:tcBorders>
              <w:bottom w:val="single" w:sz="8" w:color="0E32E1"/>
            </w:tcBorders>
          </w:tcPr>
          <w:p>
            <w:pPr>
              <w:jc w:val="right"/>
              <w:spacing w:after="0"/>
              <w:rPr>
                <w:rFonts w:ascii="Times New Roman" w:cs="Times New Roman" w:eastAsia="Times New Roman" w:hAnsi="Times New Roman"/>
                <w:sz w:val="14"/>
                <w:szCs w:val="14"/>
                <w:color w:val="0E32E1"/>
                <w:w w:val="85"/>
              </w:rPr>
            </w:pPr>
            <w:hyperlink w:anchor="page80">
              <w:r>
                <w:rPr>
                  <w:rFonts w:ascii="Times New Roman" w:cs="Times New Roman" w:eastAsia="Times New Roman" w:hAnsi="Times New Roman"/>
                  <w:sz w:val="14"/>
                  <w:szCs w:val="14"/>
                  <w:color w:val="0E32E1"/>
                  <w:w w:val="85"/>
                </w:rPr>
                <w:t>79</w:t>
              </w:r>
            </w:hyperlink>
          </w:p>
        </w:tc>
        <w:tc>
          <w:tcPr>
            <w:tcW w:w="40" w:type="dxa"/>
            <w:vAlign w:val="bottom"/>
          </w:tcPr>
          <w:p>
            <w:pPr>
              <w:spacing w:after="0"/>
              <w:rPr>
                <w:sz w:val="13"/>
                <w:szCs w:val="13"/>
                <w:color w:val="auto"/>
              </w:rPr>
            </w:pPr>
          </w:p>
        </w:tc>
      </w:tr>
      <w:tr>
        <w:trPr>
          <w:trHeight w:val="160"/>
        </w:trPr>
        <w:tc>
          <w:tcPr>
            <w:tcW w:w="40" w:type="dxa"/>
            <w:vAlign w:val="bottom"/>
          </w:tcPr>
          <w:p>
            <w:pPr>
              <w:spacing w:after="0"/>
              <w:rPr>
                <w:sz w:val="13"/>
                <w:szCs w:val="13"/>
                <w:color w:val="auto"/>
              </w:rPr>
            </w:pPr>
          </w:p>
        </w:tc>
        <w:tc>
          <w:tcPr>
            <w:tcW w:w="11060" w:type="dxa"/>
            <w:vAlign w:val="bottom"/>
            <w:gridSpan w:val="8"/>
          </w:tcPr>
          <w:p>
            <w:pPr>
              <w:spacing w:after="0"/>
              <w:rPr>
                <w:rFonts w:ascii="Times New Roman" w:cs="Times New Roman" w:eastAsia="Times New Roman" w:hAnsi="Times New Roman"/>
                <w:sz w:val="14"/>
                <w:szCs w:val="14"/>
                <w:color w:val="0E32E1"/>
              </w:rPr>
            </w:pPr>
            <w:hyperlink w:anchor="page81">
              <w:r>
                <w:rPr>
                  <w:rFonts w:ascii="Times New Roman" w:cs="Times New Roman" w:eastAsia="Times New Roman" w:hAnsi="Times New Roman"/>
                  <w:sz w:val="14"/>
                  <w:szCs w:val="14"/>
                  <w:color w:val="0E32E1"/>
                </w:rPr>
                <w:t>Consolidated Balance Sheets</w:t>
              </w:r>
            </w:hyperlink>
          </w:p>
        </w:tc>
        <w:tc>
          <w:tcPr>
            <w:tcW w:w="140" w:type="dxa"/>
            <w:vAlign w:val="bottom"/>
          </w:tcPr>
          <w:p>
            <w:pPr>
              <w:jc w:val="right"/>
              <w:spacing w:after="0"/>
              <w:rPr>
                <w:rFonts w:ascii="Times New Roman" w:cs="Times New Roman" w:eastAsia="Times New Roman" w:hAnsi="Times New Roman"/>
                <w:sz w:val="14"/>
                <w:szCs w:val="14"/>
                <w:color w:val="0E32E1"/>
                <w:w w:val="85"/>
              </w:rPr>
            </w:pPr>
            <w:hyperlink w:anchor="page81">
              <w:r>
                <w:rPr>
                  <w:rFonts w:ascii="Times New Roman" w:cs="Times New Roman" w:eastAsia="Times New Roman" w:hAnsi="Times New Roman"/>
                  <w:sz w:val="14"/>
                  <w:szCs w:val="14"/>
                  <w:color w:val="0E32E1"/>
                  <w:w w:val="85"/>
                </w:rPr>
                <w:t>80</w:t>
              </w:r>
            </w:hyperlink>
          </w:p>
        </w:tc>
        <w:tc>
          <w:tcPr>
            <w:tcW w:w="4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1640" w:type="dxa"/>
            <w:vAlign w:val="bottom"/>
            <w:shd w:val="clear" w:color="auto" w:fill="0E32E1"/>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40" w:type="dxa"/>
            <w:vAlign w:val="bottom"/>
          </w:tcPr>
          <w:p>
            <w:pPr>
              <w:spacing w:after="0"/>
              <w:rPr>
                <w:sz w:val="13"/>
                <w:szCs w:val="13"/>
                <w:color w:val="auto"/>
              </w:rPr>
            </w:pPr>
          </w:p>
        </w:tc>
        <w:tc>
          <w:tcPr>
            <w:tcW w:w="2220" w:type="dxa"/>
            <w:vAlign w:val="bottom"/>
            <w:tcBorders>
              <w:bottom w:val="single" w:sz="8" w:color="0E32E1"/>
            </w:tcBorders>
            <w:gridSpan w:val="2"/>
          </w:tcPr>
          <w:p>
            <w:pPr>
              <w:spacing w:after="0"/>
              <w:rPr>
                <w:rFonts w:ascii="Times New Roman" w:cs="Times New Roman" w:eastAsia="Times New Roman" w:hAnsi="Times New Roman"/>
                <w:sz w:val="14"/>
                <w:szCs w:val="14"/>
                <w:color w:val="0E32E1"/>
              </w:rPr>
            </w:pPr>
            <w:hyperlink w:anchor="page82">
              <w:r>
                <w:rPr>
                  <w:rFonts w:ascii="Times New Roman" w:cs="Times New Roman" w:eastAsia="Times New Roman" w:hAnsi="Times New Roman"/>
                  <w:sz w:val="14"/>
                  <w:szCs w:val="14"/>
                  <w:color w:val="0E32E1"/>
                </w:rPr>
                <w:t>Consolidated Statements of Operations</w:t>
              </w:r>
            </w:hyperlink>
          </w:p>
        </w:tc>
        <w:tc>
          <w:tcPr>
            <w:tcW w:w="8840" w:type="dxa"/>
            <w:vAlign w:val="bottom"/>
            <w:gridSpan w:val="6"/>
          </w:tcPr>
          <w:p>
            <w:pPr>
              <w:spacing w:after="0"/>
              <w:rPr>
                <w:sz w:val="13"/>
                <w:szCs w:val="13"/>
                <w:color w:val="auto"/>
              </w:rPr>
            </w:pPr>
          </w:p>
        </w:tc>
        <w:tc>
          <w:tcPr>
            <w:tcW w:w="140" w:type="dxa"/>
            <w:vAlign w:val="bottom"/>
            <w:tcBorders>
              <w:bottom w:val="single" w:sz="8" w:color="0E32E1"/>
            </w:tcBorders>
          </w:tcPr>
          <w:p>
            <w:pPr>
              <w:jc w:val="right"/>
              <w:spacing w:after="0"/>
              <w:rPr>
                <w:rFonts w:ascii="Times New Roman" w:cs="Times New Roman" w:eastAsia="Times New Roman" w:hAnsi="Times New Roman"/>
                <w:sz w:val="14"/>
                <w:szCs w:val="14"/>
                <w:color w:val="0E32E1"/>
                <w:w w:val="85"/>
              </w:rPr>
            </w:pPr>
            <w:hyperlink w:anchor="page82">
              <w:r>
                <w:rPr>
                  <w:rFonts w:ascii="Times New Roman" w:cs="Times New Roman" w:eastAsia="Times New Roman" w:hAnsi="Times New Roman"/>
                  <w:sz w:val="14"/>
                  <w:szCs w:val="14"/>
                  <w:color w:val="0E32E1"/>
                  <w:w w:val="85"/>
                </w:rPr>
                <w:t>81</w:t>
              </w:r>
            </w:hyperlink>
          </w:p>
        </w:tc>
        <w:tc>
          <w:tcPr>
            <w:tcW w:w="40" w:type="dxa"/>
            <w:vAlign w:val="bottom"/>
          </w:tcPr>
          <w:p>
            <w:pPr>
              <w:spacing w:after="0"/>
              <w:rPr>
                <w:sz w:val="13"/>
                <w:szCs w:val="13"/>
                <w:color w:val="auto"/>
              </w:rPr>
            </w:pPr>
          </w:p>
        </w:tc>
      </w:tr>
      <w:tr>
        <w:trPr>
          <w:trHeight w:val="160"/>
        </w:trPr>
        <w:tc>
          <w:tcPr>
            <w:tcW w:w="40" w:type="dxa"/>
            <w:vAlign w:val="bottom"/>
          </w:tcPr>
          <w:p>
            <w:pPr>
              <w:spacing w:after="0"/>
              <w:rPr>
                <w:sz w:val="13"/>
                <w:szCs w:val="13"/>
                <w:color w:val="auto"/>
              </w:rPr>
            </w:pPr>
          </w:p>
        </w:tc>
        <w:tc>
          <w:tcPr>
            <w:tcW w:w="5180" w:type="dxa"/>
            <w:vAlign w:val="bottom"/>
            <w:tcBorders>
              <w:bottom w:val="single" w:sz="8" w:color="0E32E1"/>
            </w:tcBorders>
            <w:gridSpan w:val="7"/>
          </w:tcPr>
          <w:p>
            <w:pPr>
              <w:spacing w:after="0"/>
              <w:rPr>
                <w:rFonts w:ascii="Times New Roman" w:cs="Times New Roman" w:eastAsia="Times New Roman" w:hAnsi="Times New Roman"/>
                <w:sz w:val="14"/>
                <w:szCs w:val="14"/>
                <w:color w:val="0E32E1"/>
              </w:rPr>
            </w:pPr>
            <w:hyperlink w:anchor="page83">
              <w:r>
                <w:rPr>
                  <w:rFonts w:ascii="Times New Roman" w:cs="Times New Roman" w:eastAsia="Times New Roman" w:hAnsi="Times New Roman"/>
                  <w:sz w:val="14"/>
                  <w:szCs w:val="14"/>
                  <w:color w:val="0E32E1"/>
                </w:rPr>
                <w:t>Consolidated Statements of Convertible Preferred Stock and Stockholders’ Equity (Deficit)</w:t>
              </w:r>
            </w:hyperlink>
          </w:p>
        </w:tc>
        <w:tc>
          <w:tcPr>
            <w:tcW w:w="5880" w:type="dxa"/>
            <w:vAlign w:val="bottom"/>
          </w:tcPr>
          <w:p>
            <w:pPr>
              <w:spacing w:after="0"/>
              <w:rPr>
                <w:sz w:val="13"/>
                <w:szCs w:val="13"/>
                <w:color w:val="auto"/>
              </w:rPr>
            </w:pPr>
          </w:p>
        </w:tc>
        <w:tc>
          <w:tcPr>
            <w:tcW w:w="140" w:type="dxa"/>
            <w:vAlign w:val="bottom"/>
            <w:tcBorders>
              <w:bottom w:val="single" w:sz="8" w:color="0E32E1"/>
            </w:tcBorders>
          </w:tcPr>
          <w:p>
            <w:pPr>
              <w:jc w:val="right"/>
              <w:spacing w:after="0"/>
              <w:rPr>
                <w:rFonts w:ascii="Times New Roman" w:cs="Times New Roman" w:eastAsia="Times New Roman" w:hAnsi="Times New Roman"/>
                <w:sz w:val="14"/>
                <w:szCs w:val="14"/>
                <w:color w:val="0E32E1"/>
                <w:w w:val="85"/>
              </w:rPr>
            </w:pPr>
            <w:hyperlink w:anchor="page83">
              <w:r>
                <w:rPr>
                  <w:rFonts w:ascii="Times New Roman" w:cs="Times New Roman" w:eastAsia="Times New Roman" w:hAnsi="Times New Roman"/>
                  <w:sz w:val="14"/>
                  <w:szCs w:val="14"/>
                  <w:color w:val="0E32E1"/>
                  <w:w w:val="85"/>
                </w:rPr>
                <w:t>82</w:t>
              </w:r>
            </w:hyperlink>
          </w:p>
        </w:tc>
        <w:tc>
          <w:tcPr>
            <w:tcW w:w="40" w:type="dxa"/>
            <w:vAlign w:val="bottom"/>
          </w:tcPr>
          <w:p>
            <w:pPr>
              <w:spacing w:after="0"/>
              <w:rPr>
                <w:sz w:val="13"/>
                <w:szCs w:val="13"/>
                <w:color w:val="auto"/>
              </w:rPr>
            </w:pPr>
          </w:p>
        </w:tc>
      </w:tr>
      <w:tr>
        <w:trPr>
          <w:trHeight w:val="160"/>
        </w:trPr>
        <w:tc>
          <w:tcPr>
            <w:tcW w:w="40" w:type="dxa"/>
            <w:vAlign w:val="bottom"/>
          </w:tcPr>
          <w:p>
            <w:pPr>
              <w:spacing w:after="0"/>
              <w:rPr>
                <w:sz w:val="13"/>
                <w:szCs w:val="13"/>
                <w:color w:val="auto"/>
              </w:rPr>
            </w:pPr>
          </w:p>
        </w:tc>
        <w:tc>
          <w:tcPr>
            <w:tcW w:w="2260" w:type="dxa"/>
            <w:vAlign w:val="bottom"/>
            <w:tcBorders>
              <w:bottom w:val="single" w:sz="8" w:color="0E32E1"/>
            </w:tcBorders>
            <w:gridSpan w:val="3"/>
          </w:tcPr>
          <w:p>
            <w:pPr>
              <w:spacing w:after="0"/>
              <w:rPr>
                <w:rFonts w:ascii="Times New Roman" w:cs="Times New Roman" w:eastAsia="Times New Roman" w:hAnsi="Times New Roman"/>
                <w:sz w:val="14"/>
                <w:szCs w:val="14"/>
                <w:color w:val="0E32E1"/>
              </w:rPr>
            </w:pPr>
            <w:hyperlink w:anchor="page84">
              <w:r>
                <w:rPr>
                  <w:rFonts w:ascii="Times New Roman" w:cs="Times New Roman" w:eastAsia="Times New Roman" w:hAnsi="Times New Roman"/>
                  <w:sz w:val="14"/>
                  <w:szCs w:val="14"/>
                  <w:color w:val="0E32E1"/>
                </w:rPr>
                <w:t>Consolidated Statements of Cash Flows</w:t>
              </w:r>
            </w:hyperlink>
          </w:p>
        </w:tc>
        <w:tc>
          <w:tcPr>
            <w:tcW w:w="8800" w:type="dxa"/>
            <w:vAlign w:val="bottom"/>
            <w:gridSpan w:val="5"/>
          </w:tcPr>
          <w:p>
            <w:pPr>
              <w:spacing w:after="0"/>
              <w:rPr>
                <w:sz w:val="13"/>
                <w:szCs w:val="13"/>
                <w:color w:val="auto"/>
              </w:rPr>
            </w:pPr>
          </w:p>
        </w:tc>
        <w:tc>
          <w:tcPr>
            <w:tcW w:w="140" w:type="dxa"/>
            <w:vAlign w:val="bottom"/>
            <w:tcBorders>
              <w:bottom w:val="single" w:sz="8" w:color="0E32E1"/>
            </w:tcBorders>
          </w:tcPr>
          <w:p>
            <w:pPr>
              <w:jc w:val="right"/>
              <w:spacing w:after="0"/>
              <w:rPr>
                <w:rFonts w:ascii="Times New Roman" w:cs="Times New Roman" w:eastAsia="Times New Roman" w:hAnsi="Times New Roman"/>
                <w:sz w:val="14"/>
                <w:szCs w:val="14"/>
                <w:color w:val="0E32E1"/>
                <w:w w:val="85"/>
              </w:rPr>
            </w:pPr>
            <w:hyperlink w:anchor="page84">
              <w:r>
                <w:rPr>
                  <w:rFonts w:ascii="Times New Roman" w:cs="Times New Roman" w:eastAsia="Times New Roman" w:hAnsi="Times New Roman"/>
                  <w:sz w:val="14"/>
                  <w:szCs w:val="14"/>
                  <w:color w:val="0E32E1"/>
                  <w:w w:val="85"/>
                </w:rPr>
                <w:t>83</w:t>
              </w:r>
            </w:hyperlink>
          </w:p>
        </w:tc>
        <w:tc>
          <w:tcPr>
            <w:tcW w:w="40" w:type="dxa"/>
            <w:vAlign w:val="bottom"/>
          </w:tcPr>
          <w:p>
            <w:pPr>
              <w:spacing w:after="0"/>
              <w:rPr>
                <w:sz w:val="13"/>
                <w:szCs w:val="13"/>
                <w:color w:val="auto"/>
              </w:rPr>
            </w:pPr>
          </w:p>
        </w:tc>
      </w:tr>
      <w:tr>
        <w:trPr>
          <w:trHeight w:val="160"/>
        </w:trPr>
        <w:tc>
          <w:tcPr>
            <w:tcW w:w="40" w:type="dxa"/>
            <w:vAlign w:val="bottom"/>
          </w:tcPr>
          <w:p>
            <w:pPr>
              <w:spacing w:after="0"/>
              <w:rPr>
                <w:sz w:val="13"/>
                <w:szCs w:val="13"/>
                <w:color w:val="auto"/>
              </w:rPr>
            </w:pPr>
          </w:p>
        </w:tc>
        <w:tc>
          <w:tcPr>
            <w:tcW w:w="2480" w:type="dxa"/>
            <w:vAlign w:val="bottom"/>
            <w:tcBorders>
              <w:bottom w:val="single" w:sz="8" w:color="0E32E1"/>
            </w:tcBorders>
            <w:gridSpan w:val="4"/>
          </w:tcPr>
          <w:p>
            <w:pPr>
              <w:spacing w:after="0"/>
              <w:rPr>
                <w:rFonts w:ascii="Times New Roman" w:cs="Times New Roman" w:eastAsia="Times New Roman" w:hAnsi="Times New Roman"/>
                <w:sz w:val="14"/>
                <w:szCs w:val="14"/>
                <w:color w:val="0E32E1"/>
              </w:rPr>
            </w:pPr>
            <w:hyperlink w:anchor="page85">
              <w:r>
                <w:rPr>
                  <w:rFonts w:ascii="Times New Roman" w:cs="Times New Roman" w:eastAsia="Times New Roman" w:hAnsi="Times New Roman"/>
                  <w:sz w:val="14"/>
                  <w:szCs w:val="14"/>
                  <w:color w:val="0E32E1"/>
                </w:rPr>
                <w:t>Notes to Consolidated Financial Statements</w:t>
              </w:r>
            </w:hyperlink>
          </w:p>
        </w:tc>
        <w:tc>
          <w:tcPr>
            <w:tcW w:w="8580" w:type="dxa"/>
            <w:vAlign w:val="bottom"/>
            <w:gridSpan w:val="4"/>
          </w:tcPr>
          <w:p>
            <w:pPr>
              <w:spacing w:after="0"/>
              <w:rPr>
                <w:sz w:val="13"/>
                <w:szCs w:val="13"/>
                <w:color w:val="auto"/>
              </w:rPr>
            </w:pPr>
          </w:p>
        </w:tc>
        <w:tc>
          <w:tcPr>
            <w:tcW w:w="140" w:type="dxa"/>
            <w:vAlign w:val="bottom"/>
            <w:tcBorders>
              <w:bottom w:val="single" w:sz="8" w:color="0E32E1"/>
            </w:tcBorders>
          </w:tcPr>
          <w:p>
            <w:pPr>
              <w:jc w:val="right"/>
              <w:spacing w:after="0"/>
              <w:rPr>
                <w:rFonts w:ascii="Times New Roman" w:cs="Times New Roman" w:eastAsia="Times New Roman" w:hAnsi="Times New Roman"/>
                <w:sz w:val="14"/>
                <w:szCs w:val="14"/>
                <w:color w:val="0E32E1"/>
                <w:w w:val="85"/>
              </w:rPr>
            </w:pPr>
            <w:hyperlink w:anchor="page85">
              <w:r>
                <w:rPr>
                  <w:rFonts w:ascii="Times New Roman" w:cs="Times New Roman" w:eastAsia="Times New Roman" w:hAnsi="Times New Roman"/>
                  <w:sz w:val="14"/>
                  <w:szCs w:val="14"/>
                  <w:color w:val="0E32E1"/>
                  <w:w w:val="85"/>
                </w:rPr>
                <w:t>84</w:t>
              </w:r>
            </w:hyperlink>
          </w:p>
        </w:tc>
        <w:tc>
          <w:tcPr>
            <w:tcW w:w="40" w:type="dxa"/>
            <w:vAlign w:val="bottom"/>
          </w:tcPr>
          <w:p>
            <w:pPr>
              <w:spacing w:after="0"/>
              <w:rPr>
                <w:sz w:val="13"/>
                <w:szCs w:val="13"/>
                <w:color w:val="auto"/>
              </w:rPr>
            </w:pPr>
          </w:p>
        </w:tc>
      </w:tr>
      <w:tr>
        <w:trPr>
          <w:trHeight w:val="881"/>
        </w:trPr>
        <w:tc>
          <w:tcPr>
            <w:tcW w:w="11100" w:type="dxa"/>
            <w:vAlign w:val="bottom"/>
            <w:gridSpan w:val="9"/>
          </w:tcPr>
          <w:p>
            <w:pPr>
              <w:jc w:val="right"/>
              <w:ind w:right="5140"/>
              <w:spacing w:after="0"/>
              <w:rPr>
                <w:sz w:val="20"/>
                <w:szCs w:val="20"/>
                <w:color w:val="auto"/>
              </w:rPr>
            </w:pPr>
            <w:r>
              <w:rPr>
                <w:rFonts w:ascii="Times New Roman" w:cs="Times New Roman" w:eastAsia="Times New Roman" w:hAnsi="Times New Roman"/>
                <w:sz w:val="14"/>
                <w:szCs w:val="14"/>
                <w:color w:val="auto"/>
              </w:rPr>
              <w:t>76</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7"/>
        </w:trPr>
        <w:tc>
          <w:tcPr>
            <w:tcW w:w="4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8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58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78" w:name="page79"/>
    <w:bookmarkEnd w:id="78"/>
    <w:p>
      <w:pPr>
        <w:ind w:left="388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 Tempest Therapeutics, Inc.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8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 of Tempest Therapeutics, Inc. (the Company) as of December 31, 2021, the related consolidated statements of operations, convertible preferred stock and stockholders' equity (deficit) and cash flows for the year then ended, and the related notes (collectively referred to as the “financial statements”). In our opinion, the financial statements present fairly, in all material respects, the financial position of the Company at December 31, 2021, and the results of its operations and its cash flows for the year then ended in conformity with U.S. generally accepted accounting principles.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w:t>
      </w:r>
    </w:p>
    <w:p>
      <w:pPr>
        <w:spacing w:after="0" w:line="18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79" w:name="page80"/>
    <w:bookmarkEnd w:id="79"/>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How We Addressed the</w:t>
      </w:r>
    </w:p>
    <w:p>
      <w:pPr>
        <w:ind w:left="20"/>
        <w:spacing w:after="0" w:line="205" w:lineRule="auto"/>
        <w:rPr>
          <w:sz w:val="20"/>
          <w:szCs w:val="20"/>
          <w:color w:val="auto"/>
        </w:rPr>
      </w:pPr>
      <w:r>
        <w:rPr>
          <w:rFonts w:ascii="Times New Roman" w:cs="Times New Roman" w:eastAsia="Times New Roman" w:hAnsi="Times New Roman"/>
          <w:sz w:val="14"/>
          <w:szCs w:val="14"/>
          <w:i w:val="1"/>
          <w:iCs w:val="1"/>
          <w:color w:val="auto"/>
        </w:rPr>
        <w:t>Matter</w:t>
      </w:r>
    </w:p>
    <w:p>
      <w:pPr>
        <w:ind w:left="20"/>
        <w:spacing w:after="0"/>
        <w:rPr>
          <w:sz w:val="20"/>
          <w:szCs w:val="20"/>
          <w:color w:val="auto"/>
        </w:rPr>
      </w:pPr>
      <w:r>
        <w:rPr>
          <w:rFonts w:ascii="Times New Roman" w:cs="Times New Roman" w:eastAsia="Times New Roman" w:hAnsi="Times New Roman"/>
          <w:sz w:val="14"/>
          <w:szCs w:val="14"/>
          <w:i w:val="1"/>
          <w:iCs w:val="1"/>
          <w:color w:val="auto"/>
        </w:rPr>
        <w:t>in Our Audit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i w:val="1"/>
          <w:iCs w:val="1"/>
          <w:color w:val="auto"/>
        </w:rPr>
        <w:t>Accrued research and development expenses</w:t>
      </w:r>
    </w:p>
    <w:p>
      <w:pPr>
        <w:spacing w:after="0" w:line="2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4"/>
          <w:szCs w:val="14"/>
          <w:color w:val="auto"/>
        </w:rPr>
        <w:t>As described in Note 2 to the consolidated financial statements under the caption “Research and development expenses and accrued research and development”, the Company records the cost of research and development activities as they are incurred. The Company estimates preclinical studies and clinical trial expenses based on the services performed pursuant to contracts with research institutions and clinical research organizations that conduct and manage preclinical studies and clinical trials on the Company’s behalf. Service fees are accrued based on the Company’s estimates of the time period over which services will be performed and the level of effort to be expended in each period. These estimates are based on communications with the third-party service providers, the Company’s estimates of accrued expenses and on information available at each balance sheet date. As of December 31, 2021, the Company’s accrued clinical trial liability was $0.8 million.</w:t>
      </w:r>
    </w:p>
    <w:p>
      <w:pPr>
        <w:spacing w:after="0" w:line="15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4"/>
          <w:szCs w:val="14"/>
          <w:color w:val="auto"/>
        </w:rPr>
        <w:t>Auditing the Company’s accrual for research and development expenses was challenging because of the estimation involved in determining the accrual balance, which included information that was accumulated from multiple sources. In certain circumstances, the determination of the nature and level of services that have been received during the reporting period requires judgment because the timing and pattern of vendor invoicing did not correspond to the level of services provided and invoicing from clinical study sites and other vendors may not yet be available to management.</w:t>
      </w:r>
    </w:p>
    <w:p>
      <w:pPr>
        <w:spacing w:after="0" w:line="9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4"/>
          <w:szCs w:val="14"/>
          <w:color w:val="auto"/>
        </w:rPr>
        <w:t>To test the accrued research and development expenses, our audit procedures included, among others, testing the completeness and accuracy of the underlying data used in the estimate, including, but not limited to, estimated project duration, research and manufacturing services incurred to date and terms of contractual arrangements. To assess the reasonableness of the data, we corroborated the progress of the clinical trials with Company research and development personnel and obtained third-party evidence supporting the activities performed to date. We recalculated the accrual based on executed contracts with the clinical research organizations, contract manufacturing organizations, clinical study sites and collaboration partners. We also tested subsequent invoicing received from third parties to assess the impact to the accrual at the balance sheet date and compared that to the Company’s estimates.</w:t>
      </w:r>
    </w:p>
    <w:p>
      <w:pPr>
        <w:spacing w:after="0" w:line="612" w:lineRule="exact"/>
        <w:rPr>
          <w:sz w:val="20"/>
          <w:szCs w:val="20"/>
          <w:color w:val="auto"/>
        </w:rPr>
      </w:pPr>
    </w:p>
    <w:p>
      <w:pPr>
        <w:sectPr>
          <w:pgSz w:w="11900" w:h="16838" w:orient="portrait"/>
          <w:cols w:equalWidth="0" w:num="2">
            <w:col w:w="1460" w:space="120"/>
            <w:col w:w="9680"/>
          </w:cols>
          <w:pgMar w:left="300" w:top="759" w:right="339" w:bottom="1440" w:gutter="0" w:footer="0" w:header="0"/>
        </w:sect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2021.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Grand Rapids, Michigan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29, 2022</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9" w:right="339" w:bottom="1440" w:gutter="0" w:footer="0" w:header="0"/>
          <w:type w:val="continuous"/>
        </w:sectPr>
      </w:pPr>
    </w:p>
    <w:bookmarkStart w:id="80" w:name="page81"/>
    <w:bookmarkEnd w:id="80"/>
    <w:p>
      <w:pPr>
        <w:ind w:left="388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 Tempest Therapeutics Inc.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8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4"/>
          <w:szCs w:val="14"/>
          <w:color w:val="auto"/>
        </w:rPr>
        <w:t>We have audited the accompanying balance sheet of Tempest Therapeutics Inc. (the "Company") as of December 31, 2020, the related statement of operations, convertible preferred stock and stockholders’ equity (deficit), and cash flows, for the year ended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year ended December 31, 2020, in conformity with accounting principles generally accepted in the United States of America.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Going Concern</w:t>
      </w:r>
    </w:p>
    <w:p>
      <w:pPr>
        <w:spacing w:after="0" w:line="1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The accompanying financial statements as of and for the year ended December 31, 2020 have been prepared assuming that the Company will continue as a going concern. The Company had incurred losses since inception and had forecasted cash needs in excess of current liquidity as of December 31, 2020, which raised substantial doubt about its ability to continue as a going concern. The financial statements as of and for the year ended December 31, 2020 did not include any adjustments that might have resulted from the outcome of this uncertainty.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/s/Deloitte &amp; Touche LLP</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Francisco, California</w:t>
      </w:r>
    </w:p>
    <w:p>
      <w:pPr>
        <w:spacing w:after="0"/>
        <w:rPr>
          <w:sz w:val="20"/>
          <w:szCs w:val="20"/>
          <w:color w:val="auto"/>
        </w:rPr>
      </w:pPr>
      <w:r>
        <w:rPr>
          <w:rFonts w:ascii="Times New Roman" w:cs="Times New Roman" w:eastAsia="Times New Roman" w:hAnsi="Times New Roman"/>
          <w:sz w:val="14"/>
          <w:szCs w:val="14"/>
          <w:color w:val="auto"/>
        </w:rPr>
        <w:t>May, 10, 2021 (March 29, 2022, as to the effects of the stock exchange as described in Note 1)</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began serving as the Company's auditor in 2017. In 2021 we became the predecessor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4"/>
          <w:szCs w:val="14"/>
          <w:b w:val="1"/>
          <w:bCs w:val="1"/>
          <w:color w:val="auto"/>
        </w:rPr>
        <w:t>Tempest Therapeutics,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14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81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2021</w:t>
            </w: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1"/>
                <w:szCs w:val="11"/>
                <w:b w:val="1"/>
                <w:bCs w:val="1"/>
                <w:color w:val="auto"/>
              </w:rPr>
              <w:t>2020</w:t>
            </w:r>
          </w:p>
        </w:tc>
        <w:tc>
          <w:tcPr>
            <w:tcW w:w="0" w:type="dxa"/>
            <w:vAlign w:val="bottom"/>
          </w:tcPr>
          <w:p>
            <w:pPr>
              <w:spacing w:after="0"/>
              <w:rPr>
                <w:sz w:val="1"/>
                <w:szCs w:val="1"/>
                <w:color w:val="auto"/>
              </w:rPr>
            </w:pPr>
          </w:p>
        </w:tc>
      </w:tr>
      <w:tr>
        <w:trPr>
          <w:trHeight w:val="16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0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51,829</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18,820</w:t>
            </w:r>
          </w:p>
        </w:tc>
        <w:tc>
          <w:tcPr>
            <w:tcW w:w="0" w:type="dxa"/>
            <w:vAlign w:val="bottom"/>
          </w:tcPr>
          <w:p>
            <w:pPr>
              <w:spacing w:after="0"/>
              <w:rPr>
                <w:sz w:val="1"/>
                <w:szCs w:val="1"/>
                <w:color w:val="auto"/>
              </w:rPr>
            </w:pPr>
          </w:p>
        </w:tc>
      </w:tr>
      <w:tr>
        <w:trPr>
          <w:trHeight w:val="180"/>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Insurance recovery of legal settlement</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9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2,134</w:t>
            </w:r>
          </w:p>
        </w:tc>
        <w:tc>
          <w:tcPr>
            <w:tcW w:w="14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0" w:type="dxa"/>
            <w:vAlign w:val="bottom"/>
          </w:tcPr>
          <w:p>
            <w:pPr>
              <w:spacing w:after="0"/>
              <w:rPr>
                <w:sz w:val="1"/>
                <w:szCs w:val="1"/>
                <w:color w:val="auto"/>
              </w:rPr>
            </w:pPr>
          </w:p>
        </w:tc>
      </w:tr>
      <w:tr>
        <w:trPr>
          <w:trHeight w:val="171"/>
        </w:trPr>
        <w:tc>
          <w:tcPr>
            <w:tcW w:w="8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current assets</w:t>
            </w:r>
          </w:p>
        </w:tc>
        <w:tc>
          <w:tcPr>
            <w:tcW w:w="9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68,963</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19,825</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 net</w:t>
            </w: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0" w:type="dxa"/>
            <w:vAlign w:val="bottom"/>
          </w:tcPr>
          <w:p>
            <w:pPr>
              <w:spacing w:after="0"/>
              <w:rPr>
                <w:sz w:val="1"/>
                <w:szCs w:val="1"/>
                <w:color w:val="auto"/>
              </w:rPr>
            </w:pPr>
          </w:p>
        </w:tc>
      </w:tr>
      <w:tr>
        <w:trPr>
          <w:trHeight w:val="18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3,051</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1,877</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9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4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71"/>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90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73,238</w:t>
            </w:r>
          </w:p>
        </w:tc>
        <w:tc>
          <w:tcPr>
            <w:tcW w:w="14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22,863</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1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 convertible preferred stock and stockholders’ equity (deficit)</w:t>
            </w:r>
          </w:p>
        </w:tc>
        <w:tc>
          <w:tcPr>
            <w:tcW w:w="9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90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0" w:type="dxa"/>
            <w:vAlign w:val="bottom"/>
          </w:tcPr>
          <w:p>
            <w:pPr>
              <w:spacing w:after="0"/>
              <w:rPr>
                <w:sz w:val="1"/>
                <w:szCs w:val="1"/>
                <w:color w:val="auto"/>
              </w:rPr>
            </w:pPr>
          </w:p>
        </w:tc>
      </w:tr>
      <w:tr>
        <w:trPr>
          <w:trHeight w:val="180"/>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legal settlement</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expenses</w:t>
            </w: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0" w:type="dxa"/>
            <w:vAlign w:val="bottom"/>
          </w:tcPr>
          <w:p>
            <w:pPr>
              <w:spacing w:after="0"/>
              <w:rPr>
                <w:sz w:val="1"/>
                <w:szCs w:val="1"/>
                <w:color w:val="auto"/>
              </w:rPr>
            </w:pPr>
          </w:p>
        </w:tc>
      </w:tr>
      <w:tr>
        <w:trPr>
          <w:trHeight w:val="180"/>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1,442</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compensation</w:t>
            </w: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0" w:type="dxa"/>
            <w:vAlign w:val="bottom"/>
          </w:tcPr>
          <w:p>
            <w:pPr>
              <w:spacing w:after="0"/>
              <w:rPr>
                <w:sz w:val="1"/>
                <w:szCs w:val="1"/>
                <w:color w:val="auto"/>
              </w:rPr>
            </w:pPr>
          </w:p>
        </w:tc>
      </w:tr>
      <w:tr>
        <w:trPr>
          <w:trHeight w:val="180"/>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payable</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Early option exercise liability</w:t>
            </w:r>
          </w:p>
        </w:tc>
        <w:tc>
          <w:tcPr>
            <w:tcW w:w="9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71"/>
        </w:trPr>
        <w:tc>
          <w:tcPr>
            <w:tcW w:w="8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9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20,026</w:t>
            </w:r>
          </w:p>
        </w:tc>
        <w:tc>
          <w:tcPr>
            <w:tcW w:w="14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3,222</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 payable (net of discount and issuance costs of $756)</w:t>
            </w: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15,069</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9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14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1,727</w:t>
            </w:r>
          </w:p>
        </w:tc>
        <w:tc>
          <w:tcPr>
            <w:tcW w:w="0" w:type="dxa"/>
            <w:vAlign w:val="bottom"/>
          </w:tcPr>
          <w:p>
            <w:pPr>
              <w:spacing w:after="0"/>
              <w:rPr>
                <w:sz w:val="1"/>
                <w:szCs w:val="1"/>
                <w:color w:val="auto"/>
              </w:rPr>
            </w:pPr>
          </w:p>
        </w:tc>
      </w:tr>
      <w:tr>
        <w:trPr>
          <w:trHeight w:val="171"/>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liabilities</w:t>
            </w:r>
          </w:p>
        </w:tc>
        <w:tc>
          <w:tcPr>
            <w:tcW w:w="9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37,121</w:t>
            </w:r>
          </w:p>
        </w:tc>
        <w:tc>
          <w:tcPr>
            <w:tcW w:w="14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4,949</w:t>
            </w:r>
          </w:p>
        </w:tc>
        <w:tc>
          <w:tcPr>
            <w:tcW w:w="0" w:type="dxa"/>
            <w:vAlign w:val="bottom"/>
          </w:tcPr>
          <w:p>
            <w:pPr>
              <w:spacing w:after="0"/>
              <w:rPr>
                <w:sz w:val="1"/>
                <w:szCs w:val="1"/>
                <w:color w:val="auto"/>
              </w:rPr>
            </w:pPr>
          </w:p>
        </w:tc>
      </w:tr>
      <w:tr>
        <w:trPr>
          <w:trHeight w:val="156"/>
        </w:trPr>
        <w:tc>
          <w:tcPr>
            <w:tcW w:w="814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Commitments and contingencies (Note 7)</w:t>
            </w:r>
          </w:p>
        </w:tc>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1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Convertible preferred stock, $0.001 par value; shares 5,000,000 and 135,936,731 shares authorized at December 31, 2021 and 2020; nil and</w:t>
            </w:r>
          </w:p>
        </w:tc>
        <w:tc>
          <w:tcPr>
            <w:tcW w:w="9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1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114,686,731 shares issued and outstanding at December 31, 2021 and 2020, respectively; liquidation preference of $0 and $100,186,732 at</w:t>
            </w:r>
          </w:p>
        </w:tc>
        <w:tc>
          <w:tcPr>
            <w:tcW w:w="900" w:type="dxa"/>
            <w:vAlign w:val="bottom"/>
          </w:tcPr>
          <w:p>
            <w:pPr>
              <w:spacing w:after="0"/>
              <w:rPr>
                <w:sz w:val="11"/>
                <w:szCs w:val="11"/>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86,707</w:t>
            </w:r>
          </w:p>
        </w:tc>
        <w:tc>
          <w:tcPr>
            <w:tcW w:w="0" w:type="dxa"/>
            <w:vAlign w:val="bottom"/>
          </w:tcPr>
          <w:p>
            <w:pPr>
              <w:spacing w:after="0"/>
              <w:rPr>
                <w:sz w:val="1"/>
                <w:szCs w:val="1"/>
                <w:color w:val="auto"/>
              </w:rPr>
            </w:pPr>
          </w:p>
        </w:tc>
      </w:tr>
      <w:tr>
        <w:trPr>
          <w:trHeight w:val="18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2021 and 2020, respectively</w:t>
            </w:r>
          </w:p>
        </w:tc>
        <w:tc>
          <w:tcPr>
            <w:tcW w:w="9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 (deficit):</w:t>
            </w:r>
          </w:p>
        </w:tc>
        <w:tc>
          <w:tcPr>
            <w:tcW w:w="9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8140" w:type="dxa"/>
            <w:vAlign w:val="bottom"/>
          </w:tcPr>
          <w:p>
            <w:pPr>
              <w:ind w:left="180"/>
              <w:spacing w:after="0" w:line="138" w:lineRule="exact"/>
              <w:rPr>
                <w:sz w:val="20"/>
                <w:szCs w:val="20"/>
                <w:color w:val="auto"/>
              </w:rPr>
            </w:pPr>
            <w:r>
              <w:rPr>
                <w:rFonts w:ascii="Times New Roman" w:cs="Times New Roman" w:eastAsia="Times New Roman" w:hAnsi="Times New Roman"/>
                <w:sz w:val="14"/>
                <w:szCs w:val="14"/>
                <w:color w:val="auto"/>
              </w:rPr>
              <w:t>Common stock, $0.001 par value; 100,000,000 shares and 196,000,000 shares authorized at December 31, 2021 and 2020; 6,910,324 and</w:t>
            </w:r>
          </w:p>
        </w:tc>
        <w:tc>
          <w:tcPr>
            <w:tcW w:w="9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527,265 shares issued and outstanding, nil and 28,996 subject to repurchase at December 31, 2021 and 2020, respectively</w:t>
            </w:r>
          </w:p>
        </w:tc>
        <w:tc>
          <w:tcPr>
            <w:tcW w:w="9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136,173</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2,967</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deficit</w:t>
            </w:r>
          </w:p>
        </w:tc>
        <w:tc>
          <w:tcPr>
            <w:tcW w:w="9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(100,063)</w:t>
            </w:r>
          </w:p>
        </w:tc>
        <w:tc>
          <w:tcPr>
            <w:tcW w:w="14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(71,761)</w:t>
            </w:r>
          </w:p>
        </w:tc>
        <w:tc>
          <w:tcPr>
            <w:tcW w:w="0" w:type="dxa"/>
            <w:vAlign w:val="bottom"/>
          </w:tcPr>
          <w:p>
            <w:pPr>
              <w:spacing w:after="0"/>
              <w:rPr>
                <w:sz w:val="1"/>
                <w:szCs w:val="1"/>
                <w:color w:val="auto"/>
              </w:rPr>
            </w:pPr>
          </w:p>
        </w:tc>
      </w:tr>
      <w:tr>
        <w:trPr>
          <w:trHeight w:val="171"/>
        </w:trPr>
        <w:tc>
          <w:tcPr>
            <w:tcW w:w="8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stockholders’ equity (deficit)</w:t>
            </w:r>
          </w:p>
        </w:tc>
        <w:tc>
          <w:tcPr>
            <w:tcW w:w="9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36,117</w:t>
            </w:r>
          </w:p>
        </w:tc>
        <w:tc>
          <w:tcPr>
            <w:tcW w:w="14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(68,793)</w:t>
            </w:r>
          </w:p>
        </w:tc>
        <w:tc>
          <w:tcPr>
            <w:tcW w:w="0" w:type="dxa"/>
            <w:vAlign w:val="bottom"/>
          </w:tcPr>
          <w:p>
            <w:pPr>
              <w:spacing w:after="0"/>
              <w:rPr>
                <w:sz w:val="1"/>
                <w:szCs w:val="1"/>
                <w:color w:val="auto"/>
              </w:rPr>
            </w:pPr>
          </w:p>
        </w:tc>
      </w:tr>
      <w:tr>
        <w:trPr>
          <w:trHeight w:val="196"/>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convertible preferred stock and stockholders’ equity (deficit)</w:t>
            </w:r>
          </w:p>
        </w:tc>
        <w:tc>
          <w:tcPr>
            <w:tcW w:w="90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73,238</w:t>
            </w:r>
          </w:p>
        </w:tc>
        <w:tc>
          <w:tcPr>
            <w:tcW w:w="1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22,863</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82" w:name="page83"/>
    <w:bookmarkEnd w:id="82"/>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Tempest Therapeutics, Inc.</w:t>
      </w:r>
    </w:p>
    <w:p>
      <w:pPr>
        <w:spacing w:after="0" w:line="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500" w:type="dxa"/>
            <w:vAlign w:val="bottom"/>
          </w:tcPr>
          <w:p>
            <w:pPr>
              <w:spacing w:after="0"/>
              <w:rPr>
                <w:sz w:val="13"/>
                <w:szCs w:val="13"/>
                <w:color w:val="auto"/>
              </w:rPr>
            </w:pPr>
          </w:p>
        </w:tc>
        <w:tc>
          <w:tcPr>
            <w:tcW w:w="2640" w:type="dxa"/>
            <w:vAlign w:val="bottom"/>
            <w:tcBorders>
              <w:bottom w:val="single" w:sz="8" w:color="auto"/>
            </w:tcBorders>
            <w:gridSpan w:val="4"/>
          </w:tcPr>
          <w:p>
            <w:pPr>
              <w:jc w:val="right"/>
              <w:ind w:right="113"/>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5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2021</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2020</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9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20" w:type="dxa"/>
            <w:vAlign w:val="bottom"/>
          </w:tcPr>
          <w:p>
            <w:pPr>
              <w:jc w:val="right"/>
              <w:ind w:right="775"/>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17,166</w:t>
            </w:r>
          </w:p>
        </w:tc>
        <w:tc>
          <w:tcPr>
            <w:tcW w:w="80" w:type="dxa"/>
            <w:vAlign w:val="bottom"/>
          </w:tcPr>
          <w:p>
            <w:pPr>
              <w:spacing w:after="0"/>
              <w:rPr>
                <w:sz w:val="15"/>
                <w:szCs w:val="15"/>
                <w:color w:val="auto"/>
              </w:rPr>
            </w:pPr>
          </w:p>
        </w:tc>
        <w:tc>
          <w:tcPr>
            <w:tcW w:w="980" w:type="dxa"/>
            <w:vAlign w:val="bottom"/>
          </w:tcPr>
          <w:p>
            <w:pPr>
              <w:jc w:val="right"/>
              <w:ind w:right="813"/>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14,389</w:t>
            </w:r>
          </w:p>
        </w:tc>
        <w:tc>
          <w:tcPr>
            <w:tcW w:w="0" w:type="dxa"/>
            <w:vAlign w:val="bottom"/>
          </w:tcPr>
          <w:p>
            <w:pPr>
              <w:spacing w:after="0"/>
              <w:rPr>
                <w:sz w:val="1"/>
                <w:szCs w:val="1"/>
                <w:color w:val="auto"/>
              </w:rPr>
            </w:pPr>
          </w:p>
        </w:tc>
      </w:tr>
      <w:tr>
        <w:trPr>
          <w:trHeight w:val="180"/>
        </w:trPr>
        <w:tc>
          <w:tcPr>
            <w:tcW w:w="7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9,820</w:t>
            </w:r>
          </w:p>
        </w:tc>
        <w:tc>
          <w:tcPr>
            <w:tcW w:w="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4,909</w:t>
            </w:r>
          </w:p>
        </w:tc>
        <w:tc>
          <w:tcPr>
            <w:tcW w:w="0" w:type="dxa"/>
            <w:vAlign w:val="bottom"/>
          </w:tcPr>
          <w:p>
            <w:pPr>
              <w:spacing w:after="0"/>
              <w:rPr>
                <w:sz w:val="1"/>
                <w:szCs w:val="1"/>
                <w:color w:val="auto"/>
              </w:rPr>
            </w:pPr>
          </w:p>
        </w:tc>
      </w:tr>
      <w:tr>
        <w:trPr>
          <w:trHeight w:val="171"/>
        </w:trPr>
        <w:tc>
          <w:tcPr>
            <w:tcW w:w="75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Loss from operations</w:t>
            </w:r>
          </w:p>
        </w:tc>
        <w:tc>
          <w:tcPr>
            <w:tcW w:w="9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(26,986)</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(19,298)</w:t>
            </w:r>
          </w:p>
        </w:tc>
        <w:tc>
          <w:tcPr>
            <w:tcW w:w="0" w:type="dxa"/>
            <w:vAlign w:val="bottom"/>
          </w:tcPr>
          <w:p>
            <w:pPr>
              <w:spacing w:after="0"/>
              <w:rPr>
                <w:sz w:val="1"/>
                <w:szCs w:val="1"/>
                <w:color w:val="auto"/>
              </w:rPr>
            </w:pPr>
          </w:p>
        </w:tc>
      </w:tr>
      <w:tr>
        <w:trPr>
          <w:trHeight w:val="160"/>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(expenses) income, net:</w:t>
            </w:r>
          </w:p>
        </w:tc>
        <w:tc>
          <w:tcPr>
            <w:tcW w:w="9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expense</w:t>
            </w:r>
          </w:p>
        </w:tc>
        <w:tc>
          <w:tcPr>
            <w:tcW w:w="9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(1,282)</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Interest income and other (expense) income, net</w:t>
            </w:r>
          </w:p>
        </w:tc>
        <w:tc>
          <w:tcPr>
            <w:tcW w:w="9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71"/>
        </w:trPr>
        <w:tc>
          <w:tcPr>
            <w:tcW w:w="75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Total other (expenses) income, net</w:t>
            </w:r>
          </w:p>
        </w:tc>
        <w:tc>
          <w:tcPr>
            <w:tcW w:w="9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(1,316)</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71"/>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9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50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(28,302)</w:t>
            </w:r>
          </w:p>
        </w:tc>
        <w:tc>
          <w:tcPr>
            <w:tcW w:w="80" w:type="dxa"/>
            <w:vAlign w:val="bottom"/>
          </w:tcPr>
          <w:p>
            <w:pPr>
              <w:spacing w:after="0"/>
              <w:rPr>
                <w:sz w:val="14"/>
                <w:szCs w:val="14"/>
                <w:color w:val="auto"/>
              </w:rPr>
            </w:pPr>
          </w:p>
        </w:tc>
        <w:tc>
          <w:tcPr>
            <w:tcW w:w="98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(19,208)</w:t>
            </w:r>
          </w:p>
        </w:tc>
        <w:tc>
          <w:tcPr>
            <w:tcW w:w="0" w:type="dxa"/>
            <w:vAlign w:val="bottom"/>
          </w:tcPr>
          <w:p>
            <w:pPr>
              <w:spacing w:after="0"/>
              <w:rPr>
                <w:sz w:val="1"/>
                <w:szCs w:val="1"/>
                <w:color w:val="auto"/>
              </w:rPr>
            </w:pP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per share of common stock, basic and diluted</w:t>
            </w:r>
          </w:p>
        </w:tc>
        <w:tc>
          <w:tcPr>
            <w:tcW w:w="920" w:type="dxa"/>
            <w:vAlign w:val="bottom"/>
            <w:tcBorders>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(41.03)</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Weighted-average shares of common stock outstanding, basic and diluted</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750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3,790,303</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468,161</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40"/>
          </w:cols>
          <w:pgMar w:left="580" w:top="812" w:right="579" w:bottom="1440" w:gutter="0" w:footer="0" w:header="0"/>
        </w:sectPr>
      </w:pPr>
    </w:p>
    <w:bookmarkStart w:id="83" w:name="page84"/>
    <w:bookmarkEnd w:id="83"/>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Tempest Therapeutics, Inc.</w:t>
      </w:r>
    </w:p>
    <w:p>
      <w:pPr>
        <w:spacing w:after="0" w:line="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Consolidated Statements of Convertible Preferred Stock and Stockholders’ Equity (Deficit)</w:t>
      </w:r>
    </w:p>
    <w:p>
      <w:pPr>
        <w:spacing w:after="0" w:line="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000" w:type="dxa"/>
            <w:vAlign w:val="bottom"/>
          </w:tcPr>
          <w:p>
            <w:pPr>
              <w:spacing w:after="0"/>
              <w:rPr>
                <w:sz w:val="10"/>
                <w:szCs w:val="10"/>
                <w:color w:val="auto"/>
              </w:rPr>
            </w:pPr>
          </w:p>
        </w:tc>
        <w:tc>
          <w:tcPr>
            <w:tcW w:w="1540" w:type="dxa"/>
            <w:vAlign w:val="bottom"/>
            <w:gridSpan w:val="5"/>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9"/>
              </w:rPr>
              <w:t>Series A Convertible</w:t>
            </w:r>
          </w:p>
        </w:tc>
        <w:tc>
          <w:tcPr>
            <w:tcW w:w="1460" w:type="dxa"/>
            <w:vAlign w:val="bottom"/>
            <w:gridSpan w:val="5"/>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7"/>
              </w:rPr>
              <w:t>Series B Convertible</w:t>
            </w:r>
          </w:p>
        </w:tc>
        <w:tc>
          <w:tcPr>
            <w:tcW w:w="1420" w:type="dxa"/>
            <w:vAlign w:val="bottom"/>
            <w:gridSpan w:val="5"/>
          </w:tcPr>
          <w:p>
            <w:pPr>
              <w:ind w:left="180"/>
              <w:spacing w:after="0"/>
              <w:rPr>
                <w:sz w:val="20"/>
                <w:szCs w:val="20"/>
                <w:color w:val="auto"/>
              </w:rPr>
            </w:pPr>
            <w:r>
              <w:rPr>
                <w:rFonts w:ascii="Times New Roman" w:cs="Times New Roman" w:eastAsia="Times New Roman" w:hAnsi="Times New Roman"/>
                <w:sz w:val="10"/>
                <w:szCs w:val="10"/>
                <w:b w:val="1"/>
                <w:bCs w:val="1"/>
                <w:color w:val="auto"/>
              </w:rPr>
              <w:t>Series B-1 Convertible</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000" w:type="dxa"/>
            <w:vAlign w:val="bottom"/>
          </w:tcPr>
          <w:p>
            <w:pPr>
              <w:spacing w:after="0"/>
              <w:rPr>
                <w:sz w:val="10"/>
                <w:szCs w:val="10"/>
                <w:color w:val="auto"/>
              </w:rPr>
            </w:pPr>
          </w:p>
        </w:tc>
        <w:tc>
          <w:tcPr>
            <w:tcW w:w="1540" w:type="dxa"/>
            <w:vAlign w:val="bottom"/>
            <w:gridSpan w:val="5"/>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6"/>
              </w:rPr>
              <w:t>Preferred Stock</w:t>
            </w:r>
          </w:p>
        </w:tc>
        <w:tc>
          <w:tcPr>
            <w:tcW w:w="1460" w:type="dxa"/>
            <w:vAlign w:val="bottom"/>
            <w:gridSpan w:val="5"/>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9"/>
              </w:rPr>
              <w:t>Preferred Stock</w:t>
            </w:r>
          </w:p>
        </w:tc>
        <w:tc>
          <w:tcPr>
            <w:tcW w:w="1420" w:type="dxa"/>
            <w:vAlign w:val="bottom"/>
            <w:gridSpan w:val="5"/>
          </w:tcPr>
          <w:p>
            <w:pPr>
              <w:ind w:left="320"/>
              <w:spacing w:after="0"/>
              <w:rPr>
                <w:sz w:val="20"/>
                <w:szCs w:val="20"/>
                <w:color w:val="auto"/>
              </w:rPr>
            </w:pPr>
            <w:r>
              <w:rPr>
                <w:rFonts w:ascii="Times New Roman" w:cs="Times New Roman" w:eastAsia="Times New Roman" w:hAnsi="Times New Roman"/>
                <w:sz w:val="10"/>
                <w:szCs w:val="10"/>
                <w:b w:val="1"/>
                <w:bCs w:val="1"/>
                <w:color w:val="auto"/>
              </w:rPr>
              <w:t>Preferred Stock</w:t>
            </w:r>
          </w:p>
        </w:tc>
        <w:tc>
          <w:tcPr>
            <w:tcW w:w="1200" w:type="dxa"/>
            <w:vAlign w:val="bottom"/>
            <w:gridSpan w:val="5"/>
          </w:tcPr>
          <w:p>
            <w:pPr>
              <w:ind w:left="22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80" w:type="dxa"/>
            <w:vAlign w:val="bottom"/>
          </w:tcPr>
          <w:p>
            <w:pPr>
              <w:spacing w:after="0"/>
              <w:rPr>
                <w:sz w:val="10"/>
                <w:szCs w:val="10"/>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6"/>
              </w:rPr>
              <w:t>Additional</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vMerge w:val="restart"/>
          </w:tcPr>
          <w:p>
            <w:pPr>
              <w:jc w:val="center"/>
              <w:ind w:right="180"/>
              <w:spacing w:after="0" w:line="96" w:lineRule="exact"/>
              <w:rPr>
                <w:sz w:val="20"/>
                <w:szCs w:val="20"/>
                <w:color w:val="auto"/>
              </w:rPr>
            </w:pPr>
            <w:r>
              <w:rPr>
                <w:rFonts w:ascii="Times New Roman" w:cs="Times New Roman" w:eastAsia="Times New Roman" w:hAnsi="Times New Roman"/>
                <w:sz w:val="10"/>
                <w:szCs w:val="10"/>
                <w:b w:val="1"/>
                <w:bCs w:val="1"/>
                <w:color w:val="auto"/>
                <w:w w:val="92"/>
              </w:rPr>
              <w:t>Paid-In</w:t>
            </w:r>
          </w:p>
        </w:tc>
        <w:tc>
          <w:tcPr>
            <w:tcW w:w="100" w:type="dxa"/>
            <w:vAlign w:val="bottom"/>
          </w:tcPr>
          <w:p>
            <w:pPr>
              <w:spacing w:after="0" w:line="20" w:lineRule="exact"/>
              <w:rPr>
                <w:sz w:val="1"/>
                <w:szCs w:val="1"/>
                <w:color w:val="auto"/>
              </w:rPr>
            </w:pPr>
          </w:p>
        </w:tc>
        <w:tc>
          <w:tcPr>
            <w:tcW w:w="800" w:type="dxa"/>
            <w:vAlign w:val="bottom"/>
            <w:gridSpan w:val="2"/>
            <w:vMerge w:val="restart"/>
          </w:tcPr>
          <w:p>
            <w:pPr>
              <w:ind w:left="160"/>
              <w:spacing w:after="0" w:line="96" w:lineRule="exact"/>
              <w:rPr>
                <w:sz w:val="20"/>
                <w:szCs w:val="20"/>
                <w:color w:val="auto"/>
              </w:rPr>
            </w:pPr>
            <w:r>
              <w:rPr>
                <w:rFonts w:ascii="Times New Roman" w:cs="Times New Roman" w:eastAsia="Times New Roman" w:hAnsi="Times New Roman"/>
                <w:sz w:val="10"/>
                <w:szCs w:val="10"/>
                <w:b w:val="1"/>
                <w:bCs w:val="1"/>
                <w:color w:val="auto"/>
              </w:rPr>
              <w:t>Deficit</w:t>
            </w:r>
          </w:p>
        </w:tc>
        <w:tc>
          <w:tcPr>
            <w:tcW w:w="60" w:type="dxa"/>
            <w:vAlign w:val="bottom"/>
          </w:tcPr>
          <w:p>
            <w:pPr>
              <w:spacing w:after="0" w:line="20" w:lineRule="exact"/>
              <w:rPr>
                <w:sz w:val="1"/>
                <w:szCs w:val="1"/>
                <w:color w:val="auto"/>
              </w:rPr>
            </w:pPr>
          </w:p>
        </w:tc>
        <w:tc>
          <w:tcPr>
            <w:tcW w:w="940" w:type="dxa"/>
            <w:vAlign w:val="bottom"/>
            <w:vMerge w:val="restart"/>
          </w:tcPr>
          <w:p>
            <w:pPr>
              <w:jc w:val="right"/>
              <w:ind w:right="71"/>
              <w:spacing w:after="0" w:line="96" w:lineRule="exact"/>
              <w:rPr>
                <w:sz w:val="20"/>
                <w:szCs w:val="20"/>
                <w:color w:val="auto"/>
              </w:rPr>
            </w:pPr>
            <w:r>
              <w:rPr>
                <w:rFonts w:ascii="Times New Roman" w:cs="Times New Roman" w:eastAsia="Times New Roman" w:hAnsi="Times New Roman"/>
                <w:sz w:val="10"/>
                <w:szCs w:val="10"/>
                <w:b w:val="1"/>
                <w:bCs w:val="1"/>
                <w:color w:val="auto"/>
                <w:w w:val="95"/>
              </w:rPr>
              <w:t>Total Stockholders'</w:t>
            </w:r>
          </w:p>
        </w:tc>
        <w:tc>
          <w:tcPr>
            <w:tcW w:w="0" w:type="dxa"/>
            <w:vAlign w:val="bottom"/>
          </w:tcPr>
          <w:p>
            <w:pPr>
              <w:spacing w:after="0"/>
              <w:rPr>
                <w:sz w:val="1"/>
                <w:szCs w:val="1"/>
                <w:color w:val="auto"/>
              </w:rPr>
            </w:pPr>
          </w:p>
        </w:tc>
      </w:tr>
      <w:tr>
        <w:trPr>
          <w:trHeight w:val="54"/>
        </w:trPr>
        <w:tc>
          <w:tcPr>
            <w:tcW w:w="3000" w:type="dxa"/>
            <w:vAlign w:val="bottom"/>
          </w:tcPr>
          <w:p>
            <w:pPr>
              <w:spacing w:after="0"/>
              <w:rPr>
                <w:sz w:val="4"/>
                <w:szCs w:val="4"/>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00" w:type="dxa"/>
            <w:vAlign w:val="bottom"/>
          </w:tcPr>
          <w:p>
            <w:pPr>
              <w:spacing w:after="0"/>
              <w:rPr>
                <w:sz w:val="4"/>
                <w:szCs w:val="4"/>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Pr>
          <w:p>
            <w:pPr>
              <w:spacing w:after="0"/>
              <w:rPr>
                <w:sz w:val="4"/>
                <w:szCs w:val="4"/>
                <w:color w:val="auto"/>
              </w:rPr>
            </w:pP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7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Pr>
          <w:p>
            <w:pPr>
              <w:spacing w:after="0"/>
              <w:rPr>
                <w:sz w:val="4"/>
                <w:szCs w:val="4"/>
                <w:color w:val="auto"/>
              </w:rPr>
            </w:pP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6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Pr>
          <w:p>
            <w:pPr>
              <w:spacing w:after="0"/>
              <w:rPr>
                <w:sz w:val="4"/>
                <w:szCs w:val="4"/>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8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30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4"/>
              </w:rPr>
              <w:t>Capital</w:t>
            </w:r>
          </w:p>
        </w:tc>
        <w:tc>
          <w:tcPr>
            <w:tcW w:w="100" w:type="dxa"/>
            <w:vAlign w:val="bottom"/>
          </w:tcPr>
          <w:p>
            <w:pPr>
              <w:spacing w:after="0"/>
              <w:rPr>
                <w:sz w:val="11"/>
                <w:szCs w:val="11"/>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60" w:type="dxa"/>
            <w:vAlign w:val="bottom"/>
          </w:tcPr>
          <w:p>
            <w:pPr>
              <w:spacing w:after="0"/>
              <w:rPr>
                <w:sz w:val="11"/>
                <w:szCs w:val="11"/>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rPr>
              <w:t>Equity (Deficit)</w:t>
            </w:r>
          </w:p>
        </w:tc>
        <w:tc>
          <w:tcPr>
            <w:tcW w:w="0" w:type="dxa"/>
            <w:vAlign w:val="bottom"/>
          </w:tcPr>
          <w:p>
            <w:pPr>
              <w:spacing w:after="0"/>
              <w:rPr>
                <w:sz w:val="1"/>
                <w:szCs w:val="1"/>
                <w:color w:val="auto"/>
              </w:rPr>
            </w:pPr>
          </w:p>
        </w:tc>
      </w:tr>
      <w:tr>
        <w:trPr>
          <w:trHeight w:val="144"/>
        </w:trPr>
        <w:tc>
          <w:tcPr>
            <w:tcW w:w="3000" w:type="dxa"/>
            <w:vAlign w:val="bottom"/>
          </w:tcPr>
          <w:p>
            <w:pPr>
              <w:spacing w:after="0"/>
              <w:rPr>
                <w:sz w:val="20"/>
                <w:szCs w:val="20"/>
                <w:color w:val="auto"/>
              </w:rPr>
            </w:pPr>
            <w:r>
              <w:rPr>
                <w:rFonts w:ascii="Times New Roman" w:cs="Times New Roman" w:eastAsia="Times New Roman" w:hAnsi="Times New Roman"/>
                <w:sz w:val="10"/>
                <w:szCs w:val="10"/>
                <w:color w:val="auto"/>
              </w:rPr>
              <w:t>BALANCE — January 1, 2020</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17,000,000</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16,982</w:t>
            </w:r>
          </w:p>
        </w:tc>
        <w:tc>
          <w:tcPr>
            <w:tcW w:w="80" w:type="dxa"/>
            <w:vAlign w:val="bottom"/>
          </w:tcPr>
          <w:p>
            <w:pPr>
              <w:spacing w:after="0"/>
              <w:rPr>
                <w:sz w:val="12"/>
                <w:szCs w:val="12"/>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25,186,738</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12,235</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28,749,997</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22,755</w:t>
            </w:r>
          </w:p>
        </w:tc>
        <w:tc>
          <w:tcPr>
            <w:tcW w:w="100" w:type="dxa"/>
            <w:vAlign w:val="bottom"/>
          </w:tcPr>
          <w:p>
            <w:pPr>
              <w:spacing w:after="0"/>
              <w:rPr>
                <w:sz w:val="12"/>
                <w:szCs w:val="12"/>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410,429</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2,188</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(52,553)</w:t>
            </w:r>
          </w:p>
        </w:tc>
        <w:tc>
          <w:tcPr>
            <w:tcW w:w="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(50,364)</w:t>
            </w:r>
          </w:p>
        </w:tc>
        <w:tc>
          <w:tcPr>
            <w:tcW w:w="0" w:type="dxa"/>
            <w:vAlign w:val="bottom"/>
          </w:tcPr>
          <w:p>
            <w:pPr>
              <w:spacing w:after="0"/>
              <w:rPr>
                <w:sz w:val="1"/>
                <w:szCs w:val="1"/>
                <w:color w:val="auto"/>
              </w:rPr>
            </w:pPr>
          </w:p>
        </w:tc>
      </w:tr>
      <w:tr>
        <w:trPr>
          <w:trHeight w:val="138"/>
        </w:trPr>
        <w:tc>
          <w:tcPr>
            <w:tcW w:w="3000" w:type="dxa"/>
            <w:vAlign w:val="bottom"/>
          </w:tcPr>
          <w:p>
            <w:pPr>
              <w:spacing w:after="0"/>
              <w:rPr>
                <w:sz w:val="20"/>
                <w:szCs w:val="20"/>
                <w:color w:val="auto"/>
              </w:rPr>
            </w:pPr>
            <w:r>
              <w:rPr>
                <w:rFonts w:ascii="Times New Roman" w:cs="Times New Roman" w:eastAsia="Times New Roman" w:hAnsi="Times New Roman"/>
                <w:sz w:val="10"/>
                <w:szCs w:val="10"/>
                <w:color w:val="auto"/>
              </w:rPr>
              <w:t>Exercise of stock options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14,406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68</w:t>
            </w:r>
          </w:p>
        </w:tc>
        <w:tc>
          <w:tcPr>
            <w:tcW w:w="0" w:type="dxa"/>
            <w:vAlign w:val="bottom"/>
          </w:tcPr>
          <w:p>
            <w:pPr>
              <w:spacing w:after="0"/>
              <w:rPr>
                <w:sz w:val="1"/>
                <w:szCs w:val="1"/>
                <w:color w:val="auto"/>
              </w:rPr>
            </w:pPr>
          </w:p>
        </w:tc>
      </w:tr>
      <w:tr>
        <w:trPr>
          <w:trHeight w:val="138"/>
        </w:trPr>
        <w:tc>
          <w:tcPr>
            <w:tcW w:w="3000" w:type="dxa"/>
            <w:vAlign w:val="bottom"/>
          </w:tcPr>
          <w:p>
            <w:pPr>
              <w:spacing w:after="0"/>
              <w:rPr>
                <w:sz w:val="20"/>
                <w:szCs w:val="20"/>
                <w:color w:val="auto"/>
              </w:rPr>
            </w:pPr>
            <w:r>
              <w:rPr>
                <w:rFonts w:ascii="Times New Roman" w:cs="Times New Roman" w:eastAsia="Times New Roman" w:hAnsi="Times New Roman"/>
                <w:sz w:val="10"/>
                <w:szCs w:val="10"/>
                <w:color w:val="auto"/>
              </w:rPr>
              <w:t>Issuance of preferred stock for cash—net of issuance costs of $265</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43,749,996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34,735</w:t>
            </w:r>
          </w:p>
        </w:tc>
        <w:tc>
          <w:tcPr>
            <w:tcW w:w="10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8"/>
        </w:trPr>
        <w:tc>
          <w:tcPr>
            <w:tcW w:w="3000" w:type="dxa"/>
            <w:vAlign w:val="bottom"/>
          </w:tcPr>
          <w:p>
            <w:pPr>
              <w:spacing w:after="0"/>
              <w:rPr>
                <w:sz w:val="20"/>
                <w:szCs w:val="20"/>
                <w:color w:val="auto"/>
              </w:rPr>
            </w:pPr>
            <w:r>
              <w:rPr>
                <w:rFonts w:ascii="Times New Roman" w:cs="Times New Roman" w:eastAsia="Times New Roman" w:hAnsi="Times New Roman"/>
                <w:sz w:val="10"/>
                <w:szCs w:val="10"/>
                <w:color w:val="auto"/>
              </w:rPr>
              <w:t>Vesting of early exercised stock options and restricted stock</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73,434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258</w:t>
            </w:r>
          </w:p>
        </w:tc>
        <w:tc>
          <w:tcPr>
            <w:tcW w:w="0" w:type="dxa"/>
            <w:vAlign w:val="bottom"/>
          </w:tcPr>
          <w:p>
            <w:pPr>
              <w:spacing w:after="0"/>
              <w:rPr>
                <w:sz w:val="1"/>
                <w:szCs w:val="1"/>
                <w:color w:val="auto"/>
              </w:rPr>
            </w:pPr>
          </w:p>
        </w:tc>
      </w:tr>
      <w:tr>
        <w:trPr>
          <w:trHeight w:val="138"/>
        </w:trPr>
        <w:tc>
          <w:tcPr>
            <w:tcW w:w="3000" w:type="dxa"/>
            <w:vAlign w:val="bottom"/>
          </w:tcPr>
          <w:p>
            <w:pPr>
              <w:spacing w:after="0"/>
              <w:rPr>
                <w:sz w:val="20"/>
                <w:szCs w:val="20"/>
                <w:color w:val="auto"/>
              </w:rPr>
            </w:pPr>
            <w:r>
              <w:rPr>
                <w:rFonts w:ascii="Times New Roman" w:cs="Times New Roman" w:eastAsia="Times New Roman" w:hAnsi="Times New Roman"/>
                <w:sz w:val="10"/>
                <w:szCs w:val="10"/>
                <w:color w:val="auto"/>
              </w:rPr>
              <w:t>Share-based compensation</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453</w:t>
            </w:r>
          </w:p>
        </w:tc>
        <w:tc>
          <w:tcPr>
            <w:tcW w:w="0" w:type="dxa"/>
            <w:vAlign w:val="bottom"/>
          </w:tcPr>
          <w:p>
            <w:pPr>
              <w:spacing w:after="0"/>
              <w:rPr>
                <w:sz w:val="1"/>
                <w:szCs w:val="1"/>
                <w:color w:val="auto"/>
              </w:rPr>
            </w:pPr>
          </w:p>
        </w:tc>
      </w:tr>
      <w:tr>
        <w:trPr>
          <w:trHeight w:val="141"/>
        </w:trPr>
        <w:tc>
          <w:tcPr>
            <w:tcW w:w="3000" w:type="dxa"/>
            <w:vAlign w:val="bottom"/>
          </w:tcPr>
          <w:p>
            <w:pPr>
              <w:spacing w:after="0"/>
              <w:rPr>
                <w:sz w:val="20"/>
                <w:szCs w:val="20"/>
                <w:color w:val="auto"/>
              </w:rPr>
            </w:pPr>
            <w:r>
              <w:rPr>
                <w:rFonts w:ascii="Times New Roman" w:cs="Times New Roman" w:eastAsia="Times New Roman" w:hAnsi="Times New Roman"/>
                <w:sz w:val="10"/>
                <w:szCs w:val="10"/>
                <w:color w:val="auto"/>
              </w:rPr>
              <w:t>Net loss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(19,208)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(19,208)</w:t>
            </w:r>
          </w:p>
        </w:tc>
        <w:tc>
          <w:tcPr>
            <w:tcW w:w="0" w:type="dxa"/>
            <w:vAlign w:val="bottom"/>
          </w:tcPr>
          <w:p>
            <w:pPr>
              <w:spacing w:after="0"/>
              <w:rPr>
                <w:sz w:val="1"/>
                <w:szCs w:val="1"/>
                <w:color w:val="auto"/>
              </w:rPr>
            </w:pPr>
          </w:p>
        </w:tc>
      </w:tr>
      <w:tr>
        <w:trPr>
          <w:trHeight w:val="128"/>
        </w:trPr>
        <w:tc>
          <w:tcPr>
            <w:tcW w:w="3000" w:type="dxa"/>
            <w:vAlign w:val="bottom"/>
          </w:tcPr>
          <w:p>
            <w:pPr>
              <w:spacing w:after="0"/>
              <w:rPr>
                <w:sz w:val="20"/>
                <w:szCs w:val="20"/>
                <w:color w:val="auto"/>
              </w:rPr>
            </w:pPr>
            <w:r>
              <w:rPr>
                <w:rFonts w:ascii="Times New Roman" w:cs="Times New Roman" w:eastAsia="Times New Roman" w:hAnsi="Times New Roman"/>
                <w:sz w:val="10"/>
                <w:szCs w:val="10"/>
                <w:color w:val="auto"/>
              </w:rPr>
              <w:t>BALANCE — December 31, 2020</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17,000,000</w:t>
            </w:r>
          </w:p>
        </w:tc>
        <w:tc>
          <w:tcPr>
            <w:tcW w:w="10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16,982</w:t>
            </w:r>
          </w:p>
        </w:tc>
        <w:tc>
          <w:tcPr>
            <w:tcW w:w="80" w:type="dxa"/>
            <w:vAlign w:val="bottom"/>
          </w:tcPr>
          <w:p>
            <w:pPr>
              <w:spacing w:after="0"/>
              <w:rPr>
                <w:sz w:val="11"/>
                <w:szCs w:val="11"/>
                <w:color w:val="auto"/>
              </w:rPr>
            </w:pPr>
          </w:p>
        </w:tc>
        <w:tc>
          <w:tcPr>
            <w:tcW w:w="6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25,186,738</w:t>
            </w:r>
          </w:p>
        </w:tc>
        <w:tc>
          <w:tcPr>
            <w:tcW w:w="10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12,235</w:t>
            </w:r>
          </w:p>
        </w:tc>
        <w:tc>
          <w:tcPr>
            <w:tcW w:w="100" w:type="dxa"/>
            <w:vAlign w:val="bottom"/>
          </w:tcPr>
          <w:p>
            <w:pPr>
              <w:spacing w:after="0"/>
              <w:rPr>
                <w:sz w:val="11"/>
                <w:szCs w:val="11"/>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72,499,993</w:t>
            </w:r>
          </w:p>
        </w:tc>
        <w:tc>
          <w:tcPr>
            <w:tcW w:w="10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57,490</w:t>
            </w:r>
          </w:p>
        </w:tc>
        <w:tc>
          <w:tcPr>
            <w:tcW w:w="100" w:type="dxa"/>
            <w:vAlign w:val="bottom"/>
          </w:tcPr>
          <w:p>
            <w:pPr>
              <w:spacing w:after="0"/>
              <w:rPr>
                <w:sz w:val="11"/>
                <w:szCs w:val="11"/>
                <w:color w:val="auto"/>
              </w:rPr>
            </w:pPr>
          </w:p>
        </w:tc>
        <w:tc>
          <w:tcPr>
            <w:tcW w:w="5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498,269</w:t>
            </w:r>
          </w:p>
        </w:tc>
        <w:tc>
          <w:tcPr>
            <w:tcW w:w="8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2,967</w:t>
            </w:r>
          </w:p>
        </w:tc>
        <w:tc>
          <w:tcPr>
            <w:tcW w:w="10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(71,761)</w:t>
            </w:r>
          </w:p>
        </w:tc>
        <w:tc>
          <w:tcPr>
            <w:tcW w:w="8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(68,793)</w:t>
            </w: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Times New Roman" w:cs="Times New Roman" w:eastAsia="Times New Roman" w:hAnsi="Times New Roman"/>
                <w:sz w:val="10"/>
                <w:szCs w:val="10"/>
                <w:color w:val="auto"/>
              </w:rPr>
              <w:t>Exercise of stock options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33,127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139</w:t>
            </w:r>
          </w:p>
        </w:tc>
        <w:tc>
          <w:tcPr>
            <w:tcW w:w="0" w:type="dxa"/>
            <w:vAlign w:val="bottom"/>
          </w:tcPr>
          <w:p>
            <w:pPr>
              <w:spacing w:after="0"/>
              <w:rPr>
                <w:sz w:val="1"/>
                <w:szCs w:val="1"/>
                <w:color w:val="auto"/>
              </w:rPr>
            </w:pPr>
          </w:p>
        </w:tc>
      </w:tr>
      <w:tr>
        <w:trPr>
          <w:trHeight w:val="138"/>
        </w:trPr>
        <w:tc>
          <w:tcPr>
            <w:tcW w:w="3000" w:type="dxa"/>
            <w:vAlign w:val="bottom"/>
          </w:tcPr>
          <w:p>
            <w:pPr>
              <w:spacing w:after="0"/>
              <w:rPr>
                <w:sz w:val="20"/>
                <w:szCs w:val="20"/>
                <w:color w:val="auto"/>
              </w:rPr>
            </w:pPr>
            <w:r>
              <w:rPr>
                <w:rFonts w:ascii="Times New Roman" w:cs="Times New Roman" w:eastAsia="Times New Roman" w:hAnsi="Times New Roman"/>
                <w:sz w:val="10"/>
                <w:szCs w:val="10"/>
                <w:color w:val="auto"/>
              </w:rPr>
              <w:t>Vesting of early exercised stock options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28,196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133</w:t>
            </w:r>
          </w:p>
        </w:tc>
        <w:tc>
          <w:tcPr>
            <w:tcW w:w="0" w:type="dxa"/>
            <w:vAlign w:val="bottom"/>
          </w:tcPr>
          <w:p>
            <w:pPr>
              <w:spacing w:after="0"/>
              <w:rPr>
                <w:sz w:val="1"/>
                <w:szCs w:val="1"/>
                <w:color w:val="auto"/>
              </w:rPr>
            </w:pPr>
          </w:p>
        </w:tc>
      </w:tr>
      <w:tr>
        <w:trPr>
          <w:trHeight w:val="138"/>
        </w:trPr>
        <w:tc>
          <w:tcPr>
            <w:tcW w:w="3000" w:type="dxa"/>
            <w:vAlign w:val="bottom"/>
          </w:tcPr>
          <w:p>
            <w:pPr>
              <w:spacing w:after="0"/>
              <w:rPr>
                <w:sz w:val="20"/>
                <w:szCs w:val="20"/>
                <w:color w:val="auto"/>
              </w:rPr>
            </w:pPr>
            <w:r>
              <w:rPr>
                <w:rFonts w:ascii="Times New Roman" w:cs="Times New Roman" w:eastAsia="Times New Roman" w:hAnsi="Times New Roman"/>
                <w:sz w:val="10"/>
                <w:szCs w:val="10"/>
                <w:color w:val="auto"/>
              </w:rPr>
              <w:t>Conversion of preferred stock to common stock</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(17,000,000)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(16,982)</w:t>
            </w: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(25,186,738)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(12,235)</w:t>
            </w: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(72,499,993)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(57,490)</w:t>
            </w:r>
          </w:p>
        </w:tc>
        <w:tc>
          <w:tcPr>
            <w:tcW w:w="100" w:type="dxa"/>
            <w:vAlign w:val="bottom"/>
          </w:tcPr>
          <w:p>
            <w:pPr>
              <w:spacing w:after="0"/>
              <w:rPr>
                <w:sz w:val="11"/>
                <w:szCs w:val="11"/>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3,692,912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86,703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86,707</w:t>
            </w:r>
          </w:p>
        </w:tc>
        <w:tc>
          <w:tcPr>
            <w:tcW w:w="0" w:type="dxa"/>
            <w:vAlign w:val="bottom"/>
          </w:tcPr>
          <w:p>
            <w:pPr>
              <w:spacing w:after="0"/>
              <w:rPr>
                <w:sz w:val="1"/>
                <w:szCs w:val="1"/>
                <w:color w:val="auto"/>
              </w:rPr>
            </w:pPr>
          </w:p>
        </w:tc>
      </w:tr>
      <w:tr>
        <w:trPr>
          <w:trHeight w:val="138"/>
        </w:trPr>
        <w:tc>
          <w:tcPr>
            <w:tcW w:w="3000" w:type="dxa"/>
            <w:vAlign w:val="bottom"/>
          </w:tcPr>
          <w:p>
            <w:pPr>
              <w:spacing w:after="0"/>
              <w:rPr>
                <w:sz w:val="20"/>
                <w:szCs w:val="20"/>
                <w:color w:val="auto"/>
              </w:rPr>
            </w:pPr>
            <w:r>
              <w:rPr>
                <w:rFonts w:ascii="Times New Roman" w:cs="Times New Roman" w:eastAsia="Times New Roman" w:hAnsi="Times New Roman"/>
                <w:sz w:val="10"/>
                <w:szCs w:val="10"/>
                <w:color w:val="auto"/>
              </w:rPr>
              <w:t>Issuance of common stock for cash, net of issuance cost of $446</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1,388,374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33,473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33,474</w:t>
            </w:r>
          </w:p>
        </w:tc>
        <w:tc>
          <w:tcPr>
            <w:tcW w:w="0" w:type="dxa"/>
            <w:vAlign w:val="bottom"/>
          </w:tcPr>
          <w:p>
            <w:pPr>
              <w:spacing w:after="0"/>
              <w:rPr>
                <w:sz w:val="1"/>
                <w:szCs w:val="1"/>
                <w:color w:val="auto"/>
              </w:rPr>
            </w:pPr>
          </w:p>
        </w:tc>
      </w:tr>
      <w:tr>
        <w:trPr>
          <w:trHeight w:val="138"/>
        </w:trPr>
        <w:tc>
          <w:tcPr>
            <w:tcW w:w="3000" w:type="dxa"/>
            <w:vAlign w:val="bottom"/>
          </w:tcPr>
          <w:p>
            <w:pPr>
              <w:spacing w:after="0"/>
              <w:rPr>
                <w:sz w:val="20"/>
                <w:szCs w:val="20"/>
                <w:color w:val="auto"/>
              </w:rPr>
            </w:pPr>
            <w:r>
              <w:rPr>
                <w:rFonts w:ascii="Times New Roman" w:cs="Times New Roman" w:eastAsia="Times New Roman" w:hAnsi="Times New Roman"/>
                <w:sz w:val="10"/>
                <w:szCs w:val="10"/>
                <w:color w:val="auto"/>
              </w:rPr>
              <w:t>Share-based compensation</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1,105</w:t>
            </w:r>
          </w:p>
        </w:tc>
        <w:tc>
          <w:tcPr>
            <w:tcW w:w="0" w:type="dxa"/>
            <w:vAlign w:val="bottom"/>
          </w:tcPr>
          <w:p>
            <w:pPr>
              <w:spacing w:after="0"/>
              <w:rPr>
                <w:sz w:val="1"/>
                <w:szCs w:val="1"/>
                <w:color w:val="auto"/>
              </w:rPr>
            </w:pPr>
          </w:p>
        </w:tc>
      </w:tr>
      <w:tr>
        <w:trPr>
          <w:trHeight w:val="138"/>
        </w:trPr>
        <w:tc>
          <w:tcPr>
            <w:tcW w:w="3000" w:type="dxa"/>
            <w:vAlign w:val="bottom"/>
          </w:tcPr>
          <w:p>
            <w:pPr>
              <w:spacing w:after="0"/>
              <w:rPr>
                <w:sz w:val="20"/>
                <w:szCs w:val="20"/>
                <w:color w:val="auto"/>
              </w:rPr>
            </w:pPr>
            <w:r>
              <w:rPr>
                <w:rFonts w:ascii="Times New Roman" w:cs="Times New Roman" w:eastAsia="Times New Roman" w:hAnsi="Times New Roman"/>
                <w:sz w:val="10"/>
                <w:szCs w:val="10"/>
                <w:color w:val="auto"/>
              </w:rPr>
              <w:t>Reverse recapitalization transaction costs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(6,420)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(6,420)</w:t>
            </w:r>
          </w:p>
        </w:tc>
        <w:tc>
          <w:tcPr>
            <w:tcW w:w="0" w:type="dxa"/>
            <w:vAlign w:val="bottom"/>
          </w:tcPr>
          <w:p>
            <w:pPr>
              <w:spacing w:after="0"/>
              <w:rPr>
                <w:sz w:val="1"/>
                <w:szCs w:val="1"/>
                <w:color w:val="auto"/>
              </w:rPr>
            </w:pPr>
          </w:p>
        </w:tc>
      </w:tr>
      <w:tr>
        <w:trPr>
          <w:trHeight w:val="138"/>
        </w:trPr>
        <w:tc>
          <w:tcPr>
            <w:tcW w:w="3000" w:type="dxa"/>
            <w:vAlign w:val="bottom"/>
          </w:tcPr>
          <w:p>
            <w:pPr>
              <w:spacing w:after="0"/>
              <w:rPr>
                <w:sz w:val="20"/>
                <w:szCs w:val="20"/>
                <w:color w:val="auto"/>
              </w:rPr>
            </w:pPr>
            <w:r>
              <w:rPr>
                <w:rFonts w:ascii="Times New Roman" w:cs="Times New Roman" w:eastAsia="Times New Roman" w:hAnsi="Times New Roman"/>
                <w:sz w:val="10"/>
                <w:szCs w:val="10"/>
                <w:color w:val="auto"/>
              </w:rPr>
              <w:t>Issuance of common stock to Millendo shareholders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1,269,446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18,000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18,001</w:t>
            </w:r>
          </w:p>
        </w:tc>
        <w:tc>
          <w:tcPr>
            <w:tcW w:w="0" w:type="dxa"/>
            <w:vAlign w:val="bottom"/>
          </w:tcPr>
          <w:p>
            <w:pPr>
              <w:spacing w:after="0"/>
              <w:rPr>
                <w:sz w:val="1"/>
                <w:szCs w:val="1"/>
                <w:color w:val="auto"/>
              </w:rPr>
            </w:pPr>
          </w:p>
        </w:tc>
      </w:tr>
      <w:tr>
        <w:trPr>
          <w:trHeight w:val="138"/>
        </w:trPr>
        <w:tc>
          <w:tcPr>
            <w:tcW w:w="3000" w:type="dxa"/>
            <w:vAlign w:val="bottom"/>
          </w:tcPr>
          <w:p>
            <w:pPr>
              <w:spacing w:after="0"/>
              <w:rPr>
                <w:sz w:val="20"/>
                <w:szCs w:val="20"/>
                <w:color w:val="auto"/>
              </w:rPr>
            </w:pPr>
            <w:r>
              <w:rPr>
                <w:rFonts w:ascii="Times New Roman" w:cs="Times New Roman" w:eastAsia="Times New Roman" w:hAnsi="Times New Roman"/>
                <w:sz w:val="10"/>
                <w:szCs w:val="10"/>
                <w:color w:val="auto"/>
              </w:rPr>
              <w:t>Issuance of common stock warrants</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73</w:t>
            </w:r>
          </w:p>
        </w:tc>
        <w:tc>
          <w:tcPr>
            <w:tcW w:w="0" w:type="dxa"/>
            <w:vAlign w:val="bottom"/>
          </w:tcPr>
          <w:p>
            <w:pPr>
              <w:spacing w:after="0"/>
              <w:rPr>
                <w:sz w:val="1"/>
                <w:szCs w:val="1"/>
                <w:color w:val="auto"/>
              </w:rPr>
            </w:pPr>
          </w:p>
        </w:tc>
      </w:tr>
      <w:tr>
        <w:trPr>
          <w:trHeight w:val="144"/>
        </w:trPr>
        <w:tc>
          <w:tcPr>
            <w:tcW w:w="3000" w:type="dxa"/>
            <w:vAlign w:val="bottom"/>
          </w:tcPr>
          <w:p>
            <w:pPr>
              <w:spacing w:after="0"/>
              <w:rPr>
                <w:sz w:val="20"/>
                <w:szCs w:val="20"/>
                <w:color w:val="auto"/>
              </w:rPr>
            </w:pPr>
            <w:r>
              <w:rPr>
                <w:rFonts w:ascii="Times New Roman" w:cs="Times New Roman" w:eastAsia="Times New Roman" w:hAnsi="Times New Roman"/>
                <w:sz w:val="10"/>
                <w:szCs w:val="10"/>
                <w:color w:val="auto"/>
              </w:rPr>
              <w:t>Net loss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(28,302)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(28,302)</w:t>
            </w: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Times New Roman" w:cs="Times New Roman" w:eastAsia="Times New Roman" w:hAnsi="Times New Roman"/>
                <w:sz w:val="10"/>
                <w:szCs w:val="10"/>
                <w:color w:val="auto"/>
              </w:rPr>
              <w:t>BALANCE — December 31, 2021</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6,910,324</w:t>
            </w: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7</w:t>
            </w: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136,173</w:t>
            </w: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(100,063)</w:t>
            </w:r>
          </w:p>
        </w:tc>
        <w:tc>
          <w:tcPr>
            <w:tcW w:w="8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top w:val="single" w:sz="8" w:color="auto"/>
              <w:bottom w:val="single" w:sz="8" w:color="auto"/>
              <w:right w:val="single" w:sz="8" w:color="D9D9D9"/>
            </w:tcBorders>
          </w:tcPr>
          <w:p>
            <w:pPr>
              <w:jc w:val="right"/>
              <w:ind w:right="11"/>
              <w:spacing w:after="0"/>
              <w:rPr>
                <w:sz w:val="20"/>
                <w:szCs w:val="20"/>
                <w:color w:val="auto"/>
              </w:rPr>
            </w:pPr>
            <w:r>
              <w:rPr>
                <w:rFonts w:ascii="Times New Roman" w:cs="Times New Roman" w:eastAsia="Times New Roman" w:hAnsi="Times New Roman"/>
                <w:sz w:val="10"/>
                <w:szCs w:val="10"/>
                <w:color w:val="auto"/>
              </w:rPr>
              <w:t>36,117</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20" w:top="812" w:right="299" w:bottom="1440" w:gutter="0" w:footer="0" w:header="0"/>
        </w:sectPr>
      </w:pPr>
    </w:p>
    <w:bookmarkStart w:id="84" w:name="page85"/>
    <w:bookmarkEnd w:id="84"/>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Tempest Therapeutics, Inc.</w:t>
      </w:r>
    </w:p>
    <w:p>
      <w:pPr>
        <w:spacing w:after="0" w:line="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0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gridSpan w:val="4"/>
          </w:tcPr>
          <w:p>
            <w:pPr>
              <w:jc w:val="right"/>
              <w:ind w:right="229"/>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7060" w:type="dxa"/>
            <w:vAlign w:val="bottom"/>
          </w:tcPr>
          <w:p>
            <w:pPr>
              <w:spacing w:after="0"/>
              <w:rPr>
                <w:sz w:val="12"/>
                <w:szCs w:val="12"/>
                <w:color w:val="auto"/>
              </w:rPr>
            </w:pPr>
          </w:p>
        </w:tc>
        <w:tc>
          <w:tcPr>
            <w:tcW w:w="1080" w:type="dxa"/>
            <w:vAlign w:val="bottom"/>
            <w:gridSpan w:val="2"/>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2021</w:t>
            </w:r>
          </w:p>
        </w:tc>
        <w:tc>
          <w:tcPr>
            <w:tcW w:w="600" w:type="dxa"/>
            <w:vAlign w:val="bottom"/>
          </w:tcPr>
          <w:p>
            <w:pPr>
              <w:spacing w:after="0"/>
              <w:rPr>
                <w:sz w:val="12"/>
                <w:szCs w:val="12"/>
                <w:color w:val="auto"/>
              </w:rPr>
            </w:pPr>
          </w:p>
        </w:tc>
        <w:tc>
          <w:tcPr>
            <w:tcW w:w="1220" w:type="dxa"/>
            <w:vAlign w:val="bottom"/>
            <w:gridSpan w:val="2"/>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2020</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1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06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(28,302)</w:t>
            </w:r>
          </w:p>
        </w:tc>
        <w:tc>
          <w:tcPr>
            <w:tcW w:w="1220" w:type="dxa"/>
            <w:vAlign w:val="bottom"/>
            <w:gridSpan w:val="2"/>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(19,208)</w:t>
            </w:r>
          </w:p>
        </w:tc>
        <w:tc>
          <w:tcPr>
            <w:tcW w:w="0" w:type="dxa"/>
            <w:vAlign w:val="bottom"/>
          </w:tcPr>
          <w:p>
            <w:pPr>
              <w:spacing w:after="0"/>
              <w:rPr>
                <w:sz w:val="1"/>
                <w:szCs w:val="1"/>
                <w:color w:val="auto"/>
              </w:rPr>
            </w:pPr>
          </w:p>
        </w:tc>
      </w:tr>
      <w:tr>
        <w:trPr>
          <w:trHeight w:val="180"/>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expense</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0" w:type="dxa"/>
            <w:vAlign w:val="bottom"/>
          </w:tcPr>
          <w:p>
            <w:pPr>
              <w:spacing w:after="0"/>
              <w:rPr>
                <w:sz w:val="1"/>
                <w:szCs w:val="1"/>
                <w:color w:val="auto"/>
              </w:rPr>
            </w:pPr>
          </w:p>
        </w:tc>
      </w:tr>
      <w:tr>
        <w:trPr>
          <w:trHeight w:val="180"/>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0" w:type="dxa"/>
            <w:vAlign w:val="bottom"/>
          </w:tcPr>
          <w:p>
            <w:pPr>
              <w:spacing w:after="0"/>
              <w:rPr>
                <w:sz w:val="1"/>
                <w:szCs w:val="1"/>
                <w:color w:val="auto"/>
              </w:rPr>
            </w:pPr>
          </w:p>
        </w:tc>
      </w:tr>
      <w:tr>
        <w:trPr>
          <w:trHeight w:val="180"/>
        </w:trPr>
        <w:tc>
          <w:tcPr>
            <w:tcW w:w="7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Noncash lease expense</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0" w:type="dxa"/>
            <w:vAlign w:val="bottom"/>
          </w:tcPr>
          <w:p>
            <w:pPr>
              <w:spacing w:after="0"/>
              <w:rPr>
                <w:sz w:val="1"/>
                <w:szCs w:val="1"/>
                <w:color w:val="auto"/>
              </w:rPr>
            </w:pPr>
          </w:p>
        </w:tc>
      </w:tr>
      <w:tr>
        <w:trPr>
          <w:trHeight w:val="180"/>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Noncash interest and other expense, net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0"/>
        </w:trPr>
        <w:tc>
          <w:tcPr>
            <w:tcW w:w="7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0" w:type="dxa"/>
            <w:vAlign w:val="bottom"/>
          </w:tcPr>
          <w:p>
            <w:pPr>
              <w:spacing w:after="0"/>
              <w:rPr>
                <w:sz w:val="1"/>
                <w:szCs w:val="1"/>
                <w:color w:val="auto"/>
              </w:rPr>
            </w:pPr>
          </w:p>
        </w:tc>
      </w:tr>
      <w:tr>
        <w:trPr>
          <w:trHeight w:val="180"/>
        </w:trPr>
        <w:tc>
          <w:tcPr>
            <w:tcW w:w="70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Accounts payable</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0" w:type="dxa"/>
            <w:vAlign w:val="bottom"/>
          </w:tcPr>
          <w:p>
            <w:pPr>
              <w:spacing w:after="0"/>
              <w:rPr>
                <w:sz w:val="1"/>
                <w:szCs w:val="1"/>
                <w:color w:val="auto"/>
              </w:rPr>
            </w:pPr>
          </w:p>
        </w:tc>
      </w:tr>
      <w:tr>
        <w:trPr>
          <w:trHeight w:val="180"/>
        </w:trPr>
        <w:tc>
          <w:tcPr>
            <w:tcW w:w="7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180"/>
        </w:trPr>
        <w:tc>
          <w:tcPr>
            <w:tcW w:w="70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Interest payable</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14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71"/>
        </w:trPr>
        <w:tc>
          <w:tcPr>
            <w:tcW w:w="706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4"/>
                <w:szCs w:val="14"/>
                <w:color w:val="auto"/>
              </w:rPr>
              <w:t>Cash used in operating activities</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(25,957)</w:t>
            </w:r>
          </w:p>
        </w:tc>
        <w:tc>
          <w:tcPr>
            <w:tcW w:w="1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(19,017)</w:t>
            </w:r>
          </w:p>
        </w:tc>
        <w:tc>
          <w:tcPr>
            <w:tcW w:w="0" w:type="dxa"/>
            <w:vAlign w:val="bottom"/>
          </w:tcPr>
          <w:p>
            <w:pPr>
              <w:spacing w:after="0"/>
              <w:rPr>
                <w:sz w:val="1"/>
                <w:szCs w:val="1"/>
                <w:color w:val="auto"/>
              </w:rPr>
            </w:pPr>
          </w:p>
        </w:tc>
      </w:tr>
      <w:tr>
        <w:trPr>
          <w:trHeight w:val="160"/>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060" w:type="dxa"/>
            <w:vAlign w:val="bottom"/>
          </w:tcPr>
          <w:p>
            <w:pPr>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80"/>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Repayment of related party note receivable</w:t>
            </w: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4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71"/>
        </w:trPr>
        <w:tc>
          <w:tcPr>
            <w:tcW w:w="706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4"/>
                <w:szCs w:val="14"/>
                <w:color w:val="auto"/>
              </w:rPr>
              <w:t>Cash used in investing activities</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60"/>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06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issuance of series B-1 convertible preferred stock</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0" w:type="dxa"/>
            <w:vAlign w:val="bottom"/>
          </w:tcPr>
          <w:p>
            <w:pPr>
              <w:spacing w:after="0"/>
              <w:rPr>
                <w:sz w:val="1"/>
                <w:szCs w:val="1"/>
                <w:color w:val="auto"/>
              </w:rPr>
            </w:pPr>
          </w:p>
        </w:tc>
      </w:tr>
      <w:tr>
        <w:trPr>
          <w:trHeight w:val="180"/>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Payment of preferred stock issuance costs</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0" w:type="dxa"/>
            <w:vAlign w:val="bottom"/>
          </w:tcPr>
          <w:p>
            <w:pPr>
              <w:spacing w:after="0"/>
              <w:rPr>
                <w:sz w:val="1"/>
                <w:szCs w:val="1"/>
                <w:color w:val="auto"/>
              </w:rPr>
            </w:pPr>
          </w:p>
        </w:tc>
      </w:tr>
      <w:tr>
        <w:trPr>
          <w:trHeight w:val="180"/>
        </w:trPr>
        <w:tc>
          <w:tcPr>
            <w:tcW w:w="706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the issuance of common stock, net of equity issuance costs of $446</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33,425</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Borrowings on loan payable</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060" w:type="dxa"/>
            <w:vAlign w:val="bottom"/>
          </w:tcPr>
          <w:p>
            <w:pPr>
              <w:spacing w:after="0"/>
              <w:rPr>
                <w:sz w:val="20"/>
                <w:szCs w:val="20"/>
                <w:color w:val="auto"/>
              </w:rPr>
            </w:pPr>
            <w:r>
              <w:rPr>
                <w:rFonts w:ascii="Times New Roman" w:cs="Times New Roman" w:eastAsia="Times New Roman" w:hAnsi="Times New Roman"/>
                <w:sz w:val="14"/>
                <w:szCs w:val="14"/>
                <w:color w:val="auto"/>
              </w:rPr>
              <w:t>Payment of loan issuance costs</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acquired in connection with the reverse recapitalization</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17,045</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060" w:type="dxa"/>
            <w:vAlign w:val="bottom"/>
          </w:tcPr>
          <w:p>
            <w:pPr>
              <w:spacing w:after="0"/>
              <w:rPr>
                <w:sz w:val="20"/>
                <w:szCs w:val="20"/>
                <w:color w:val="auto"/>
              </w:rPr>
            </w:pPr>
            <w:r>
              <w:rPr>
                <w:rFonts w:ascii="Times New Roman" w:cs="Times New Roman" w:eastAsia="Times New Roman" w:hAnsi="Times New Roman"/>
                <w:sz w:val="14"/>
                <w:szCs w:val="14"/>
                <w:color w:val="auto"/>
              </w:rPr>
              <w:t>Payment of reverse recapitalization transaction costs</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(6,420)</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option exercises</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80"/>
        </w:trPr>
        <w:tc>
          <w:tcPr>
            <w:tcW w:w="7060" w:type="dxa"/>
            <w:vAlign w:val="bottom"/>
          </w:tcPr>
          <w:p>
            <w:pPr>
              <w:spacing w:after="0"/>
              <w:rPr>
                <w:sz w:val="20"/>
                <w:szCs w:val="20"/>
                <w:color w:val="auto"/>
              </w:rPr>
            </w:pPr>
            <w:r>
              <w:rPr>
                <w:rFonts w:ascii="Times New Roman" w:cs="Times New Roman" w:eastAsia="Times New Roman" w:hAnsi="Times New Roman"/>
                <w:sz w:val="14"/>
                <w:szCs w:val="14"/>
                <w:color w:val="auto"/>
              </w:rPr>
              <w:t>Repurchase of unvested options</w:t>
            </w: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706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4"/>
                <w:szCs w:val="14"/>
                <w:color w:val="auto"/>
              </w:rPr>
              <w:t>Cash provided by financing activities</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59,063</w:t>
            </w:r>
          </w:p>
        </w:tc>
        <w:tc>
          <w:tcPr>
            <w:tcW w:w="1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34,599</w:t>
            </w:r>
          </w:p>
        </w:tc>
        <w:tc>
          <w:tcPr>
            <w:tcW w:w="0" w:type="dxa"/>
            <w:vAlign w:val="bottom"/>
          </w:tcPr>
          <w:p>
            <w:pPr>
              <w:spacing w:after="0"/>
              <w:rPr>
                <w:sz w:val="1"/>
                <w:szCs w:val="1"/>
                <w:color w:val="auto"/>
              </w:rPr>
            </w:pPr>
          </w:p>
        </w:tc>
      </w:tr>
      <w:tr>
        <w:trPr>
          <w:trHeight w:val="171"/>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33,009</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15,576</w:t>
            </w:r>
          </w:p>
        </w:tc>
        <w:tc>
          <w:tcPr>
            <w:tcW w:w="0" w:type="dxa"/>
            <w:vAlign w:val="bottom"/>
          </w:tcPr>
          <w:p>
            <w:pPr>
              <w:spacing w:after="0"/>
              <w:rPr>
                <w:sz w:val="1"/>
                <w:szCs w:val="1"/>
                <w:color w:val="auto"/>
              </w:rPr>
            </w:pPr>
          </w:p>
        </w:tc>
      </w:tr>
      <w:tr>
        <w:trPr>
          <w:trHeight w:val="180"/>
        </w:trPr>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18,820</w:t>
            </w:r>
          </w:p>
        </w:tc>
        <w:tc>
          <w:tcPr>
            <w:tcW w:w="14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3,244</w:t>
            </w:r>
          </w:p>
        </w:tc>
        <w:tc>
          <w:tcPr>
            <w:tcW w:w="0" w:type="dxa"/>
            <w:vAlign w:val="bottom"/>
          </w:tcPr>
          <w:p>
            <w:pPr>
              <w:spacing w:after="0"/>
              <w:rPr>
                <w:sz w:val="1"/>
                <w:szCs w:val="1"/>
                <w:color w:val="auto"/>
              </w:rPr>
            </w:pPr>
          </w:p>
        </w:tc>
      </w:tr>
      <w:tr>
        <w:trPr>
          <w:trHeight w:val="191"/>
        </w:trPr>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 at end of year</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51,829</w:t>
            </w:r>
          </w:p>
        </w:tc>
        <w:tc>
          <w:tcPr>
            <w:tcW w:w="140" w:type="dxa"/>
            <w:vAlign w:val="bottom"/>
          </w:tcPr>
          <w:p>
            <w:pPr>
              <w:spacing w:after="0"/>
              <w:rPr>
                <w:sz w:val="16"/>
                <w:szCs w:val="16"/>
                <w:color w:val="auto"/>
              </w:rPr>
            </w:pPr>
          </w:p>
        </w:tc>
        <w:tc>
          <w:tcPr>
            <w:tcW w:w="1080" w:type="dxa"/>
            <w:vAlign w:val="bottom"/>
            <w:tcBorders>
              <w:bottom w:val="single" w:sz="8" w:color="auto"/>
            </w:tcBorders>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18,820</w:t>
            </w: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0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7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paid for interest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060" w:type="dxa"/>
            <w:vAlign w:val="bottom"/>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 xml:space="preserve">Non-cash investing activities: </w:t>
            </w:r>
            <w:r>
              <w:rPr>
                <w:rFonts w:ascii="Times New Roman" w:cs="Times New Roman" w:eastAsia="Times New Roman" w:hAnsi="Times New Roman"/>
                <w:sz w:val="14"/>
                <w:szCs w:val="14"/>
                <w:color w:val="auto"/>
              </w:rPr>
              <w:t>Property and equipment in accounts payable</w:t>
            </w:r>
          </w:p>
        </w:tc>
        <w:tc>
          <w:tcPr>
            <w:tcW w:w="1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78</w:t>
            </w:r>
          </w:p>
        </w:tc>
        <w:tc>
          <w:tcPr>
            <w:tcW w:w="14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92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0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Non-cash financing activities:</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40" w:type="dxa"/>
            <w:vAlign w:val="bottom"/>
          </w:tcPr>
          <w:p>
            <w:pPr>
              <w:spacing w:after="0"/>
              <w:rPr>
                <w:sz w:val="12"/>
                <w:szCs w:val="12"/>
                <w:color w:val="auto"/>
              </w:rPr>
            </w:pPr>
          </w:p>
        </w:tc>
        <w:tc>
          <w:tcPr>
            <w:tcW w:w="1080" w:type="dxa"/>
            <w:vAlign w:val="bottom"/>
            <w:vMerge w:val="restart"/>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0" w:type="dxa"/>
            <w:vAlign w:val="bottom"/>
          </w:tcPr>
          <w:p>
            <w:pPr>
              <w:spacing w:after="0"/>
              <w:rPr>
                <w:sz w:val="1"/>
                <w:szCs w:val="1"/>
                <w:color w:val="auto"/>
              </w:rPr>
            </w:pPr>
          </w:p>
        </w:tc>
      </w:tr>
      <w:tr>
        <w:trPr>
          <w:trHeight w:val="240"/>
        </w:trPr>
        <w:tc>
          <w:tcPr>
            <w:tcW w:w="7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Vesting of early exercise stock options</w:t>
            </w: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7060" w:type="dxa"/>
            <w:vAlign w:val="bottom"/>
            <w:tcBorders>
              <w:bottom w:val="single" w:sz="8" w:color="CCEEFF"/>
            </w:tcBorders>
            <w:shd w:val="clear" w:color="auto" w:fill="CCEEFF"/>
          </w:tcPr>
          <w:p>
            <w:pPr>
              <w:ind w:left="340"/>
              <w:spacing w:after="0" w:line="143" w:lineRule="exact"/>
              <w:rPr>
                <w:sz w:val="20"/>
                <w:szCs w:val="20"/>
                <w:color w:val="auto"/>
              </w:rPr>
            </w:pPr>
            <w:r>
              <w:rPr>
                <w:rFonts w:ascii="Times New Roman" w:cs="Times New Roman" w:eastAsia="Times New Roman" w:hAnsi="Times New Roman"/>
                <w:sz w:val="14"/>
                <w:szCs w:val="14"/>
                <w:color w:val="auto"/>
              </w:rPr>
              <w:t>Debt issuance costs related to financing in accrued liabilities</w:t>
            </w:r>
          </w:p>
        </w:tc>
        <w:tc>
          <w:tcPr>
            <w:tcW w:w="10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80" w:type="dxa"/>
            <w:vAlign w:val="bottom"/>
            <w:tcBorders>
              <w:bottom w:val="single" w:sz="8" w:color="auto"/>
            </w:tcBorders>
            <w:shd w:val="clear" w:color="auto" w:fill="CCEEFF"/>
          </w:tcPr>
          <w:p>
            <w:pPr>
              <w:jc w:val="right"/>
              <w:ind w:right="92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060" w:type="dxa"/>
            <w:vAlign w:val="bottom"/>
          </w:tcPr>
          <w:p>
            <w:pPr>
              <w:ind w:left="340"/>
              <w:spacing w:after="0" w:line="143" w:lineRule="exact"/>
              <w:rPr>
                <w:sz w:val="20"/>
                <w:szCs w:val="20"/>
                <w:color w:val="auto"/>
              </w:rPr>
            </w:pPr>
            <w:r>
              <w:rPr>
                <w:rFonts w:ascii="Times New Roman" w:cs="Times New Roman" w:eastAsia="Times New Roman" w:hAnsi="Times New Roman"/>
                <w:sz w:val="14"/>
                <w:szCs w:val="14"/>
                <w:color w:val="auto"/>
              </w:rPr>
              <w:t>Issuance of common stock for license agreement</w:t>
            </w:r>
          </w:p>
        </w:tc>
        <w:tc>
          <w:tcPr>
            <w:tcW w:w="1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49</w:t>
            </w:r>
          </w:p>
        </w:tc>
        <w:tc>
          <w:tcPr>
            <w:tcW w:w="140" w:type="dxa"/>
            <w:vAlign w:val="bottom"/>
          </w:tcPr>
          <w:p>
            <w:pPr>
              <w:spacing w:after="0"/>
              <w:rPr>
                <w:sz w:val="12"/>
                <w:szCs w:val="12"/>
                <w:color w:val="auto"/>
              </w:rPr>
            </w:pPr>
          </w:p>
        </w:tc>
        <w:tc>
          <w:tcPr>
            <w:tcW w:w="1080" w:type="dxa"/>
            <w:vAlign w:val="bottom"/>
            <w:tcBorders>
              <w:bottom w:val="single" w:sz="8" w:color="auto"/>
            </w:tcBorders>
          </w:tcPr>
          <w:p>
            <w:pPr>
              <w:jc w:val="right"/>
              <w:ind w:right="92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580"/>
          </w:cols>
          <w:pgMar w:left="660" w:top="812" w:right="65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4"/>
          <w:szCs w:val="14"/>
          <w:b w:val="1"/>
          <w:bCs w:val="1"/>
          <w:color w:val="auto"/>
        </w:rPr>
        <w:t>Tempest Therapeutics, Inc.</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of and For the Years Ended December 31, 2021 and 2020</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ORGANIZATION AND DESCRIPTION OF BUSINESS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Description of Business</w:t>
      </w:r>
    </w:p>
    <w:p>
      <w:pPr>
        <w:spacing w:after="0" w:line="19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4"/>
          <w:szCs w:val="14"/>
          <w:color w:val="auto"/>
        </w:rPr>
        <w:t>Tempest Therapeutics, Inc. (“Tempest,” or the “Company”) is a clinical-stage oncology company advancing small molecules that combine both tumor-targeted and immune-mediated mechanisms with the potential to treat a wide range of tumors. The company’s two clinical programs are TPST-1120 and TPST-1495, antagonists of PPARα and EP2/EP4, respectively. Both TPST-1120 and TPST-1495 are advancing through Phase 1 clinical trials designed to study both agents as monotherapies and in combination with other approved agents. In collaboration with F. Hoffmann La Roche, TPST-1120 is also advancing through a randomized first line, global, Phase 1b/2 clinical study in combination with the standard-of-care regimen of atezolizumab and bevacizumab in patients with advanced or metastatic hepatocellular carcinoma. Tempest is also developing an orally-available inhibitor of TREX-1 designed to activate selectively the cGAS/STING pathway, an innate immune response pathway important for the development of anti-tumor immunity. Tempest is headquartered in South San Francisco.</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Merger with Millendo</w:t>
      </w:r>
      <w:r>
        <w:rPr>
          <w:rFonts w:ascii="Times New Roman" w:cs="Times New Roman" w:eastAsia="Times New Roman" w:hAnsi="Times New Roman"/>
          <w:sz w:val="14"/>
          <w:szCs w:val="14"/>
          <w:color w:val="auto"/>
        </w:rPr>
        <w:t>—On March 29, 2021, TempestTx, Inc. (“Private Tempest”) entered into an Agreement and Plan of Merger (the “Merger Agreement”) with Millendo Therapeutics,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(“Millendo”).</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Concurrent with the execution and delivery of the Merger Agreement, Private Tempest entered into funding agreements with certain investors named therein, pursuant to which the investors agreed to purchase, in the aggregate, $30.0 million of common stock of Private Tempest, convertible into securities of Millendo.</w:t>
      </w:r>
    </w:p>
    <w:p>
      <w:pPr>
        <w:spacing w:after="0" w:line="1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On June 25, 2021, Private Tempest completed the merger with Millendo in accordance with the Merger Agreement. Prior to the effective time of the merger, Millendo effected a 1-for-15 reverse stock split, and right after the merger, Millendo changed its name to Tempest Therapeutics, Inc. Under the terms of the Merger Agreement, immediately prior to the effective time of the merger, each share of Private Tempest’s preferred stock was converted into a share of Private Tempest’s common stock. At closing of the merger, the Company issued an aggregate of approximately 5,365,899 shares of its common stock to Private Tempest stockholders, based on an exchange ratio of 0.0322 shares of the Company’s common stock for each share of Private Tempest common stock outstanding immediately prior to the merger, including those shares of common stock issued upon conversion of the Private Tempest preferred stock, resulting in approximately 6,635,345 shares of the Company’s common stock being issued and outstanding immediately following the effective time of the merger. The Company also assumed all of the outstanding and unexercised stock options and warrants to purchase shares of Private Tempest capital stock. The assumed options continue to be governed by the terms of the 2011 and 2017 Equity Incentive Plans (as discussed more in Note 12) under which the options were originally granted, with such options hence forth representing the right to purchase a number of shares of the Company’s common stock equal to 0.0322 multiplied by the number of shares of Private Tempest common stock previously represented by such options.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merger was accounted for as a reverse recapitalization in accordance with U.S. generally accepted accounting principles (“GAAP”). Under this method of accounting, Private Tempest was deemed to be the accounting acquirer for financial reporting purposes. This determination was primarily based on the expectation that, immediately following the merger: (i) Private Tempest stockholders would own a substantial majority of the voting rights; (ii) Private Tempest would designate a substantial majority of the initial members of the board of directors of the combined company; (iii) Private Tempest’s executive management team would become the management of the combined company; and (iv) the combined company would be named Tempest Therapeutics, Inc. Accordingly, for accounting purposes, the merger was treated as the equivalent of Tempest issuing stock to acquire the net assets of Millendo. As a result of the merger, the net assets of Millendo were recorded at their acquisition-date fair value in the financial statements of Private Tempest and the reported operating results prior to the merger will be those of Private Tempest. Historical per share figures of Private Tempest have been retroactively restated based on the exchange ratio of 0.0322.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Liquidity and Management Plans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86" w:name="page87"/>
    <w:bookmarkEnd w:id="86"/>
    <w:p>
      <w:pPr>
        <w:jc w:val="both"/>
        <w:spacing w:after="0" w:line="228" w:lineRule="auto"/>
        <w:rPr>
          <w:sz w:val="20"/>
          <w:szCs w:val="20"/>
          <w:color w:val="auto"/>
        </w:rPr>
      </w:pPr>
      <w:r>
        <w:rPr>
          <w:rFonts w:ascii="Times New Roman" w:cs="Times New Roman" w:eastAsia="Times New Roman" w:hAnsi="Times New Roman"/>
          <w:sz w:val="14"/>
          <w:szCs w:val="14"/>
          <w:color w:val="auto"/>
        </w:rPr>
        <w:t>The accompanying financial statements have been prepared assuming the Company will continue as a going concern. In the course of its development activities, the Company had incurred losses since inception and had forecasted cash needs in excess of current liquidity as of December 31, 2020, which raised substantial doubt about its ability to continue as a going concern at that time. Management implemented a plan to remove this condition by raising additional capital. In January 2021, the Company entered into a loan agreement with a lender to borrow a term loan amount of $35.0 million of which $15.0 million was funded to the Company on January 15, 2021 (see Note 8). In addition, as a result of the merger with Millendo, the Company raised an additional $30.0 million. In July 2021, the Company also entered into a sales agreement (the “Sales Agreement”) with Jefferies LLC (the “Agent”), pursuant to which the Company may sell, from time to time, up to an aggregate sales price of $100.0 million of its common stock through the Agent in a series of one or more ATM equity offerings. The additional capital will fund the Company’s ongoing working capital, investing, and financing requirements for at least the next 12 months.</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20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Basis of Presentation</w:t>
      </w:r>
      <w:r>
        <w:rPr>
          <w:rFonts w:ascii="Times New Roman" w:cs="Times New Roman" w:eastAsia="Times New Roman" w:hAnsi="Times New Roman"/>
          <w:sz w:val="14"/>
          <w:szCs w:val="14"/>
          <w:color w:val="auto"/>
        </w:rPr>
        <w:t>—The accompanying Consolidated Financial Statements have been prepared in accordance with US generally accepted accounting principles ("GAAP") and necessarily include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amounts based on estimates and assumptions by management.</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Use of Estimates</w:t>
      </w:r>
      <w:r>
        <w:rPr>
          <w:rFonts w:ascii="Times New Roman" w:cs="Times New Roman" w:eastAsia="Times New Roman" w:hAnsi="Times New Roman"/>
          <w:sz w:val="14"/>
          <w:szCs w:val="14"/>
          <w:color w:val="auto"/>
        </w:rPr>
        <w:t>—The preparation of financial statements in conformity with GAAP requires management to make estimates and assumptions that affect the reported amounts of assets, liabilities,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and the disclosure of contingent assets and liabilities at the date of the financial statements and the reported amounts of expenses during the reporting period. On an ongoing basis, the Company evaluates its estimates and assumptions, including those related to research and development accruals, recoverability of long-lived assets, right-of-use assets, lease obligations, stock-based compensation and income taxes uncertainties and valuation allowances.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those estimates.</w:t>
      </w:r>
    </w:p>
    <w:p>
      <w:pPr>
        <w:spacing w:after="0" w:line="16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Segment Information</w:t>
      </w:r>
      <w:r>
        <w:rPr>
          <w:rFonts w:ascii="Times New Roman" w:cs="Times New Roman" w:eastAsia="Times New Roman" w:hAnsi="Times New Roman"/>
          <w:sz w:val="14"/>
          <w:szCs w:val="14"/>
          <w:color w:val="auto"/>
        </w:rPr>
        <w:t>—The Company operates and manages its business as one reportable and operating segment, which is the business of discovery and development of small molecule drugs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treat cancers. All assets and operations are in the U.S. The Company’s Chief Executive Officer, who is the chief operating decision maker, reviews financial information on an aggregate basis for purposes of allocating resources and evaluating financial performance.</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Risks and Uncertainties</w:t>
      </w:r>
      <w:r>
        <w:rPr>
          <w:rFonts w:ascii="Times New Roman" w:cs="Times New Roman" w:eastAsia="Times New Roman" w:hAnsi="Times New Roman"/>
          <w:sz w:val="14"/>
          <w:szCs w:val="14"/>
          <w:color w:val="auto"/>
        </w:rPr>
        <w:t>—The Company is subject to risks and uncertainties common to early-stage companies in the biotechnology industry, including, but not limited to, development by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competitors of new technological innovations, protection of proprietary technology, dependence on key personnel, reliance on single-source vendors, availability of raw materials, patentability of the Company’s products and processes and clinical efficacy and safety of the Company’s products under development, compliance with government regulations and the need to obtain additional financing to fund operations. Product candidates currently under development will require significant additional research and development efforts, including extensive preclinical studies, clinical trials and regulatory approval, prior to commercialization. These efforts will require significant amounts of additional capital, adequate personnel infrastructure and extensive compliance and reporting. The Company’s product candidates are still in development and, to date, none of the Company’s product candidates have been approved for sale and, therefore, the Company has not generated any revenue from product sales. 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revenue from product sales. The Company operates in an environment of rapid technological change and substantial competition from other pharmaceutical and biotechnology companies. In addition, the Company is dependent upon the services of its employees, consultants and other third parties.</w:t>
      </w:r>
    </w:p>
    <w:p>
      <w:pPr>
        <w:spacing w:after="0" w:line="3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Moreover, the current COVID-19 pandemic, which is impacting worldwide economic activity, poses risk that the Company or its employees, contractors, suppliers, and other partners may be prevented from conducting business activities for an indefinite period of time, including due to shutdowns that may be requested or mandated by governmental authorities. The extent to which the COVID-19 pandemic will impact the Company’s business will depend on future developments that are highly uncertain and cannot be predicted at this time.</w:t>
      </w:r>
    </w:p>
    <w:p>
      <w:pPr>
        <w:spacing w:after="0" w:line="15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Concentration of Credit Risk</w:t>
      </w:r>
      <w:r>
        <w:rPr>
          <w:rFonts w:ascii="Times New Roman" w:cs="Times New Roman" w:eastAsia="Times New Roman" w:hAnsi="Times New Roman"/>
          <w:sz w:val="14"/>
          <w:szCs w:val="14"/>
          <w:color w:val="auto"/>
        </w:rPr>
        <w:t>—Financial instruments, which potentially subject the Company to concentration of risk, consist principally of cash and money market fund. All of the Company’s cash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and money market fund are deposited in accounts with a major financial institution, and amounts may exceed federally insured limits. Management believes that the Company is not</w:t>
      </w:r>
    </w:p>
    <w:p>
      <w:pPr>
        <w:spacing w:after="0" w:line="38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87" w:name="page88"/>
    <w:bookmarkEnd w:id="87"/>
    <w:p>
      <w:pPr>
        <w:jc w:val="both"/>
        <w:spacing w:after="0" w:line="287" w:lineRule="auto"/>
        <w:rPr>
          <w:sz w:val="20"/>
          <w:szCs w:val="20"/>
          <w:color w:val="auto"/>
        </w:rPr>
      </w:pPr>
      <w:r>
        <w:rPr>
          <w:rFonts w:ascii="Times New Roman" w:cs="Times New Roman" w:eastAsia="Times New Roman" w:hAnsi="Times New Roman"/>
          <w:sz w:val="14"/>
          <w:szCs w:val="14"/>
          <w:color w:val="auto"/>
        </w:rPr>
        <w:t>exposed to significant credit risk due to the financial strength of the depository institution in which the cash and money market fund are held. The Company has no off-balance sheet concentrations of credit risk, such as foreign currency exchange contracts, option contracts or other hedging arrangements.</w:t>
      </w:r>
    </w:p>
    <w:p>
      <w:pPr>
        <w:spacing w:after="0" w:line="14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Cash and Cash Equivalents</w:t>
      </w:r>
      <w:r>
        <w:rPr>
          <w:rFonts w:ascii="Times New Roman" w:cs="Times New Roman" w:eastAsia="Times New Roman" w:hAnsi="Times New Roman"/>
          <w:sz w:val="14"/>
          <w:szCs w:val="14"/>
          <w:color w:val="auto"/>
        </w:rPr>
        <w:t>—The Company considers all highly liquid investments purchased with original maturities of 90 days or less at acquisitions to be cash equivalents. As of December 31,</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2021 and 2020, the Company’s cash and cash equivalents consisted of bank deposits and money market funds.</w:t>
      </w:r>
    </w:p>
    <w:p>
      <w:pPr>
        <w:spacing w:after="0" w:line="13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b w:val="1"/>
          <w:bCs w:val="1"/>
          <w:i w:val="1"/>
          <w:iCs w:val="1"/>
          <w:color w:val="auto"/>
        </w:rPr>
        <w:t>Leases</w:t>
      </w:r>
      <w:r>
        <w:rPr>
          <w:rFonts w:ascii="Times New Roman" w:cs="Times New Roman" w:eastAsia="Times New Roman" w:hAnsi="Times New Roman"/>
          <w:sz w:val="14"/>
          <w:szCs w:val="14"/>
          <w:color w:val="auto"/>
        </w:rPr>
        <w:t>—The Company determines if an arrangement is a lease at contract inception. A lease exists when a contract conveys to the customer the right to control the use of identified property, plant, 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w:t>
      </w:r>
    </w:p>
    <w:p>
      <w:pPr>
        <w:spacing w:after="0" w:line="15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The lease liabilities are initially and subsequently measured at the present value of the unpaid lease payments at the lease commencement date. When readily determinable, the Company uses the implicit rate in determining the present value of lease payments. When leases do not provide an implicit rate, the Company uses its incremental borrowing rate based on the information available at the lease commencement date, including the lease term.</w:t>
      </w:r>
    </w:p>
    <w:p>
      <w:pPr>
        <w:spacing w:after="0" w:line="156"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4"/>
          <w:szCs w:val="14"/>
          <w:color w:val="auto"/>
        </w:rPr>
        <w:t>The ROU asset is initially measured at cost, which comprises the initial amount of the lease liability adjusted for lease payments made at or before the lease commencement date, plus any initial direct costs incurred less any lease incentives received. For operating leases, the ROU asset is subsequently measured throughout the lease term at the carrying amount of the lease liability, plus initial direct costs, plus (minus) any prepaid (accrued) lease payments, less the unamortized balance of lease incentives received. Lease expense for lease payments is recognized on a straight-line basis over the lease term.</w:t>
      </w:r>
    </w:p>
    <w:p>
      <w:pPr>
        <w:spacing w:after="0" w:line="16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Property and Equipment</w:t>
      </w:r>
      <w:r>
        <w:rPr>
          <w:rFonts w:ascii="Times New Roman" w:cs="Times New Roman" w:eastAsia="Times New Roman" w:hAnsi="Times New Roman"/>
          <w:sz w:val="14"/>
          <w:szCs w:val="14"/>
          <w:color w:val="auto"/>
        </w:rPr>
        <w:t>—Property and equipment is recorded at cost and depreciated over the estimated useful lives of the related assets using the straight-line method. Upon disposal of an asset,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related cost and accumulated depreciation are removed from the asset accounts and any resulting gain or loss is included in the consolidated statements of operations. Repair and maintenance costs are expensed as incurred, whereas major improvements are capitalized as additions to property and equipment. The estimated useful lives of the Company’s respective assets are as follows:</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Computer equipment and software</w:t>
            </w:r>
          </w:p>
        </w:tc>
        <w:tc>
          <w:tcPr>
            <w:tcW w:w="5460" w:type="dxa"/>
            <w:vAlign w:val="bottom"/>
          </w:tcPr>
          <w:p>
            <w:pPr>
              <w:jc w:val="center"/>
              <w:ind w:left="2069"/>
              <w:spacing w:after="0"/>
              <w:rPr>
                <w:sz w:val="20"/>
                <w:szCs w:val="20"/>
                <w:color w:val="auto"/>
              </w:rPr>
            </w:pPr>
            <w:r>
              <w:rPr>
                <w:rFonts w:ascii="Times New Roman" w:cs="Times New Roman" w:eastAsia="Times New Roman" w:hAnsi="Times New Roman"/>
                <w:sz w:val="14"/>
                <w:szCs w:val="14"/>
                <w:color w:val="auto"/>
                <w:w w:val="99"/>
              </w:rPr>
              <w:t>3 years</w:t>
            </w:r>
          </w:p>
        </w:tc>
      </w:tr>
      <w:tr>
        <w:trPr>
          <w:trHeight w:val="180"/>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Furniture and fixtures</w:t>
            </w:r>
          </w:p>
        </w:tc>
        <w:tc>
          <w:tcPr>
            <w:tcW w:w="5460" w:type="dxa"/>
            <w:vAlign w:val="bottom"/>
          </w:tcPr>
          <w:p>
            <w:pPr>
              <w:jc w:val="center"/>
              <w:ind w:left="2069"/>
              <w:spacing w:after="0"/>
              <w:rPr>
                <w:sz w:val="20"/>
                <w:szCs w:val="20"/>
                <w:color w:val="auto"/>
              </w:rPr>
            </w:pPr>
            <w:r>
              <w:rPr>
                <w:rFonts w:ascii="Times New Roman" w:cs="Times New Roman" w:eastAsia="Times New Roman" w:hAnsi="Times New Roman"/>
                <w:sz w:val="14"/>
                <w:szCs w:val="14"/>
                <w:color w:val="auto"/>
                <w:w w:val="99"/>
              </w:rPr>
              <w:t>7 years</w:t>
            </w:r>
          </w:p>
        </w:tc>
      </w:tr>
      <w:tr>
        <w:trPr>
          <w:trHeight w:val="180"/>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Laboratory equipment</w:t>
            </w:r>
          </w:p>
        </w:tc>
        <w:tc>
          <w:tcPr>
            <w:tcW w:w="5460" w:type="dxa"/>
            <w:vAlign w:val="bottom"/>
          </w:tcPr>
          <w:p>
            <w:pPr>
              <w:jc w:val="center"/>
              <w:ind w:left="2069"/>
              <w:spacing w:after="0"/>
              <w:rPr>
                <w:sz w:val="20"/>
                <w:szCs w:val="20"/>
                <w:color w:val="auto"/>
              </w:rPr>
            </w:pPr>
            <w:r>
              <w:rPr>
                <w:rFonts w:ascii="Times New Roman" w:cs="Times New Roman" w:eastAsia="Times New Roman" w:hAnsi="Times New Roman"/>
                <w:sz w:val="14"/>
                <w:szCs w:val="14"/>
                <w:color w:val="auto"/>
                <w:w w:val="99"/>
              </w:rPr>
              <w:t>5 years</w:t>
            </w:r>
          </w:p>
        </w:tc>
      </w:tr>
      <w:tr>
        <w:trPr>
          <w:trHeight w:val="184"/>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Leasehold improvements</w:t>
            </w:r>
          </w:p>
        </w:tc>
        <w:tc>
          <w:tcPr>
            <w:tcW w:w="5460" w:type="dxa"/>
            <w:vAlign w:val="bottom"/>
          </w:tcPr>
          <w:p>
            <w:pPr>
              <w:jc w:val="center"/>
              <w:ind w:left="2069"/>
              <w:spacing w:after="0"/>
              <w:rPr>
                <w:sz w:val="20"/>
                <w:szCs w:val="20"/>
                <w:color w:val="auto"/>
              </w:rPr>
            </w:pPr>
            <w:r>
              <w:rPr>
                <w:rFonts w:ascii="Times New Roman" w:cs="Times New Roman" w:eastAsia="Times New Roman" w:hAnsi="Times New Roman"/>
                <w:sz w:val="14"/>
                <w:szCs w:val="14"/>
                <w:color w:val="auto"/>
              </w:rPr>
              <w:t>Shorter of the useful life of the asset or the life of the lease</w:t>
            </w:r>
          </w:p>
        </w:tc>
      </w:tr>
    </w:tbl>
    <w:p>
      <w:pPr>
        <w:spacing w:after="0" w:line="24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Impairment of Long-Lived Assets</w:t>
      </w:r>
      <w:r>
        <w:rPr>
          <w:rFonts w:ascii="Times New Roman" w:cs="Times New Roman" w:eastAsia="Times New Roman" w:hAnsi="Times New Roman"/>
          <w:sz w:val="14"/>
          <w:szCs w:val="14"/>
          <w:color w:val="auto"/>
        </w:rPr>
        <w:t>—Long-lived assets are reviewed for impairment if events or circumstances indicate the carrying amount of these assets may not be recoverable. If this review</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indicates that these assets will not be recoverable, based on the forecasted undiscounted future operating cash flows expected to result from the use of long-lived assets and their eventual disposition, the Company’s carrying value of the long-lived assets is reduced to fair value based on a discounted future cash flow approach or quoted market values. For the years ended December 31, 2021 and 2020, there were no events or circumstances which required an impairment test of long-lived assets.</w:t>
      </w:r>
    </w:p>
    <w:p>
      <w:pPr>
        <w:spacing w:after="0" w:line="15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Convertible Preferred Stock</w:t>
      </w:r>
      <w:r>
        <w:rPr>
          <w:rFonts w:ascii="Times New Roman" w:cs="Times New Roman" w:eastAsia="Times New Roman" w:hAnsi="Times New Roman"/>
          <w:sz w:val="14"/>
          <w:szCs w:val="14"/>
          <w:color w:val="auto"/>
        </w:rPr>
        <w:t>—The Company records convertible preferred stock at fair value on the dates of issuance, net of issuance costs. The convertible preferred stock is recorded outside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stockholders’ deficit because the shares contain liquidation features that are not solely within the Company’s control. The Company has elected not to adjust the carrying values of the convertible preferred stock to the liquidation preferences of such shares because it is uncertain whether or when an event would occur that would obligate the Company to pay the liquidation preferences to holders of shares of convertible preferred stock. Subsequent adjustments to the carrying values to the liquidation preferences will be made only when it becomes probable that such a liquidation event will occur.</w:t>
      </w:r>
    </w:p>
    <w:p>
      <w:pPr>
        <w:spacing w:after="0" w:line="150"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 and Accrued Research and Development</w:t>
      </w:r>
      <w:r>
        <w:rPr>
          <w:rFonts w:ascii="Times New Roman" w:cs="Times New Roman" w:eastAsia="Times New Roman" w:hAnsi="Times New Roman"/>
          <w:sz w:val="14"/>
          <w:szCs w:val="14"/>
          <w:color w:val="auto"/>
        </w:rPr>
        <w:t>—Research and development expenses are charged to expense as incurred. Research and development expenses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include certain payroll and personnel expenses including stock-based compensation, laboratory supplies, consulting costs, external contract research and development expenses and facility or lease expenses. In-licensing fees and other costs to acquire technologies that are utilized in research and development, and that are not expected to have alternative future use, are expensed when incurred. Advance payments for goods or services for future research and development activities are deferred and expensed as the goods are delivered or the related services are performed.</w:t>
      </w:r>
    </w:p>
    <w:p>
      <w:pPr>
        <w:spacing w:after="0" w:line="200" w:lineRule="exact"/>
        <w:rPr>
          <w:sz w:val="20"/>
          <w:szCs w:val="20"/>
          <w:color w:val="auto"/>
        </w:rPr>
      </w:pPr>
    </w:p>
    <w:p>
      <w:pPr>
        <w:spacing w:after="0" w:line="21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88" w:name="page89"/>
    <w:bookmarkEnd w:id="88"/>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estimates preclinical studies and clinical trial expenses based on the services performed pursuant to contracts with research institutions and clinical research organizations that conduct and manage preclinical studies and clinical trials on the Company’s behalf. In accruing service fees, the Company estimates the time period over which services will be performed and the level of effort to be expended in each period. These estimates are based on communications with the third-party service providers, the Company’s estimates of accrued expenses and on information available at each balance sheet date. If the actual timing of the performance of services or the level of effort varies from the estimate, the Company will adjust the accrual accordingly. The estimates are trued up to reflect the best information available at the time of the financial statement issuance. Although the Company does not expect its estimates to be materially different from amounts actually incurred, the Company’s estimate of the status and timing of services performed relative to the actual status and timing of services performed may vary.</w:t>
      </w:r>
    </w:p>
    <w:p>
      <w:pPr>
        <w:spacing w:after="0" w:line="16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Patent Costs</w:t>
      </w:r>
      <w:r>
        <w:rPr>
          <w:rFonts w:ascii="Times New Roman" w:cs="Times New Roman" w:eastAsia="Times New Roman" w:hAnsi="Times New Roman"/>
          <w:sz w:val="14"/>
          <w:szCs w:val="14"/>
          <w:color w:val="auto"/>
        </w:rPr>
        <w:t>—Costs related to filing and pursuing patent applications are expensed as incurred, as recoverability of such expenditures is uncertain. These patent-related legal costs are reported as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component of general and administrative expense.</w:t>
      </w:r>
    </w:p>
    <w:p>
      <w:pPr>
        <w:spacing w:after="0" w:line="14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General and Administrative Expense</w:t>
      </w:r>
      <w:r>
        <w:rPr>
          <w:rFonts w:ascii="Times New Roman" w:cs="Times New Roman" w:eastAsia="Times New Roman" w:hAnsi="Times New Roman"/>
          <w:sz w:val="14"/>
          <w:szCs w:val="14"/>
          <w:color w:val="auto"/>
        </w:rPr>
        <w:t>—General and administrative costs are expensed as incurred and include employee-related expenses including salaries, benefits, travel and stock-based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compensation for the Company’s personnel in executive, finance and accounting, and other administrative functions, as well as fees paid for legal, accounting and tax services, consulting fees and facilities costs not otherwise included in research and development expense. Legal costs include general corporate legal fees and patent costs.</w:t>
      </w:r>
    </w:p>
    <w:p>
      <w:pPr>
        <w:spacing w:after="0" w:line="1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Fair Value Measurements</w:t>
      </w:r>
      <w:r>
        <w:rPr>
          <w:rFonts w:ascii="Times New Roman" w:cs="Times New Roman" w:eastAsia="Times New Roman" w:hAnsi="Times New Roman"/>
          <w:sz w:val="14"/>
          <w:szCs w:val="14"/>
          <w:color w:val="auto"/>
        </w:rPr>
        <w:t>—Fair value is defined as the price that would be received to sell an asset or paid to transfer a liability in an orderly transaction between market participants at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measurement date. As such, fair value is a market-based measurement that should be determined based on assumptions that market participants would use in pricing an asset or liability. The carrying amounts of the Company’s financial instruments approximate fair value due to their short-term maturities.</w:t>
      </w:r>
    </w:p>
    <w:p>
      <w:pPr>
        <w:spacing w:after="0" w:line="1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Stock-Based Compensation Expense</w:t>
      </w:r>
      <w:r>
        <w:rPr>
          <w:rFonts w:ascii="Times New Roman" w:cs="Times New Roman" w:eastAsia="Times New Roman" w:hAnsi="Times New Roman"/>
          <w:sz w:val="14"/>
          <w:szCs w:val="14"/>
          <w:color w:val="auto"/>
        </w:rPr>
        <w:t>—The Company accounts for stock-based compensation by measuring and recognizing compensation expense for all share-based payments made to employees,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directors and non-employees based on estimated grant-date fair values. The Company uses the straight-line method to allocate compensation cost to reporting periods over each optionee’s requisite service period, which is generally the vesting period.</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Company estimates the fair value of stock options to employees, directors and non-employees using the Black-Scholes option-valuation model. The Black-Scholes model requires the input of subjective assumptions, including expected volatility, expected dividend yield, expected term, risk-free rate of return, and the fair value of the underlying common stock on the date of grant. Due to the lack of company-specific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life science industry. The Company uses the simplified method to calculate the expected term for options granted to employees as it does not have sufficient historical exercise data to provide a reasonable basis upon which to estimate the expected term. The simplified method is based on the vesting period and the contractual term for each grant, or for each vesting 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 The risk-free interest rate is based on a treasury instrument whose term is consistent with the expected term of the stock options. The Company uses an assumed dividend yield of zero as the Company has never paid dividends and has no current plans to pay any dividends on its common stock.</w:t>
      </w:r>
    </w:p>
    <w:p>
      <w:pPr>
        <w:spacing w:after="0" w:line="1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accounts for forfeitures as they occur. The fair value of restricted stock awards granted to employees are valued as of the grant date using the estimated fair value of the Company’s common stock.</w:t>
      </w:r>
    </w:p>
    <w:p>
      <w:pPr>
        <w:spacing w:after="0" w:line="14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Net Loss per Share Attributable to Common Stockholders</w:t>
      </w:r>
      <w:r>
        <w:rPr>
          <w:rFonts w:ascii="Times New Roman" w:cs="Times New Roman" w:eastAsia="Times New Roman" w:hAnsi="Times New Roman"/>
          <w:sz w:val="14"/>
          <w:szCs w:val="14"/>
          <w:color w:val="auto"/>
        </w:rPr>
        <w:t>—The Company follows the two-class method when computing net loss per share as the Company has issued shares that meet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Basic net loss per share attributable to common stockholders is computed by dividing the net loss attributable to common stockholders by the weighted average number of common shares outstanding for the period. Diluted net loss attributable to</w:t>
      </w:r>
    </w:p>
    <w:p>
      <w:pPr>
        <w:spacing w:after="0" w:line="38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0"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color w:val="auto"/>
        </w:rPr>
        <w:t>common stockholders is computed by adjusting net loss attributable to common stockholders to reallocate undistributed earnings based on the potential impact of dilutive securities.</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Diluted net loss per share attributable to common stockholders is computed by dividing the diluted net loss attributable to common stockholders by the weighted average number of common shares outstanding for the period, including potential dilutive common shares. For purpose of this calculation, outstanding stock options, convertible preferred stock and warrants to purchase shares of convertible preferred stock are considered potential dilutive common shares.</w:t>
      </w:r>
    </w:p>
    <w:p>
      <w:pPr>
        <w:spacing w:after="0" w:line="1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Income Taxes</w:t>
      </w:r>
      <w:r>
        <w:rPr>
          <w:rFonts w:ascii="Times New Roman" w:cs="Times New Roman" w:eastAsia="Times New Roman" w:hAnsi="Times New Roman"/>
          <w:sz w:val="14"/>
          <w:szCs w:val="14"/>
          <w:color w:val="auto"/>
        </w:rPr>
        <w:t>—The Company accounts for income taxes using the asset and liability method. The Company recognizes deferred tax assets and liabilities for the expected future tax consequences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be charged to earnings in the period when such determination is made. As of December 31, 2021 and 2020, the Company has recorded a full valuation allowance on its deferred tax assets.</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Tax benefits related to uncertain tax positions are recognized when it is more likely than not that a tax position will be sustained during an audit. Interest and penalties related to unrecognized tax benefits are included within the provision for income tax.</w:t>
      </w:r>
    </w:p>
    <w:p>
      <w:pPr>
        <w:spacing w:after="0" w:line="14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Recently Issued Accounting Pronouncements</w:t>
      </w:r>
      <w:r>
        <w:rPr>
          <w:rFonts w:ascii="Times New Roman" w:cs="Times New Roman" w:eastAsia="Times New Roman" w:hAnsi="Times New Roman"/>
          <w:sz w:val="14"/>
          <w:szCs w:val="14"/>
          <w:color w:val="auto"/>
        </w:rPr>
        <w:t>—From time to time, new accounting pronouncements are issued by the FASB, or other standard setting bodies and adopted by the Company as of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specified effective date.</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October 2021, the FASB issued ASU 2021-08, Business Combinations (Topic 805): Accounting for Contract Assets and Contract Liabilities from Contracts With Customers. The ASU improves the accounting for acquired revenue contracts with customers in a business combination by addressing diversity in practice and inconsistency related to the recognition of an acquired contract liability and payment terms and their effect on subsequent revenue recognized by the acquirer. Under the new ASU, acquiring entities are required to apply Topic 606 to recognize and measure contract assets and contract liabilities in a business combination. The ASU is effective for fiscal years beginning after December 15, 2022 for public business entities, and for fiscal years beginning after December 15, 2023 for all other entities. Early adoption is permitted. The Company is in the process of evaluating the impact of this new guidance on its financial statements and related disclosures.</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August 2020, the FASB issued ASU 2020-06, Debt - Debt With Conversions and Other Options (Subtopic 470-20) and Derivatives and Hedging-Contracts in Entity’s Own Equity (Subtopic 815-40). The ASU simplifies the accounting for certain financial instruments with characteristics of liabilities and equity, including convertible instruments and contracts on an entity’s own equity. Under the new ASU, convertible instruments will now more frequently accounted for as a single unit of account. That is, a conversion feature and the host instrument in which it is embedded now generally will be treated as a single unit of account unless the conversion feature requires bifurcation under Topic 815. The ASU is effective for fiscal years beginning after December 15, 2021 for public business entities, and for fiscal years beginning after December 15, 2023 for all other entities. Early adoption is permitted. The Company is in the process of evaluating the impact of this new guidance on its financial statements and related disclosures.</w:t>
      </w:r>
    </w:p>
    <w:p>
      <w:pPr>
        <w:spacing w:after="0" w:line="1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December 2019, the FASB issued ASU No. 2019-12, Income Taxes (Topic 740): Simplifying the Accounting for Income Taxes, which is intended to simplify various aspects related to accounting for income taxes. The pronouncement is effective for fiscal years, and for interim periods within those fiscal years, beginning after December 15, 2021. ASU 2019-12 is effective for the Company beginning January 1, 2022. Early adoption is permitted. The Company has early adopted this guidance in 2020 on a prospective basis and the impact on the Company’s financial statements was not material.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MILLENDO MERGER</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described in Note 1, Private Tempest merged with the Company on June 25, 2021. The merger was accounted for as a reverse recapitalization with Private Tempest as the accounting acquirer. The primary pre-combination assets of Millendo were cash, cash equivalents and restricted cash. Under reverse recapitalization accounting, the assets and liabilities of Millendo were</w:t>
      </w:r>
    </w:p>
    <w:p>
      <w:pPr>
        <w:spacing w:after="0" w:line="38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90" w:name="page91"/>
    <w:bookmarkEnd w:id="90"/>
    <w:p>
      <w:pPr>
        <w:jc w:val="both"/>
        <w:spacing w:after="0" w:line="270" w:lineRule="auto"/>
        <w:rPr>
          <w:sz w:val="20"/>
          <w:szCs w:val="20"/>
          <w:color w:val="auto"/>
        </w:rPr>
      </w:pPr>
      <w:r>
        <w:rPr>
          <w:rFonts w:ascii="Times New Roman" w:cs="Times New Roman" w:eastAsia="Times New Roman" w:hAnsi="Times New Roman"/>
          <w:sz w:val="14"/>
          <w:szCs w:val="14"/>
          <w:color w:val="auto"/>
        </w:rPr>
        <w:t>recorded at their fair value which approximated book value due to the short-term nature of the instruments. No goodwill or intangible assets were recognized. Consequently, the consolidated financial statements of Tempest reflect the operations of Millendo for accounting purposes together with a deemed issuance of shares, equivalent to the shares held by the former stockholders of the legal acquirer and a recapitalization of the equity of the accounting acquirer.</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part of the reverse recapitalization, the Company obtained approximately $17.0 million of cash, cash equivalents and restricted cash. The Company also obtained prepaids and other assets of approximately $1.4 million and assumed payables and accruals of approximately $0.5 million. The Company also acquired an operating lease right-of-use asset of $2.1 million and the related operating lease liability of $2.1 million. All of the development programs and associated collaboration arrangements were terminated prior to the merger and were deemed to have no value at the transaction date and the Company is winding down the legacy Millendo operations.</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the Company incurred approximately $0.2 million in share-based compensation expense as a result of the acceleration of vesting of stock options at the time of merger. This amount was recorded in general and administrative expense in the accompanying consolidated statements of operations for the year ended December 31, 2021. The Company also incurred transaction costs of approximately $6.4 million and this amount is recorded in additional paid-in capital in the accompanying consolidated statements of convertible preferred stock and stockholders’ equity (deficit) for the year ended December 31, 2021.</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FAIR VALUE MEASUREMENTS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the Company’s fair value hierarchy for assets and liabilities measured at fair value on a recurring basis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8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1"/>
                <w:szCs w:val="11"/>
                <w:b w:val="1"/>
                <w:bCs w:val="1"/>
                <w:color w:val="auto"/>
              </w:rPr>
              <w:t>As of December 31, 2021</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r>
      <w:tr>
        <w:trPr>
          <w:trHeight w:val="143"/>
        </w:trPr>
        <w:tc>
          <w:tcPr>
            <w:tcW w:w="6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00" w:type="dxa"/>
            <w:vAlign w:val="bottom"/>
          </w:tcPr>
          <w:p>
            <w:pPr>
              <w:spacing w:after="0"/>
              <w:rPr>
                <w:sz w:val="12"/>
                <w:szCs w:val="12"/>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200" w:type="dxa"/>
            <w:vAlign w:val="bottom"/>
          </w:tcPr>
          <w:p>
            <w:pPr>
              <w:spacing w:after="0"/>
              <w:rPr>
                <w:sz w:val="12"/>
                <w:szCs w:val="12"/>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220" w:type="dxa"/>
            <w:vAlign w:val="bottom"/>
          </w:tcPr>
          <w:p>
            <w:pPr>
              <w:spacing w:after="0"/>
              <w:rPr>
                <w:sz w:val="12"/>
                <w:szCs w:val="12"/>
                <w:color w:val="auto"/>
              </w:rPr>
            </w:pPr>
          </w:p>
        </w:tc>
        <w:tc>
          <w:tcPr>
            <w:tcW w:w="760" w:type="dxa"/>
            <w:vAlign w:val="bottom"/>
          </w:tcPr>
          <w:p>
            <w:pPr>
              <w:jc w:val="right"/>
              <w:ind w:right="314"/>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8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51,829</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51,829</w:t>
            </w:r>
          </w:p>
        </w:tc>
      </w:tr>
      <w:tr>
        <w:trPr>
          <w:trHeight w:val="196"/>
        </w:trPr>
        <w:tc>
          <w:tcPr>
            <w:tcW w:w="6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51,829</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51,829</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3"/>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r>
      <w:tr>
        <w:trPr>
          <w:trHeight w:val="153"/>
        </w:trPr>
        <w:tc>
          <w:tcPr>
            <w:tcW w:w="68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r>
      <w:tr>
        <w:trPr>
          <w:trHeight w:val="149"/>
        </w:trPr>
        <w:tc>
          <w:tcPr>
            <w:tcW w:w="68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2060" w:type="dxa"/>
            <w:vAlign w:val="bottom"/>
            <w:tcBorders>
              <w:bottom w:val="single" w:sz="8" w:color="auto"/>
            </w:tcBorders>
            <w:gridSpan w:val="5"/>
            <w:shd w:val="clear" w:color="auto" w:fill="CCEEFF"/>
          </w:tcPr>
          <w:p>
            <w:pPr>
              <w:ind w:left="260"/>
              <w:spacing w:after="0"/>
              <w:rPr>
                <w:sz w:val="20"/>
                <w:szCs w:val="20"/>
                <w:color w:val="auto"/>
              </w:rPr>
            </w:pPr>
            <w:r>
              <w:rPr>
                <w:rFonts w:ascii="Times New Roman" w:cs="Times New Roman" w:eastAsia="Times New Roman" w:hAnsi="Times New Roman"/>
                <w:sz w:val="11"/>
                <w:szCs w:val="11"/>
                <w:b w:val="1"/>
                <w:bCs w:val="1"/>
                <w:color w:val="auto"/>
              </w:rPr>
              <w:t>As of December 31, 2020</w:t>
            </w:r>
          </w:p>
        </w:tc>
        <w:tc>
          <w:tcPr>
            <w:tcW w:w="2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r>
      <w:tr>
        <w:trPr>
          <w:trHeight w:val="139"/>
        </w:trPr>
        <w:tc>
          <w:tcPr>
            <w:tcW w:w="6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ind w:left="44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00" w:type="dxa"/>
            <w:vAlign w:val="bottom"/>
          </w:tcPr>
          <w:p>
            <w:pPr>
              <w:spacing w:after="0"/>
              <w:rPr>
                <w:sz w:val="12"/>
                <w:szCs w:val="12"/>
                <w:color w:val="auto"/>
              </w:rPr>
            </w:pPr>
          </w:p>
        </w:tc>
        <w:tc>
          <w:tcPr>
            <w:tcW w:w="920" w:type="dxa"/>
            <w:vAlign w:val="bottom"/>
            <w:gridSpan w:val="2"/>
          </w:tcPr>
          <w:p>
            <w:pPr>
              <w:ind w:left="42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200" w:type="dxa"/>
            <w:vAlign w:val="bottom"/>
          </w:tcPr>
          <w:p>
            <w:pPr>
              <w:spacing w:after="0"/>
              <w:rPr>
                <w:sz w:val="12"/>
                <w:szCs w:val="12"/>
                <w:color w:val="auto"/>
              </w:rPr>
            </w:pPr>
          </w:p>
        </w:tc>
        <w:tc>
          <w:tcPr>
            <w:tcW w:w="940" w:type="dxa"/>
            <w:vAlign w:val="bottom"/>
            <w:gridSpan w:val="2"/>
          </w:tcPr>
          <w:p>
            <w:pPr>
              <w:ind w:left="42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8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18,820</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18,820</w:t>
            </w:r>
          </w:p>
        </w:tc>
      </w:tr>
      <w:tr>
        <w:trPr>
          <w:trHeight w:val="171"/>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18,820</w:t>
            </w:r>
          </w:p>
        </w:tc>
        <w:tc>
          <w:tcPr>
            <w:tcW w:w="14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18,820</w:t>
            </w:r>
          </w:p>
        </w:tc>
      </w:tr>
      <w:tr>
        <w:trPr>
          <w:trHeight w:val="20"/>
        </w:trPr>
        <w:tc>
          <w:tcPr>
            <w:tcW w:w="6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TRANSACTIONS WITH RELATED PARTIES (AMOUNTS IN THOUSANDS)</w:t>
      </w:r>
    </w:p>
    <w:p>
      <w:pPr>
        <w:spacing w:after="0" w:line="20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Inception Sciences Service Agreements</w:t>
      </w:r>
      <w:r>
        <w:rPr>
          <w:rFonts w:ascii="Times New Roman" w:cs="Times New Roman" w:eastAsia="Times New Roman" w:hAnsi="Times New Roman"/>
          <w:sz w:val="14"/>
          <w:szCs w:val="14"/>
          <w:color w:val="auto"/>
        </w:rPr>
        <w:t>—Inception Sciences, Inc. ("Inception Sciences US") and Inception Sciences Canada, Inc. (Inception Sciences Canada) are subsidiaries of Versant Ventures,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affiliates of which, together, are a holder of more than 5% of our capital stock. The Company has service agreements with Inception Sciences US, and Inception Sciences Canada whereby research and support services are provided to the Company. On June 30, 2020, the Company terminated these Inception Sciences service agreements. Total expenses under the service agreements consist of charges for services, equipment usage, lab supplies and other out of pocket expenses as incurred. For the years ended December 31, 2021 and 2020, the Company incurred nil and $1,315, respectively, in expenses under the Inception Sciences service agreements.</w:t>
      </w:r>
    </w:p>
    <w:p>
      <w:pPr>
        <w:spacing w:after="0" w:line="16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Related Party Notes Receivable</w:t>
      </w:r>
      <w:r>
        <w:rPr>
          <w:rFonts w:ascii="Times New Roman" w:cs="Times New Roman" w:eastAsia="Times New Roman" w:hAnsi="Times New Roman"/>
          <w:sz w:val="14"/>
          <w:szCs w:val="14"/>
          <w:color w:val="auto"/>
        </w:rPr>
        <w:t>—On November 19, 2017, the Company loaned three employees a total of $353 pursuant to promissory notes in order for such employees to early exercise certain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stock options which had a total exercise cost of $652. The notes receivable accrue interest at 2% per year and had a maturity date of November 29, 2022. The notes receivable vest over time until maturity in conjunction with the vesting of the early-exercised stock options.</w:t>
      </w:r>
    </w:p>
    <w:p>
      <w:pPr>
        <w:spacing w:after="0" w:line="146" w:lineRule="exact"/>
        <w:rPr>
          <w:sz w:val="20"/>
          <w:szCs w:val="20"/>
          <w:color w:val="auto"/>
        </w:rPr>
      </w:pPr>
    </w:p>
    <w:p>
      <w:pPr>
        <w:jc w:val="both"/>
        <w:ind w:right="40"/>
        <w:spacing w:after="0" w:line="239" w:lineRule="auto"/>
        <w:rPr>
          <w:sz w:val="20"/>
          <w:szCs w:val="20"/>
          <w:color w:val="auto"/>
        </w:rPr>
      </w:pPr>
      <w:r>
        <w:rPr>
          <w:rFonts w:ascii="Times New Roman" w:cs="Times New Roman" w:eastAsia="Times New Roman" w:hAnsi="Times New Roman"/>
          <w:sz w:val="14"/>
          <w:szCs w:val="14"/>
          <w:color w:val="auto"/>
        </w:rPr>
        <w:t>On June 25, 2021, prior to the closing of the Merger Agreement, one of the employees’ note receivable plus accrued interest totaling $278 was forgiven by the Company. This amount was recognized as compensation included in general and administrative expense in the accompanying consolidated statements of operations for the years ended December 31, 2021 and 2020. The remaining amounts of the notes were repaid. As of December 31, 2021 and 2020, the balance of the vested notes receivable and accrued interest was nil and $260,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BALANCE SHEET ITEMS (AMOUNTS IN THOUSANDS)</w:t>
      </w:r>
    </w:p>
    <w:p>
      <w:pPr>
        <w:spacing w:after="0" w:line="200" w:lineRule="exact"/>
        <w:rPr>
          <w:sz w:val="20"/>
          <w:szCs w:val="20"/>
          <w:color w:val="auto"/>
        </w:rPr>
      </w:pPr>
    </w:p>
    <w:p>
      <w:pPr>
        <w:spacing w:after="0" w:line="24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color w:val="auto"/>
        </w:rPr>
        <w:t>Prepaid expenses and other current asset consist of the following as of December 31, 2021 and 2020:</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20" w:type="dxa"/>
            <w:vAlign w:val="bottom"/>
          </w:tcPr>
          <w:p>
            <w:pPr>
              <w:spacing w:after="0"/>
              <w:rPr>
                <w:sz w:val="13"/>
                <w:szCs w:val="13"/>
                <w:color w:val="auto"/>
              </w:rPr>
            </w:pPr>
          </w:p>
        </w:tc>
        <w:tc>
          <w:tcPr>
            <w:tcW w:w="6680" w:type="dxa"/>
            <w:vAlign w:val="bottom"/>
            <w:tcBorders>
              <w:bottom w:val="single" w:sz="8" w:color="CCEEFF"/>
            </w:tcBorders>
          </w:tcPr>
          <w:p>
            <w:pPr>
              <w:spacing w:after="0"/>
              <w:rPr>
                <w:sz w:val="13"/>
                <w:szCs w:val="13"/>
                <w:color w:val="auto"/>
              </w:rPr>
            </w:pPr>
          </w:p>
        </w:tc>
        <w:tc>
          <w:tcPr>
            <w:tcW w:w="160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2021</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1"/>
                <w:szCs w:val="11"/>
                <w:b w:val="1"/>
                <w:bCs w:val="1"/>
                <w:color w:val="auto"/>
              </w:rPr>
              <w:t>2020</w:t>
            </w:r>
          </w:p>
        </w:tc>
        <w:tc>
          <w:tcPr>
            <w:tcW w:w="0" w:type="dxa"/>
            <w:vAlign w:val="bottom"/>
          </w:tcPr>
          <w:p>
            <w:pPr>
              <w:spacing w:after="0"/>
              <w:rPr>
                <w:sz w:val="1"/>
                <w:szCs w:val="1"/>
                <w:color w:val="auto"/>
              </w:rPr>
            </w:pPr>
          </w:p>
        </w:tc>
      </w:tr>
      <w:tr>
        <w:trPr>
          <w:trHeight w:val="175"/>
        </w:trPr>
        <w:tc>
          <w:tcPr>
            <w:tcW w:w="520" w:type="dxa"/>
            <w:vAlign w:val="bottom"/>
          </w:tcPr>
          <w:p>
            <w:pPr>
              <w:spacing w:after="0"/>
              <w:rPr>
                <w:sz w:val="15"/>
                <w:szCs w:val="15"/>
                <w:color w:val="auto"/>
              </w:rPr>
            </w:pPr>
          </w:p>
        </w:tc>
        <w:tc>
          <w:tcPr>
            <w:tcW w:w="6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Prepaid expenses</w:t>
            </w:r>
          </w:p>
        </w:tc>
        <w:tc>
          <w:tcPr>
            <w:tcW w:w="1600" w:type="dxa"/>
            <w:vAlign w:val="bottom"/>
            <w:gridSpan w:val="3"/>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0"/>
        </w:trPr>
        <w:tc>
          <w:tcPr>
            <w:tcW w:w="520" w:type="dxa"/>
            <w:vAlign w:val="bottom"/>
          </w:tcPr>
          <w:p>
            <w:pPr>
              <w:spacing w:after="0"/>
              <w:rPr>
                <w:sz w:val="15"/>
                <w:szCs w:val="15"/>
                <w:color w:val="auto"/>
              </w:rPr>
            </w:pPr>
          </w:p>
        </w:tc>
        <w:tc>
          <w:tcPr>
            <w:tcW w:w="66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Prepaid research and development costs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0"/>
        </w:trPr>
        <w:tc>
          <w:tcPr>
            <w:tcW w:w="520" w:type="dxa"/>
            <w:vAlign w:val="bottom"/>
          </w:tcPr>
          <w:p>
            <w:pPr>
              <w:spacing w:after="0"/>
              <w:rPr>
                <w:sz w:val="15"/>
                <w:szCs w:val="15"/>
                <w:color w:val="auto"/>
              </w:rPr>
            </w:pPr>
          </w:p>
        </w:tc>
        <w:tc>
          <w:tcPr>
            <w:tcW w:w="6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Notes and interest receivable</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720" w:type="dxa"/>
            <w:vAlign w:val="bottom"/>
            <w:gridSpan w:val="5"/>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0"/>
        </w:trPr>
        <w:tc>
          <w:tcPr>
            <w:tcW w:w="520" w:type="dxa"/>
            <w:vAlign w:val="bottom"/>
          </w:tcPr>
          <w:p>
            <w:pPr>
              <w:spacing w:after="0"/>
              <w:rPr>
                <w:sz w:val="15"/>
                <w:szCs w:val="15"/>
                <w:color w:val="auto"/>
              </w:rPr>
            </w:pPr>
          </w:p>
        </w:tc>
        <w:tc>
          <w:tcPr>
            <w:tcW w:w="66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Other current assets</w:t>
            </w: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1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66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600" w:type="dxa"/>
            <w:vAlign w:val="bottom"/>
            <w:tcBorders>
              <w:bottom w:val="single" w:sz="8" w:color="auto"/>
            </w:tcBorders>
            <w:gridSpan w:val="3"/>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2,134</w:t>
            </w:r>
          </w:p>
        </w:tc>
        <w:tc>
          <w:tcPr>
            <w:tcW w:w="1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Property and equipment, net, consists of the following as of December 31, 2021 and 2020:</w:t>
            </w: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72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52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2021</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1"/>
                <w:szCs w:val="11"/>
                <w:b w:val="1"/>
                <w:bCs w:val="1"/>
                <w:color w:val="auto"/>
              </w:rPr>
              <w:t>2020</w:t>
            </w:r>
          </w:p>
        </w:tc>
        <w:tc>
          <w:tcPr>
            <w:tcW w:w="0" w:type="dxa"/>
            <w:vAlign w:val="bottom"/>
          </w:tcPr>
          <w:p>
            <w:pPr>
              <w:spacing w:after="0"/>
              <w:rPr>
                <w:sz w:val="1"/>
                <w:szCs w:val="1"/>
                <w:color w:val="auto"/>
              </w:rPr>
            </w:pPr>
          </w:p>
        </w:tc>
      </w:tr>
      <w:tr>
        <w:trPr>
          <w:trHeight w:val="175"/>
        </w:trPr>
        <w:tc>
          <w:tcPr>
            <w:tcW w:w="520" w:type="dxa"/>
            <w:vAlign w:val="bottom"/>
          </w:tcPr>
          <w:p>
            <w:pPr>
              <w:spacing w:after="0"/>
              <w:rPr>
                <w:sz w:val="15"/>
                <w:szCs w:val="15"/>
                <w:color w:val="auto"/>
              </w:rPr>
            </w:pPr>
          </w:p>
        </w:tc>
        <w:tc>
          <w:tcPr>
            <w:tcW w:w="668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Computer equipment and software</w:t>
            </w: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156</w:t>
            </w: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0" w:type="dxa"/>
            <w:vAlign w:val="bottom"/>
          </w:tcPr>
          <w:p>
            <w:pPr>
              <w:spacing w:after="0"/>
              <w:rPr>
                <w:sz w:val="15"/>
                <w:szCs w:val="15"/>
                <w:color w:val="auto"/>
              </w:rPr>
            </w:pPr>
          </w:p>
        </w:tc>
        <w:tc>
          <w:tcPr>
            <w:tcW w:w="66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Furniture and fixtures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193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520" w:type="dxa"/>
            <w:vAlign w:val="bottom"/>
          </w:tcPr>
          <w:p>
            <w:pPr>
              <w:spacing w:after="0"/>
              <w:rPr>
                <w:sz w:val="15"/>
                <w:szCs w:val="15"/>
                <w:color w:val="auto"/>
              </w:rPr>
            </w:pPr>
          </w:p>
        </w:tc>
        <w:tc>
          <w:tcPr>
            <w:tcW w:w="6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Lab equipment</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748</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0"/>
        </w:trPr>
        <w:tc>
          <w:tcPr>
            <w:tcW w:w="520" w:type="dxa"/>
            <w:vAlign w:val="bottom"/>
          </w:tcPr>
          <w:p>
            <w:pPr>
              <w:spacing w:after="0"/>
              <w:rPr>
                <w:sz w:val="15"/>
                <w:szCs w:val="15"/>
                <w:color w:val="auto"/>
              </w:rPr>
            </w:pPr>
          </w:p>
        </w:tc>
        <w:tc>
          <w:tcPr>
            <w:tcW w:w="66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Leasehold improvements</w:t>
            </w:r>
          </w:p>
        </w:tc>
        <w:tc>
          <w:tcPr>
            <w:tcW w:w="1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840</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66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Property and equipment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1,937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0"/>
        </w:trPr>
        <w:tc>
          <w:tcPr>
            <w:tcW w:w="520" w:type="dxa"/>
            <w:vAlign w:val="bottom"/>
          </w:tcPr>
          <w:p>
            <w:pPr>
              <w:spacing w:after="0"/>
              <w:rPr>
                <w:sz w:val="15"/>
                <w:szCs w:val="15"/>
                <w:color w:val="auto"/>
              </w:rPr>
            </w:pPr>
          </w:p>
        </w:tc>
        <w:tc>
          <w:tcPr>
            <w:tcW w:w="66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1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(824)</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66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Property and equipment—net</w:t>
            </w:r>
          </w:p>
        </w:tc>
        <w:tc>
          <w:tcPr>
            <w:tcW w:w="1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1,113</w:t>
            </w: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Depreciation expense for the years ended December 31, 2021 and 2020 were $374 and $339, respectively.</w:t>
            </w: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6"/>
        </w:trPr>
        <w:tc>
          <w:tcPr>
            <w:tcW w:w="72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Accrued liabilities as of December 31, 2021 and 2020 consist of the following:</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52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1600" w:type="dxa"/>
            <w:vAlign w:val="bottom"/>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2021</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jc w:val="right"/>
              <w:ind w:right="472"/>
              <w:spacing w:after="0"/>
              <w:rPr>
                <w:sz w:val="20"/>
                <w:szCs w:val="20"/>
                <w:color w:val="auto"/>
              </w:rPr>
            </w:pPr>
            <w:r>
              <w:rPr>
                <w:rFonts w:ascii="Times New Roman" w:cs="Times New Roman" w:eastAsia="Times New Roman" w:hAnsi="Times New Roman"/>
                <w:sz w:val="11"/>
                <w:szCs w:val="11"/>
                <w:b w:val="1"/>
                <w:bCs w:val="1"/>
                <w:color w:val="auto"/>
              </w:rPr>
              <w:t>2020</w:t>
            </w:r>
          </w:p>
        </w:tc>
        <w:tc>
          <w:tcPr>
            <w:tcW w:w="0" w:type="dxa"/>
            <w:vAlign w:val="bottom"/>
          </w:tcPr>
          <w:p>
            <w:pPr>
              <w:spacing w:after="0"/>
              <w:rPr>
                <w:sz w:val="1"/>
                <w:szCs w:val="1"/>
                <w:color w:val="auto"/>
              </w:rPr>
            </w:pPr>
          </w:p>
        </w:tc>
      </w:tr>
      <w:tr>
        <w:trPr>
          <w:trHeight w:val="175"/>
        </w:trPr>
        <w:tc>
          <w:tcPr>
            <w:tcW w:w="520" w:type="dxa"/>
            <w:vAlign w:val="bottom"/>
          </w:tcPr>
          <w:p>
            <w:pPr>
              <w:spacing w:after="0"/>
              <w:rPr>
                <w:sz w:val="15"/>
                <w:szCs w:val="15"/>
                <w:color w:val="auto"/>
              </w:rPr>
            </w:pPr>
          </w:p>
        </w:tc>
        <w:tc>
          <w:tcPr>
            <w:tcW w:w="668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Accrued other liabilities</w:t>
            </w: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gridSpan w:val="2"/>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748</w:t>
            </w: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80"/>
        </w:trPr>
        <w:tc>
          <w:tcPr>
            <w:tcW w:w="520" w:type="dxa"/>
            <w:vAlign w:val="bottom"/>
          </w:tcPr>
          <w:p>
            <w:pPr>
              <w:spacing w:after="0"/>
              <w:rPr>
                <w:sz w:val="15"/>
                <w:szCs w:val="15"/>
                <w:color w:val="auto"/>
              </w:rPr>
            </w:pPr>
          </w:p>
        </w:tc>
        <w:tc>
          <w:tcPr>
            <w:tcW w:w="66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Accrued clinical trial liability</w:t>
            </w:r>
          </w:p>
        </w:tc>
        <w:tc>
          <w:tcPr>
            <w:tcW w:w="10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841</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6"/>
                <w:szCs w:val="16"/>
                <w:color w:val="auto"/>
              </w:rPr>
            </w:pPr>
          </w:p>
        </w:tc>
        <w:tc>
          <w:tcPr>
            <w:tcW w:w="6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auto"/>
            </w:tcBorders>
            <w:gridSpan w:val="2"/>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1,589</w:t>
            </w: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COMMITMENTS AND CONTINGENCIES (AMOUNTS IN THOUSANDS)</w:t>
      </w:r>
    </w:p>
    <w:p>
      <w:pPr>
        <w:spacing w:after="0" w:line="200" w:lineRule="exact"/>
        <w:rPr>
          <w:sz w:val="20"/>
          <w:szCs w:val="20"/>
          <w:color w:val="auto"/>
        </w:rPr>
      </w:pPr>
    </w:p>
    <w:p>
      <w:pPr>
        <w:jc w:val="both"/>
        <w:ind w:right="80"/>
        <w:spacing w:after="0" w:line="290" w:lineRule="auto"/>
        <w:rPr>
          <w:sz w:val="20"/>
          <w:szCs w:val="20"/>
          <w:color w:val="auto"/>
        </w:rPr>
      </w:pPr>
      <w:r>
        <w:rPr>
          <w:rFonts w:ascii="Times New Roman" w:cs="Times New Roman" w:eastAsia="Times New Roman" w:hAnsi="Times New Roman"/>
          <w:sz w:val="14"/>
          <w:szCs w:val="14"/>
          <w:b w:val="1"/>
          <w:bCs w:val="1"/>
          <w:color w:val="auto"/>
        </w:rPr>
        <w:t>Facilities Lease Agreements</w:t>
      </w:r>
      <w:r>
        <w:rPr>
          <w:rFonts w:ascii="Times New Roman" w:cs="Times New Roman" w:eastAsia="Times New Roman" w:hAnsi="Times New Roman"/>
          <w:sz w:val="14"/>
          <w:szCs w:val="14"/>
          <w:color w:val="auto"/>
        </w:rPr>
        <w:t>—In February 2019, the Company entered into a 5-year office lease agreement for a 9,780 square feet facility in South San Francisco, California (“SSF Lease”).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remaining lease term of the SSF Lease is two years and two months as of December 31, 2021.</w:t>
      </w:r>
    </w:p>
    <w:p>
      <w:pPr>
        <w:spacing w:after="0" w:line="143" w:lineRule="exact"/>
        <w:rPr>
          <w:sz w:val="20"/>
          <w:szCs w:val="20"/>
          <w:color w:val="auto"/>
        </w:rPr>
      </w:pPr>
    </w:p>
    <w:p>
      <w:pPr>
        <w:jc w:val="both"/>
        <w:ind w:right="80"/>
        <w:spacing w:after="0" w:line="264" w:lineRule="auto"/>
        <w:rPr>
          <w:sz w:val="20"/>
          <w:szCs w:val="20"/>
          <w:color w:val="auto"/>
        </w:rPr>
      </w:pPr>
      <w:r>
        <w:rPr>
          <w:rFonts w:ascii="Times New Roman" w:cs="Times New Roman" w:eastAsia="Times New Roman" w:hAnsi="Times New Roman"/>
          <w:sz w:val="14"/>
          <w:szCs w:val="14"/>
          <w:color w:val="auto"/>
        </w:rPr>
        <w:t>As a result of the merger with Millendo, the Company assumed Millendo’s noncancelable operating leases for office space which have remaining lease terms of approximately 2.4 years. In February 2019 and October 2018, Millendo entered into two noncancellable operating leases for office space in Ann Arbor, Michigan (“Ann Arbor Leases”) of which one that Millendo took possession of in April 2019 and the other that Millendo took possession of in July 2019, respectively. One of its leases in Ann Arbor, Michigan expires in June 2024 and the other expires in March 2024. There were no other leases assumed by the Company as of December 31, 2021.</w:t>
      </w:r>
    </w:p>
    <w:p>
      <w:pPr>
        <w:spacing w:after="0" w:line="162" w:lineRule="exact"/>
        <w:rPr>
          <w:sz w:val="20"/>
          <w:szCs w:val="20"/>
          <w:color w:val="auto"/>
        </w:rPr>
      </w:pPr>
    </w:p>
    <w:p>
      <w:pPr>
        <w:jc w:val="both"/>
        <w:ind w:right="80"/>
        <w:spacing w:after="0" w:line="287" w:lineRule="auto"/>
        <w:rPr>
          <w:sz w:val="20"/>
          <w:szCs w:val="20"/>
          <w:color w:val="auto"/>
        </w:rPr>
      </w:pPr>
      <w:r>
        <w:rPr>
          <w:rFonts w:ascii="Times New Roman" w:cs="Times New Roman" w:eastAsia="Times New Roman" w:hAnsi="Times New Roman"/>
          <w:sz w:val="14"/>
          <w:szCs w:val="14"/>
          <w:color w:val="auto"/>
        </w:rPr>
        <w:t>As of December 31, 2021 and 2020, the balance of the operating lease right of use assets were $3,051 and $1,877, respectively, and the related operating lease liability were $3,468 and $2,439, respectively, as shown in the accompanying consolidated balance sheets.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Rent expense was $1,039 and $665 for the years ended December 31, 2021 and 2020, respectively.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2021, future minimum annual lease payments under the Company’s operating lease liabilities for the SSF Lease and Ann Arbor Leases were as follows:</w:t>
      </w: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920"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49"/>
        </w:trPr>
        <w:tc>
          <w:tcPr>
            <w:tcW w:w="9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Total Commitment</w:t>
            </w:r>
          </w:p>
        </w:tc>
      </w:tr>
      <w:tr>
        <w:trPr>
          <w:trHeight w:val="153"/>
        </w:trPr>
        <w:tc>
          <w:tcPr>
            <w:tcW w:w="95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Year Ending</w:t>
            </w:r>
          </w:p>
        </w:tc>
        <w:tc>
          <w:tcPr>
            <w:tcW w:w="220" w:type="dxa"/>
            <w:vAlign w:val="bottom"/>
          </w:tcPr>
          <w:p>
            <w:pPr>
              <w:spacing w:after="0"/>
              <w:rPr>
                <w:sz w:val="13"/>
                <w:szCs w:val="13"/>
                <w:color w:val="auto"/>
              </w:rPr>
            </w:pPr>
          </w:p>
        </w:tc>
        <w:tc>
          <w:tcPr>
            <w:tcW w:w="1420" w:type="dxa"/>
            <w:vAlign w:val="bottom"/>
          </w:tcPr>
          <w:p>
            <w:pPr>
              <w:jc w:val="right"/>
              <w:ind w:right="412"/>
              <w:spacing w:after="0"/>
              <w:rPr>
                <w:sz w:val="20"/>
                <w:szCs w:val="20"/>
                <w:color w:val="auto"/>
              </w:rPr>
            </w:pPr>
            <w:r>
              <w:rPr>
                <w:rFonts w:ascii="Times New Roman" w:cs="Times New Roman" w:eastAsia="Times New Roman" w:hAnsi="Times New Roman"/>
                <w:sz w:val="11"/>
                <w:szCs w:val="11"/>
                <w:b w:val="1"/>
                <w:bCs w:val="1"/>
                <w:color w:val="auto"/>
              </w:rPr>
              <w:t>(in thousands)</w:t>
            </w:r>
          </w:p>
        </w:tc>
      </w:tr>
      <w:tr>
        <w:trPr>
          <w:trHeight w:val="185"/>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w:t>
            </w:r>
          </w:p>
        </w:tc>
      </w:tr>
      <w:tr>
        <w:trPr>
          <w:trHeight w:val="180"/>
        </w:trPr>
        <w:tc>
          <w:tcPr>
            <w:tcW w:w="9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1,647</w:t>
            </w:r>
          </w:p>
        </w:tc>
      </w:tr>
      <w:tr>
        <w:trPr>
          <w:trHeight w:val="180"/>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w:t>
            </w:r>
          </w:p>
        </w:tc>
      </w:tr>
      <w:tr>
        <w:trPr>
          <w:trHeight w:val="171"/>
        </w:trPr>
        <w:tc>
          <w:tcPr>
            <w:tcW w:w="9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minimum lease payments</w:t>
            </w: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3,693</w:t>
            </w:r>
          </w:p>
        </w:tc>
      </w:tr>
      <w:tr>
        <w:trPr>
          <w:trHeight w:val="180"/>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r>
      <w:tr>
        <w:trPr>
          <w:trHeight w:val="171"/>
        </w:trPr>
        <w:tc>
          <w:tcPr>
            <w:tcW w:w="9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Present value of operating lease obligations</w:t>
            </w: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3,468</w:t>
            </w:r>
          </w:p>
        </w:tc>
      </w:tr>
      <w:tr>
        <w:trPr>
          <w:trHeight w:val="180"/>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current portion</w:t>
            </w: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1,442</w:t>
            </w:r>
          </w:p>
        </w:tc>
      </w:tr>
      <w:tr>
        <w:trPr>
          <w:trHeight w:val="171"/>
        </w:trPr>
        <w:tc>
          <w:tcPr>
            <w:tcW w:w="9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operating lease obligations</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2,026</w:t>
            </w:r>
          </w:p>
        </w:tc>
      </w:tr>
      <w:tr>
        <w:trPr>
          <w:trHeight w:val="20"/>
        </w:trPr>
        <w:tc>
          <w:tcPr>
            <w:tcW w:w="9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color w:val="auto"/>
        </w:rPr>
        <w:t>Guarantees and Indemnifications</w:t>
      </w:r>
      <w:r>
        <w:rPr>
          <w:rFonts w:ascii="Times New Roman" w:cs="Times New Roman" w:eastAsia="Times New Roman" w:hAnsi="Times New Roman"/>
          <w:sz w:val="14"/>
          <w:szCs w:val="14"/>
          <w:color w:val="auto"/>
        </w:rPr>
        <w:t>—In the normal course of business, the Company enters into agreements that contain a variety of representations and provide for general indemnification.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Company’s exposure under these agreements is unknown because it involves claims that may be made against the Company in the future. To date, the Company has not paid any claims or been required to defend any action related to its indemnification obligations. As of December 31, 2021 and 2020, the Company does not have any material indemnification claims that were probable or reasonably possible and consequently has not recorded related liabilities.</w:t>
      </w:r>
    </w:p>
    <w:p>
      <w:pPr>
        <w:spacing w:after="0" w:line="1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color w:val="auto"/>
        </w:rPr>
        <w:t>Legal Proceedings</w:t>
      </w:r>
      <w:r>
        <w:rPr>
          <w:rFonts w:ascii="Times New Roman" w:cs="Times New Roman" w:eastAsia="Times New Roman" w:hAnsi="Times New Roman"/>
          <w:sz w:val="14"/>
          <w:szCs w:val="14"/>
          <w:color w:val="auto"/>
        </w:rPr>
        <w:t>—Liabilities for loss contingencies arising from claims, assessments, litigation, fines, penalties, and other sources are recorded when it is probable that a liability has been incurred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the amount can be reasonably estimated. As a result of the merger with Millendo, the Company is party to various litigation matters given Millendo’s role as successor to OvaScience, Inc. (“OvaScience”). OvaScience merged with Millendo in 2018. Prior to the merger with Millendo, OvaScience was sued in three matters that are disclosed below.</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November 9, 2016, a purported shareholder derivative action was filed in Massachusetts State court (Cima v. Dipp) against certain former officers and directors of OvaScience and OvaScience alleging breach of fiduciary duties, unjust enrichment, abuse of control, gross mismanagement and waste of corporate assets for purported actions related to OvaScience’s January 2015 follow-on public offering. No material proceedings have occurred since the case was filed. On February 25, 2022, the parties filed a joint status report with the Court.</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March 24, 2017, a purported shareholder class action lawsuit was filed in Massachusetts Federal court (Dahhan v. OvaScience, Inc.) against OvaScience and certain former officers of OvaScience alleging violations of Sections 10(b) and 20(a) of the Exchange Act (the “Dahhan Action”). On March 4, 2022, the parties filed a motion to preliminarily approve a settlement of the action. The settlement amount of $15 million will be funded entirely by insurance. All defendants expressly deny liability. The settlement is subject to both preliminary and final approval. The amount of $15 million was recorded as Accrued legal settlement with offsetting Insurance recovery of legal settlement in the accompanying consolidated balance sheet as of December 31, 2021.</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July 27, 2017, a purported shareholder derivative complaint was filed in Massachusetts Federal court (Chiu v. Dipp) against OvaScience and certain former officers and directors of OvaScience alleging breach of fiduciary duties, unjust enrichment and violations of Section 14(a) of the Exchange Act. related to OvaScience’s January 2015 follow-on public offering and other public statements concerning OvaScience’s AUGMENT treatment. Following the Court’s dismissal of an amended complaint, the parties agreed that plaintiffs could file a second amended complaint and that the case would be stayed pending the resolution of the Dahhan Action. In May 2018, the court entered an order staying this case pending the resolution of the Dahhan Action.</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With respect to the two OvaScience matters described above (Cima v. Dipp and Chiu v. Dipp), the Company is unable to estimate potential losses, if any. However, the Company believes the matters are without merit, and that in light of applicable insurance, any material exposure to the Company is remote.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LOAN PAYABLE (AMOUNTS IN THOUSANDS)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January 15, 2021, the Company entered into a loan agreement with a lender to borrow a term loan amount of $35,000 to be funded in three tranches. Tranche A of $15,000 was wired to the Company on January 15, 2021. Tranche B of $10,000 will be available through March 31, 2022 contingent upon achievement of each of the following: (i) receipt of at least $50,000 in Series</w:t>
      </w:r>
    </w:p>
    <w:p>
      <w:pPr>
        <w:spacing w:after="0" w:line="38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8" w:right="319" w:bottom="1440" w:gutter="0" w:footer="0" w:header="0"/>
        </w:sectPr>
      </w:pPr>
    </w:p>
    <w:bookmarkStart w:id="93" w:name="page94"/>
    <w:bookmarkEnd w:id="93"/>
    <w:p>
      <w:pPr>
        <w:jc w:val="both"/>
        <w:spacing w:after="0" w:line="261" w:lineRule="auto"/>
        <w:rPr>
          <w:sz w:val="20"/>
          <w:szCs w:val="20"/>
          <w:color w:val="auto"/>
        </w:rPr>
      </w:pPr>
      <w:r>
        <w:rPr>
          <w:rFonts w:ascii="Times New Roman" w:cs="Times New Roman" w:eastAsia="Times New Roman" w:hAnsi="Times New Roman"/>
          <w:sz w:val="14"/>
          <w:szCs w:val="14"/>
          <w:color w:val="auto"/>
        </w:rPr>
        <w:t>C equity capital, (ii) initiation of the Phase 1 combination study of TPST-1495 or monotherapy expansion study, and (iii) initiation of Phase 2 trial of TPST-1120 or the 1L Triplet Collaboration study. And Tranche C of $10,000 is available at lender’s option. The term loan matures on August 1, 2025 and has an annual floating interest rate of 7.15% which is an Index Rate plus 7%. Index Rate is the greater of (i) 30-day US LIBOR or (ii) 0.15%. Monthly principal payments of $500 will begin on March 1, 2023. Related to this borrowing, the Company recorded loan discounts totaling $898 and paid $95 of debt issuance costs. These amounts would be amortized as additional interest expense over the life of the loan. As of December 31, 2021, the balance of the loan payable (net of debt issuance costs) was $15,069. The carrying value of the loan approximates fair value (Level 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year ended December 31, 2021, total interest expense was $1,282.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CONVERTIBLE PREFERRED STOCK</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2021, the Company was authorized to issue up to 5,000,000 shares of preferred stock at a par value of 0.001 as a result of Private Tempest completing the merger with Millendo on June 25, 2021. As of December 31, 2020, Private Tempest was authorized to issue up to 135,936,731 shares of preferred stock at par value of 0.001.</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October 2011, Private Tempest received a commitment from its venture investor for a Series A Preferred Stock financing totaling $10 million to be taken down in two tranches of $5 million each. Upon execution of the stock purchase agreement, Private Tempest received the first tranche of $5 million, which included $2,399 in cash proceeds and the conversion of notes payable and accrued interest totaling $2,601 for issuing 5,000,000 shares of its Series A Preferred Stock. In June 2012, Private Tempest received cash proceeds of $5 million related to the second tranche of the Series A Preferred Stock financing from the issuance of 5,000,000 shares of Series A Preferred Stock.</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August 2015, Private Tempest issued an additional 2,000,000 shares of Series A Preferred Stock to its venture investor for cash proceeds of $2 million. In September 2016, Private Tempest issued an additional 5,000,000 shares of Series A Preferred Stock to its venture investor for cash proceeds of $5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February 2018, Private Tempest issued 25,186,738 shares of Series B Preferred Stock for $1.00 per share in connection with the closing of the Series B Preferred Stock Purchase Agreement.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Private Tempest’s convertible notes of $8 million and accrued interest were converted as part of the Series B offering.</w:t>
      </w:r>
    </w:p>
    <w:p>
      <w:pPr>
        <w:spacing w:after="0" w:line="1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February 2019, Private Tempest issued 28,749,997 shares of Series B-1 preferred stock for $0.80 per share for total cash proceeds of $23 million. In January 2020, Private Tempest issued 43,749,996 shares of Series B-1 preferred stock for $0.80 per share for total cash proceeds of $35 million.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authorized, issued and outstanding shares of the convertible preferred stock and liquidation preferences December 31, 2020 were as follows (in thousands except share and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Series</w:t>
            </w:r>
          </w:p>
        </w:tc>
        <w:tc>
          <w:tcPr>
            <w:tcW w:w="13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Shares Authorized</w:t>
            </w: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Shares Issued and</w:t>
            </w:r>
          </w:p>
        </w:tc>
        <w:tc>
          <w:tcPr>
            <w:tcW w:w="180" w:type="dxa"/>
            <w:vAlign w:val="bottom"/>
          </w:tcPr>
          <w:p>
            <w:pPr>
              <w:spacing w:after="0"/>
              <w:rPr>
                <w:sz w:val="11"/>
                <w:szCs w:val="11"/>
                <w:color w:val="auto"/>
              </w:rPr>
            </w:pPr>
          </w:p>
        </w:tc>
        <w:tc>
          <w:tcPr>
            <w:tcW w:w="1260" w:type="dxa"/>
            <w:vAlign w:val="bottom"/>
          </w:tcPr>
          <w:p>
            <w:pPr>
              <w:jc w:val="right"/>
              <w:ind w:right="115"/>
              <w:spacing w:after="0"/>
              <w:rPr>
                <w:sz w:val="20"/>
                <w:szCs w:val="20"/>
                <w:color w:val="auto"/>
              </w:rPr>
            </w:pPr>
            <w:r>
              <w:rPr>
                <w:rFonts w:ascii="Times New Roman" w:cs="Times New Roman" w:eastAsia="Times New Roman" w:hAnsi="Times New Roman"/>
                <w:sz w:val="11"/>
                <w:szCs w:val="11"/>
                <w:b w:val="1"/>
                <w:bCs w:val="1"/>
                <w:color w:val="auto"/>
              </w:rPr>
              <w:t>Per Share Liquidation</w:t>
            </w:r>
          </w:p>
        </w:tc>
        <w:tc>
          <w:tcPr>
            <w:tcW w:w="80" w:type="dxa"/>
            <w:vAlign w:val="bottom"/>
          </w:tcPr>
          <w:p>
            <w:pPr>
              <w:spacing w:after="0"/>
              <w:rPr>
                <w:sz w:val="11"/>
                <w:szCs w:val="11"/>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Aggregate Liquidation</w:t>
            </w: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Proceeds Net of Issuance</w:t>
            </w:r>
          </w:p>
        </w:tc>
        <w:tc>
          <w:tcPr>
            <w:tcW w:w="140" w:type="dxa"/>
            <w:vAlign w:val="bottom"/>
          </w:tcPr>
          <w:p>
            <w:pPr>
              <w:spacing w:after="0"/>
              <w:rPr>
                <w:sz w:val="11"/>
                <w:szCs w:val="11"/>
                <w:color w:val="auto"/>
              </w:rPr>
            </w:pP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11"/>
                <w:szCs w:val="11"/>
                <w:b w:val="1"/>
                <w:bCs w:val="1"/>
                <w:color w:val="auto"/>
              </w:rPr>
              <w:t>Net Carrying Value</w:t>
            </w:r>
          </w:p>
        </w:tc>
        <w:tc>
          <w:tcPr>
            <w:tcW w:w="0" w:type="dxa"/>
            <w:vAlign w:val="bottom"/>
          </w:tcPr>
          <w:p>
            <w:pPr>
              <w:spacing w:after="0"/>
              <w:rPr>
                <w:sz w:val="1"/>
                <w:szCs w:val="1"/>
                <w:color w:val="auto"/>
              </w:rPr>
            </w:pPr>
          </w:p>
        </w:tc>
      </w:tr>
      <w:tr>
        <w:trPr>
          <w:trHeight w:val="149"/>
        </w:trPr>
        <w:tc>
          <w:tcPr>
            <w:tcW w:w="3280" w:type="dxa"/>
            <w:vAlign w:val="bottom"/>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60" w:type="dxa"/>
            <w:vAlign w:val="bottom"/>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80" w:type="dxa"/>
            <w:vAlign w:val="bottom"/>
          </w:tcPr>
          <w:p>
            <w:pPr>
              <w:spacing w:after="0"/>
              <w:rPr>
                <w:sz w:val="12"/>
                <w:szCs w:val="12"/>
                <w:color w:val="auto"/>
              </w:rPr>
            </w:pPr>
          </w:p>
        </w:tc>
        <w:tc>
          <w:tcPr>
            <w:tcW w:w="1260" w:type="dxa"/>
            <w:vAlign w:val="bottom"/>
          </w:tcPr>
          <w:p>
            <w:pPr>
              <w:jc w:val="right"/>
              <w:ind w:right="395"/>
              <w:spacing w:after="0"/>
              <w:rPr>
                <w:sz w:val="20"/>
                <w:szCs w:val="20"/>
                <w:color w:val="auto"/>
              </w:rPr>
            </w:pPr>
            <w:r>
              <w:rPr>
                <w:rFonts w:ascii="Times New Roman" w:cs="Times New Roman" w:eastAsia="Times New Roman" w:hAnsi="Times New Roman"/>
                <w:sz w:val="11"/>
                <w:szCs w:val="11"/>
                <w:b w:val="1"/>
                <w:bCs w:val="1"/>
                <w:color w:val="auto"/>
              </w:rPr>
              <w:t>Preference</w:t>
            </w:r>
          </w:p>
        </w:tc>
        <w:tc>
          <w:tcPr>
            <w:tcW w:w="80" w:type="dxa"/>
            <w:vAlign w:val="bottom"/>
          </w:tcPr>
          <w:p>
            <w:pPr>
              <w:spacing w:after="0"/>
              <w:rPr>
                <w:sz w:val="12"/>
                <w:szCs w:val="12"/>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300" w:type="dxa"/>
            <w:vAlign w:val="bottom"/>
          </w:tcPr>
          <w:p>
            <w:pPr>
              <w:spacing w:after="0"/>
              <w:rPr>
                <w:sz w:val="12"/>
                <w:szCs w:val="12"/>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A</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17,000,000</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17,000,000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16,982</w:t>
            </w:r>
          </w:p>
        </w:tc>
        <w:tc>
          <w:tcPr>
            <w:tcW w:w="0" w:type="dxa"/>
            <w:vAlign w:val="bottom"/>
          </w:tcPr>
          <w:p>
            <w:pPr>
              <w:spacing w:after="0"/>
              <w:rPr>
                <w:sz w:val="1"/>
                <w:szCs w:val="1"/>
                <w:color w:val="auto"/>
              </w:rPr>
            </w:pPr>
          </w:p>
        </w:tc>
      </w:tr>
      <w:tr>
        <w:trPr>
          <w:trHeight w:val="180"/>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B</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25,186,738</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25,186,738</w:t>
            </w:r>
          </w:p>
        </w:tc>
        <w:tc>
          <w:tcPr>
            <w:tcW w:w="180" w:type="dxa"/>
            <w:vAlign w:val="bottom"/>
          </w:tcPr>
          <w:p>
            <w:pPr>
              <w:spacing w:after="0"/>
              <w:rPr>
                <w:sz w:val="15"/>
                <w:szCs w:val="15"/>
                <w:color w:val="auto"/>
              </w:rPr>
            </w:pPr>
          </w:p>
        </w:tc>
        <w:tc>
          <w:tcPr>
            <w:tcW w:w="1260" w:type="dxa"/>
            <w:vAlign w:val="bottom"/>
          </w:tcPr>
          <w:p>
            <w:pPr>
              <w:jc w:val="right"/>
              <w:ind w:right="75"/>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25,187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24,943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12,235</w:t>
            </w:r>
          </w:p>
        </w:tc>
        <w:tc>
          <w:tcPr>
            <w:tcW w:w="0" w:type="dxa"/>
            <w:vAlign w:val="bottom"/>
          </w:tcPr>
          <w:p>
            <w:pPr>
              <w:spacing w:after="0"/>
              <w:rPr>
                <w:sz w:val="1"/>
                <w:szCs w:val="1"/>
                <w:color w:val="auto"/>
              </w:rPr>
            </w:pPr>
          </w:p>
        </w:tc>
      </w:tr>
      <w:tr>
        <w:trPr>
          <w:trHeight w:val="18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B-1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93,749,993</w:t>
            </w:r>
          </w:p>
        </w:tc>
        <w:tc>
          <w:tcPr>
            <w:tcW w:w="80" w:type="dxa"/>
            <w:vAlign w:val="bottom"/>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72,499,993</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4"/>
                <w:szCs w:val="14"/>
                <w:color w:val="auto"/>
              </w:rPr>
              <w:t>0.80</w:t>
            </w:r>
          </w:p>
        </w:tc>
        <w:tc>
          <w:tcPr>
            <w:tcW w:w="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58,000</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57,489</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57,489</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135,936,731</w:t>
            </w:r>
          </w:p>
        </w:tc>
        <w:tc>
          <w:tcPr>
            <w:tcW w:w="8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114,686,731</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100,187</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99,414</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86,706</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60"/>
        <w:spacing w:after="0" w:line="264" w:lineRule="auto"/>
        <w:rPr>
          <w:sz w:val="20"/>
          <w:szCs w:val="20"/>
          <w:color w:val="auto"/>
        </w:rPr>
      </w:pPr>
      <w:r>
        <w:rPr>
          <w:rFonts w:ascii="Times New Roman" w:cs="Times New Roman" w:eastAsia="Times New Roman" w:hAnsi="Times New Roman"/>
          <w:sz w:val="14"/>
          <w:szCs w:val="14"/>
          <w:color w:val="auto"/>
        </w:rPr>
        <w:t>On June 25, 2021, Private Tempest completed the merger with Millendo in accordance with the Merger Agreement. Under the terms of the Merger Agreement, immediately prior to the effective time of the merger, each share Private Tempest’s preferred stock was converted into a share of Private Tempest’s common stock. At closing of the merger, the Company issued an aggregate of approximately 5,365,899 shares of its common stock to Private Tempest stockholders, based on an exchange ratio of 0.0322 shares of the Company’s common stock for each share of Private Tempest common stock outstanding immediately prior to the merger, including those shares of common stock issued upon conversion of the Private Tempest preferred stock.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significant rights, preferences, and privileges of the convertible preferred stock as of December 31, 2020 were as follows:</w:t>
      </w:r>
    </w:p>
    <w:p>
      <w:pPr>
        <w:spacing w:after="0" w:line="200" w:lineRule="exact"/>
        <w:rPr>
          <w:sz w:val="20"/>
          <w:szCs w:val="20"/>
          <w:color w:val="auto"/>
        </w:rPr>
      </w:pPr>
    </w:p>
    <w:p>
      <w:pPr>
        <w:spacing w:after="0" w:line="32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94" w:name="page95"/>
    <w:bookmarkEnd w:id="94"/>
    <w:p>
      <w:pPr>
        <w:jc w:val="both"/>
        <w:ind w:right="26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Dividends</w:t>
      </w:r>
      <w:r>
        <w:rPr>
          <w:rFonts w:ascii="Times New Roman" w:cs="Times New Roman" w:eastAsia="Times New Roman" w:hAnsi="Times New Roman"/>
          <w:sz w:val="14"/>
          <w:szCs w:val="14"/>
          <w:color w:val="auto"/>
        </w:rPr>
        <w:t>—The holders of the Company’s convertible preferred stock are entitled to receive noncumulative dividends of 8% per share (as adjusted for stock splits, combinations,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reorganizations) per annum on each outstanding share of Series convertible preferred stock. Such dividends shall be payable only when and if declared by the Board of Directors. As of December 31, 2020, and 2019, the Company’s Board of Directors had not declared any dividends. Dividends on convertible preferred stock shall be payable in preference to and prior to any payments of any dividends on common stock. No dividends have been declared to date.</w:t>
      </w:r>
    </w:p>
    <w:p>
      <w:pPr>
        <w:spacing w:after="0" w:line="138" w:lineRule="exact"/>
        <w:rPr>
          <w:sz w:val="20"/>
          <w:szCs w:val="20"/>
          <w:color w:val="auto"/>
        </w:rPr>
      </w:pPr>
    </w:p>
    <w:p>
      <w:pPr>
        <w:jc w:val="both"/>
        <w:ind w:right="2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Voting Rights</w:t>
      </w:r>
      <w:r>
        <w:rPr>
          <w:rFonts w:ascii="Times New Roman" w:cs="Times New Roman" w:eastAsia="Times New Roman" w:hAnsi="Times New Roman"/>
          <w:sz w:val="14"/>
          <w:szCs w:val="14"/>
          <w:color w:val="auto"/>
        </w:rPr>
        <w:t>—The holders of preferred stock are entitled to one vote for each share of common stock into which such preferred stock could then be converted; and with respect to such vote,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such holder shall have full voting rights and powers equal to the voting rights and powers of the holders of common stock.</w:t>
      </w:r>
    </w:p>
    <w:p>
      <w:pPr>
        <w:spacing w:after="0" w:line="120" w:lineRule="exact"/>
        <w:rPr>
          <w:sz w:val="20"/>
          <w:szCs w:val="20"/>
          <w:color w:val="auto"/>
        </w:rPr>
      </w:pPr>
    </w:p>
    <w:p>
      <w:pPr>
        <w:jc w:val="both"/>
        <w:ind w:right="26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Liquidation</w:t>
      </w:r>
      <w:r>
        <w:rPr>
          <w:rFonts w:ascii="Times New Roman" w:cs="Times New Roman" w:eastAsia="Times New Roman" w:hAnsi="Times New Roman"/>
          <w:sz w:val="14"/>
          <w:szCs w:val="14"/>
          <w:color w:val="auto"/>
        </w:rPr>
        <w:t>—The holders of preferred stock are entitled to receive liquidation preferences at an amount per share of preferred stock equal to the original price plus all declared and unpaid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dividends on the preferred stock. Liquidation payments to the holders of preferred stock have priority and are made in preference to any payments to the holders of common stock. After full payment of the liquidation preference to the holders of the preferred stock, the remaining assets, if any, will be distributed ratably to the holders of the common stock and preferred stock on an as-if-converted to common stock basis.</w:t>
      </w:r>
    </w:p>
    <w:p>
      <w:pPr>
        <w:spacing w:after="0" w:line="138" w:lineRule="exact"/>
        <w:rPr>
          <w:sz w:val="20"/>
          <w:szCs w:val="20"/>
          <w:color w:val="auto"/>
        </w:rPr>
      </w:pPr>
    </w:p>
    <w:p>
      <w:pPr>
        <w:jc w:val="both"/>
        <w:ind w:right="2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Redemption and Balance Sheet Classification</w:t>
      </w:r>
      <w:r>
        <w:rPr>
          <w:rFonts w:ascii="Times New Roman" w:cs="Times New Roman" w:eastAsia="Times New Roman" w:hAnsi="Times New Roman"/>
          <w:sz w:val="14"/>
          <w:szCs w:val="14"/>
          <w:color w:val="auto"/>
        </w:rPr>
        <w:t>— The convertible preferred stock is recorded within mezzanine equity because while it is not mandatorily redeemable, it will become redeemable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at the option of the stockholders upon the occurrence of certain deemed liquidation events that are considered not solely within the Company’s control.</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COMMON STOCK</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Upon completion of the merger on June 25, 2021, the Company issued an aggregate of approximately 5,365,899 shares of its common stock to Private Tempest stockholders, based on an exchange ratio of 0.0322 shares of the Company’s common stock for each share of Private Tempest common stock outstanding immediately prior to the merger, including those shares of common stock issued upon conversion of the Private Tempest preferred stock (3,692,912 common shares) and those shares of common stock issued with its pre-merger financing of $30 million (1,136,849 common shares).</w:t>
      </w: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of December 31, 2021, the Company was authorized to issue 100,000,000 shares of common stock at a par value of $0.001. Of the 100,000,000 common stock shares authorized, 6,910,324 are legally issued and outstanding at December 31, 2021 and there were no shares subject to repurchase due to remaining vesting requirements. Common stockholders are entitled to dividends as declared by the Board of Directors, subject to rights of holders of all classes of stock outstanding having priority rights as to dividends. There have been no dividends declared to date. The holders of each share of common stock are entitled to one vote. Except for effecting or validating certain specific actions intended to protect the preferred stockholders, the holders of common stock vote together with preferred stockholders and have the right to elect one member of the Company’s Board of Directors.</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July 23, 2021, the Company entered into a sales agreement (the “Sales Agreement”) with Jefferies LLC (the “Agent”), pursuant to which the Company may sell, from time to time, up to an aggregate sales price of $100,000,000 of its common stock through the Agent.</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STOCK COMPENSATION</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2011, Private Tempest adopted the 2011 Equity Incentive Plan, and in 2017, Private Tempest adopted the 2017 Equity Incentive Plan, together “the Tempest Equity Plans”. Upon adoption of the 2017 Equity Incentive Plan, the 2011 Equity Incentive Plan was terminated.</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Board of Directors of Millendo adopted the 2019 Equity Incentive Plan (the “2019 Plan”) and 2019 Employee Stock Purchase Plan (the “2019 ESPP,” and together with the 2019 Plan, the “Millendo Equity Plans”) on April 29, 2019, subject to approval by the Company’s stockholders, and became effective with such stockholder approval on June 11, 2019. As a result of the merger, the Tempest Equity Plans and Millendo Equity Plans were assumed by the Company.</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Both the Tempest Equity Plans and the 2019 Plan allow the Company to grant stock awards to employees, directors and consultants of the Company, including incentive stock options (“ISOs”), nonqualified stock options (“NSOs”), stock appreciation rights, restricted stock awards, restricted stock unit awards and other stock awards. The 2019 ESPP enables</w:t>
      </w:r>
    </w:p>
    <w:p>
      <w:pPr>
        <w:spacing w:after="0" w:line="38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color w:val="auto"/>
        </w:rPr>
        <w:t>employees to purchase shares of the Company's common stock through offerings of rights to purchase the Company’s common stock to all eligible employees.</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number of shares of the Company's common stock reserved for issuance under the 2019 Plan will automatically increase on January 1st of each year, for a period of ten years, from January 1, 2020 continuing through January 1, 2029, by 4% of the total number of shares of the Company's common stock outstanding on December 31 of the preceding calendar year, or a lesser number of shares as may be determined by the Board of Directors.</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number of shares of the Company's common stock reserved for issuance under the 2019 ESPP will automatically increase on January 1st of each year, for a period of up to ten years, from January 1, 2020 continuing through January 1, 2029, by the lesser of (i) 0.01 of the total number of shares of the Company's capital stock outstanding on December 31 of the preceding calendar year, or (ii) 133,580 shares of the Company's common stock, unless a lesser number of shares is determined by the Board of Directors.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measures employee and nonemployee stock-based awards at grant date fair value and records compensation expense on a straight-line basis over the vesting period of the award.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2021, a total of 403,109 shares are available for future grant under the Tempest Equity Plans and the Millendo Equity Plans.</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Options to purchase the Company’s common stock may be granted at a price not less than the fair market value in the case of both NSOs and ISOs, except for an employee or non-employee with options who owns more than 10% of the voting power of all classes of stock of the Company, in which case the exercise price shall be no less than 110% percent of the fair market value per share on the grant date. Stock options granted under the Plans generally vest over four years and expire no later than ten years from the date of grant. Vested options can be exercised at any time.</w:t>
      </w:r>
    </w:p>
    <w:p>
      <w:pPr>
        <w:spacing w:after="0" w:line="14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4"/>
          <w:szCs w:val="14"/>
          <w:color w:val="auto"/>
        </w:rPr>
        <w:t>Prior to the merger, the grant date fair market value of the shares of common stock underlying stock options had historically been determined by the Company’s Board of Directors. Up until the merger, there had been no public market for the Company’s common stock, and therefore the Board of Directors exercised reasonable judgment and considered a number of objective and subjective factors to determine the best estimate of the fair market value, which included valuations performed by an independent third-party, important developments in the Company’s operations, sales of convertible preferred stock, actual operating results, financial performance, the conditions in the life sciences industry, the economy in general, the stock price performance and volatility of comparable public companies, and the lack of liquidity of the Company’s common stock.</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shows the stock option activities for the years ended December 31, 2020 and 2021:</w:t>
            </w:r>
          </w:p>
        </w:tc>
        <w:tc>
          <w:tcPr>
            <w:tcW w:w="1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9"/>
        </w:trPr>
        <w:tc>
          <w:tcPr>
            <w:tcW w:w="7320" w:type="dxa"/>
            <w:vAlign w:val="bottom"/>
          </w:tcPr>
          <w:p>
            <w:pPr>
              <w:spacing w:after="0"/>
              <w:rPr>
                <w:sz w:val="24"/>
                <w:szCs w:val="24"/>
                <w:color w:val="auto"/>
              </w:rPr>
            </w:pPr>
          </w:p>
        </w:tc>
        <w:tc>
          <w:tcPr>
            <w:tcW w:w="18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Total Options Outstanding</w:t>
            </w:r>
          </w:p>
        </w:tc>
        <w:tc>
          <w:tcPr>
            <w:tcW w:w="320" w:type="dxa"/>
            <w:vAlign w:val="bottom"/>
          </w:tcPr>
          <w:p>
            <w:pPr>
              <w:spacing w:after="0"/>
              <w:rPr>
                <w:sz w:val="24"/>
                <w:szCs w:val="24"/>
                <w:color w:val="auto"/>
              </w:rPr>
            </w:pPr>
          </w:p>
        </w:tc>
        <w:tc>
          <w:tcPr>
            <w:tcW w:w="148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80"/>
        </w:trPr>
        <w:tc>
          <w:tcPr>
            <w:tcW w:w="7320" w:type="dxa"/>
            <w:vAlign w:val="bottom"/>
          </w:tcPr>
          <w:p>
            <w:pPr>
              <w:spacing w:after="0"/>
              <w:rPr>
                <w:sz w:val="15"/>
                <w:szCs w:val="15"/>
                <w:color w:val="auto"/>
              </w:rPr>
            </w:pPr>
          </w:p>
        </w:tc>
        <w:tc>
          <w:tcPr>
            <w:tcW w:w="18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Balance—December 31, 2019</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264,924</w:t>
            </w:r>
          </w:p>
        </w:tc>
        <w:tc>
          <w:tcPr>
            <w:tcW w:w="3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0" w:type="dxa"/>
            <w:vAlign w:val="bottom"/>
          </w:tcPr>
          <w:p>
            <w:pPr>
              <w:spacing w:after="0"/>
              <w:rPr>
                <w:sz w:val="1"/>
                <w:szCs w:val="1"/>
                <w:color w:val="auto"/>
              </w:rPr>
            </w:pPr>
          </w:p>
        </w:tc>
      </w:tr>
      <w:tr>
        <w:trPr>
          <w:trHeight w:val="180"/>
        </w:trPr>
        <w:tc>
          <w:tcPr>
            <w:tcW w:w="7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Granted</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224,490</w:t>
            </w:r>
          </w:p>
        </w:tc>
        <w:tc>
          <w:tcPr>
            <w:tcW w:w="3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Exercised</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(14,406)</w:t>
            </w:r>
          </w:p>
        </w:tc>
        <w:tc>
          <w:tcPr>
            <w:tcW w:w="3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0" w:type="dxa"/>
            <w:vAlign w:val="bottom"/>
          </w:tcPr>
          <w:p>
            <w:pPr>
              <w:spacing w:after="0"/>
              <w:rPr>
                <w:sz w:val="1"/>
                <w:szCs w:val="1"/>
                <w:color w:val="auto"/>
              </w:rPr>
            </w:pPr>
          </w:p>
        </w:tc>
      </w:tr>
      <w:tr>
        <w:trPr>
          <w:trHeight w:val="180"/>
        </w:trPr>
        <w:tc>
          <w:tcPr>
            <w:tcW w:w="73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Cancelled and forfeited</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(22,843)</w:t>
            </w:r>
          </w:p>
        </w:tc>
        <w:tc>
          <w:tcPr>
            <w:tcW w:w="320" w:type="dxa"/>
            <w:vAlign w:val="bottom"/>
            <w:tcBorders>
              <w:bottom w:val="single" w:sz="8" w:color="CCEEFF"/>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0" w:type="dxa"/>
            <w:vAlign w:val="bottom"/>
          </w:tcPr>
          <w:p>
            <w:pPr>
              <w:spacing w:after="0"/>
              <w:rPr>
                <w:sz w:val="1"/>
                <w:szCs w:val="1"/>
                <w:color w:val="auto"/>
              </w:rPr>
            </w:pPr>
          </w:p>
        </w:tc>
      </w:tr>
      <w:tr>
        <w:trPr>
          <w:trHeight w:val="171"/>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Balance—December 31, 2020</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452,165</w:t>
            </w:r>
          </w:p>
        </w:tc>
        <w:tc>
          <w:tcPr>
            <w:tcW w:w="3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0" w:type="dxa"/>
            <w:vAlign w:val="bottom"/>
          </w:tcPr>
          <w:p>
            <w:pPr>
              <w:spacing w:after="0"/>
              <w:rPr>
                <w:sz w:val="1"/>
                <w:szCs w:val="1"/>
                <w:color w:val="auto"/>
              </w:rPr>
            </w:pPr>
          </w:p>
        </w:tc>
      </w:tr>
      <w:tr>
        <w:trPr>
          <w:trHeight w:val="180"/>
        </w:trPr>
        <w:tc>
          <w:tcPr>
            <w:tcW w:w="7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Assumed in reverse recapitalization</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177,591</w:t>
            </w:r>
          </w:p>
        </w:tc>
        <w:tc>
          <w:tcPr>
            <w:tcW w:w="3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179.79</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Granted</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307,529</w:t>
            </w:r>
          </w:p>
        </w:tc>
        <w:tc>
          <w:tcPr>
            <w:tcW w:w="3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16.78</w:t>
            </w:r>
          </w:p>
        </w:tc>
        <w:tc>
          <w:tcPr>
            <w:tcW w:w="0" w:type="dxa"/>
            <w:vAlign w:val="bottom"/>
          </w:tcPr>
          <w:p>
            <w:pPr>
              <w:spacing w:after="0"/>
              <w:rPr>
                <w:sz w:val="1"/>
                <w:szCs w:val="1"/>
                <w:color w:val="auto"/>
              </w:rPr>
            </w:pPr>
          </w:p>
        </w:tc>
      </w:tr>
      <w:tr>
        <w:trPr>
          <w:trHeight w:val="180"/>
        </w:trPr>
        <w:tc>
          <w:tcPr>
            <w:tcW w:w="7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Exercised</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(33,127)</w:t>
            </w:r>
          </w:p>
        </w:tc>
        <w:tc>
          <w:tcPr>
            <w:tcW w:w="3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Cancelled and forfeited</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(113,521)</w:t>
            </w:r>
          </w:p>
        </w:tc>
        <w:tc>
          <w:tcPr>
            <w:tcW w:w="3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115.72</w:t>
            </w:r>
          </w:p>
        </w:tc>
        <w:tc>
          <w:tcPr>
            <w:tcW w:w="0" w:type="dxa"/>
            <w:vAlign w:val="bottom"/>
          </w:tcPr>
          <w:p>
            <w:pPr>
              <w:spacing w:after="0"/>
              <w:rPr>
                <w:sz w:val="1"/>
                <w:szCs w:val="1"/>
                <w:color w:val="auto"/>
              </w:rPr>
            </w:pPr>
          </w:p>
        </w:tc>
      </w:tr>
      <w:tr>
        <w:trPr>
          <w:trHeight w:val="171"/>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Balance—December 31, 2021</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790,637</w:t>
            </w:r>
          </w:p>
        </w:tc>
        <w:tc>
          <w:tcPr>
            <w:tcW w:w="3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32.82</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information about stock options outstanding at December 31, 2021:</w:t>
      </w: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96" w:name="page97"/>
    <w:bookmarkEnd w:id="96"/>
    <w:tbl>
      <w:tblPr>
        <w:tblLayout w:type="fixed"/>
        <w:tblInd w:w="52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32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7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8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32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8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32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700" w:type="dxa"/>
            <w:vAlign w:val="bottom"/>
          </w:tcPr>
          <w:p>
            <w:pPr>
              <w:spacing w:after="0"/>
              <w:rPr>
                <w:sz w:val="11"/>
                <w:szCs w:val="11"/>
                <w:color w:val="auto"/>
              </w:rPr>
            </w:pPr>
          </w:p>
        </w:tc>
        <w:tc>
          <w:tcPr>
            <w:tcW w:w="1180" w:type="dxa"/>
            <w:vAlign w:val="bottom"/>
            <w:vMerge w:val="restart"/>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 Intrins</w:t>
            </w:r>
          </w:p>
        </w:tc>
        <w:tc>
          <w:tcPr>
            <w:tcW w:w="0" w:type="dxa"/>
            <w:vAlign w:val="bottom"/>
          </w:tcPr>
          <w:p>
            <w:pPr>
              <w:spacing w:after="0"/>
              <w:rPr>
                <w:sz w:val="1"/>
                <w:szCs w:val="1"/>
                <w:color w:val="auto"/>
              </w:rPr>
            </w:pPr>
          </w:p>
        </w:tc>
      </w:tr>
      <w:tr>
        <w:trPr>
          <w:trHeight w:val="138"/>
        </w:trPr>
        <w:tc>
          <w:tcPr>
            <w:tcW w:w="3820" w:type="dxa"/>
            <w:vAlign w:val="bottom"/>
          </w:tcPr>
          <w:p>
            <w:pPr>
              <w:spacing w:after="0"/>
              <w:rPr>
                <w:sz w:val="11"/>
                <w:szCs w:val="11"/>
                <w:color w:val="auto"/>
              </w:rPr>
            </w:pPr>
          </w:p>
        </w:tc>
        <w:tc>
          <w:tcPr>
            <w:tcW w:w="236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2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7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820" w:type="dxa"/>
            <w:vAlign w:val="bottom"/>
          </w:tcPr>
          <w:p>
            <w:pPr>
              <w:spacing w:after="0"/>
              <w:rPr>
                <w:sz w:val="15"/>
                <w:szCs w:val="15"/>
                <w:color w:val="auto"/>
              </w:rPr>
            </w:pPr>
          </w:p>
        </w:tc>
        <w:tc>
          <w:tcPr>
            <w:tcW w:w="2360" w:type="dxa"/>
            <w:vAlign w:val="bottom"/>
            <w:vMerge w:val="continue"/>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1880" w:type="dxa"/>
            <w:vAlign w:val="bottom"/>
            <w:gridSpan w:val="2"/>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Average Exercise Price</w:t>
            </w:r>
          </w:p>
        </w:tc>
        <w:tc>
          <w:tcPr>
            <w:tcW w:w="500" w:type="dxa"/>
            <w:vAlign w:val="bottom"/>
          </w:tcPr>
          <w:p>
            <w:pPr>
              <w:spacing w:after="0"/>
              <w:rPr>
                <w:sz w:val="15"/>
                <w:szCs w:val="15"/>
                <w:color w:val="auto"/>
              </w:rPr>
            </w:pPr>
          </w:p>
        </w:tc>
        <w:tc>
          <w:tcPr>
            <w:tcW w:w="96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Options outstanding</w:t>
            </w:r>
          </w:p>
        </w:tc>
        <w:tc>
          <w:tcPr>
            <w:tcW w:w="23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790,637</w:t>
            </w:r>
          </w:p>
        </w:tc>
        <w:tc>
          <w:tcPr>
            <w:tcW w:w="13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8.53</w:t>
            </w: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32.82</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62,82</w:t>
            </w:r>
          </w:p>
        </w:tc>
        <w:tc>
          <w:tcPr>
            <w:tcW w:w="0" w:type="dxa"/>
            <w:vAlign w:val="bottom"/>
          </w:tcPr>
          <w:p>
            <w:pPr>
              <w:spacing w:after="0"/>
              <w:rPr>
                <w:sz w:val="1"/>
                <w:szCs w:val="1"/>
                <w:color w:val="auto"/>
              </w:rPr>
            </w:pPr>
          </w:p>
        </w:tc>
      </w:tr>
      <w:tr>
        <w:trPr>
          <w:trHeight w:val="180"/>
        </w:trPr>
        <w:tc>
          <w:tcPr>
            <w:tcW w:w="3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Vested and expected to vest</w:t>
            </w:r>
          </w:p>
        </w:tc>
        <w:tc>
          <w:tcPr>
            <w:tcW w:w="23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790,476</w:t>
            </w:r>
          </w:p>
        </w:tc>
        <w:tc>
          <w:tcPr>
            <w:tcW w:w="13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8.53</w:t>
            </w: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32.83</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62,82</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Exercisable</w:t>
            </w:r>
          </w:p>
        </w:tc>
        <w:tc>
          <w:tcPr>
            <w:tcW w:w="23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339,921</w:t>
            </w:r>
          </w:p>
        </w:tc>
        <w:tc>
          <w:tcPr>
            <w:tcW w:w="13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7.99</w:t>
            </w: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60.29</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42,79</w:t>
            </w: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ind w:right="8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Employee Stock Options</w:t>
      </w:r>
      <w:r>
        <w:rPr>
          <w:rFonts w:ascii="Times New Roman" w:cs="Times New Roman" w:eastAsia="Times New Roman" w:hAnsi="Times New Roman"/>
          <w:sz w:val="14"/>
          <w:szCs w:val="14"/>
          <w:color w:val="auto"/>
        </w:rPr>
        <w:t>—For the years ended December 31, 2021 and 2020, the Company granted employees stock options to purchase 290,894 and 210,100 shares of common stock with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weighted-average grant date fair value of $11.26 and $3.42 per share, respectively. As of December 31, 2021, there was total unrecognized compensation costs related to unvested employee stock options of $3,341. These costs are expected to be recognized over a weighted-average period of approximately 1.4 years.</w:t>
      </w:r>
    </w:p>
    <w:p>
      <w:pPr>
        <w:spacing w:after="0" w:line="136" w:lineRule="exact"/>
        <w:rPr>
          <w:sz w:val="20"/>
          <w:szCs w:val="20"/>
          <w:color w:val="auto"/>
        </w:rPr>
      </w:pPr>
    </w:p>
    <w:p>
      <w:pPr>
        <w:jc w:val="both"/>
        <w:ind w:right="80"/>
        <w:spacing w:after="0" w:line="287" w:lineRule="auto"/>
        <w:rPr>
          <w:sz w:val="20"/>
          <w:szCs w:val="20"/>
          <w:color w:val="auto"/>
        </w:rPr>
      </w:pPr>
      <w:r>
        <w:rPr>
          <w:rFonts w:ascii="Times New Roman" w:cs="Times New Roman" w:eastAsia="Times New Roman" w:hAnsi="Times New Roman"/>
          <w:sz w:val="14"/>
          <w:szCs w:val="14"/>
          <w:color w:val="auto"/>
        </w:rPr>
        <w:t>The Company estimated the fair value of stock options using the Black-Scholes option pricing valuation model. The fair value of employee stock options is being amortized on the straight-line basis over the requisite service period of the awards. The fair value of employee stock options was estimated using the following assumptions for the years ended December 31, 2021 and 2020:</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84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shd w:val="clear" w:color="auto" w:fill="CCEEFF"/>
          </w:tcPr>
          <w:p>
            <w:pPr>
              <w:spacing w:after="0"/>
              <w:rPr>
                <w:sz w:val="15"/>
                <w:szCs w:val="15"/>
                <w:color w:val="auto"/>
              </w:rPr>
            </w:pPr>
          </w:p>
        </w:tc>
      </w:tr>
      <w:tr>
        <w:trPr>
          <w:trHeight w:val="180"/>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 (in years)</w:t>
            </w:r>
          </w:p>
        </w:tc>
        <w:tc>
          <w:tcPr>
            <w:tcW w:w="14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5.7 - 6.1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- 6.1</w:t>
            </w:r>
          </w:p>
        </w:tc>
      </w:tr>
      <w:tr>
        <w:trPr>
          <w:trHeight w:val="180"/>
        </w:trPr>
        <w:tc>
          <w:tcPr>
            <w:tcW w:w="8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4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67% - 69%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62% - 66%</w:t>
            </w:r>
          </w:p>
        </w:tc>
      </w:tr>
      <w:tr>
        <w:trPr>
          <w:trHeight w:val="180"/>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4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0.9% - 1.3%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 - 0.5%</w:t>
            </w:r>
          </w:p>
        </w:tc>
      </w:tr>
      <w:tr>
        <w:trPr>
          <w:trHeight w:val="184"/>
        </w:trPr>
        <w:tc>
          <w:tcPr>
            <w:tcW w:w="8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w:t>
            </w:r>
          </w:p>
        </w:tc>
        <w:tc>
          <w:tcPr>
            <w:tcW w:w="14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w:t>
            </w:r>
          </w:p>
        </w:tc>
      </w:tr>
    </w:tbl>
    <w:p>
      <w:pPr>
        <w:spacing w:after="0" w:line="213" w:lineRule="exact"/>
        <w:rPr>
          <w:sz w:val="20"/>
          <w:szCs w:val="20"/>
          <w:color w:val="auto"/>
        </w:rPr>
      </w:pPr>
    </w:p>
    <w:p>
      <w:pPr>
        <w:jc w:val="both"/>
        <w:ind w:right="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Expected Term</w:t>
      </w:r>
      <w:r>
        <w:rPr>
          <w:rFonts w:ascii="Times New Roman" w:cs="Times New Roman" w:eastAsia="Times New Roman" w:hAnsi="Times New Roman"/>
          <w:sz w:val="14"/>
          <w:szCs w:val="14"/>
          <w:color w:val="auto"/>
        </w:rPr>
        <w:t>—The expected term of options granted represents the period of time that the options are expected to be outstanding. Due to the lack of historical exercise history, the expected term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Company’s employee stock options has been determined utilizing the simplified method for awards that qualify as plain-vanilla options.</w:t>
      </w:r>
    </w:p>
    <w:p>
      <w:pPr>
        <w:spacing w:after="0" w:line="120" w:lineRule="exact"/>
        <w:rPr>
          <w:sz w:val="20"/>
          <w:szCs w:val="20"/>
          <w:color w:val="auto"/>
        </w:rPr>
      </w:pPr>
    </w:p>
    <w:p>
      <w:pPr>
        <w:jc w:val="both"/>
        <w:ind w:right="8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Expected Volatility</w:t>
      </w:r>
      <w:r>
        <w:rPr>
          <w:rFonts w:ascii="Times New Roman" w:cs="Times New Roman" w:eastAsia="Times New Roman" w:hAnsi="Times New Roman"/>
          <w:sz w:val="14"/>
          <w:szCs w:val="14"/>
          <w:color w:val="auto"/>
        </w:rPr>
        <w:t>—The expected stock price volatility assumption was determined by examining the historical volatilities for industry peers, as the Company did not have any trading history for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Company’s common stock. The Company will continue to analyze the historical stock price volatility and expected term assumption as more historical data for the Company’s common stock becomes available.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Risk-Free Interest Rate</w:t>
      </w:r>
      <w:r>
        <w:rPr>
          <w:rFonts w:ascii="Times New Roman" w:cs="Times New Roman" w:eastAsia="Times New Roman" w:hAnsi="Times New Roman"/>
          <w:sz w:val="14"/>
          <w:szCs w:val="14"/>
          <w:color w:val="auto"/>
        </w:rPr>
        <w:t>—The risk-free interest rate assumption is based on the U.S. Treasury instruments whose term was consistent with the expected term of the Company’s stock options.</w:t>
      </w:r>
    </w:p>
    <w:p>
      <w:pPr>
        <w:spacing w:after="0" w:line="179" w:lineRule="exact"/>
        <w:rPr>
          <w:sz w:val="20"/>
          <w:szCs w:val="20"/>
          <w:color w:val="auto"/>
        </w:rPr>
      </w:pPr>
    </w:p>
    <w:p>
      <w:pPr>
        <w:jc w:val="both"/>
        <w:ind w:right="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Dividends</w:t>
      </w:r>
      <w:r>
        <w:rPr>
          <w:rFonts w:ascii="Times New Roman" w:cs="Times New Roman" w:eastAsia="Times New Roman" w:hAnsi="Times New Roman"/>
          <w:sz w:val="14"/>
          <w:szCs w:val="14"/>
          <w:color w:val="auto"/>
        </w:rPr>
        <w:t>—The Company has not paid any cash dividends on common stock since inception and does not anticipate paying any dividends in the foreseeable future. Consequently, an expected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dividend yield of zero was used.</w:t>
      </w:r>
    </w:p>
    <w:p>
      <w:pPr>
        <w:spacing w:after="0" w:line="120" w:lineRule="exact"/>
        <w:rPr>
          <w:sz w:val="20"/>
          <w:szCs w:val="20"/>
          <w:color w:val="auto"/>
        </w:rPr>
      </w:pPr>
    </w:p>
    <w:p>
      <w:pPr>
        <w:jc w:val="both"/>
        <w:ind w:right="80"/>
        <w:spacing w:after="0" w:line="271" w:lineRule="auto"/>
        <w:rPr>
          <w:sz w:val="20"/>
          <w:szCs w:val="20"/>
          <w:color w:val="auto"/>
        </w:rPr>
      </w:pPr>
      <w:r>
        <w:rPr>
          <w:rFonts w:ascii="Times New Roman" w:cs="Times New Roman" w:eastAsia="Times New Roman" w:hAnsi="Times New Roman"/>
          <w:sz w:val="14"/>
          <w:szCs w:val="14"/>
          <w:b w:val="1"/>
          <w:bCs w:val="1"/>
          <w:color w:val="auto"/>
        </w:rPr>
        <w:t>Non-Employee Stock Options</w:t>
      </w:r>
      <w:r>
        <w:rPr>
          <w:rFonts w:ascii="Times New Roman" w:cs="Times New Roman" w:eastAsia="Times New Roman" w:hAnsi="Times New Roman"/>
          <w:sz w:val="14"/>
          <w:szCs w:val="14"/>
          <w:color w:val="auto"/>
        </w:rPr>
        <w:t>— For the years ended December 31, 2021 and 2020, the Company granted non-employees stock options to purchase 16,635 and 14,390 shares of common stock,</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respectively. As of December 31, 2021, there was total unrecognized compensation costs related to unvested non-employee stock options of $95. These costs are expected to be recognized over a weighted-average period of approximately 1.3 years.</w:t>
      </w:r>
    </w:p>
    <w:p>
      <w:pPr>
        <w:spacing w:after="0" w:line="134" w:lineRule="exact"/>
        <w:rPr>
          <w:sz w:val="20"/>
          <w:szCs w:val="20"/>
          <w:color w:val="auto"/>
        </w:rPr>
      </w:pPr>
    </w:p>
    <w:p>
      <w:pPr>
        <w:jc w:val="both"/>
        <w:ind w:right="80"/>
        <w:spacing w:after="0" w:line="290" w:lineRule="auto"/>
        <w:rPr>
          <w:sz w:val="20"/>
          <w:szCs w:val="20"/>
          <w:color w:val="auto"/>
        </w:rPr>
      </w:pPr>
      <w:r>
        <w:rPr>
          <w:rFonts w:ascii="Times New Roman" w:cs="Times New Roman" w:eastAsia="Times New Roman" w:hAnsi="Times New Roman"/>
          <w:sz w:val="14"/>
          <w:szCs w:val="14"/>
          <w:b w:val="1"/>
          <w:bCs w:val="1"/>
          <w:color w:val="auto"/>
        </w:rPr>
        <w:t>Stock-Based Compensation Expense</w:t>
      </w:r>
      <w:r>
        <w:rPr>
          <w:rFonts w:ascii="Times New Roman" w:cs="Times New Roman" w:eastAsia="Times New Roman" w:hAnsi="Times New Roman"/>
          <w:sz w:val="14"/>
          <w:szCs w:val="14"/>
          <w:color w:val="auto"/>
        </w:rPr>
        <w:t>—The following table summarizes the components of stock-based compensation expense recognized in the Company’s consolidated statements of operations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 the years ended December 31, 2021 and 2020:</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71"/>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r>
      <w:tr>
        <w:trPr>
          <w:trHeight w:val="180"/>
        </w:trPr>
        <w:tc>
          <w:tcPr>
            <w:tcW w:w="9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196"/>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INCOME TAXES</w:t>
      </w:r>
    </w:p>
    <w:p>
      <w:pPr>
        <w:spacing w:after="0" w:line="200" w:lineRule="exact"/>
        <w:rPr>
          <w:sz w:val="20"/>
          <w:szCs w:val="20"/>
          <w:color w:val="auto"/>
        </w:rPr>
      </w:pPr>
    </w:p>
    <w:p>
      <w:pPr>
        <w:spacing w:after="0" w:line="24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912" w:right="239" w:bottom="1440" w:gutter="0" w:footer="0" w:header="0"/>
        </w:sectPr>
      </w:pPr>
    </w:p>
    <w:bookmarkStart w:id="97" w:name="page98"/>
    <w:bookmarkEnd w:id="97"/>
    <w:p>
      <w:pPr>
        <w:ind w:right="140"/>
        <w:spacing w:after="0" w:line="255" w:lineRule="auto"/>
        <w:rPr>
          <w:sz w:val="20"/>
          <w:szCs w:val="20"/>
          <w:color w:val="auto"/>
        </w:rPr>
      </w:pPr>
      <w:r>
        <w:rPr>
          <w:rFonts w:ascii="Times New Roman" w:cs="Times New Roman" w:eastAsia="Times New Roman" w:hAnsi="Times New Roman"/>
          <w:sz w:val="14"/>
          <w:szCs w:val="14"/>
          <w:color w:val="auto"/>
        </w:rPr>
        <w:t>There was no provision for income taxes for the years ended December 31, 2021 and 2020, because the Company has incurred losses since inception. At December 31, 2021 and 2020 the Company concluded it was not more likely than not that it would realize its deferred tax assets, and therefore has recorded a full valuation allowance.</w:t>
      </w:r>
    </w:p>
    <w:p>
      <w:pPr>
        <w:spacing w:after="0" w:line="13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the years ended December 31, 2021 and 2020, income tax provision (benefit) related to continuing operations differ from the amounts computed by applying the statutory income tax rate of 21% to pre-tax loss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U.S. federal provision (benefit)</w:t>
            </w:r>
          </w:p>
        </w:tc>
        <w:tc>
          <w:tcPr>
            <w:tcW w:w="2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At statutory rate</w:t>
            </w:r>
          </w:p>
        </w:tc>
        <w:tc>
          <w:tcPr>
            <w:tcW w:w="240" w:type="dxa"/>
            <w:vAlign w:val="bottom"/>
          </w:tcPr>
          <w:p>
            <w:pPr>
              <w:spacing w:after="0"/>
              <w:rPr>
                <w:sz w:val="14"/>
                <w:szCs w:val="14"/>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(5,906)</w:t>
            </w:r>
          </w:p>
        </w:tc>
        <w:tc>
          <w:tcPr>
            <w:tcW w:w="2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(4,033)</w:t>
            </w:r>
          </w:p>
        </w:tc>
        <w:tc>
          <w:tcPr>
            <w:tcW w:w="0" w:type="dxa"/>
            <w:vAlign w:val="bottom"/>
          </w:tcPr>
          <w:p>
            <w:pPr>
              <w:spacing w:after="0"/>
              <w:rPr>
                <w:sz w:val="1"/>
                <w:szCs w:val="1"/>
                <w:color w:val="auto"/>
              </w:rPr>
            </w:pPr>
          </w:p>
        </w:tc>
      </w:tr>
      <w:tr>
        <w:trPr>
          <w:trHeight w:val="18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taxes</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(3,887)</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(1,799)</w:t>
            </w:r>
          </w:p>
        </w:tc>
        <w:tc>
          <w:tcPr>
            <w:tcW w:w="0" w:type="dxa"/>
            <w:vAlign w:val="bottom"/>
          </w:tcPr>
          <w:p>
            <w:pPr>
              <w:spacing w:after="0"/>
              <w:rPr>
                <w:sz w:val="1"/>
                <w:szCs w:val="1"/>
                <w:color w:val="auto"/>
              </w:rPr>
            </w:pPr>
          </w:p>
        </w:tc>
      </w:tr>
      <w:tr>
        <w:trPr>
          <w:trHeight w:val="180"/>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Valuation allowance</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9,154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6,395</w:t>
            </w:r>
          </w:p>
        </w:tc>
        <w:tc>
          <w:tcPr>
            <w:tcW w:w="0" w:type="dxa"/>
            <w:vAlign w:val="bottom"/>
          </w:tcPr>
          <w:p>
            <w:pPr>
              <w:spacing w:after="0"/>
              <w:rPr>
                <w:sz w:val="1"/>
                <w:szCs w:val="1"/>
                <w:color w:val="auto"/>
              </w:rPr>
            </w:pPr>
          </w:p>
        </w:tc>
      </w:tr>
      <w:tr>
        <w:trPr>
          <w:trHeight w:val="18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credits</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0" w:type="dxa"/>
            <w:vAlign w:val="bottom"/>
          </w:tcPr>
          <w:p>
            <w:pPr>
              <w:spacing w:after="0"/>
              <w:rPr>
                <w:sz w:val="1"/>
                <w:szCs w:val="1"/>
                <w:color w:val="auto"/>
              </w:rPr>
            </w:pPr>
          </w:p>
        </w:tc>
      </w:tr>
      <w:tr>
        <w:trPr>
          <w:trHeight w:val="180"/>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1,366</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8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Permanent differences</w:t>
            </w:r>
          </w:p>
        </w:tc>
        <w:tc>
          <w:tcPr>
            <w:tcW w:w="2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40</w:t>
            </w:r>
          </w:p>
        </w:tc>
        <w:tc>
          <w:tcPr>
            <w:tcW w:w="2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71"/>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Significant components of the Company’s deferred tax assets at December 31, 2021 and 2020 are shown below.</w:t>
            </w: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83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3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assets:</w:t>
            </w:r>
          </w:p>
        </w:tc>
        <w:tc>
          <w:tcPr>
            <w:tcW w:w="240" w:type="dxa"/>
            <w:vAlign w:val="bottom"/>
            <w:vMerge w:val="restart"/>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125,111</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23,943</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operating losses</w:t>
            </w:r>
          </w:p>
        </w:tc>
        <w:tc>
          <w:tcPr>
            <w:tcW w:w="24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Research and development tax credits</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4,597</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Lease liability</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based compensation</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3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gross deferred tax assets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147,940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29,790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Less: valuation allowance</w:t>
            </w:r>
          </w:p>
        </w:tc>
        <w:tc>
          <w:tcPr>
            <w:tcW w:w="24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(146,933)</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(29,073)</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3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liability:</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Right-of-use assets</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Fixed assets</w:t>
            </w:r>
          </w:p>
        </w:tc>
        <w:tc>
          <w:tcPr>
            <w:tcW w:w="24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3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gross deferred tax liabilities</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deferred tax assets</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9"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14"/>
          <w:szCs w:val="14"/>
          <w:color w:val="auto"/>
        </w:rPr>
        <w:t>The deferred tax assets and valuation allowance increased by $117.9 million from December 31, 2020 to December 31, 2021 due primarily to the Millendo reverse merger, the generation of net operating losses, and research and development credits.</w:t>
      </w:r>
    </w:p>
    <w:p>
      <w:pPr>
        <w:spacing w:after="0" w:line="13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2021, the Company has net operating loss carryforwards for federal and state income tax purposes of approximately $452.4 million and $394.1 million, respectively. As of December 31, 2020, the Company has net operating loss carryforwards for federal and state income tax purposes of approximately $80.9 million and $80.3 million,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federal and state net operating loss carryforwards begin to expire in 2031 and 2022, respectively, if not utilized. Federal net operating losses of $231.2 million are not subject to expiration.</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December 31, 2021, the Company has federal and state research and development carryforwards of approximately $10.2 million and $3.2 million, respectively. The Company also has $7.4 million of Orphan Drug Credit. As of December 31, 2020, the Company has federal and state research and development carryforwards of approximately $3.9 million and $1.9 million, respectively. The federal and state credits begin to expire in 2031 and 2029, respectively, if not utilized; $2.1 million of the state credits can be carried forward indefinitely.</w:t>
      </w:r>
    </w:p>
    <w:p>
      <w:pPr>
        <w:spacing w:after="0" w:line="200" w:lineRule="exact"/>
        <w:rPr>
          <w:sz w:val="20"/>
          <w:szCs w:val="20"/>
          <w:color w:val="auto"/>
        </w:rPr>
      </w:pPr>
    </w:p>
    <w:p>
      <w:pPr>
        <w:spacing w:after="0" w:line="20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0" w:right="319" w:bottom="1440" w:gutter="0" w:footer="0" w:header="0"/>
        </w:sectPr>
      </w:pPr>
    </w:p>
    <w:bookmarkStart w:id="98" w:name="page99"/>
    <w:bookmarkEnd w:id="98"/>
    <w:p>
      <w:pPr>
        <w:jc w:val="both"/>
        <w:spacing w:after="0" w:line="270" w:lineRule="auto"/>
        <w:rPr>
          <w:sz w:val="20"/>
          <w:szCs w:val="20"/>
          <w:color w:val="auto"/>
        </w:rPr>
      </w:pPr>
      <w:r>
        <w:rPr>
          <w:rFonts w:ascii="Times New Roman" w:cs="Times New Roman" w:eastAsia="Times New Roman" w:hAnsi="Times New Roman"/>
          <w:sz w:val="14"/>
          <w:szCs w:val="14"/>
          <w:color w:val="auto"/>
        </w:rPr>
        <w:t>Utilization of some of the federal and state net operating loss and credit carryforwards may be subject to annual limitations due to the “change in ownership” provisions of the Internal Revenue Code of 1986 and similar state provisions. The annual limitations may result in the expiration of net operating losses and credits before utilization. The Company has not performed a Section 382 study as of December 31, 2021. At least $455.8 thousand of legacy Millendo federal net operating losses are expected to expire unused due to prior ownership changes.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20" w:type="dxa"/>
            <w:vAlign w:val="bottom"/>
          </w:tcPr>
          <w:p>
            <w:pPr>
              <w:spacing w:after="0"/>
              <w:rPr>
                <w:sz w:val="20"/>
                <w:szCs w:val="20"/>
                <w:color w:val="auto"/>
              </w:rPr>
            </w:pPr>
            <w:r>
              <w:rPr>
                <w:rFonts w:ascii="Times New Roman" w:cs="Times New Roman" w:eastAsia="Times New Roman" w:hAnsi="Times New Roman"/>
                <w:sz w:val="14"/>
                <w:szCs w:val="14"/>
                <w:color w:val="auto"/>
              </w:rPr>
              <w:t>The Company has the following activity relating to unrecognized tax benefits as of December 31, 2021 and 2020:</w:t>
            </w: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2"/>
        </w:trPr>
        <w:tc>
          <w:tcPr>
            <w:tcW w:w="852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71"/>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86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w:t>
            </w:r>
          </w:p>
        </w:tc>
      </w:tr>
      <w:tr>
        <w:trPr>
          <w:trHeight w:val="180"/>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increase - tax positions in prior periods</w:t>
            </w:r>
          </w:p>
        </w:tc>
        <w:tc>
          <w:tcPr>
            <w:tcW w:w="8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decrease - tax positions in prior periods</w:t>
            </w:r>
          </w:p>
        </w:tc>
        <w:tc>
          <w:tcPr>
            <w:tcW w:w="8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increase - tax position in current period</w:t>
            </w:r>
          </w:p>
        </w:tc>
        <w:tc>
          <w:tcPr>
            <w:tcW w:w="8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18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Settlements</w:t>
            </w:r>
          </w:p>
        </w:tc>
        <w:tc>
          <w:tcPr>
            <w:tcW w:w="8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Lapses in statutes of limitations</w:t>
            </w:r>
          </w:p>
        </w:tc>
        <w:tc>
          <w:tcPr>
            <w:tcW w:w="86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860" w:type="dxa"/>
            <w:vAlign w:val="bottom"/>
            <w:tcBorders>
              <w:top w:val="single" w:sz="8" w:color="auto"/>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of December 31, 2021 and 2020, none of the unrecognized tax benefits would impact the Company's effective tax rate due to the valuation allowance. The Company does not anticipate the uncertain tax positions will materially change in the next 12 months. The Company’s practice is to recognize interest and penalties related to income tax matters in income tax expense. The Company had no accrual for interest and penalties on the accompanying consolidated balance sheets as of December 31, 2021 and 2020, respectively, and has not recognized penalties and interest in the accompanying statements of operations for the years ended December 31, 2021 and 2020, respectively.</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is subject to taxation in the United States, California, Massachusetts, and Michigan. The Company’s tax years from inception are subject to examination by the IRS and state tax authorities due to the carryforward of unutilized net operating losses and research and development credits.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RETIREMENT PLAN</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participates in a qualified 401(k) Plan sponsored by its professional service organization. The retirement plan is a defined contribution plan covering eligible employees. Participants may contribute a portion of their annual compensation limited to a maximum annual amount set by the Internal Revenue Service. There was no contribution from the Company for the years ended December 31, 2021 and 2020.</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NET LOSS PER SHARE</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table sets forth the computation of the Company’s basic and diluted net loss per share for the years ended December 31, 2021 and 2020 (in thousands except share and per share amounts):</w:t>
      </w:r>
    </w:p>
    <w:p>
      <w:pPr>
        <w:spacing w:after="0" w:line="181" w:lineRule="exact"/>
        <w:rPr>
          <w:sz w:val="20"/>
          <w:szCs w:val="20"/>
          <w:color w:val="auto"/>
        </w:rPr>
      </w:pPr>
    </w:p>
    <w:tbl>
      <w:tblPr>
        <w:tblLayout w:type="fixed"/>
        <w:tblInd w:w="520" w:type="dxa"/>
        <w:tblCellMar>
          <w:top w:w="0" w:type="dxa"/>
          <w:left w:w="0" w:type="dxa"/>
          <w:bottom w:w="0" w:type="dxa"/>
          <w:right w:w="0" w:type="dxa"/>
        </w:tblCellMar>
      </w:tblPr>
      <w:tr>
        <w:trPr>
          <w:trHeight w:val="191"/>
        </w:trPr>
        <w:tc>
          <w:tcPr>
            <w:tcW w:w="68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7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1"/>
                <w:szCs w:val="11"/>
                <w:b w:val="1"/>
                <w:bCs w:val="1"/>
                <w:color w:val="auto"/>
              </w:rPr>
              <w:t>2021</w:t>
            </w:r>
          </w:p>
        </w:tc>
        <w:tc>
          <w:tcPr>
            <w:tcW w:w="14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71"/>
        </w:trPr>
        <w:tc>
          <w:tcPr>
            <w:tcW w:w="68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Net loss</w:t>
            </w:r>
          </w:p>
        </w:tc>
        <w:tc>
          <w:tcPr>
            <w:tcW w:w="7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(28,302)</w:t>
            </w:r>
          </w:p>
        </w:tc>
        <w:tc>
          <w:tcPr>
            <w:tcW w:w="14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(19,208)</w:t>
            </w:r>
          </w:p>
        </w:tc>
      </w:tr>
      <w:tr>
        <w:trPr>
          <w:trHeight w:val="180"/>
        </w:trPr>
        <w:tc>
          <w:tcPr>
            <w:tcW w:w="68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7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0"/>
        </w:trPr>
        <w:tc>
          <w:tcPr>
            <w:tcW w:w="68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Weighted-average common shares outstanding</w:t>
            </w:r>
          </w:p>
        </w:tc>
        <w:tc>
          <w:tcPr>
            <w:tcW w:w="7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3,799,392</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521,146</w:t>
            </w:r>
          </w:p>
        </w:tc>
      </w:tr>
      <w:tr>
        <w:trPr>
          <w:trHeight w:val="180"/>
        </w:trPr>
        <w:tc>
          <w:tcPr>
            <w:tcW w:w="68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Less: Weighted-average unvested restricted shares and shares subject to repurchase</w:t>
            </w:r>
          </w:p>
        </w:tc>
        <w:tc>
          <w:tcPr>
            <w:tcW w:w="7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(9,089)</w:t>
            </w:r>
          </w:p>
        </w:tc>
        <w:tc>
          <w:tcPr>
            <w:tcW w:w="14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(52,985)</w:t>
            </w:r>
          </w:p>
        </w:tc>
      </w:tr>
      <w:tr>
        <w:trPr>
          <w:trHeight w:val="171"/>
        </w:trPr>
        <w:tc>
          <w:tcPr>
            <w:tcW w:w="68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Weighted-average shares used to computing basic and diluted net loss per share</w:t>
            </w:r>
          </w:p>
        </w:tc>
        <w:tc>
          <w:tcPr>
            <w:tcW w:w="7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3,790,303</w:t>
            </w:r>
          </w:p>
        </w:tc>
        <w:tc>
          <w:tcPr>
            <w:tcW w:w="1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468,161</w:t>
            </w:r>
          </w:p>
        </w:tc>
      </w:tr>
      <w:tr>
        <w:trPr>
          <w:trHeight w:val="20"/>
        </w:trPr>
        <w:tc>
          <w:tcPr>
            <w:tcW w:w="68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6"/>
        </w:trPr>
        <w:tc>
          <w:tcPr>
            <w:tcW w:w="68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05"/>
        </w:trPr>
        <w:tc>
          <w:tcPr>
            <w:tcW w:w="68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b w:val="1"/>
                <w:bCs w:val="1"/>
                <w:color w:val="auto"/>
              </w:rPr>
              <w:t>Net loss per share attributable to common stockholders—basic and diluted</w:t>
            </w:r>
          </w:p>
        </w:tc>
        <w:tc>
          <w:tcPr>
            <w:tcW w:w="7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(7.47)</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(41.03)</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As of December 31, 2021 and 2020, the Company’s potentially dilutive securities included unvested stock warrants and stock options, which have been excluded from the computation of diluted net loss per share attributable to common stockholders as the effect would be anti-dilutive. Based on the amounts outstanding as of December 31, 2021 and 2020, the Company excluded</w:t>
      </w:r>
    </w:p>
    <w:p>
      <w:pPr>
        <w:spacing w:after="0" w:line="38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color w:val="auto"/>
        </w:rPr>
        <w:t>the following potential common shares from the computation of diluted net loss per share attributable to common stockholders because including them would have had an anti-dilutive effect:</w:t>
      </w:r>
    </w:p>
    <w:p>
      <w:pPr>
        <w:spacing w:after="0" w:line="206" w:lineRule="exact"/>
        <w:rPr>
          <w:sz w:val="20"/>
          <w:szCs w:val="20"/>
          <w:color w:val="auto"/>
        </w:rPr>
      </w:pPr>
    </w:p>
    <w:tbl>
      <w:tblPr>
        <w:tblLayout w:type="fixed"/>
        <w:tblInd w:w="520" w:type="dxa"/>
        <w:tblCellMar>
          <w:top w:w="0" w:type="dxa"/>
          <w:left w:w="0" w:type="dxa"/>
          <w:bottom w:w="0" w:type="dxa"/>
          <w:right w:w="0" w:type="dxa"/>
        </w:tblCellMar>
      </w:tblPr>
      <w:tr>
        <w:trPr>
          <w:trHeight w:val="153"/>
        </w:trPr>
        <w:tc>
          <w:tcPr>
            <w:tcW w:w="728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75"/>
        </w:trPr>
        <w:tc>
          <w:tcPr>
            <w:tcW w:w="72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Series A preferred stock</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547,400</w:t>
            </w:r>
          </w:p>
        </w:tc>
      </w:tr>
      <w:tr>
        <w:trPr>
          <w:trHeight w:val="171"/>
        </w:trPr>
        <w:tc>
          <w:tcPr>
            <w:tcW w:w="72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Series B preferred stock</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811,013</w:t>
            </w:r>
          </w:p>
        </w:tc>
      </w:tr>
      <w:tr>
        <w:trPr>
          <w:trHeight w:val="191"/>
        </w:trPr>
        <w:tc>
          <w:tcPr>
            <w:tcW w:w="72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Series B-1 preferred stock</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2,334,500</w:t>
            </w:r>
          </w:p>
        </w:tc>
      </w:tr>
      <w:tr>
        <w:trPr>
          <w:trHeight w:val="167"/>
        </w:trPr>
        <w:tc>
          <w:tcPr>
            <w:tcW w:w="72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Options to purchase common stock</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790,637</w:t>
            </w: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452,166</w:t>
            </w:r>
          </w:p>
        </w:tc>
      </w:tr>
      <w:tr>
        <w:trPr>
          <w:trHeight w:val="184"/>
        </w:trPr>
        <w:tc>
          <w:tcPr>
            <w:tcW w:w="72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Unvested restricted common stock</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28,996</w:t>
            </w:r>
          </w:p>
        </w:tc>
      </w:tr>
      <w:tr>
        <w:trPr>
          <w:trHeight w:val="181"/>
        </w:trPr>
        <w:tc>
          <w:tcPr>
            <w:tcW w:w="7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Common stock warrants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6,036</w:t>
            </w:r>
          </w:p>
        </w:tc>
        <w:tc>
          <w:tcPr>
            <w:tcW w:w="80" w:type="dxa"/>
            <w:vAlign w:val="bottom"/>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280" w:type="dxa"/>
            <w:vAlign w:val="bottom"/>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796,673</w:t>
            </w:r>
          </w:p>
        </w:tc>
        <w:tc>
          <w:tcPr>
            <w:tcW w:w="80" w:type="dxa"/>
            <w:vAlign w:val="bottom"/>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4,174,075</w:t>
            </w:r>
          </w:p>
        </w:tc>
      </w:tr>
      <w:tr>
        <w:trPr>
          <w:trHeight w:val="20"/>
        </w:trPr>
        <w:tc>
          <w:tcPr>
            <w:tcW w:w="7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maintain “disclosure controls and procedures,” as defined in Rules 13a-15(e) and 15d-15(e) under the Exchange Act, that are designed to ensure that information required to be disclosed in the reports that we file or submit under the Exchange Act is recorded, processed, summarized and reported within the time periods specified in the SEC’s rules and forms and accumulated and communicated to our management, including our principal executive and principal financial officers, or persons performing similar functions, as appropriate to allow timely decisions regarding required disclosure.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management, with the participation of our Chief Executive Officer (principal executive officer) and Vice-President, Strategy and Finance (principal financial officer), evaluated the effectiveness of our disclosure controls and procedures (as defined in the Securities Exchange Act of 1934 Rules 13a-15(e) or 15d-15(e)) as required by paragraph (b) of Exchange Act Rules 13a-15 or 15d-15, as of December 31, 2021. Based on the evaluation of our disclosure controls and procedures as of December 31, 2021, our Chief Executive Officer and Vice-President, Strategy and Finance concluded that, as of such date, our disclosure controls and procedures were not effective at a reasonable assurance level because of the material weaknesses in internal control over financial reporting set forth below; provided, however, that we have made improvements with respect to addressing such material weaknesses and will continue to execute on an existing plan to remedy them.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Internal Control Over Financial Reporting</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(as defined in Rules 13a-15(f) and 15d (f) under the Exchange Act). Internal control over financial reporting is a process designed to provide reasonable assurance regarding the reliability of financial reporting and the preparation of financial statements for external reporting purposes in accordance with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by, or under the supervision of, a company’s principal executive and principal financial officers, or persons performing similar functions, and effected by a company’s board of directors, management and other personnel to provide reasonable assurance regarding the reliability of financial reporting and the preparation of financial statements in accordance with generally accepted accounting principles. A material weakness is a deficiency or combination of deficiencies in internal control over financial reporting, such that there is a reasonable possibility that a material misstatement of our annual or interim financial statements will not be prevented or detected and corrected on a timely basis.</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preparing the financial statements as of and for the year ended December 31, 2020, our management identified material weaknesses in its internal control over financial reporting. The material weaknesses identified were as follows:</w:t>
      </w:r>
    </w:p>
    <w:p>
      <w:pPr>
        <w:spacing w:after="0" w:line="200" w:lineRule="exact"/>
        <w:rPr>
          <w:sz w:val="20"/>
          <w:szCs w:val="20"/>
          <w:color w:val="auto"/>
        </w:rPr>
      </w:pPr>
    </w:p>
    <w:p>
      <w:pPr>
        <w:spacing w:after="0" w:line="380"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100" w:name="page101"/>
    <w:bookmarkEnd w:id="100"/>
    <w:p>
      <w:pPr>
        <w:ind w:left="1020" w:hanging="506"/>
        <w:spacing w:after="0" w:line="287" w:lineRule="auto"/>
        <w:tabs>
          <w:tab w:leader="none" w:pos="87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was a material weakness in our internal control environment over financial reporting as a result of insufficient resources with appropriate knowledge and expertise to design, implement, document and operate effective internal controls over financial reporting.</w:t>
      </w:r>
    </w:p>
    <w:p>
      <w:pPr>
        <w:spacing w:after="0" w:line="145" w:lineRule="exact"/>
        <w:rPr>
          <w:rFonts w:ascii="Times New Roman" w:cs="Times New Roman" w:eastAsia="Times New Roman" w:hAnsi="Times New Roman"/>
          <w:sz w:val="14"/>
          <w:szCs w:val="14"/>
          <w:color w:val="auto"/>
        </w:rPr>
      </w:pPr>
    </w:p>
    <w:p>
      <w:pPr>
        <w:ind w:left="1020" w:hanging="506"/>
        <w:spacing w:after="0" w:line="270" w:lineRule="auto"/>
        <w:tabs>
          <w:tab w:leader="none" w:pos="885"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was a material weakness in our internal control activities due to a failure in design and implementation of controls to review clinical trial expenses, including the evaluation of the terms of clinical trial contracts. Specifically, Tempest failed to properly review and evaluate progress of expense incurred in clinical trial contracts which resulted in the inaccurate actual of its clinical trial expenses.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Remediation of Material Weaknesses in Internal Control over Financial Reporting</w:t>
      </w:r>
    </w:p>
    <w:p>
      <w:pPr>
        <w:spacing w:after="0" w:line="19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Our management, under the supervision of its Chief Executive Officer, has undertaken a plan to remediate the material weaknesses identified above, including adjustment to the methodology used to reflect clinical trial expenses in our financial statements and leveraging additional accounting resources. The additional efforts summarized below, which are in the process of being implemented, are intended to finalize the remediation, which our management expects to complete in the first half of 2022.</w:t>
      </w:r>
    </w:p>
    <w:p>
      <w:pPr>
        <w:spacing w:after="0" w:line="336" w:lineRule="exact"/>
        <w:rPr>
          <w:sz w:val="20"/>
          <w:szCs w:val="20"/>
          <w:color w:val="auto"/>
        </w:rPr>
      </w:pPr>
    </w:p>
    <w:p>
      <w:pPr>
        <w:ind w:left="1020" w:hanging="506"/>
        <w:spacing w:after="0" w:line="287" w:lineRule="auto"/>
        <w:tabs>
          <w:tab w:leader="none" w:pos="875"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seek to recruit and hire additional accounting personnel with appropriate experience, certification, education and training to help design, implement, document and operate effective internal controls over financial reporting; and</w:t>
      </w:r>
    </w:p>
    <w:p>
      <w:pPr>
        <w:spacing w:after="0" w:line="134" w:lineRule="exact"/>
        <w:rPr>
          <w:rFonts w:ascii="Times New Roman" w:cs="Times New Roman" w:eastAsia="Times New Roman" w:hAnsi="Times New Roman"/>
          <w:sz w:val="14"/>
          <w:szCs w:val="14"/>
          <w:color w:val="auto"/>
        </w:rPr>
      </w:pPr>
    </w:p>
    <w:p>
      <w:pPr>
        <w:ind w:left="1020" w:hanging="506"/>
        <w:spacing w:after="0" w:line="255" w:lineRule="auto"/>
        <w:tabs>
          <w:tab w:leader="none" w:pos="889"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finalize our internal control design, and implement management review controls to review clinical trial expenses and the completeness of our reserves based on the status of clinical development and the progress of expense incurred.</w:t>
      </w:r>
    </w:p>
    <w:p>
      <w:pPr>
        <w:spacing w:after="0" w:line="15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management cannot assure you that the material weaknesses identified will be remediated on the timelines currently anticipated by us, or at all, or that there will not be additional material weaknesses or significant deficiencies in the future.</w:t>
      </w:r>
    </w:p>
    <w:p>
      <w:pPr>
        <w:spacing w:after="0" w:line="14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Notwithstanding the existence of the material weaknesses as described above, we believe that the Consolidated Financial Statements in this Annual Report fairly present, in all material respects, our financial position, results of operations and cash flows as of the dates, and for the periods, presented, in conformity with GAAP.</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Attestation Report of the Registered Public Accounting Firm.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a smaller reporting company, and therefore our independent registered public accounting firm has not issued a report on the effectiveness of internal control over financial reporting.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There were no changes in internal control over financial reporting during the quarter ended December 31, 2021 that have materially affected, or are reasonably likely to materially affect, our internal control over financial reporting.</w:t>
      </w:r>
    </w:p>
    <w:p>
      <w:pPr>
        <w:spacing w:after="0" w:line="38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6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by reference to our Proxy Statement for our 2022 Annual Meeting of Shareholders to be filed with the SEC within 120 days after the end of the fiscal year ended December 31, 2021.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by reference to our Proxy Statement for our 2022 Annual Meeting of Shareholders to be filed with the SEC within 120 days after the end of the fiscal year ended December 31, 2021.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by reference to our Proxy Statement for our 2022 Annual Meeting of Shareholders to be filed with the SEC within 120 days after the end of the fiscal year ended December 31, 2021.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by reference to our Proxy Statement for our 2022 Annual Meeting of Shareholders to be filed with the SEC within 120 days after the end of the fiscal year ended December 31, 2021.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ACCOUNTING FEES AND SERVICES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by reference to our Proxy Statement for our 2022 Annual Meeting of Shareholders to be filed with the SEC within 120 days after the end of the fiscal year ended December 31, 2021.</w:t>
      </w:r>
    </w:p>
    <w:p>
      <w:pPr>
        <w:spacing w:after="0" w:line="38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102" w:name="page103"/>
    <w:bookmarkEnd w:id="102"/>
    <w:p>
      <w:pPr>
        <w:ind w:left="5360"/>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filed the following documents as part of this Annual Report:</w:t>
      </w:r>
    </w:p>
    <w:p>
      <w:pPr>
        <w:spacing w:after="0" w:line="17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b w:val="1"/>
          <w:bCs w:val="1"/>
          <w:color w:val="auto"/>
        </w:rPr>
        <w:t>(a)(1)</w:t>
        <w:tab/>
        <w:t>Financial Statements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financial statements are included in Item 8. “Financial Statements and Supplementary Data.”</w:t>
      </w:r>
    </w:p>
    <w:p>
      <w:pPr>
        <w:spacing w:after="0" w:line="17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b w:val="1"/>
          <w:bCs w:val="1"/>
          <w:color w:val="auto"/>
        </w:rPr>
        <w:t>(a)(2)</w:t>
        <w:tab/>
        <w:t>Financial Statement Schedules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All schedules are omitted as information required is inapplicable or the information is presented in the financial statements and the related notes.</w:t>
      </w:r>
    </w:p>
    <w:p>
      <w:pPr>
        <w:spacing w:after="0" w:line="17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b w:val="1"/>
          <w:bCs w:val="1"/>
          <w:color w:val="auto"/>
        </w:rPr>
        <w:t>(a)(3)</w:t>
        <w:tab/>
        <w:t>Exhibits</w:t>
      </w:r>
    </w:p>
    <w:p>
      <w:pPr>
        <w:spacing w:after="0" w:line="200" w:lineRule="exact"/>
        <w:rPr>
          <w:sz w:val="20"/>
          <w:szCs w:val="20"/>
          <w:color w:val="auto"/>
        </w:rPr>
      </w:pPr>
    </w:p>
    <w:p>
      <w:pPr>
        <w:spacing w:after="0" w:line="24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897" w:right="1440"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53"/>
        </w:trPr>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3"/>
          </w:tcPr>
          <w:p>
            <w:pPr>
              <w:jc w:val="right"/>
              <w:ind w:right="603"/>
              <w:spacing w:after="0"/>
              <w:rPr>
                <w:sz w:val="20"/>
                <w:szCs w:val="20"/>
                <w:color w:val="auto"/>
              </w:rPr>
            </w:pPr>
            <w:r>
              <w:rPr>
                <w:rFonts w:ascii="Times New Roman" w:cs="Times New Roman" w:eastAsia="Times New Roman" w:hAnsi="Times New Roman"/>
                <w:sz w:val="11"/>
                <w:szCs w:val="11"/>
                <w:b w:val="1"/>
                <w:bCs w:val="1"/>
                <w:color w:val="auto"/>
              </w:rPr>
              <w:t>Incorporation by Reference</w:t>
            </w: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Filed or</w:t>
            </w:r>
          </w:p>
        </w:tc>
        <w:tc>
          <w:tcPr>
            <w:tcW w:w="0" w:type="dxa"/>
            <w:vAlign w:val="bottom"/>
          </w:tcPr>
          <w:p>
            <w:pPr>
              <w:spacing w:after="0"/>
              <w:rPr>
                <w:sz w:val="1"/>
                <w:szCs w:val="1"/>
                <w:color w:val="auto"/>
              </w:rPr>
            </w:pPr>
          </w:p>
        </w:tc>
      </w:tr>
      <w:tr>
        <w:trPr>
          <w:trHeight w:val="106"/>
        </w:trPr>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 Number</w:t>
            </w: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980" w:type="dxa"/>
            <w:vAlign w:val="bottom"/>
            <w:gridSpan w:val="23"/>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Description of Exhibit</w:t>
            </w:r>
          </w:p>
        </w:tc>
        <w:tc>
          <w:tcPr>
            <w:tcW w:w="640" w:type="dxa"/>
            <w:vAlign w:val="bottom"/>
            <w:vMerge w:val="restart"/>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w w:val="98"/>
              </w:rPr>
              <w:t>Form</w:t>
            </w:r>
          </w:p>
        </w:tc>
        <w:tc>
          <w:tcPr>
            <w:tcW w:w="112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File Number</w:t>
            </w: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Filing Date</w:t>
            </w:r>
          </w:p>
        </w:tc>
        <w:tc>
          <w:tcPr>
            <w:tcW w:w="740" w:type="dxa"/>
            <w:vAlign w:val="bottom"/>
          </w:tcPr>
          <w:p>
            <w:pPr>
              <w:jc w:val="center"/>
              <w:ind w:right="3"/>
              <w:spacing w:after="0" w:line="106" w:lineRule="exact"/>
              <w:rPr>
                <w:sz w:val="20"/>
                <w:szCs w:val="20"/>
                <w:color w:val="auto"/>
              </w:rPr>
            </w:pPr>
            <w:r>
              <w:rPr>
                <w:rFonts w:ascii="Times New Roman" w:cs="Times New Roman" w:eastAsia="Times New Roman" w:hAnsi="Times New Roman"/>
                <w:sz w:val="11"/>
                <w:szCs w:val="11"/>
                <w:b w:val="1"/>
                <w:bCs w:val="1"/>
                <w:color w:val="auto"/>
                <w:w w:val="99"/>
              </w:rPr>
              <w:t>Furnished</w:t>
            </w:r>
          </w:p>
        </w:tc>
        <w:tc>
          <w:tcPr>
            <w:tcW w:w="0" w:type="dxa"/>
            <w:vAlign w:val="bottom"/>
          </w:tcPr>
          <w:p>
            <w:pPr>
              <w:spacing w:after="0"/>
              <w:rPr>
                <w:sz w:val="1"/>
                <w:szCs w:val="1"/>
                <w:color w:val="auto"/>
              </w:rPr>
            </w:pPr>
          </w:p>
        </w:tc>
      </w:tr>
      <w:tr>
        <w:trPr>
          <w:trHeight w:val="149"/>
        </w:trPr>
        <w:tc>
          <w:tcPr>
            <w:tcW w:w="980" w:type="dxa"/>
            <w:vAlign w:val="bottom"/>
            <w:tcBorders>
              <w:bottom w:val="single" w:sz="8" w:color="auto"/>
            </w:tcBorders>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980" w:type="dxa"/>
            <w:vAlign w:val="bottom"/>
            <w:tcBorders>
              <w:bottom w:val="single" w:sz="8" w:color="auto"/>
            </w:tcBorders>
            <w:gridSpan w:val="23"/>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w w:val="99"/>
              </w:rPr>
              <w:t>Herewith</w:t>
            </w:r>
          </w:p>
        </w:tc>
        <w:tc>
          <w:tcPr>
            <w:tcW w:w="0" w:type="dxa"/>
            <w:vAlign w:val="bottom"/>
          </w:tcPr>
          <w:p>
            <w:pPr>
              <w:spacing w:after="0"/>
              <w:rPr>
                <w:sz w:val="1"/>
                <w:szCs w:val="1"/>
                <w:color w:val="auto"/>
              </w:rPr>
            </w:pPr>
          </w:p>
        </w:tc>
      </w:tr>
      <w:tr>
        <w:trPr>
          <w:trHeight w:val="107"/>
        </w:trPr>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2.1</w:t>
            </w:r>
          </w:p>
        </w:tc>
        <w:tc>
          <w:tcPr>
            <w:tcW w:w="6180" w:type="dxa"/>
            <w:vAlign w:val="bottom"/>
            <w:gridSpan w:val="30"/>
          </w:tcPr>
          <w:p>
            <w:pPr>
              <w:spacing w:after="0" w:line="107" w:lineRule="exact"/>
              <w:rPr>
                <w:rFonts w:ascii="Times New Roman" w:cs="Times New Roman" w:eastAsia="Times New Roman" w:hAnsi="Times New Roman"/>
                <w:sz w:val="11"/>
                <w:szCs w:val="11"/>
                <w:color w:val="0000FF"/>
              </w:rPr>
            </w:pPr>
            <w:hyperlink r:id="rId129">
              <w:r>
                <w:rPr>
                  <w:rFonts w:ascii="Times New Roman" w:cs="Times New Roman" w:eastAsia="Times New Roman" w:hAnsi="Times New Roman"/>
                  <w:sz w:val="11"/>
                  <w:szCs w:val="11"/>
                  <w:color w:val="0000FF"/>
                </w:rPr>
                <w:t>Agreement and Plan of Merger, dated as of March 29, 2021, by and among Tempest Therapeutics, Inc., Mars Merger Corp. and</w:t>
              </w:r>
            </w:hyperlink>
          </w:p>
        </w:tc>
        <w:tc>
          <w:tcPr>
            <w:tcW w:w="640" w:type="dxa"/>
            <w:vAlign w:val="bottom"/>
            <w:vMerge w:val="restart"/>
          </w:tcPr>
          <w:p>
            <w:pPr>
              <w:jc w:val="center"/>
              <w:ind w:right="3"/>
              <w:spacing w:after="0"/>
              <w:rPr>
                <w:sz w:val="20"/>
                <w:szCs w:val="20"/>
                <w:color w:val="auto"/>
              </w:rPr>
            </w:pPr>
            <w:r>
              <w:rPr>
                <w:rFonts w:ascii="Times New Roman" w:cs="Times New Roman" w:eastAsia="Times New Roman" w:hAnsi="Times New Roman"/>
                <w:sz w:val="11"/>
                <w:szCs w:val="11"/>
                <w:color w:val="auto"/>
              </w:rPr>
              <w:t>8-K</w:t>
            </w:r>
          </w:p>
        </w:tc>
        <w:tc>
          <w:tcPr>
            <w:tcW w:w="1120" w:type="dxa"/>
            <w:vAlign w:val="bottom"/>
            <w:vMerge w:val="restart"/>
          </w:tcPr>
          <w:p>
            <w:pPr>
              <w:jc w:val="right"/>
              <w:ind w:right="23"/>
              <w:spacing w:after="0"/>
              <w:rPr>
                <w:sz w:val="20"/>
                <w:szCs w:val="20"/>
                <w:color w:val="auto"/>
              </w:rPr>
            </w:pPr>
            <w:r>
              <w:rPr>
                <w:rFonts w:ascii="Times New Roman" w:cs="Times New Roman" w:eastAsia="Times New Roman" w:hAnsi="Times New Roman"/>
                <w:sz w:val="11"/>
                <w:szCs w:val="11"/>
                <w:color w:val="auto"/>
              </w:rPr>
              <w:t>001-35890</w:t>
            </w:r>
          </w:p>
        </w:tc>
        <w:tc>
          <w:tcPr>
            <w:tcW w:w="620" w:type="dxa"/>
            <w:vAlign w:val="bottom"/>
            <w:vMerge w:val="restart"/>
          </w:tcPr>
          <w:p>
            <w:pPr>
              <w:jc w:val="center"/>
              <w:ind w:right="23"/>
              <w:spacing w:after="0"/>
              <w:rPr>
                <w:sz w:val="20"/>
                <w:szCs w:val="20"/>
                <w:color w:val="auto"/>
              </w:rPr>
            </w:pPr>
            <w:r>
              <w:rPr>
                <w:rFonts w:ascii="Times New Roman" w:cs="Times New Roman" w:eastAsia="Times New Roman" w:hAnsi="Times New Roman"/>
                <w:sz w:val="11"/>
                <w:szCs w:val="11"/>
                <w:color w:val="auto"/>
              </w:rPr>
              <w:t>2.1</w:t>
            </w:r>
          </w:p>
        </w:tc>
        <w:tc>
          <w:tcPr>
            <w:tcW w:w="1000" w:type="dxa"/>
            <w:vAlign w:val="bottom"/>
            <w:vMerge w:val="restart"/>
          </w:tcPr>
          <w:p>
            <w:pPr>
              <w:jc w:val="right"/>
              <w:ind w:right="23"/>
              <w:spacing w:after="0"/>
              <w:rPr>
                <w:sz w:val="20"/>
                <w:szCs w:val="20"/>
                <w:color w:val="auto"/>
              </w:rPr>
            </w:pPr>
            <w:r>
              <w:rPr>
                <w:rFonts w:ascii="Times New Roman" w:cs="Times New Roman" w:eastAsia="Times New Roman" w:hAnsi="Times New Roman"/>
                <w:sz w:val="11"/>
                <w:szCs w:val="11"/>
                <w:color w:val="auto"/>
              </w:rPr>
              <w:t>3/29/2021</w:t>
            </w: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980" w:type="dxa"/>
            <w:vAlign w:val="bottom"/>
            <w:vMerge w:val="continue"/>
          </w:tcPr>
          <w:p>
            <w:pPr>
              <w:spacing w:after="0"/>
              <w:rPr>
                <w:sz w:val="7"/>
                <w:szCs w:val="7"/>
                <w:color w:val="auto"/>
              </w:rPr>
            </w:pPr>
          </w:p>
        </w:tc>
        <w:tc>
          <w:tcPr>
            <w:tcW w:w="5760" w:type="dxa"/>
            <w:vAlign w:val="bottom"/>
            <w:tcBorders>
              <w:top w:val="single" w:sz="8" w:color="0000FF"/>
            </w:tcBorders>
            <w:gridSpan w:val="22"/>
          </w:tcPr>
          <w:p>
            <w:pPr>
              <w:spacing w:after="0" w:line="86" w:lineRule="exact"/>
              <w:rPr>
                <w:rFonts w:ascii="Times New Roman" w:cs="Times New Roman" w:eastAsia="Times New Roman" w:hAnsi="Times New Roman"/>
                <w:sz w:val="9"/>
                <w:szCs w:val="9"/>
                <w:color w:val="0000FF"/>
              </w:rPr>
            </w:pPr>
            <w:hyperlink r:id="rId129">
              <w:r>
                <w:rPr>
                  <w:rFonts w:ascii="Times New Roman" w:cs="Times New Roman" w:eastAsia="Times New Roman" w:hAnsi="Times New Roman"/>
                  <w:sz w:val="9"/>
                  <w:szCs w:val="9"/>
                  <w:color w:val="0000FF"/>
                </w:rPr>
                <w:t>Tempest Therapeutics, Inc.</w:t>
              </w:r>
            </w:hyperlink>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3.1</w:t>
            </w:r>
          </w:p>
        </w:tc>
        <w:tc>
          <w:tcPr>
            <w:tcW w:w="3040" w:type="dxa"/>
            <w:vAlign w:val="bottom"/>
            <w:tcBorders>
              <w:bottom w:val="single" w:sz="8" w:color="0000FF"/>
            </w:tcBorders>
            <w:gridSpan w:val="10"/>
          </w:tcPr>
          <w:p>
            <w:pPr>
              <w:spacing w:after="0"/>
              <w:rPr>
                <w:rFonts w:ascii="Times New Roman" w:cs="Times New Roman" w:eastAsia="Times New Roman" w:hAnsi="Times New Roman"/>
                <w:sz w:val="11"/>
                <w:szCs w:val="11"/>
                <w:color w:val="0000FF"/>
              </w:rPr>
            </w:pPr>
            <w:hyperlink r:id="rId130">
              <w:r>
                <w:rPr>
                  <w:rFonts w:ascii="Times New Roman" w:cs="Times New Roman" w:eastAsia="Times New Roman" w:hAnsi="Times New Roman"/>
                  <w:sz w:val="11"/>
                  <w:szCs w:val="11"/>
                  <w:color w:val="0000FF"/>
                </w:rPr>
                <w:t>Restated Certificate of Incorporation of the Registrant, as amended</w:t>
              </w:r>
            </w:hyperlink>
          </w:p>
        </w:tc>
        <w:tc>
          <w:tcPr>
            <w:tcW w:w="3140" w:type="dxa"/>
            <w:vAlign w:val="bottom"/>
            <w:gridSpan w:val="20"/>
          </w:tcPr>
          <w:p>
            <w:pPr>
              <w:spacing w:after="0"/>
              <w:rPr>
                <w:sz w:val="11"/>
                <w:szCs w:val="11"/>
                <w:color w:val="auto"/>
              </w:rPr>
            </w:pPr>
          </w:p>
        </w:tc>
        <w:tc>
          <w:tcPr>
            <w:tcW w:w="64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w w:val="97"/>
              </w:rPr>
              <w:t>10-Q</w:t>
            </w: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001-35890</w:t>
            </w:r>
          </w:p>
        </w:tc>
        <w:tc>
          <w:tcPr>
            <w:tcW w:w="620" w:type="dxa"/>
            <w:vAlign w:val="bottom"/>
          </w:tcPr>
          <w:p>
            <w:pPr>
              <w:jc w:val="center"/>
              <w:ind w:right="23"/>
              <w:spacing w:after="0"/>
              <w:rPr>
                <w:sz w:val="20"/>
                <w:szCs w:val="20"/>
                <w:color w:val="auto"/>
              </w:rPr>
            </w:pPr>
            <w:r>
              <w:rPr>
                <w:rFonts w:ascii="Times New Roman" w:cs="Times New Roman" w:eastAsia="Times New Roman" w:hAnsi="Times New Roman"/>
                <w:sz w:val="11"/>
                <w:szCs w:val="11"/>
                <w:color w:val="auto"/>
              </w:rPr>
              <w:t>3.1</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5/15/2019</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3.2</w:t>
            </w:r>
          </w:p>
        </w:tc>
        <w:tc>
          <w:tcPr>
            <w:tcW w:w="6180" w:type="dxa"/>
            <w:vAlign w:val="bottom"/>
            <w:gridSpan w:val="30"/>
          </w:tcPr>
          <w:p>
            <w:pPr>
              <w:spacing w:after="0"/>
              <w:rPr>
                <w:rFonts w:ascii="Times New Roman" w:cs="Times New Roman" w:eastAsia="Times New Roman" w:hAnsi="Times New Roman"/>
                <w:sz w:val="11"/>
                <w:szCs w:val="11"/>
                <w:color w:val="0000FF"/>
              </w:rPr>
            </w:pPr>
            <w:hyperlink r:id="rId131">
              <w:r>
                <w:rPr>
                  <w:rFonts w:ascii="Times New Roman" w:cs="Times New Roman" w:eastAsia="Times New Roman" w:hAnsi="Times New Roman"/>
                  <w:sz w:val="11"/>
                  <w:szCs w:val="11"/>
                  <w:color w:val="0000FF"/>
                </w:rPr>
                <w:t>Certificate of Amendment to the Restated Certificate of Incorporation of the Company, as filed with the Secretary of State of the State</w:t>
              </w:r>
            </w:hyperlink>
          </w:p>
        </w:tc>
        <w:tc>
          <w:tcPr>
            <w:tcW w:w="640" w:type="dxa"/>
            <w:vAlign w:val="bottom"/>
            <w:vMerge w:val="restart"/>
          </w:tcPr>
          <w:p>
            <w:pPr>
              <w:jc w:val="center"/>
              <w:ind w:right="3"/>
              <w:spacing w:after="0"/>
              <w:rPr>
                <w:sz w:val="20"/>
                <w:szCs w:val="20"/>
                <w:color w:val="auto"/>
              </w:rPr>
            </w:pPr>
            <w:r>
              <w:rPr>
                <w:rFonts w:ascii="Times New Roman" w:cs="Times New Roman" w:eastAsia="Times New Roman" w:hAnsi="Times New Roman"/>
                <w:sz w:val="11"/>
                <w:szCs w:val="11"/>
                <w:color w:val="auto"/>
              </w:rPr>
              <w:t>8-K</w:t>
            </w:r>
          </w:p>
        </w:tc>
        <w:tc>
          <w:tcPr>
            <w:tcW w:w="1120" w:type="dxa"/>
            <w:vAlign w:val="bottom"/>
            <w:vMerge w:val="restart"/>
          </w:tcPr>
          <w:p>
            <w:pPr>
              <w:jc w:val="right"/>
              <w:ind w:right="23"/>
              <w:spacing w:after="0"/>
              <w:rPr>
                <w:sz w:val="20"/>
                <w:szCs w:val="20"/>
                <w:color w:val="auto"/>
              </w:rPr>
            </w:pPr>
            <w:r>
              <w:rPr>
                <w:rFonts w:ascii="Times New Roman" w:cs="Times New Roman" w:eastAsia="Times New Roman" w:hAnsi="Times New Roman"/>
                <w:sz w:val="11"/>
                <w:szCs w:val="11"/>
                <w:color w:val="auto"/>
              </w:rPr>
              <w:t>001-35890</w:t>
            </w:r>
          </w:p>
        </w:tc>
        <w:tc>
          <w:tcPr>
            <w:tcW w:w="620" w:type="dxa"/>
            <w:vAlign w:val="bottom"/>
            <w:vMerge w:val="restart"/>
          </w:tcPr>
          <w:p>
            <w:pPr>
              <w:jc w:val="center"/>
              <w:ind w:right="23"/>
              <w:spacing w:after="0"/>
              <w:rPr>
                <w:sz w:val="20"/>
                <w:szCs w:val="20"/>
                <w:color w:val="auto"/>
              </w:rPr>
            </w:pPr>
            <w:r>
              <w:rPr>
                <w:rFonts w:ascii="Times New Roman" w:cs="Times New Roman" w:eastAsia="Times New Roman" w:hAnsi="Times New Roman"/>
                <w:sz w:val="11"/>
                <w:szCs w:val="11"/>
                <w:color w:val="auto"/>
              </w:rPr>
              <w:t>3.1</w:t>
            </w:r>
          </w:p>
        </w:tc>
        <w:tc>
          <w:tcPr>
            <w:tcW w:w="1000" w:type="dxa"/>
            <w:vAlign w:val="bottom"/>
            <w:vMerge w:val="restart"/>
          </w:tcPr>
          <w:p>
            <w:pPr>
              <w:jc w:val="right"/>
              <w:ind w:right="23"/>
              <w:spacing w:after="0"/>
              <w:rPr>
                <w:sz w:val="20"/>
                <w:szCs w:val="20"/>
                <w:color w:val="auto"/>
              </w:rPr>
            </w:pPr>
            <w:r>
              <w:rPr>
                <w:rFonts w:ascii="Times New Roman" w:cs="Times New Roman" w:eastAsia="Times New Roman" w:hAnsi="Times New Roman"/>
                <w:sz w:val="11"/>
                <w:szCs w:val="11"/>
                <w:color w:val="auto"/>
              </w:rPr>
              <w:t>6/28/2021</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980" w:type="dxa"/>
            <w:vAlign w:val="bottom"/>
            <w:vMerge w:val="continue"/>
          </w:tcPr>
          <w:p>
            <w:pPr>
              <w:spacing w:after="0"/>
              <w:rPr>
                <w:sz w:val="7"/>
                <w:szCs w:val="7"/>
                <w:color w:val="auto"/>
              </w:rPr>
            </w:pPr>
          </w:p>
        </w:tc>
        <w:tc>
          <w:tcPr>
            <w:tcW w:w="6060" w:type="dxa"/>
            <w:vAlign w:val="bottom"/>
            <w:tcBorders>
              <w:top w:val="single" w:sz="8" w:color="0000FF"/>
            </w:tcBorders>
            <w:gridSpan w:val="26"/>
          </w:tcPr>
          <w:p>
            <w:pPr>
              <w:spacing w:after="0" w:line="86" w:lineRule="exact"/>
              <w:rPr>
                <w:rFonts w:ascii="Times New Roman" w:cs="Times New Roman" w:eastAsia="Times New Roman" w:hAnsi="Times New Roman"/>
                <w:sz w:val="9"/>
                <w:szCs w:val="9"/>
                <w:color w:val="0000FF"/>
              </w:rPr>
            </w:pPr>
            <w:hyperlink r:id="rId131">
              <w:r>
                <w:rPr>
                  <w:rFonts w:ascii="Times New Roman" w:cs="Times New Roman" w:eastAsia="Times New Roman" w:hAnsi="Times New Roman"/>
                  <w:sz w:val="9"/>
                  <w:szCs w:val="9"/>
                  <w:color w:val="0000FF"/>
                </w:rPr>
                <w:t>of Delaware on June 24, 2021</w:t>
              </w:r>
            </w:hyperlink>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3.3</w:t>
            </w:r>
          </w:p>
        </w:tc>
        <w:tc>
          <w:tcPr>
            <w:tcW w:w="6180" w:type="dxa"/>
            <w:vAlign w:val="bottom"/>
            <w:gridSpan w:val="30"/>
          </w:tcPr>
          <w:p>
            <w:pPr>
              <w:spacing w:after="0"/>
              <w:rPr>
                <w:rFonts w:ascii="Times New Roman" w:cs="Times New Roman" w:eastAsia="Times New Roman" w:hAnsi="Times New Roman"/>
                <w:sz w:val="11"/>
                <w:szCs w:val="11"/>
                <w:color w:val="0000FF"/>
              </w:rPr>
            </w:pPr>
            <w:hyperlink r:id="rId132">
              <w:r>
                <w:rPr>
                  <w:rFonts w:ascii="Times New Roman" w:cs="Times New Roman" w:eastAsia="Times New Roman" w:hAnsi="Times New Roman"/>
                  <w:sz w:val="11"/>
                  <w:szCs w:val="11"/>
                  <w:color w:val="0000FF"/>
                </w:rPr>
                <w:t>Certificate of Amendment to the Restated Certificate of Incorporation of the Company, as filed with the Secretary of State of the State</w:t>
              </w:r>
            </w:hyperlink>
          </w:p>
        </w:tc>
        <w:tc>
          <w:tcPr>
            <w:tcW w:w="640" w:type="dxa"/>
            <w:vAlign w:val="bottom"/>
            <w:vMerge w:val="restart"/>
          </w:tcPr>
          <w:p>
            <w:pPr>
              <w:jc w:val="center"/>
              <w:ind w:right="3"/>
              <w:spacing w:after="0"/>
              <w:rPr>
                <w:sz w:val="20"/>
                <w:szCs w:val="20"/>
                <w:color w:val="auto"/>
              </w:rPr>
            </w:pPr>
            <w:r>
              <w:rPr>
                <w:rFonts w:ascii="Times New Roman" w:cs="Times New Roman" w:eastAsia="Times New Roman" w:hAnsi="Times New Roman"/>
                <w:sz w:val="11"/>
                <w:szCs w:val="11"/>
                <w:color w:val="auto"/>
              </w:rPr>
              <w:t>8-K</w:t>
            </w:r>
          </w:p>
        </w:tc>
        <w:tc>
          <w:tcPr>
            <w:tcW w:w="1120" w:type="dxa"/>
            <w:vAlign w:val="bottom"/>
            <w:vMerge w:val="restart"/>
          </w:tcPr>
          <w:p>
            <w:pPr>
              <w:jc w:val="right"/>
              <w:ind w:right="23"/>
              <w:spacing w:after="0"/>
              <w:rPr>
                <w:sz w:val="20"/>
                <w:szCs w:val="20"/>
                <w:color w:val="auto"/>
              </w:rPr>
            </w:pPr>
            <w:r>
              <w:rPr>
                <w:rFonts w:ascii="Times New Roman" w:cs="Times New Roman" w:eastAsia="Times New Roman" w:hAnsi="Times New Roman"/>
                <w:sz w:val="11"/>
                <w:szCs w:val="11"/>
                <w:color w:val="auto"/>
              </w:rPr>
              <w:t>001-35890</w:t>
            </w:r>
          </w:p>
        </w:tc>
        <w:tc>
          <w:tcPr>
            <w:tcW w:w="620" w:type="dxa"/>
            <w:vAlign w:val="bottom"/>
            <w:vMerge w:val="restart"/>
          </w:tcPr>
          <w:p>
            <w:pPr>
              <w:jc w:val="center"/>
              <w:ind w:right="23"/>
              <w:spacing w:after="0"/>
              <w:rPr>
                <w:sz w:val="20"/>
                <w:szCs w:val="20"/>
                <w:color w:val="auto"/>
              </w:rPr>
            </w:pPr>
            <w:r>
              <w:rPr>
                <w:rFonts w:ascii="Times New Roman" w:cs="Times New Roman" w:eastAsia="Times New Roman" w:hAnsi="Times New Roman"/>
                <w:sz w:val="11"/>
                <w:szCs w:val="11"/>
                <w:color w:val="auto"/>
              </w:rPr>
              <w:t>3.2</w:t>
            </w:r>
          </w:p>
        </w:tc>
        <w:tc>
          <w:tcPr>
            <w:tcW w:w="1000" w:type="dxa"/>
            <w:vAlign w:val="bottom"/>
            <w:vMerge w:val="restart"/>
          </w:tcPr>
          <w:p>
            <w:pPr>
              <w:jc w:val="right"/>
              <w:ind w:right="23"/>
              <w:spacing w:after="0"/>
              <w:rPr>
                <w:sz w:val="20"/>
                <w:szCs w:val="20"/>
                <w:color w:val="auto"/>
              </w:rPr>
            </w:pPr>
            <w:r>
              <w:rPr>
                <w:rFonts w:ascii="Times New Roman" w:cs="Times New Roman" w:eastAsia="Times New Roman" w:hAnsi="Times New Roman"/>
                <w:sz w:val="11"/>
                <w:szCs w:val="11"/>
                <w:color w:val="auto"/>
              </w:rPr>
              <w:t>6/28/2021</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980" w:type="dxa"/>
            <w:vAlign w:val="bottom"/>
            <w:vMerge w:val="continue"/>
          </w:tcPr>
          <w:p>
            <w:pPr>
              <w:spacing w:after="0"/>
              <w:rPr>
                <w:sz w:val="7"/>
                <w:szCs w:val="7"/>
                <w:color w:val="auto"/>
              </w:rPr>
            </w:pPr>
          </w:p>
        </w:tc>
        <w:tc>
          <w:tcPr>
            <w:tcW w:w="6060" w:type="dxa"/>
            <w:vAlign w:val="bottom"/>
            <w:tcBorders>
              <w:top w:val="single" w:sz="8" w:color="0000FF"/>
            </w:tcBorders>
            <w:gridSpan w:val="26"/>
          </w:tcPr>
          <w:p>
            <w:pPr>
              <w:spacing w:after="0" w:line="86" w:lineRule="exact"/>
              <w:rPr>
                <w:rFonts w:ascii="Times New Roman" w:cs="Times New Roman" w:eastAsia="Times New Roman" w:hAnsi="Times New Roman"/>
                <w:sz w:val="9"/>
                <w:szCs w:val="9"/>
                <w:color w:val="0000FF"/>
              </w:rPr>
            </w:pPr>
            <w:hyperlink r:id="rId132">
              <w:r>
                <w:rPr>
                  <w:rFonts w:ascii="Times New Roman" w:cs="Times New Roman" w:eastAsia="Times New Roman" w:hAnsi="Times New Roman"/>
                  <w:sz w:val="9"/>
                  <w:szCs w:val="9"/>
                  <w:color w:val="0000FF"/>
                </w:rPr>
                <w:t>of Delaware on June 25, 2021</w:t>
              </w:r>
            </w:hyperlink>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3.4</w:t>
            </w:r>
          </w:p>
        </w:tc>
        <w:tc>
          <w:tcPr>
            <w:tcW w:w="6180" w:type="dxa"/>
            <w:vAlign w:val="bottom"/>
            <w:gridSpan w:val="30"/>
          </w:tcPr>
          <w:p>
            <w:pPr>
              <w:spacing w:after="0"/>
              <w:rPr>
                <w:rFonts w:ascii="Times New Roman" w:cs="Times New Roman" w:eastAsia="Times New Roman" w:hAnsi="Times New Roman"/>
                <w:sz w:val="11"/>
                <w:szCs w:val="11"/>
                <w:color w:val="0000FF"/>
              </w:rPr>
            </w:pPr>
            <w:hyperlink r:id="rId133">
              <w:r>
                <w:rPr>
                  <w:rFonts w:ascii="Times New Roman" w:cs="Times New Roman" w:eastAsia="Times New Roman" w:hAnsi="Times New Roman"/>
                  <w:sz w:val="11"/>
                  <w:szCs w:val="11"/>
                  <w:color w:val="0000FF"/>
                </w:rPr>
                <w:t>Amended and Restated Bylaws of the Registrant</w:t>
              </w:r>
            </w:hyperlink>
          </w:p>
        </w:tc>
        <w:tc>
          <w:tcPr>
            <w:tcW w:w="64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8-K</w:t>
            </w: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001-35890</w:t>
            </w:r>
          </w:p>
        </w:tc>
        <w:tc>
          <w:tcPr>
            <w:tcW w:w="620" w:type="dxa"/>
            <w:vAlign w:val="bottom"/>
          </w:tcPr>
          <w:p>
            <w:pPr>
              <w:jc w:val="center"/>
              <w:ind w:right="23"/>
              <w:spacing w:after="0"/>
              <w:rPr>
                <w:sz w:val="20"/>
                <w:szCs w:val="20"/>
                <w:color w:val="auto"/>
              </w:rPr>
            </w:pPr>
            <w:r>
              <w:rPr>
                <w:rFonts w:ascii="Times New Roman" w:cs="Times New Roman" w:eastAsia="Times New Roman" w:hAnsi="Times New Roman"/>
                <w:sz w:val="11"/>
                <w:szCs w:val="11"/>
                <w:color w:val="auto"/>
              </w:rPr>
              <w:t>3.1</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9/24/2021</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4.1</w:t>
            </w:r>
          </w:p>
        </w:tc>
        <w:tc>
          <w:tcPr>
            <w:tcW w:w="6180" w:type="dxa"/>
            <w:vAlign w:val="bottom"/>
            <w:gridSpan w:val="30"/>
          </w:tcPr>
          <w:p>
            <w:pPr>
              <w:spacing w:after="0"/>
              <w:rPr>
                <w:sz w:val="20"/>
                <w:szCs w:val="20"/>
                <w:color w:val="auto"/>
              </w:rPr>
            </w:pPr>
            <w:r>
              <w:rPr>
                <w:rFonts w:ascii="Times New Roman" w:cs="Times New Roman" w:eastAsia="Times New Roman" w:hAnsi="Times New Roman"/>
                <w:sz w:val="11"/>
                <w:szCs w:val="11"/>
                <w:color w:val="auto"/>
              </w:rPr>
              <w:t>Description of Securities Registered Pursuant to Section 12 of the Securities Exchange Act of 1934</w:t>
            </w:r>
          </w:p>
        </w:tc>
        <w:tc>
          <w:tcPr>
            <w:tcW w:w="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98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color w:val="auto"/>
              </w:rPr>
              <w:t>4.2†</w:t>
            </w:r>
          </w:p>
        </w:tc>
        <w:tc>
          <w:tcPr>
            <w:tcW w:w="2860" w:type="dxa"/>
            <w:vAlign w:val="bottom"/>
            <w:tcBorders>
              <w:bottom w:val="single" w:sz="8" w:color="0000FF"/>
            </w:tcBorders>
            <w:gridSpan w:val="8"/>
          </w:tcPr>
          <w:p>
            <w:pPr>
              <w:spacing w:after="0" w:line="125" w:lineRule="exact"/>
              <w:rPr>
                <w:rFonts w:ascii="Times New Roman" w:cs="Times New Roman" w:eastAsia="Times New Roman" w:hAnsi="Times New Roman"/>
                <w:sz w:val="11"/>
                <w:szCs w:val="11"/>
                <w:color w:val="0000FF"/>
              </w:rPr>
            </w:pPr>
            <w:hyperlink r:id="rId134">
              <w:r>
                <w:rPr>
                  <w:rFonts w:ascii="Times New Roman" w:cs="Times New Roman" w:eastAsia="Times New Roman" w:hAnsi="Times New Roman"/>
                  <w:sz w:val="11"/>
                  <w:szCs w:val="11"/>
                  <w:color w:val="0000FF"/>
                </w:rPr>
                <w:t>Form of Tempest Therapeutics, Inc. Warrant to Purchase Stock</w:t>
              </w:r>
            </w:hyperlink>
          </w:p>
        </w:tc>
        <w:tc>
          <w:tcPr>
            <w:tcW w:w="3320" w:type="dxa"/>
            <w:vAlign w:val="bottom"/>
            <w:gridSpan w:val="22"/>
          </w:tcPr>
          <w:p>
            <w:pPr>
              <w:spacing w:after="0"/>
              <w:rPr>
                <w:sz w:val="10"/>
                <w:szCs w:val="10"/>
                <w:color w:val="auto"/>
              </w:rPr>
            </w:pPr>
          </w:p>
        </w:tc>
        <w:tc>
          <w:tcPr>
            <w:tcW w:w="640" w:type="dxa"/>
            <w:vAlign w:val="bottom"/>
          </w:tcPr>
          <w:p>
            <w:pPr>
              <w:jc w:val="center"/>
              <w:ind w:right="3"/>
              <w:spacing w:after="0" w:line="125" w:lineRule="exact"/>
              <w:rPr>
                <w:sz w:val="20"/>
                <w:szCs w:val="20"/>
                <w:color w:val="auto"/>
              </w:rPr>
            </w:pPr>
            <w:r>
              <w:rPr>
                <w:rFonts w:ascii="Times New Roman" w:cs="Times New Roman" w:eastAsia="Times New Roman" w:hAnsi="Times New Roman"/>
                <w:sz w:val="11"/>
                <w:szCs w:val="11"/>
                <w:color w:val="auto"/>
                <w:w w:val="98"/>
              </w:rPr>
              <w:t>S-4/A</w:t>
            </w:r>
          </w:p>
        </w:tc>
        <w:tc>
          <w:tcPr>
            <w:tcW w:w="1120" w:type="dxa"/>
            <w:vAlign w:val="bottom"/>
          </w:tcPr>
          <w:p>
            <w:pPr>
              <w:jc w:val="right"/>
              <w:ind w:right="23"/>
              <w:spacing w:after="0" w:line="125" w:lineRule="exact"/>
              <w:rPr>
                <w:sz w:val="20"/>
                <w:szCs w:val="20"/>
                <w:color w:val="auto"/>
              </w:rPr>
            </w:pPr>
            <w:r>
              <w:rPr>
                <w:rFonts w:ascii="Times New Roman" w:cs="Times New Roman" w:eastAsia="Times New Roman" w:hAnsi="Times New Roman"/>
                <w:sz w:val="11"/>
                <w:szCs w:val="11"/>
                <w:color w:val="auto"/>
              </w:rPr>
              <w:t>333-255198</w:t>
            </w:r>
          </w:p>
        </w:tc>
        <w:tc>
          <w:tcPr>
            <w:tcW w:w="620" w:type="dxa"/>
            <w:vAlign w:val="bottom"/>
          </w:tcPr>
          <w:p>
            <w:pPr>
              <w:jc w:val="center"/>
              <w:ind w:right="23"/>
              <w:spacing w:after="0" w:line="125" w:lineRule="exact"/>
              <w:rPr>
                <w:sz w:val="20"/>
                <w:szCs w:val="20"/>
                <w:color w:val="auto"/>
              </w:rPr>
            </w:pPr>
            <w:r>
              <w:rPr>
                <w:rFonts w:ascii="Times New Roman" w:cs="Times New Roman" w:eastAsia="Times New Roman" w:hAnsi="Times New Roman"/>
                <w:sz w:val="11"/>
                <w:szCs w:val="11"/>
                <w:color w:val="auto"/>
              </w:rPr>
              <w:t>4.2</w:t>
            </w:r>
          </w:p>
        </w:tc>
        <w:tc>
          <w:tcPr>
            <w:tcW w:w="1000" w:type="dxa"/>
            <w:vAlign w:val="bottom"/>
          </w:tcPr>
          <w:p>
            <w:pPr>
              <w:jc w:val="right"/>
              <w:ind w:right="23"/>
              <w:spacing w:after="0" w:line="125" w:lineRule="exact"/>
              <w:rPr>
                <w:sz w:val="20"/>
                <w:szCs w:val="20"/>
                <w:color w:val="auto"/>
              </w:rPr>
            </w:pPr>
            <w:r>
              <w:rPr>
                <w:rFonts w:ascii="Times New Roman" w:cs="Times New Roman" w:eastAsia="Times New Roman" w:hAnsi="Times New Roman"/>
                <w:sz w:val="11"/>
                <w:szCs w:val="11"/>
                <w:color w:val="auto"/>
              </w:rPr>
              <w:t>5/4/2021</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10.1+</w:t>
            </w:r>
          </w:p>
        </w:tc>
        <w:tc>
          <w:tcPr>
            <w:tcW w:w="1240" w:type="dxa"/>
            <w:vAlign w:val="bottom"/>
            <w:tcBorders>
              <w:bottom w:val="single" w:sz="8" w:color="0000FF"/>
            </w:tcBorders>
            <w:gridSpan w:val="3"/>
          </w:tcPr>
          <w:p>
            <w:pPr>
              <w:spacing w:after="0"/>
              <w:rPr>
                <w:rFonts w:ascii="Times New Roman" w:cs="Times New Roman" w:eastAsia="Times New Roman" w:hAnsi="Times New Roman"/>
                <w:sz w:val="11"/>
                <w:szCs w:val="11"/>
                <w:color w:val="0000FF"/>
              </w:rPr>
            </w:pPr>
            <w:r>
              <w:rPr>
                <w:rFonts w:ascii="Times New Roman" w:cs="Times New Roman" w:eastAsia="Times New Roman" w:hAnsi="Times New Roman"/>
                <w:sz w:val="11"/>
                <w:szCs w:val="11"/>
                <w:color w:val="0000FF"/>
              </w:rPr>
              <w:t xml:space="preserve">2011 </w:t>
            </w:r>
            <w:hyperlink r:id="rId135">
              <w:r>
                <w:rPr>
                  <w:rFonts w:ascii="Times New Roman" w:cs="Times New Roman" w:eastAsia="Times New Roman" w:hAnsi="Times New Roman"/>
                  <w:sz w:val="11"/>
                  <w:szCs w:val="11"/>
                  <w:color w:val="0000FF"/>
                </w:rPr>
                <w:t>Equity Incentive Plan</w:t>
              </w:r>
            </w:hyperlink>
          </w:p>
        </w:tc>
        <w:tc>
          <w:tcPr>
            <w:tcW w:w="4940" w:type="dxa"/>
            <w:vAlign w:val="bottom"/>
            <w:gridSpan w:val="27"/>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S-8</w:t>
            </w: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333-257727</w:t>
            </w:r>
          </w:p>
        </w:tc>
        <w:tc>
          <w:tcPr>
            <w:tcW w:w="620" w:type="dxa"/>
            <w:vAlign w:val="bottom"/>
          </w:tcPr>
          <w:p>
            <w:pPr>
              <w:jc w:val="center"/>
              <w:ind w:right="43"/>
              <w:spacing w:after="0"/>
              <w:rPr>
                <w:sz w:val="20"/>
                <w:szCs w:val="20"/>
                <w:color w:val="auto"/>
              </w:rPr>
            </w:pPr>
            <w:r>
              <w:rPr>
                <w:rFonts w:ascii="Times New Roman" w:cs="Times New Roman" w:eastAsia="Times New Roman" w:hAnsi="Times New Roman"/>
                <w:sz w:val="11"/>
                <w:szCs w:val="11"/>
                <w:color w:val="auto"/>
              </w:rPr>
              <w:t>10.2</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7/7/2021</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10.2+</w:t>
            </w:r>
          </w:p>
        </w:tc>
        <w:tc>
          <w:tcPr>
            <w:tcW w:w="1240" w:type="dxa"/>
            <w:vAlign w:val="bottom"/>
            <w:tcBorders>
              <w:bottom w:val="single" w:sz="8" w:color="0000FF"/>
            </w:tcBorders>
            <w:gridSpan w:val="3"/>
          </w:tcPr>
          <w:p>
            <w:pPr>
              <w:spacing w:after="0"/>
              <w:rPr>
                <w:rFonts w:ascii="Times New Roman" w:cs="Times New Roman" w:eastAsia="Times New Roman" w:hAnsi="Times New Roman"/>
                <w:sz w:val="11"/>
                <w:szCs w:val="11"/>
                <w:color w:val="0000FF"/>
              </w:rPr>
            </w:pPr>
            <w:hyperlink r:id="rId136">
              <w:r>
                <w:rPr>
                  <w:rFonts w:ascii="Times New Roman" w:cs="Times New Roman" w:eastAsia="Times New Roman" w:hAnsi="Times New Roman"/>
                  <w:sz w:val="11"/>
                  <w:szCs w:val="11"/>
                  <w:color w:val="0000FF"/>
                </w:rPr>
                <w:t>2017 Equity Incentive Plan</w:t>
              </w:r>
            </w:hyperlink>
          </w:p>
        </w:tc>
        <w:tc>
          <w:tcPr>
            <w:tcW w:w="4940" w:type="dxa"/>
            <w:vAlign w:val="bottom"/>
            <w:gridSpan w:val="27"/>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S-8</w:t>
            </w: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333-257727</w:t>
            </w:r>
          </w:p>
        </w:tc>
        <w:tc>
          <w:tcPr>
            <w:tcW w:w="620" w:type="dxa"/>
            <w:vAlign w:val="bottom"/>
          </w:tcPr>
          <w:p>
            <w:pPr>
              <w:jc w:val="center"/>
              <w:ind w:right="43"/>
              <w:spacing w:after="0"/>
              <w:rPr>
                <w:sz w:val="20"/>
                <w:szCs w:val="20"/>
                <w:color w:val="auto"/>
              </w:rPr>
            </w:pPr>
            <w:r>
              <w:rPr>
                <w:rFonts w:ascii="Times New Roman" w:cs="Times New Roman" w:eastAsia="Times New Roman" w:hAnsi="Times New Roman"/>
                <w:sz w:val="11"/>
                <w:szCs w:val="11"/>
                <w:color w:val="auto"/>
              </w:rPr>
              <w:t>10.1</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7/7/2021</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10.3+</w:t>
            </w:r>
          </w:p>
        </w:tc>
        <w:tc>
          <w:tcPr>
            <w:tcW w:w="6180" w:type="dxa"/>
            <w:vAlign w:val="bottom"/>
            <w:gridSpan w:val="30"/>
          </w:tcPr>
          <w:p>
            <w:pPr>
              <w:spacing w:after="0"/>
              <w:rPr>
                <w:rFonts w:ascii="Times New Roman" w:cs="Times New Roman" w:eastAsia="Times New Roman" w:hAnsi="Times New Roman"/>
                <w:sz w:val="11"/>
                <w:szCs w:val="11"/>
                <w:color w:val="0000FF"/>
              </w:rPr>
            </w:pPr>
            <w:hyperlink w:anchor="page109">
              <w:r>
                <w:rPr>
                  <w:rFonts w:ascii="Times New Roman" w:cs="Times New Roman" w:eastAsia="Times New Roman" w:hAnsi="Times New Roman"/>
                  <w:sz w:val="11"/>
                  <w:szCs w:val="11"/>
                  <w:color w:val="0000FF"/>
                </w:rPr>
                <w:t>Form of Stock Option Agreement under the 2017 Equity Incentive Plan</w:t>
              </w:r>
            </w:hyperlink>
          </w:p>
        </w:tc>
        <w:tc>
          <w:tcPr>
            <w:tcW w:w="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29"/>
        </w:trPr>
        <w:tc>
          <w:tcPr>
            <w:tcW w:w="980" w:type="dxa"/>
            <w:vAlign w:val="bottom"/>
          </w:tcPr>
          <w:p>
            <w:pPr>
              <w:jc w:val="center"/>
              <w:spacing w:after="0" w:line="129" w:lineRule="exact"/>
              <w:rPr>
                <w:sz w:val="20"/>
                <w:szCs w:val="20"/>
                <w:color w:val="auto"/>
              </w:rPr>
            </w:pPr>
            <w:r>
              <w:rPr>
                <w:rFonts w:ascii="Times New Roman" w:cs="Times New Roman" w:eastAsia="Times New Roman" w:hAnsi="Times New Roman"/>
                <w:sz w:val="11"/>
                <w:szCs w:val="11"/>
                <w:color w:val="auto"/>
                <w:w w:val="99"/>
              </w:rPr>
              <w:t>10.13</w:t>
            </w:r>
            <w:r>
              <w:rPr>
                <w:rFonts w:ascii="Times New Roman" w:cs="Times New Roman" w:eastAsia="Times New Roman" w:hAnsi="Times New Roman"/>
                <w:sz w:val="14"/>
                <w:szCs w:val="14"/>
                <w:color w:val="auto"/>
                <w:w w:val="99"/>
                <w:vertAlign w:val="superscript"/>
              </w:rPr>
              <w:t>+</w:t>
            </w:r>
          </w:p>
        </w:tc>
        <w:tc>
          <w:tcPr>
            <w:tcW w:w="124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1"/>
                <w:szCs w:val="11"/>
                <w:color w:val="0000FF"/>
              </w:rPr>
            </w:pPr>
            <w:hyperlink r:id="rId137">
              <w:r>
                <w:rPr>
                  <w:rFonts w:ascii="Times New Roman" w:cs="Times New Roman" w:eastAsia="Times New Roman" w:hAnsi="Times New Roman"/>
                  <w:sz w:val="11"/>
                  <w:szCs w:val="11"/>
                  <w:color w:val="0000FF"/>
                </w:rPr>
                <w:t>2019 Equity Incentive Plan</w:t>
              </w:r>
            </w:hyperlink>
          </w:p>
        </w:tc>
        <w:tc>
          <w:tcPr>
            <w:tcW w:w="2000" w:type="dxa"/>
            <w:vAlign w:val="bottom"/>
            <w:tcBorders>
              <w:top w:val="single" w:sz="8" w:color="0000FF"/>
            </w:tcBorders>
            <w:gridSpan w:val="8"/>
          </w:tcPr>
          <w:p>
            <w:pPr>
              <w:spacing w:after="0"/>
              <w:rPr>
                <w:sz w:val="11"/>
                <w:szCs w:val="11"/>
                <w:color w:val="auto"/>
              </w:rPr>
            </w:pPr>
          </w:p>
        </w:tc>
        <w:tc>
          <w:tcPr>
            <w:tcW w:w="2940" w:type="dxa"/>
            <w:vAlign w:val="bottom"/>
            <w:gridSpan w:val="19"/>
          </w:tcPr>
          <w:p>
            <w:pPr>
              <w:spacing w:after="0"/>
              <w:rPr>
                <w:sz w:val="11"/>
                <w:szCs w:val="11"/>
                <w:color w:val="auto"/>
              </w:rPr>
            </w:pPr>
          </w:p>
        </w:tc>
        <w:tc>
          <w:tcPr>
            <w:tcW w:w="64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8-K</w:t>
            </w: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001-35890</w:t>
            </w:r>
          </w:p>
        </w:tc>
        <w:tc>
          <w:tcPr>
            <w:tcW w:w="620" w:type="dxa"/>
            <w:vAlign w:val="bottom"/>
          </w:tcPr>
          <w:p>
            <w:pPr>
              <w:jc w:val="center"/>
              <w:ind w:right="43"/>
              <w:spacing w:after="0"/>
              <w:rPr>
                <w:sz w:val="20"/>
                <w:szCs w:val="20"/>
                <w:color w:val="auto"/>
              </w:rPr>
            </w:pPr>
            <w:r>
              <w:rPr>
                <w:rFonts w:ascii="Times New Roman" w:cs="Times New Roman" w:eastAsia="Times New Roman" w:hAnsi="Times New Roman"/>
                <w:sz w:val="11"/>
                <w:szCs w:val="11"/>
                <w:color w:val="auto"/>
              </w:rPr>
              <w:t>10.1</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6/13/2019</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80" w:type="dxa"/>
            <w:vAlign w:val="bottom"/>
          </w:tcPr>
          <w:p>
            <w:pPr>
              <w:jc w:val="center"/>
              <w:spacing w:after="0" w:line="129" w:lineRule="exact"/>
              <w:rPr>
                <w:sz w:val="20"/>
                <w:szCs w:val="20"/>
                <w:color w:val="auto"/>
              </w:rPr>
            </w:pPr>
            <w:r>
              <w:rPr>
                <w:rFonts w:ascii="Times New Roman" w:cs="Times New Roman" w:eastAsia="Times New Roman" w:hAnsi="Times New Roman"/>
                <w:sz w:val="11"/>
                <w:szCs w:val="11"/>
                <w:color w:val="auto"/>
                <w:w w:val="99"/>
              </w:rPr>
              <w:t>10.14</w:t>
            </w:r>
            <w:r>
              <w:rPr>
                <w:rFonts w:ascii="Times New Roman" w:cs="Times New Roman" w:eastAsia="Times New Roman" w:hAnsi="Times New Roman"/>
                <w:sz w:val="14"/>
                <w:szCs w:val="14"/>
                <w:color w:val="auto"/>
                <w:w w:val="99"/>
                <w:vertAlign w:val="superscript"/>
              </w:rPr>
              <w:t>+</w:t>
            </w:r>
          </w:p>
        </w:tc>
        <w:tc>
          <w:tcPr>
            <w:tcW w:w="2960" w:type="dxa"/>
            <w:vAlign w:val="bottom"/>
            <w:tcBorders>
              <w:bottom w:val="single" w:sz="8" w:color="0000FF"/>
            </w:tcBorders>
            <w:gridSpan w:val="9"/>
          </w:tcPr>
          <w:p>
            <w:pPr>
              <w:spacing w:after="0"/>
              <w:rPr>
                <w:rFonts w:ascii="Times New Roman" w:cs="Times New Roman" w:eastAsia="Times New Roman" w:hAnsi="Times New Roman"/>
                <w:sz w:val="11"/>
                <w:szCs w:val="11"/>
                <w:color w:val="0000FF"/>
              </w:rPr>
            </w:pPr>
            <w:hyperlink r:id="rId138">
              <w:r>
                <w:rPr>
                  <w:rFonts w:ascii="Times New Roman" w:cs="Times New Roman" w:eastAsia="Times New Roman" w:hAnsi="Times New Roman"/>
                  <w:sz w:val="11"/>
                  <w:szCs w:val="11"/>
                  <w:color w:val="0000FF"/>
                </w:rPr>
                <w:t>Form of Option Grant Package under 2019 Equity Incentive Plan</w:t>
              </w:r>
            </w:hyperlink>
          </w:p>
        </w:tc>
        <w:tc>
          <w:tcPr>
            <w:tcW w:w="3220" w:type="dxa"/>
            <w:vAlign w:val="bottom"/>
            <w:gridSpan w:val="21"/>
          </w:tcPr>
          <w:p>
            <w:pPr>
              <w:spacing w:after="0"/>
              <w:rPr>
                <w:sz w:val="11"/>
                <w:szCs w:val="1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10-Q</w:t>
            </w: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001-35890</w:t>
            </w:r>
          </w:p>
        </w:tc>
        <w:tc>
          <w:tcPr>
            <w:tcW w:w="620" w:type="dxa"/>
            <w:vAlign w:val="bottom"/>
          </w:tcPr>
          <w:p>
            <w:pPr>
              <w:jc w:val="center"/>
              <w:ind w:right="43"/>
              <w:spacing w:after="0"/>
              <w:rPr>
                <w:sz w:val="20"/>
                <w:szCs w:val="20"/>
                <w:color w:val="auto"/>
              </w:rPr>
            </w:pPr>
            <w:r>
              <w:rPr>
                <w:rFonts w:ascii="Times New Roman" w:cs="Times New Roman" w:eastAsia="Times New Roman" w:hAnsi="Times New Roman"/>
                <w:sz w:val="11"/>
                <w:szCs w:val="11"/>
                <w:color w:val="auto"/>
              </w:rPr>
              <w:t>10.7</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8/12/2019</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80" w:type="dxa"/>
            <w:vAlign w:val="bottom"/>
          </w:tcPr>
          <w:p>
            <w:pPr>
              <w:jc w:val="center"/>
              <w:spacing w:after="0" w:line="129" w:lineRule="exact"/>
              <w:rPr>
                <w:sz w:val="20"/>
                <w:szCs w:val="20"/>
                <w:color w:val="auto"/>
              </w:rPr>
            </w:pPr>
            <w:r>
              <w:rPr>
                <w:rFonts w:ascii="Times New Roman" w:cs="Times New Roman" w:eastAsia="Times New Roman" w:hAnsi="Times New Roman"/>
                <w:sz w:val="11"/>
                <w:szCs w:val="11"/>
                <w:color w:val="auto"/>
                <w:w w:val="99"/>
              </w:rPr>
              <w:t>10.15</w:t>
            </w:r>
            <w:r>
              <w:rPr>
                <w:rFonts w:ascii="Times New Roman" w:cs="Times New Roman" w:eastAsia="Times New Roman" w:hAnsi="Times New Roman"/>
                <w:sz w:val="14"/>
                <w:szCs w:val="14"/>
                <w:color w:val="auto"/>
                <w:w w:val="99"/>
                <w:vertAlign w:val="superscript"/>
              </w:rPr>
              <w:t>+</w:t>
            </w:r>
          </w:p>
        </w:tc>
        <w:tc>
          <w:tcPr>
            <w:tcW w:w="2860" w:type="dxa"/>
            <w:vAlign w:val="bottom"/>
            <w:tcBorders>
              <w:bottom w:val="single" w:sz="8" w:color="0000FF"/>
            </w:tcBorders>
            <w:gridSpan w:val="8"/>
          </w:tcPr>
          <w:p>
            <w:pPr>
              <w:spacing w:after="0"/>
              <w:rPr>
                <w:rFonts w:ascii="Times New Roman" w:cs="Times New Roman" w:eastAsia="Times New Roman" w:hAnsi="Times New Roman"/>
                <w:sz w:val="11"/>
                <w:szCs w:val="11"/>
                <w:color w:val="0000FF"/>
              </w:rPr>
            </w:pPr>
            <w:hyperlink r:id="rId139">
              <w:r>
                <w:rPr>
                  <w:rFonts w:ascii="Times New Roman" w:cs="Times New Roman" w:eastAsia="Times New Roman" w:hAnsi="Times New Roman"/>
                  <w:sz w:val="11"/>
                  <w:szCs w:val="11"/>
                  <w:color w:val="0000FF"/>
                </w:rPr>
                <w:t>Form of RSU Grant Package under 2019 Equity Incentive Plan</w:t>
              </w:r>
            </w:hyperlink>
          </w:p>
        </w:tc>
        <w:tc>
          <w:tcPr>
            <w:tcW w:w="3320" w:type="dxa"/>
            <w:vAlign w:val="bottom"/>
            <w:gridSpan w:val="22"/>
          </w:tcPr>
          <w:p>
            <w:pPr>
              <w:spacing w:after="0"/>
              <w:rPr>
                <w:sz w:val="11"/>
                <w:szCs w:val="1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10-Q</w:t>
            </w: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001-35890</w:t>
            </w:r>
          </w:p>
        </w:tc>
        <w:tc>
          <w:tcPr>
            <w:tcW w:w="620" w:type="dxa"/>
            <w:vAlign w:val="bottom"/>
          </w:tcPr>
          <w:p>
            <w:pPr>
              <w:jc w:val="center"/>
              <w:ind w:right="43"/>
              <w:spacing w:after="0"/>
              <w:rPr>
                <w:sz w:val="20"/>
                <w:szCs w:val="20"/>
                <w:color w:val="auto"/>
              </w:rPr>
            </w:pPr>
            <w:r>
              <w:rPr>
                <w:rFonts w:ascii="Times New Roman" w:cs="Times New Roman" w:eastAsia="Times New Roman" w:hAnsi="Times New Roman"/>
                <w:sz w:val="11"/>
                <w:szCs w:val="11"/>
                <w:color w:val="auto"/>
              </w:rPr>
              <w:t>10.8</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8/12/2019</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80" w:type="dxa"/>
            <w:vAlign w:val="bottom"/>
          </w:tcPr>
          <w:p>
            <w:pPr>
              <w:jc w:val="center"/>
              <w:spacing w:after="0" w:line="129" w:lineRule="exact"/>
              <w:rPr>
                <w:sz w:val="20"/>
                <w:szCs w:val="20"/>
                <w:color w:val="auto"/>
              </w:rPr>
            </w:pPr>
            <w:r>
              <w:rPr>
                <w:rFonts w:ascii="Times New Roman" w:cs="Times New Roman" w:eastAsia="Times New Roman" w:hAnsi="Times New Roman"/>
                <w:sz w:val="11"/>
                <w:szCs w:val="11"/>
                <w:color w:val="auto"/>
                <w:w w:val="99"/>
              </w:rPr>
              <w:t>10.16</w:t>
            </w:r>
            <w:r>
              <w:rPr>
                <w:rFonts w:ascii="Times New Roman" w:cs="Times New Roman" w:eastAsia="Times New Roman" w:hAnsi="Times New Roman"/>
                <w:sz w:val="14"/>
                <w:szCs w:val="14"/>
                <w:color w:val="auto"/>
                <w:w w:val="99"/>
                <w:vertAlign w:val="superscript"/>
              </w:rPr>
              <w:t>+</w:t>
            </w:r>
          </w:p>
        </w:tc>
        <w:tc>
          <w:tcPr>
            <w:tcW w:w="4940" w:type="dxa"/>
            <w:vAlign w:val="bottom"/>
            <w:tcBorders>
              <w:bottom w:val="single" w:sz="8" w:color="0000FF"/>
            </w:tcBorders>
            <w:gridSpan w:val="18"/>
          </w:tcPr>
          <w:p>
            <w:pPr>
              <w:spacing w:after="0"/>
              <w:rPr>
                <w:rFonts w:ascii="Times New Roman" w:cs="Times New Roman" w:eastAsia="Times New Roman" w:hAnsi="Times New Roman"/>
                <w:sz w:val="11"/>
                <w:szCs w:val="11"/>
                <w:color w:val="0000FF"/>
              </w:rPr>
            </w:pPr>
            <w:hyperlink r:id="rId140">
              <w:r>
                <w:rPr>
                  <w:rFonts w:ascii="Times New Roman" w:cs="Times New Roman" w:eastAsia="Times New Roman" w:hAnsi="Times New Roman"/>
                  <w:sz w:val="11"/>
                  <w:szCs w:val="11"/>
                  <w:color w:val="0000FF"/>
                </w:rPr>
                <w:t>Form of Stock Option Agreement under the Sub Plan for French Residents under 2019 Equity Incentive Plan</w:t>
              </w:r>
            </w:hyperlink>
          </w:p>
        </w:tc>
        <w:tc>
          <w:tcPr>
            <w:tcW w:w="1240" w:type="dxa"/>
            <w:vAlign w:val="bottom"/>
            <w:gridSpan w:val="12"/>
          </w:tcPr>
          <w:p>
            <w:pPr>
              <w:spacing w:after="0"/>
              <w:rPr>
                <w:sz w:val="11"/>
                <w:szCs w:val="11"/>
                <w:color w:val="auto"/>
              </w:rPr>
            </w:pPr>
          </w:p>
        </w:tc>
        <w:tc>
          <w:tcPr>
            <w:tcW w:w="64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w w:val="97"/>
              </w:rPr>
              <w:t>10-K</w:t>
            </w: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001-35890</w:t>
            </w:r>
          </w:p>
        </w:tc>
        <w:tc>
          <w:tcPr>
            <w:tcW w:w="620" w:type="dxa"/>
            <w:vAlign w:val="bottom"/>
          </w:tcPr>
          <w:p>
            <w:pPr>
              <w:jc w:val="center"/>
              <w:ind w:right="43"/>
              <w:spacing w:after="0"/>
              <w:rPr>
                <w:sz w:val="20"/>
                <w:szCs w:val="20"/>
                <w:color w:val="auto"/>
              </w:rPr>
            </w:pPr>
            <w:r>
              <w:rPr>
                <w:rFonts w:ascii="Times New Roman" w:cs="Times New Roman" w:eastAsia="Times New Roman" w:hAnsi="Times New Roman"/>
                <w:sz w:val="11"/>
                <w:szCs w:val="11"/>
                <w:color w:val="auto"/>
                <w:w w:val="96"/>
              </w:rPr>
              <w:t>10.16</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3/11/2020</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80" w:type="dxa"/>
            <w:vAlign w:val="bottom"/>
          </w:tcPr>
          <w:p>
            <w:pPr>
              <w:jc w:val="center"/>
              <w:spacing w:after="0" w:line="129" w:lineRule="exact"/>
              <w:rPr>
                <w:sz w:val="20"/>
                <w:szCs w:val="20"/>
                <w:color w:val="auto"/>
              </w:rPr>
            </w:pPr>
            <w:r>
              <w:rPr>
                <w:rFonts w:ascii="Times New Roman" w:cs="Times New Roman" w:eastAsia="Times New Roman" w:hAnsi="Times New Roman"/>
                <w:sz w:val="11"/>
                <w:szCs w:val="11"/>
                <w:color w:val="auto"/>
                <w:w w:val="99"/>
              </w:rPr>
              <w:t>10.17</w:t>
            </w:r>
            <w:r>
              <w:rPr>
                <w:rFonts w:ascii="Times New Roman" w:cs="Times New Roman" w:eastAsia="Times New Roman" w:hAnsi="Times New Roman"/>
                <w:sz w:val="14"/>
                <w:szCs w:val="14"/>
                <w:color w:val="auto"/>
                <w:w w:val="99"/>
                <w:vertAlign w:val="superscript"/>
              </w:rPr>
              <w:t>+</w:t>
            </w:r>
          </w:p>
        </w:tc>
        <w:tc>
          <w:tcPr>
            <w:tcW w:w="5180" w:type="dxa"/>
            <w:vAlign w:val="bottom"/>
            <w:tcBorders>
              <w:bottom w:val="single" w:sz="8" w:color="0000FF"/>
            </w:tcBorders>
            <w:gridSpan w:val="20"/>
          </w:tcPr>
          <w:p>
            <w:pPr>
              <w:spacing w:after="0"/>
              <w:rPr>
                <w:rFonts w:ascii="Times New Roman" w:cs="Times New Roman" w:eastAsia="Times New Roman" w:hAnsi="Times New Roman"/>
                <w:sz w:val="11"/>
                <w:szCs w:val="11"/>
                <w:color w:val="0000FF"/>
              </w:rPr>
            </w:pPr>
            <w:hyperlink r:id="rId141">
              <w:r>
                <w:rPr>
                  <w:rFonts w:ascii="Times New Roman" w:cs="Times New Roman" w:eastAsia="Times New Roman" w:hAnsi="Times New Roman"/>
                  <w:sz w:val="11"/>
                  <w:szCs w:val="11"/>
                  <w:color w:val="0000FF"/>
                </w:rPr>
                <w:t>Form of Inducement Nonqualified Stock Option Agreement subject to the terms of the 2019 Equity Incentive Plan</w:t>
              </w:r>
            </w:hyperlink>
          </w:p>
        </w:tc>
        <w:tc>
          <w:tcPr>
            <w:tcW w:w="1000" w:type="dxa"/>
            <w:vAlign w:val="bottom"/>
            <w:gridSpan w:val="10"/>
          </w:tcPr>
          <w:p>
            <w:pPr>
              <w:spacing w:after="0"/>
              <w:rPr>
                <w:sz w:val="11"/>
                <w:szCs w:val="11"/>
                <w:color w:val="auto"/>
              </w:rPr>
            </w:pPr>
          </w:p>
        </w:tc>
        <w:tc>
          <w:tcPr>
            <w:tcW w:w="64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w w:val="97"/>
              </w:rPr>
              <w:t>10-K</w:t>
            </w: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001-35890</w:t>
            </w:r>
          </w:p>
        </w:tc>
        <w:tc>
          <w:tcPr>
            <w:tcW w:w="620" w:type="dxa"/>
            <w:vAlign w:val="bottom"/>
          </w:tcPr>
          <w:p>
            <w:pPr>
              <w:jc w:val="center"/>
              <w:ind w:right="43"/>
              <w:spacing w:after="0"/>
              <w:rPr>
                <w:sz w:val="20"/>
                <w:szCs w:val="20"/>
                <w:color w:val="auto"/>
              </w:rPr>
            </w:pPr>
            <w:r>
              <w:rPr>
                <w:rFonts w:ascii="Times New Roman" w:cs="Times New Roman" w:eastAsia="Times New Roman" w:hAnsi="Times New Roman"/>
                <w:sz w:val="11"/>
                <w:szCs w:val="11"/>
                <w:color w:val="auto"/>
                <w:w w:val="96"/>
              </w:rPr>
              <w:t>10.17</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3/11/2020</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80" w:type="dxa"/>
            <w:vAlign w:val="bottom"/>
          </w:tcPr>
          <w:p>
            <w:pPr>
              <w:jc w:val="center"/>
              <w:spacing w:after="0" w:line="129" w:lineRule="exact"/>
              <w:rPr>
                <w:sz w:val="20"/>
                <w:szCs w:val="20"/>
                <w:color w:val="auto"/>
              </w:rPr>
            </w:pPr>
            <w:r>
              <w:rPr>
                <w:rFonts w:ascii="Times New Roman" w:cs="Times New Roman" w:eastAsia="Times New Roman" w:hAnsi="Times New Roman"/>
                <w:sz w:val="11"/>
                <w:szCs w:val="11"/>
                <w:color w:val="auto"/>
                <w:w w:val="99"/>
              </w:rPr>
              <w:t>10.18</w:t>
            </w:r>
            <w:r>
              <w:rPr>
                <w:rFonts w:ascii="Times New Roman" w:cs="Times New Roman" w:eastAsia="Times New Roman" w:hAnsi="Times New Roman"/>
                <w:sz w:val="14"/>
                <w:szCs w:val="14"/>
                <w:color w:val="auto"/>
                <w:w w:val="99"/>
                <w:vertAlign w:val="superscript"/>
              </w:rPr>
              <w:t>+</w:t>
            </w:r>
          </w:p>
        </w:tc>
        <w:tc>
          <w:tcPr>
            <w:tcW w:w="1680" w:type="dxa"/>
            <w:vAlign w:val="bottom"/>
            <w:tcBorders>
              <w:bottom w:val="single" w:sz="8" w:color="0000FF"/>
            </w:tcBorders>
            <w:gridSpan w:val="6"/>
          </w:tcPr>
          <w:p>
            <w:pPr>
              <w:spacing w:after="0"/>
              <w:rPr>
                <w:rFonts w:ascii="Times New Roman" w:cs="Times New Roman" w:eastAsia="Times New Roman" w:hAnsi="Times New Roman"/>
                <w:sz w:val="11"/>
                <w:szCs w:val="11"/>
                <w:color w:val="0000FF"/>
              </w:rPr>
            </w:pPr>
            <w:hyperlink r:id="rId142">
              <w:r>
                <w:rPr>
                  <w:rFonts w:ascii="Times New Roman" w:cs="Times New Roman" w:eastAsia="Times New Roman" w:hAnsi="Times New Roman"/>
                  <w:sz w:val="11"/>
                  <w:szCs w:val="11"/>
                  <w:color w:val="0000FF"/>
                </w:rPr>
                <w:t>2019 Employee Stock Purchase Plan</w:t>
              </w:r>
            </w:hyperlink>
          </w:p>
        </w:tc>
        <w:tc>
          <w:tcPr>
            <w:tcW w:w="4500" w:type="dxa"/>
            <w:vAlign w:val="bottom"/>
            <w:gridSpan w:val="24"/>
          </w:tcPr>
          <w:p>
            <w:pPr>
              <w:spacing w:after="0"/>
              <w:rPr>
                <w:sz w:val="11"/>
                <w:szCs w:val="11"/>
                <w:color w:val="auto"/>
              </w:rPr>
            </w:pPr>
          </w:p>
        </w:tc>
        <w:tc>
          <w:tcPr>
            <w:tcW w:w="64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8-K</w:t>
            </w: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001-35890</w:t>
            </w:r>
          </w:p>
        </w:tc>
        <w:tc>
          <w:tcPr>
            <w:tcW w:w="620" w:type="dxa"/>
            <w:vAlign w:val="bottom"/>
          </w:tcPr>
          <w:p>
            <w:pPr>
              <w:jc w:val="center"/>
              <w:ind w:right="43"/>
              <w:spacing w:after="0"/>
              <w:rPr>
                <w:sz w:val="20"/>
                <w:szCs w:val="20"/>
                <w:color w:val="auto"/>
              </w:rPr>
            </w:pPr>
            <w:r>
              <w:rPr>
                <w:rFonts w:ascii="Times New Roman" w:cs="Times New Roman" w:eastAsia="Times New Roman" w:hAnsi="Times New Roman"/>
                <w:sz w:val="11"/>
                <w:szCs w:val="11"/>
                <w:color w:val="auto"/>
              </w:rPr>
              <w:t>10.2</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6/13/2019</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10.19</w:t>
            </w:r>
          </w:p>
        </w:tc>
        <w:tc>
          <w:tcPr>
            <w:tcW w:w="5980" w:type="dxa"/>
            <w:vAlign w:val="bottom"/>
            <w:tcBorders>
              <w:bottom w:val="single" w:sz="8" w:color="0000FF"/>
            </w:tcBorders>
            <w:gridSpan w:val="25"/>
          </w:tcPr>
          <w:p>
            <w:pPr>
              <w:spacing w:after="0"/>
              <w:rPr>
                <w:rFonts w:ascii="Times New Roman" w:cs="Times New Roman" w:eastAsia="Times New Roman" w:hAnsi="Times New Roman"/>
                <w:sz w:val="11"/>
                <w:szCs w:val="11"/>
                <w:color w:val="0000FF"/>
              </w:rPr>
            </w:pPr>
            <w:hyperlink r:id="rId143">
              <w:r>
                <w:rPr>
                  <w:rFonts w:ascii="Times New Roman" w:cs="Times New Roman" w:eastAsia="Times New Roman" w:hAnsi="Times New Roman"/>
                  <w:sz w:val="11"/>
                  <w:szCs w:val="11"/>
                  <w:color w:val="0000FF"/>
                </w:rPr>
                <w:t>Loan and Security Agreement, dated January 15, 2021, by and among Oxford Finance LLC, the Lenders party thereto, and Tempest</w:t>
              </w:r>
            </w:hyperlink>
          </w:p>
        </w:tc>
        <w:tc>
          <w:tcPr>
            <w:tcW w:w="200" w:type="dxa"/>
            <w:vAlign w:val="bottom"/>
            <w:gridSpan w:val="5"/>
          </w:tcPr>
          <w:p>
            <w:pPr>
              <w:spacing w:after="0"/>
              <w:rPr>
                <w:sz w:val="11"/>
                <w:szCs w:val="11"/>
                <w:color w:val="auto"/>
              </w:rPr>
            </w:pPr>
          </w:p>
        </w:tc>
        <w:tc>
          <w:tcPr>
            <w:tcW w:w="64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w w:val="98"/>
              </w:rPr>
              <w:t>S-4/A</w:t>
            </w: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333-255198</w:t>
            </w:r>
          </w:p>
        </w:tc>
        <w:tc>
          <w:tcPr>
            <w:tcW w:w="620" w:type="dxa"/>
            <w:vAlign w:val="bottom"/>
          </w:tcPr>
          <w:p>
            <w:pPr>
              <w:jc w:val="center"/>
              <w:ind w:right="43"/>
              <w:spacing w:after="0"/>
              <w:rPr>
                <w:sz w:val="20"/>
                <w:szCs w:val="20"/>
                <w:color w:val="auto"/>
              </w:rPr>
            </w:pPr>
            <w:r>
              <w:rPr>
                <w:rFonts w:ascii="Times New Roman" w:cs="Times New Roman" w:eastAsia="Times New Roman" w:hAnsi="Times New Roman"/>
                <w:sz w:val="11"/>
                <w:szCs w:val="11"/>
                <w:color w:val="auto"/>
              </w:rPr>
              <w:t>10.3</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5/4/2021</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80" w:type="dxa"/>
            <w:vAlign w:val="bottom"/>
          </w:tcPr>
          <w:p>
            <w:pPr>
              <w:jc w:val="center"/>
              <w:spacing w:after="0" w:line="129" w:lineRule="exact"/>
              <w:rPr>
                <w:sz w:val="20"/>
                <w:szCs w:val="20"/>
                <w:color w:val="auto"/>
              </w:rPr>
            </w:pPr>
            <w:r>
              <w:rPr>
                <w:rFonts w:ascii="Times New Roman" w:cs="Times New Roman" w:eastAsia="Times New Roman" w:hAnsi="Times New Roman"/>
                <w:sz w:val="11"/>
                <w:szCs w:val="11"/>
                <w:color w:val="auto"/>
                <w:w w:val="99"/>
              </w:rPr>
              <w:t>10.20</w:t>
            </w:r>
            <w:r>
              <w:rPr>
                <w:rFonts w:ascii="Times New Roman" w:cs="Times New Roman" w:eastAsia="Times New Roman" w:hAnsi="Times New Roman"/>
                <w:sz w:val="14"/>
                <w:szCs w:val="14"/>
                <w:color w:val="auto"/>
                <w:w w:val="99"/>
                <w:vertAlign w:val="superscript"/>
              </w:rPr>
              <w:t>+</w:t>
            </w:r>
          </w:p>
        </w:tc>
        <w:tc>
          <w:tcPr>
            <w:tcW w:w="1660" w:type="dxa"/>
            <w:vAlign w:val="bottom"/>
            <w:tcBorders>
              <w:bottom w:val="single" w:sz="8" w:color="0000FF"/>
            </w:tcBorders>
            <w:gridSpan w:val="5"/>
          </w:tcPr>
          <w:p>
            <w:pPr>
              <w:spacing w:after="0"/>
              <w:rPr>
                <w:rFonts w:ascii="Times New Roman" w:cs="Times New Roman" w:eastAsia="Times New Roman" w:hAnsi="Times New Roman"/>
                <w:sz w:val="11"/>
                <w:szCs w:val="11"/>
                <w:color w:val="0000FF"/>
              </w:rPr>
            </w:pPr>
            <w:hyperlink r:id="rId144">
              <w:r>
                <w:rPr>
                  <w:rFonts w:ascii="Times New Roman" w:cs="Times New Roman" w:eastAsia="Times New Roman" w:hAnsi="Times New Roman"/>
                  <w:sz w:val="11"/>
                  <w:szCs w:val="11"/>
                  <w:color w:val="0000FF"/>
                </w:rPr>
                <w:t>Form of Indemnification Agreement</w:t>
              </w:r>
            </w:hyperlink>
          </w:p>
        </w:tc>
        <w:tc>
          <w:tcPr>
            <w:tcW w:w="4520" w:type="dxa"/>
            <w:vAlign w:val="bottom"/>
            <w:gridSpan w:val="25"/>
          </w:tcPr>
          <w:p>
            <w:pPr>
              <w:spacing w:after="0"/>
              <w:rPr>
                <w:sz w:val="11"/>
                <w:szCs w:val="11"/>
                <w:color w:val="auto"/>
              </w:rPr>
            </w:pPr>
          </w:p>
        </w:tc>
        <w:tc>
          <w:tcPr>
            <w:tcW w:w="64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8-K</w:t>
            </w: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001-35890</w:t>
            </w:r>
          </w:p>
        </w:tc>
        <w:tc>
          <w:tcPr>
            <w:tcW w:w="620" w:type="dxa"/>
            <w:vAlign w:val="bottom"/>
          </w:tcPr>
          <w:p>
            <w:pPr>
              <w:jc w:val="center"/>
              <w:ind w:right="43"/>
              <w:spacing w:after="0"/>
              <w:rPr>
                <w:sz w:val="20"/>
                <w:szCs w:val="20"/>
                <w:color w:val="auto"/>
              </w:rPr>
            </w:pPr>
            <w:r>
              <w:rPr>
                <w:rFonts w:ascii="Times New Roman" w:cs="Times New Roman" w:eastAsia="Times New Roman" w:hAnsi="Times New Roman"/>
                <w:sz w:val="11"/>
                <w:szCs w:val="11"/>
                <w:color w:val="auto"/>
              </w:rPr>
              <w:t>10.1</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7/07/2021</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80" w:type="dxa"/>
            <w:vAlign w:val="bottom"/>
          </w:tcPr>
          <w:p>
            <w:pPr>
              <w:jc w:val="center"/>
              <w:spacing w:after="0" w:line="129" w:lineRule="exact"/>
              <w:rPr>
                <w:sz w:val="20"/>
                <w:szCs w:val="20"/>
                <w:color w:val="auto"/>
              </w:rPr>
            </w:pPr>
            <w:r>
              <w:rPr>
                <w:rFonts w:ascii="Times New Roman" w:cs="Times New Roman" w:eastAsia="Times New Roman" w:hAnsi="Times New Roman"/>
                <w:sz w:val="11"/>
                <w:szCs w:val="11"/>
                <w:color w:val="auto"/>
                <w:w w:val="99"/>
              </w:rPr>
              <w:t>10.21</w:t>
            </w:r>
            <w:r>
              <w:rPr>
                <w:rFonts w:ascii="Times New Roman" w:cs="Times New Roman" w:eastAsia="Times New Roman" w:hAnsi="Times New Roman"/>
                <w:sz w:val="14"/>
                <w:szCs w:val="14"/>
                <w:color w:val="auto"/>
                <w:w w:val="99"/>
                <w:vertAlign w:val="superscript"/>
              </w:rPr>
              <w:t>+</w:t>
            </w:r>
          </w:p>
        </w:tc>
        <w:tc>
          <w:tcPr>
            <w:tcW w:w="4300" w:type="dxa"/>
            <w:vAlign w:val="bottom"/>
            <w:tcBorders>
              <w:bottom w:val="single" w:sz="8" w:color="0000FF"/>
            </w:tcBorders>
            <w:gridSpan w:val="16"/>
          </w:tcPr>
          <w:p>
            <w:pPr>
              <w:spacing w:after="0"/>
              <w:rPr>
                <w:rFonts w:ascii="Times New Roman" w:cs="Times New Roman" w:eastAsia="Times New Roman" w:hAnsi="Times New Roman"/>
                <w:sz w:val="11"/>
                <w:szCs w:val="11"/>
                <w:color w:val="0000FF"/>
              </w:rPr>
            </w:pPr>
            <w:hyperlink r:id="rId145">
              <w:r>
                <w:rPr>
                  <w:rFonts w:ascii="Times New Roman" w:cs="Times New Roman" w:eastAsia="Times New Roman" w:hAnsi="Times New Roman"/>
                  <w:sz w:val="11"/>
                  <w:szCs w:val="11"/>
                  <w:color w:val="0000FF"/>
                </w:rPr>
                <w:t>Employment Agreement, dated July 7, 2021, by and between the Company and Stephen Brady</w:t>
              </w:r>
            </w:hyperlink>
          </w:p>
        </w:tc>
        <w:tc>
          <w:tcPr>
            <w:tcW w:w="1880" w:type="dxa"/>
            <w:vAlign w:val="bottom"/>
            <w:gridSpan w:val="14"/>
          </w:tcPr>
          <w:p>
            <w:pPr>
              <w:spacing w:after="0"/>
              <w:rPr>
                <w:sz w:val="11"/>
                <w:szCs w:val="11"/>
                <w:color w:val="auto"/>
              </w:rPr>
            </w:pPr>
          </w:p>
        </w:tc>
        <w:tc>
          <w:tcPr>
            <w:tcW w:w="64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8-K</w:t>
            </w: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001-35890</w:t>
            </w:r>
          </w:p>
        </w:tc>
        <w:tc>
          <w:tcPr>
            <w:tcW w:w="620" w:type="dxa"/>
            <w:vAlign w:val="bottom"/>
          </w:tcPr>
          <w:p>
            <w:pPr>
              <w:jc w:val="center"/>
              <w:ind w:right="43"/>
              <w:spacing w:after="0"/>
              <w:rPr>
                <w:sz w:val="20"/>
                <w:szCs w:val="20"/>
                <w:color w:val="auto"/>
              </w:rPr>
            </w:pPr>
            <w:r>
              <w:rPr>
                <w:rFonts w:ascii="Times New Roman" w:cs="Times New Roman" w:eastAsia="Times New Roman" w:hAnsi="Times New Roman"/>
                <w:sz w:val="11"/>
                <w:szCs w:val="11"/>
                <w:color w:val="auto"/>
              </w:rPr>
              <w:t>10.2</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7/07/2021</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80" w:type="dxa"/>
            <w:vAlign w:val="bottom"/>
          </w:tcPr>
          <w:p>
            <w:pPr>
              <w:jc w:val="center"/>
              <w:spacing w:after="0" w:line="129" w:lineRule="exact"/>
              <w:rPr>
                <w:sz w:val="20"/>
                <w:szCs w:val="20"/>
                <w:color w:val="auto"/>
              </w:rPr>
            </w:pPr>
            <w:r>
              <w:rPr>
                <w:rFonts w:ascii="Times New Roman" w:cs="Times New Roman" w:eastAsia="Times New Roman" w:hAnsi="Times New Roman"/>
                <w:sz w:val="11"/>
                <w:szCs w:val="11"/>
                <w:color w:val="auto"/>
                <w:w w:val="99"/>
              </w:rPr>
              <w:t>10.22</w:t>
            </w:r>
            <w:r>
              <w:rPr>
                <w:rFonts w:ascii="Times New Roman" w:cs="Times New Roman" w:eastAsia="Times New Roman" w:hAnsi="Times New Roman"/>
                <w:sz w:val="14"/>
                <w:szCs w:val="14"/>
                <w:color w:val="auto"/>
                <w:w w:val="99"/>
                <w:vertAlign w:val="superscript"/>
              </w:rPr>
              <w:t>+</w:t>
            </w:r>
          </w:p>
        </w:tc>
        <w:tc>
          <w:tcPr>
            <w:tcW w:w="6180" w:type="dxa"/>
            <w:vAlign w:val="bottom"/>
            <w:gridSpan w:val="30"/>
          </w:tcPr>
          <w:p>
            <w:pPr>
              <w:spacing w:after="0"/>
              <w:rPr>
                <w:rFonts w:ascii="Times New Roman" w:cs="Times New Roman" w:eastAsia="Times New Roman" w:hAnsi="Times New Roman"/>
                <w:sz w:val="11"/>
                <w:szCs w:val="11"/>
                <w:color w:val="0000FF"/>
              </w:rPr>
            </w:pPr>
            <w:hyperlink r:id="rId146">
              <w:r>
                <w:rPr>
                  <w:rFonts w:ascii="Times New Roman" w:cs="Times New Roman" w:eastAsia="Times New Roman" w:hAnsi="Times New Roman"/>
                  <w:sz w:val="11"/>
                  <w:szCs w:val="11"/>
                  <w:color w:val="0000FF"/>
                </w:rPr>
                <w:t>Employment Agreement, dated July 7, 2021, by and between the Company and Thomas Dubensky, Ph.D.</w:t>
              </w:r>
            </w:hyperlink>
          </w:p>
        </w:tc>
        <w:tc>
          <w:tcPr>
            <w:tcW w:w="64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8-K</w:t>
            </w: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001-35890</w:t>
            </w:r>
          </w:p>
        </w:tc>
        <w:tc>
          <w:tcPr>
            <w:tcW w:w="620" w:type="dxa"/>
            <w:vAlign w:val="bottom"/>
          </w:tcPr>
          <w:p>
            <w:pPr>
              <w:jc w:val="center"/>
              <w:ind w:right="43"/>
              <w:spacing w:after="0"/>
              <w:rPr>
                <w:sz w:val="20"/>
                <w:szCs w:val="20"/>
                <w:color w:val="auto"/>
              </w:rPr>
            </w:pPr>
            <w:r>
              <w:rPr>
                <w:rFonts w:ascii="Times New Roman" w:cs="Times New Roman" w:eastAsia="Times New Roman" w:hAnsi="Times New Roman"/>
                <w:sz w:val="11"/>
                <w:szCs w:val="11"/>
                <w:color w:val="auto"/>
              </w:rPr>
              <w:t>10.3</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7/07/2021</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1"/>
                <w:szCs w:val="11"/>
                <w:color w:val="auto"/>
                <w:w w:val="99"/>
              </w:rPr>
              <w:t>10.23</w:t>
            </w:r>
            <w:r>
              <w:rPr>
                <w:rFonts w:ascii="Times New Roman" w:cs="Times New Roman" w:eastAsia="Times New Roman" w:hAnsi="Times New Roman"/>
                <w:sz w:val="14"/>
                <w:szCs w:val="14"/>
                <w:color w:val="auto"/>
                <w:w w:val="99"/>
                <w:vertAlign w:val="superscript"/>
              </w:rPr>
              <w:t>+</w:t>
            </w:r>
          </w:p>
        </w:tc>
        <w:tc>
          <w:tcPr>
            <w:tcW w:w="360" w:type="dxa"/>
            <w:vAlign w:val="bottom"/>
            <w:shd w:val="clear" w:color="auto" w:fill="0000FF"/>
          </w:tcPr>
          <w:p>
            <w:pPr>
              <w:spacing w:after="0" w:line="20" w:lineRule="exact"/>
              <w:rPr>
                <w:sz w:val="1"/>
                <w:szCs w:val="1"/>
                <w:color w:val="auto"/>
              </w:rPr>
            </w:pPr>
          </w:p>
        </w:tc>
        <w:tc>
          <w:tcPr>
            <w:tcW w:w="3200" w:type="dxa"/>
            <w:vAlign w:val="bottom"/>
            <w:gridSpan w:val="11"/>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80" w:type="dxa"/>
            <w:vAlign w:val="bottom"/>
            <w:vMerge w:val="continue"/>
          </w:tcPr>
          <w:p>
            <w:pPr>
              <w:spacing w:after="0"/>
              <w:rPr>
                <w:sz w:val="11"/>
                <w:szCs w:val="11"/>
                <w:color w:val="auto"/>
              </w:rPr>
            </w:pPr>
          </w:p>
        </w:tc>
        <w:tc>
          <w:tcPr>
            <w:tcW w:w="4980" w:type="dxa"/>
            <w:vAlign w:val="bottom"/>
            <w:tcBorders>
              <w:bottom w:val="single" w:sz="8" w:color="0000FF"/>
            </w:tcBorders>
            <w:gridSpan w:val="19"/>
          </w:tcPr>
          <w:p>
            <w:pPr>
              <w:spacing w:after="0"/>
              <w:rPr>
                <w:rFonts w:ascii="Times New Roman" w:cs="Times New Roman" w:eastAsia="Times New Roman" w:hAnsi="Times New Roman"/>
                <w:sz w:val="11"/>
                <w:szCs w:val="11"/>
                <w:color w:val="0000FF"/>
              </w:rPr>
            </w:pPr>
            <w:hyperlink r:id="rId147">
              <w:r>
                <w:rPr>
                  <w:rFonts w:ascii="Times New Roman" w:cs="Times New Roman" w:eastAsia="Times New Roman" w:hAnsi="Times New Roman"/>
                  <w:sz w:val="11"/>
                  <w:szCs w:val="11"/>
                  <w:color w:val="0000FF"/>
                </w:rPr>
                <w:t>Employment Agreement, dated July 7, 2021, by and between the Company and Samuel Whiting, M.D., Ph.D.</w:t>
              </w:r>
            </w:hyperlink>
          </w:p>
        </w:tc>
        <w:tc>
          <w:tcPr>
            <w:tcW w:w="1200" w:type="dxa"/>
            <w:vAlign w:val="bottom"/>
            <w:gridSpan w:val="11"/>
          </w:tcPr>
          <w:p>
            <w:pPr>
              <w:spacing w:after="0"/>
              <w:rPr>
                <w:sz w:val="11"/>
                <w:szCs w:val="11"/>
                <w:color w:val="auto"/>
              </w:rPr>
            </w:pPr>
          </w:p>
        </w:tc>
        <w:tc>
          <w:tcPr>
            <w:tcW w:w="64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8-K</w:t>
            </w: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001-35890</w:t>
            </w:r>
          </w:p>
        </w:tc>
        <w:tc>
          <w:tcPr>
            <w:tcW w:w="620" w:type="dxa"/>
            <w:vAlign w:val="bottom"/>
          </w:tcPr>
          <w:p>
            <w:pPr>
              <w:jc w:val="center"/>
              <w:ind w:right="43"/>
              <w:spacing w:after="0"/>
              <w:rPr>
                <w:sz w:val="20"/>
                <w:szCs w:val="20"/>
                <w:color w:val="auto"/>
              </w:rPr>
            </w:pPr>
            <w:r>
              <w:rPr>
                <w:rFonts w:ascii="Times New Roman" w:cs="Times New Roman" w:eastAsia="Times New Roman" w:hAnsi="Times New Roman"/>
                <w:sz w:val="11"/>
                <w:szCs w:val="11"/>
                <w:color w:val="auto"/>
              </w:rPr>
              <w:t>10.4</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7/07/2021</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10.24†</w:t>
            </w:r>
          </w:p>
        </w:tc>
        <w:tc>
          <w:tcPr>
            <w:tcW w:w="6180" w:type="dxa"/>
            <w:vAlign w:val="bottom"/>
            <w:gridSpan w:val="30"/>
          </w:tcPr>
          <w:p>
            <w:pPr>
              <w:spacing w:after="0"/>
              <w:rPr>
                <w:rFonts w:ascii="Times New Roman" w:cs="Times New Roman" w:eastAsia="Times New Roman" w:hAnsi="Times New Roman"/>
                <w:sz w:val="11"/>
                <w:szCs w:val="11"/>
                <w:color w:val="0000FF"/>
              </w:rPr>
            </w:pPr>
            <w:hyperlink r:id="rId148">
              <w:r>
                <w:rPr>
                  <w:rFonts w:ascii="Times New Roman" w:cs="Times New Roman" w:eastAsia="Times New Roman" w:hAnsi="Times New Roman"/>
                  <w:sz w:val="11"/>
                  <w:szCs w:val="11"/>
                  <w:color w:val="0000FF"/>
                </w:rPr>
                <w:t>Lease Agreement, dated February 22, 2019, by and between ARE-San Francisco No. 17, LLC and Tempest Therapeutics, Inc.</w:t>
              </w:r>
            </w:hyperlink>
          </w:p>
        </w:tc>
        <w:tc>
          <w:tcPr>
            <w:tcW w:w="64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w w:val="98"/>
              </w:rPr>
              <w:t>S-4/A</w:t>
            </w: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333-255198</w:t>
            </w:r>
          </w:p>
        </w:tc>
        <w:tc>
          <w:tcPr>
            <w:tcW w:w="620" w:type="dxa"/>
            <w:vAlign w:val="bottom"/>
          </w:tcPr>
          <w:p>
            <w:pPr>
              <w:jc w:val="center"/>
              <w:ind w:right="43"/>
              <w:spacing w:after="0"/>
              <w:rPr>
                <w:sz w:val="20"/>
                <w:szCs w:val="20"/>
                <w:color w:val="auto"/>
              </w:rPr>
            </w:pPr>
            <w:r>
              <w:rPr>
                <w:rFonts w:ascii="Times New Roman" w:cs="Times New Roman" w:eastAsia="Times New Roman" w:hAnsi="Times New Roman"/>
                <w:sz w:val="11"/>
                <w:szCs w:val="11"/>
                <w:color w:val="auto"/>
              </w:rPr>
              <w:t>10.1</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5/4/2021</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0" w:type="dxa"/>
            <w:vAlign w:val="bottom"/>
            <w:gridSpan w:val="11"/>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980" w:type="dxa"/>
            <w:vAlign w:val="bottom"/>
            <w:gridSpan w:val="6"/>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10.25†</w:t>
            </w:r>
          </w:p>
        </w:tc>
        <w:tc>
          <w:tcPr>
            <w:tcW w:w="5920" w:type="dxa"/>
            <w:vAlign w:val="bottom"/>
            <w:tcBorders>
              <w:bottom w:val="single" w:sz="8" w:color="0000FF"/>
            </w:tcBorders>
            <w:gridSpan w:val="23"/>
          </w:tcPr>
          <w:p>
            <w:pPr>
              <w:spacing w:after="0"/>
              <w:rPr>
                <w:rFonts w:ascii="Times New Roman" w:cs="Times New Roman" w:eastAsia="Times New Roman" w:hAnsi="Times New Roman"/>
                <w:sz w:val="11"/>
                <w:szCs w:val="11"/>
                <w:color w:val="0000FF"/>
              </w:rPr>
            </w:pPr>
            <w:hyperlink r:id="rId149">
              <w:r>
                <w:rPr>
                  <w:rFonts w:ascii="Times New Roman" w:cs="Times New Roman" w:eastAsia="Times New Roman" w:hAnsi="Times New Roman"/>
                  <w:sz w:val="11"/>
                  <w:szCs w:val="11"/>
                  <w:color w:val="0000FF"/>
                </w:rPr>
                <w:t>First Amendment to Lease, dated June 28, 2019, by and between ARE-San Francisco No. 17, LLC and Tempest Therapeutics, Inc.</w:t>
              </w:r>
            </w:hyperlink>
          </w:p>
        </w:tc>
        <w:tc>
          <w:tcPr>
            <w:tcW w:w="260" w:type="dxa"/>
            <w:vAlign w:val="bottom"/>
            <w:gridSpan w:val="7"/>
          </w:tcPr>
          <w:p>
            <w:pPr>
              <w:spacing w:after="0"/>
              <w:rPr>
                <w:sz w:val="11"/>
                <w:szCs w:val="11"/>
                <w:color w:val="auto"/>
              </w:rPr>
            </w:pPr>
          </w:p>
        </w:tc>
        <w:tc>
          <w:tcPr>
            <w:tcW w:w="64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w w:val="98"/>
              </w:rPr>
              <w:t>S-4/A</w:t>
            </w: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333-255198</w:t>
            </w:r>
          </w:p>
        </w:tc>
        <w:tc>
          <w:tcPr>
            <w:tcW w:w="620" w:type="dxa"/>
            <w:vAlign w:val="bottom"/>
          </w:tcPr>
          <w:p>
            <w:pPr>
              <w:jc w:val="center"/>
              <w:ind w:right="43"/>
              <w:spacing w:after="0"/>
              <w:rPr>
                <w:sz w:val="20"/>
                <w:szCs w:val="20"/>
                <w:color w:val="auto"/>
              </w:rPr>
            </w:pPr>
            <w:r>
              <w:rPr>
                <w:rFonts w:ascii="Times New Roman" w:cs="Times New Roman" w:eastAsia="Times New Roman" w:hAnsi="Times New Roman"/>
                <w:sz w:val="11"/>
                <w:szCs w:val="11"/>
                <w:color w:val="auto"/>
              </w:rPr>
              <w:t>10.2</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5/4/2021</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21.1</w:t>
            </w:r>
          </w:p>
        </w:tc>
        <w:tc>
          <w:tcPr>
            <w:tcW w:w="6180" w:type="dxa"/>
            <w:vAlign w:val="bottom"/>
            <w:gridSpan w:val="30"/>
          </w:tcPr>
          <w:p>
            <w:pPr>
              <w:spacing w:after="0"/>
              <w:rPr>
                <w:sz w:val="20"/>
                <w:szCs w:val="20"/>
                <w:color w:val="auto"/>
              </w:rPr>
            </w:pPr>
            <w:r>
              <w:rPr>
                <w:rFonts w:ascii="Times New Roman" w:cs="Times New Roman" w:eastAsia="Times New Roman" w:hAnsi="Times New Roman"/>
                <w:sz w:val="11"/>
                <w:szCs w:val="11"/>
                <w:color w:val="auto"/>
              </w:rPr>
              <w:t>Subsidiaries of the Registrant</w:t>
            </w:r>
          </w:p>
        </w:tc>
        <w:tc>
          <w:tcPr>
            <w:tcW w:w="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4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25"/>
        </w:trPr>
        <w:tc>
          <w:tcPr>
            <w:tcW w:w="98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color w:val="auto"/>
              </w:rPr>
              <w:t>23.1</w:t>
            </w:r>
          </w:p>
        </w:tc>
        <w:tc>
          <w:tcPr>
            <w:tcW w:w="6180" w:type="dxa"/>
            <w:vAlign w:val="bottom"/>
            <w:gridSpan w:val="30"/>
          </w:tcPr>
          <w:p>
            <w:pPr>
              <w:spacing w:after="0" w:line="125" w:lineRule="exact"/>
              <w:rPr>
                <w:rFonts w:ascii="Times New Roman" w:cs="Times New Roman" w:eastAsia="Times New Roman" w:hAnsi="Times New Roman"/>
                <w:sz w:val="11"/>
                <w:szCs w:val="11"/>
                <w:color w:val="0000FF"/>
              </w:rPr>
            </w:pPr>
            <w:hyperlink w:anchor="page122">
              <w:r>
                <w:rPr>
                  <w:rFonts w:ascii="Times New Roman" w:cs="Times New Roman" w:eastAsia="Times New Roman" w:hAnsi="Times New Roman"/>
                  <w:sz w:val="11"/>
                  <w:szCs w:val="11"/>
                  <w:color w:val="0000FF"/>
                </w:rPr>
                <w:t>Consent of Ernst &amp; Young LLP, independent registered public accounting firm</w:t>
              </w:r>
            </w:hyperlink>
          </w:p>
        </w:tc>
        <w:tc>
          <w:tcPr>
            <w:tcW w:w="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jc w:val="center"/>
              <w:ind w:right="3"/>
              <w:spacing w:after="0" w:line="125" w:lineRule="exact"/>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0" w:type="dxa"/>
            <w:vAlign w:val="bottom"/>
            <w:gridSpan w:val="11"/>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gridSpan w:val="9"/>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23.2</w:t>
            </w:r>
          </w:p>
        </w:tc>
        <w:tc>
          <w:tcPr>
            <w:tcW w:w="6180" w:type="dxa"/>
            <w:vAlign w:val="bottom"/>
            <w:gridSpan w:val="30"/>
          </w:tcPr>
          <w:p>
            <w:pPr>
              <w:spacing w:after="0"/>
              <w:rPr>
                <w:rFonts w:ascii="Times New Roman" w:cs="Times New Roman" w:eastAsia="Times New Roman" w:hAnsi="Times New Roman"/>
                <w:sz w:val="11"/>
                <w:szCs w:val="11"/>
                <w:color w:val="0000FF"/>
              </w:rPr>
            </w:pPr>
            <w:hyperlink w:anchor="page123">
              <w:r>
                <w:rPr>
                  <w:rFonts w:ascii="Times New Roman" w:cs="Times New Roman" w:eastAsia="Times New Roman" w:hAnsi="Times New Roman"/>
                  <w:sz w:val="11"/>
                  <w:szCs w:val="11"/>
                  <w:color w:val="0000FF"/>
                </w:rPr>
                <w:t>Consent of Deloitte &amp; Touche LLP, independent registered public accounting firm</w:t>
              </w:r>
            </w:hyperlink>
          </w:p>
        </w:tc>
        <w:tc>
          <w:tcPr>
            <w:tcW w:w="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52"/>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24.1</w:t>
            </w:r>
          </w:p>
        </w:tc>
        <w:tc>
          <w:tcPr>
            <w:tcW w:w="372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1"/>
                <w:szCs w:val="11"/>
                <w:color w:val="auto"/>
              </w:rPr>
              <w:t>Power of Attorney (included on signature page)</w:t>
            </w:r>
          </w:p>
        </w:tc>
        <w:tc>
          <w:tcPr>
            <w:tcW w:w="2460" w:type="dxa"/>
            <w:vAlign w:val="bottom"/>
            <w:gridSpan w:val="15"/>
          </w:tcPr>
          <w:p>
            <w:pPr>
              <w:spacing w:after="0"/>
              <w:rPr>
                <w:sz w:val="13"/>
                <w:szCs w:val="13"/>
                <w:color w:val="auto"/>
              </w:rPr>
            </w:pPr>
          </w:p>
        </w:tc>
        <w:tc>
          <w:tcPr>
            <w:tcW w:w="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4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25"/>
        </w:trPr>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31.1</w:t>
            </w:r>
          </w:p>
        </w:tc>
        <w:tc>
          <w:tcPr>
            <w:tcW w:w="6180" w:type="dxa"/>
            <w:vAlign w:val="bottom"/>
            <w:gridSpan w:val="30"/>
          </w:tcPr>
          <w:p>
            <w:pPr>
              <w:spacing w:after="0" w:line="125" w:lineRule="exact"/>
              <w:rPr>
                <w:rFonts w:ascii="Times New Roman" w:cs="Times New Roman" w:eastAsia="Times New Roman" w:hAnsi="Times New Roman"/>
                <w:sz w:val="11"/>
                <w:szCs w:val="11"/>
                <w:color w:val="0000FF"/>
              </w:rPr>
            </w:pPr>
            <w:hyperlink w:anchor="page124">
              <w:r>
                <w:rPr>
                  <w:rFonts w:ascii="Times New Roman" w:cs="Times New Roman" w:eastAsia="Times New Roman" w:hAnsi="Times New Roman"/>
                  <w:sz w:val="11"/>
                  <w:szCs w:val="11"/>
                  <w:color w:val="0000FF"/>
                </w:rPr>
                <w:t>Certification of Principal Executive Officer pursuant to Rules 13a-14(a) and 15d-14(a) promulgated under the Securities Exchange Act</w:t>
              </w:r>
            </w:hyperlink>
          </w:p>
        </w:tc>
        <w:tc>
          <w:tcPr>
            <w:tcW w:w="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vMerge w:val="restart"/>
          </w:tcPr>
          <w:p>
            <w:pPr>
              <w:jc w:val="center"/>
              <w:ind w:right="3"/>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86"/>
        </w:trPr>
        <w:tc>
          <w:tcPr>
            <w:tcW w:w="980" w:type="dxa"/>
            <w:vAlign w:val="bottom"/>
            <w:vMerge w:val="continue"/>
          </w:tcPr>
          <w:p>
            <w:pPr>
              <w:spacing w:after="0"/>
              <w:rPr>
                <w:sz w:val="7"/>
                <w:szCs w:val="7"/>
                <w:color w:val="auto"/>
              </w:rPr>
            </w:pPr>
          </w:p>
        </w:tc>
        <w:tc>
          <w:tcPr>
            <w:tcW w:w="3600" w:type="dxa"/>
            <w:vAlign w:val="bottom"/>
            <w:tcBorders>
              <w:top w:val="single" w:sz="8" w:color="0000FF"/>
              <w:bottom w:val="single" w:sz="8" w:color="0000FF"/>
            </w:tcBorders>
            <w:gridSpan w:val="14"/>
          </w:tcPr>
          <w:p>
            <w:pPr>
              <w:spacing w:after="0" w:line="86" w:lineRule="exact"/>
              <w:rPr>
                <w:rFonts w:ascii="Times New Roman" w:cs="Times New Roman" w:eastAsia="Times New Roman" w:hAnsi="Times New Roman"/>
                <w:sz w:val="9"/>
                <w:szCs w:val="9"/>
                <w:color w:val="0000FF"/>
              </w:rPr>
            </w:pPr>
            <w:hyperlink w:anchor="page124">
              <w:r>
                <w:rPr>
                  <w:rFonts w:ascii="Times New Roman" w:cs="Times New Roman" w:eastAsia="Times New Roman" w:hAnsi="Times New Roman"/>
                  <w:sz w:val="9"/>
                  <w:szCs w:val="9"/>
                  <w:color w:val="0000FF"/>
                </w:rPr>
                <w:t>of 1934, as adopted pursuant to Section 302 of the Sarbanes-Oxley Act of 2002</w:t>
              </w:r>
            </w:hyperlink>
          </w:p>
        </w:tc>
        <w:tc>
          <w:tcPr>
            <w:tcW w:w="2520" w:type="dxa"/>
            <w:vAlign w:val="bottom"/>
            <w:tcBorders>
              <w:top w:val="single" w:sz="8" w:color="0000FF"/>
            </w:tcBorders>
            <w:gridSpan w:val="14"/>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31.2</w:t>
            </w:r>
          </w:p>
        </w:tc>
        <w:tc>
          <w:tcPr>
            <w:tcW w:w="6180" w:type="dxa"/>
            <w:vAlign w:val="bottom"/>
            <w:gridSpan w:val="30"/>
          </w:tcPr>
          <w:p>
            <w:pPr>
              <w:spacing w:after="0"/>
              <w:rPr>
                <w:rFonts w:ascii="Times New Roman" w:cs="Times New Roman" w:eastAsia="Times New Roman" w:hAnsi="Times New Roman"/>
                <w:sz w:val="11"/>
                <w:szCs w:val="11"/>
                <w:color w:val="0000FF"/>
              </w:rPr>
            </w:pPr>
            <w:hyperlink w:anchor="page125">
              <w:r>
                <w:rPr>
                  <w:rFonts w:ascii="Times New Roman" w:cs="Times New Roman" w:eastAsia="Times New Roman" w:hAnsi="Times New Roman"/>
                  <w:sz w:val="11"/>
                  <w:szCs w:val="11"/>
                  <w:color w:val="0000FF"/>
                </w:rPr>
                <w:t>Certification of Principal Financial Officer pursuant to Rules 13a-14(a) and 15d-14(a) promulgated under the Securities Exchange Act</w:t>
              </w:r>
            </w:hyperlink>
          </w:p>
        </w:tc>
        <w:tc>
          <w:tcPr>
            <w:tcW w:w="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vMerge w:val="restart"/>
          </w:tcPr>
          <w:p>
            <w:pPr>
              <w:jc w:val="center"/>
              <w:ind w:right="3"/>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86"/>
        </w:trPr>
        <w:tc>
          <w:tcPr>
            <w:tcW w:w="980" w:type="dxa"/>
            <w:vAlign w:val="bottom"/>
            <w:vMerge w:val="continue"/>
          </w:tcPr>
          <w:p>
            <w:pPr>
              <w:spacing w:after="0"/>
              <w:rPr>
                <w:sz w:val="7"/>
                <w:szCs w:val="7"/>
                <w:color w:val="auto"/>
              </w:rPr>
            </w:pPr>
          </w:p>
        </w:tc>
        <w:tc>
          <w:tcPr>
            <w:tcW w:w="3580" w:type="dxa"/>
            <w:vAlign w:val="bottom"/>
            <w:tcBorders>
              <w:top w:val="single" w:sz="8" w:color="0000FF"/>
              <w:bottom w:val="single" w:sz="8" w:color="0000FF"/>
            </w:tcBorders>
            <w:gridSpan w:val="13"/>
          </w:tcPr>
          <w:p>
            <w:pPr>
              <w:spacing w:after="0" w:line="86" w:lineRule="exact"/>
              <w:rPr>
                <w:rFonts w:ascii="Times New Roman" w:cs="Times New Roman" w:eastAsia="Times New Roman" w:hAnsi="Times New Roman"/>
                <w:sz w:val="9"/>
                <w:szCs w:val="9"/>
                <w:color w:val="0000FF"/>
              </w:rPr>
            </w:pPr>
            <w:hyperlink w:anchor="page125">
              <w:r>
                <w:rPr>
                  <w:rFonts w:ascii="Times New Roman" w:cs="Times New Roman" w:eastAsia="Times New Roman" w:hAnsi="Times New Roman"/>
                  <w:sz w:val="9"/>
                  <w:szCs w:val="9"/>
                  <w:color w:val="0000FF"/>
                </w:rPr>
                <w:t>of 1934, as adopted pursuant to section 302 of the Sarbanes-Oxley Act of 2002</w:t>
              </w:r>
            </w:hyperlink>
          </w:p>
        </w:tc>
        <w:tc>
          <w:tcPr>
            <w:tcW w:w="2500" w:type="dxa"/>
            <w:vAlign w:val="bottom"/>
            <w:tcBorders>
              <w:top w:val="single" w:sz="8" w:color="0000FF"/>
            </w:tcBorders>
            <w:gridSpan w:val="14"/>
          </w:tcPr>
          <w:p>
            <w:pPr>
              <w:spacing w:after="0"/>
              <w:rPr>
                <w:sz w:val="7"/>
                <w:szCs w:val="7"/>
                <w:color w:val="auto"/>
              </w:rPr>
            </w:pPr>
          </w:p>
        </w:tc>
        <w:tc>
          <w:tcPr>
            <w:tcW w:w="60" w:type="dxa"/>
            <w:vAlign w:val="bottom"/>
            <w:gridSpan w:val="2"/>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980" w:type="dxa"/>
            <w:vAlign w:val="bottom"/>
          </w:tcPr>
          <w:p>
            <w:pPr>
              <w:spacing w:after="0"/>
              <w:rPr>
                <w:sz w:val="10"/>
                <w:szCs w:val="10"/>
                <w:color w:val="auto"/>
              </w:rPr>
            </w:pPr>
          </w:p>
        </w:tc>
        <w:tc>
          <w:tcPr>
            <w:tcW w:w="6180" w:type="dxa"/>
            <w:vAlign w:val="bottom"/>
            <w:gridSpan w:val="30"/>
          </w:tcPr>
          <w:p>
            <w:pPr>
              <w:spacing w:after="0" w:line="118" w:lineRule="exact"/>
              <w:rPr>
                <w:rFonts w:ascii="Times New Roman" w:cs="Times New Roman" w:eastAsia="Times New Roman" w:hAnsi="Times New Roman"/>
                <w:sz w:val="11"/>
                <w:szCs w:val="11"/>
                <w:color w:val="0000FF"/>
              </w:rPr>
            </w:pPr>
            <w:hyperlink w:anchor="page126">
              <w:r>
                <w:rPr>
                  <w:rFonts w:ascii="Times New Roman" w:cs="Times New Roman" w:eastAsia="Times New Roman" w:hAnsi="Times New Roman"/>
                  <w:sz w:val="11"/>
                  <w:szCs w:val="11"/>
                  <w:color w:val="0000FF"/>
                </w:rPr>
                <w:t>Certification of Principal Executive Officer and Principal Financial Officer pursuant to Rules 13a-14(b) and 15d-14(b) promulgated</w:t>
              </w:r>
            </w:hyperlink>
          </w:p>
        </w:tc>
        <w:tc>
          <w:tcPr>
            <w:tcW w:w="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2"/>
              </w:rPr>
              <w:t>32.1</w:t>
            </w:r>
            <w:r>
              <w:rPr>
                <w:rFonts w:ascii="Times New Roman" w:cs="Times New Roman" w:eastAsia="Times New Roman" w:hAnsi="Times New Roman"/>
                <w:sz w:val="14"/>
                <w:szCs w:val="14"/>
                <w:color w:val="auto"/>
                <w:w w:val="92"/>
                <w:vertAlign w:val="superscript"/>
              </w:rPr>
              <w:t>^</w:t>
            </w:r>
          </w:p>
        </w:tc>
        <w:tc>
          <w:tcPr>
            <w:tcW w:w="5960" w:type="dxa"/>
            <w:vAlign w:val="bottom"/>
            <w:tcBorders>
              <w:top w:val="single" w:sz="8" w:color="0000FF"/>
            </w:tcBorders>
            <w:gridSpan w:val="24"/>
          </w:tcPr>
          <w:p>
            <w:pPr>
              <w:spacing w:after="0" w:line="96" w:lineRule="exact"/>
              <w:rPr>
                <w:rFonts w:ascii="Times New Roman" w:cs="Times New Roman" w:eastAsia="Times New Roman" w:hAnsi="Times New Roman"/>
                <w:sz w:val="11"/>
                <w:szCs w:val="11"/>
                <w:color w:val="0000FF"/>
              </w:rPr>
            </w:pPr>
            <w:hyperlink w:anchor="page126">
              <w:r>
                <w:rPr>
                  <w:rFonts w:ascii="Times New Roman" w:cs="Times New Roman" w:eastAsia="Times New Roman" w:hAnsi="Times New Roman"/>
                  <w:sz w:val="11"/>
                  <w:szCs w:val="11"/>
                  <w:color w:val="0000FF"/>
                </w:rPr>
                <w:t>under the Securities Exchange Act of 1934 and 18 U.S.C. Section 1350, as adopted pursuant to section 906 of The Sarbanes-Oxley</w:t>
              </w:r>
            </w:hyperlink>
          </w:p>
        </w:tc>
        <w:tc>
          <w:tcPr>
            <w:tcW w:w="220" w:type="dxa"/>
            <w:vAlign w:val="bottom"/>
            <w:gridSpan w:val="6"/>
          </w:tcPr>
          <w:p>
            <w:pPr>
              <w:spacing w:after="0" w:line="96" w:lineRule="exact"/>
              <w:rPr>
                <w:rFonts w:ascii="Times New Roman" w:cs="Times New Roman" w:eastAsia="Times New Roman" w:hAnsi="Times New Roman"/>
                <w:sz w:val="11"/>
                <w:szCs w:val="11"/>
                <w:color w:val="0000FF"/>
              </w:rPr>
            </w:pPr>
            <w:hyperlink w:anchor="page126">
              <w:r>
                <w:rPr>
                  <w:rFonts w:ascii="Times New Roman" w:cs="Times New Roman" w:eastAsia="Times New Roman" w:hAnsi="Times New Roman"/>
                  <w:sz w:val="11"/>
                  <w:szCs w:val="11"/>
                  <w:color w:val="0000FF"/>
                </w:rPr>
                <w:t>Act</w:t>
              </w:r>
            </w:hyperlink>
          </w:p>
        </w:tc>
        <w:tc>
          <w:tcPr>
            <w:tcW w:w="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vMerge w:val="restart"/>
          </w:tcPr>
          <w:p>
            <w:pPr>
              <w:jc w:val="center"/>
              <w:ind w:right="3"/>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86"/>
        </w:trPr>
        <w:tc>
          <w:tcPr>
            <w:tcW w:w="980" w:type="dxa"/>
            <w:vAlign w:val="bottom"/>
            <w:vMerge w:val="continue"/>
          </w:tcPr>
          <w:p>
            <w:pPr>
              <w:spacing w:after="0"/>
              <w:rPr>
                <w:sz w:val="7"/>
                <w:szCs w:val="7"/>
                <w:color w:val="auto"/>
              </w:rPr>
            </w:pPr>
          </w:p>
        </w:tc>
        <w:tc>
          <w:tcPr>
            <w:tcW w:w="360" w:type="dxa"/>
            <w:vAlign w:val="bottom"/>
            <w:tcBorders>
              <w:top w:val="single" w:sz="8" w:color="0000FF"/>
              <w:bottom w:val="single" w:sz="8" w:color="0000FF"/>
            </w:tcBorders>
          </w:tcPr>
          <w:p>
            <w:pPr>
              <w:spacing w:after="0" w:line="86" w:lineRule="exact"/>
              <w:rPr>
                <w:rFonts w:ascii="Times New Roman" w:cs="Times New Roman" w:eastAsia="Times New Roman" w:hAnsi="Times New Roman"/>
                <w:sz w:val="9"/>
                <w:szCs w:val="9"/>
                <w:color w:val="0000FF"/>
              </w:rPr>
            </w:pPr>
            <w:hyperlink w:anchor="page126">
              <w:r>
                <w:rPr>
                  <w:rFonts w:ascii="Times New Roman" w:cs="Times New Roman" w:eastAsia="Times New Roman" w:hAnsi="Times New Roman"/>
                  <w:sz w:val="9"/>
                  <w:szCs w:val="9"/>
                  <w:color w:val="0000FF"/>
                </w:rPr>
                <w:t>of 2002</w:t>
              </w:r>
            </w:hyperlink>
          </w:p>
        </w:tc>
        <w:tc>
          <w:tcPr>
            <w:tcW w:w="5780" w:type="dxa"/>
            <w:vAlign w:val="bottom"/>
            <w:tcBorders>
              <w:top w:val="single" w:sz="8" w:color="0000FF"/>
            </w:tcBorders>
            <w:gridSpan w:val="28"/>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101.INS</w:t>
            </w:r>
          </w:p>
        </w:tc>
        <w:tc>
          <w:tcPr>
            <w:tcW w:w="6180" w:type="dxa"/>
            <w:vAlign w:val="bottom"/>
            <w:gridSpan w:val="30"/>
          </w:tcPr>
          <w:p>
            <w:pPr>
              <w:spacing w:after="0"/>
              <w:rPr>
                <w:sz w:val="20"/>
                <w:szCs w:val="20"/>
                <w:color w:val="auto"/>
              </w:rPr>
            </w:pPr>
            <w:r>
              <w:rPr>
                <w:rFonts w:ascii="Times New Roman" w:cs="Times New Roman" w:eastAsia="Times New Roman" w:hAnsi="Times New Roman"/>
                <w:sz w:val="11"/>
                <w:szCs w:val="11"/>
                <w:color w:val="auto"/>
              </w:rPr>
              <w:t>Inline XBRL Instance Document</w:t>
            </w:r>
          </w:p>
        </w:tc>
        <w:tc>
          <w:tcPr>
            <w:tcW w:w="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4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49"/>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101.SCH</w:t>
            </w:r>
          </w:p>
        </w:tc>
        <w:tc>
          <w:tcPr>
            <w:tcW w:w="6180" w:type="dxa"/>
            <w:vAlign w:val="bottom"/>
            <w:gridSpan w:val="30"/>
          </w:tcPr>
          <w:p>
            <w:pPr>
              <w:spacing w:after="0"/>
              <w:rPr>
                <w:sz w:val="20"/>
                <w:szCs w:val="20"/>
                <w:color w:val="auto"/>
              </w:rPr>
            </w:pPr>
            <w:r>
              <w:rPr>
                <w:rFonts w:ascii="Times New Roman" w:cs="Times New Roman" w:eastAsia="Times New Roman" w:hAnsi="Times New Roman"/>
                <w:sz w:val="11"/>
                <w:szCs w:val="11"/>
                <w:color w:val="auto"/>
              </w:rPr>
              <w:t>Inline XBRL Taxonomy Extension Schema Document</w:t>
            </w:r>
          </w:p>
        </w:tc>
        <w:tc>
          <w:tcPr>
            <w:tcW w:w="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4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49"/>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101.CAL</w:t>
            </w:r>
          </w:p>
        </w:tc>
        <w:tc>
          <w:tcPr>
            <w:tcW w:w="6180" w:type="dxa"/>
            <w:vAlign w:val="bottom"/>
            <w:gridSpan w:val="30"/>
          </w:tcPr>
          <w:p>
            <w:pPr>
              <w:spacing w:after="0"/>
              <w:rPr>
                <w:sz w:val="20"/>
                <w:szCs w:val="20"/>
                <w:color w:val="auto"/>
              </w:rPr>
            </w:pPr>
            <w:r>
              <w:rPr>
                <w:rFonts w:ascii="Times New Roman" w:cs="Times New Roman" w:eastAsia="Times New Roman" w:hAnsi="Times New Roman"/>
                <w:sz w:val="11"/>
                <w:szCs w:val="11"/>
                <w:color w:val="auto"/>
              </w:rPr>
              <w:t>Inline XBRL Taxonomy Extension Calculation Linkbase Document</w:t>
            </w:r>
          </w:p>
        </w:tc>
        <w:tc>
          <w:tcPr>
            <w:tcW w:w="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4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49"/>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101.DEF</w:t>
            </w:r>
          </w:p>
        </w:tc>
        <w:tc>
          <w:tcPr>
            <w:tcW w:w="6180" w:type="dxa"/>
            <w:vAlign w:val="bottom"/>
            <w:gridSpan w:val="30"/>
          </w:tcPr>
          <w:p>
            <w:pPr>
              <w:spacing w:after="0"/>
              <w:rPr>
                <w:sz w:val="20"/>
                <w:szCs w:val="20"/>
                <w:color w:val="auto"/>
              </w:rPr>
            </w:pPr>
            <w:r>
              <w:rPr>
                <w:rFonts w:ascii="Times New Roman" w:cs="Times New Roman" w:eastAsia="Times New Roman" w:hAnsi="Times New Roman"/>
                <w:sz w:val="11"/>
                <w:szCs w:val="11"/>
                <w:color w:val="auto"/>
              </w:rPr>
              <w:t>Inline XBRL Taxonomy Extension Definition Linkbase Document</w:t>
            </w:r>
          </w:p>
        </w:tc>
        <w:tc>
          <w:tcPr>
            <w:tcW w:w="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4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49"/>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101.LAB</w:t>
            </w:r>
          </w:p>
        </w:tc>
        <w:tc>
          <w:tcPr>
            <w:tcW w:w="6180" w:type="dxa"/>
            <w:vAlign w:val="bottom"/>
            <w:gridSpan w:val="30"/>
          </w:tcPr>
          <w:p>
            <w:pPr>
              <w:spacing w:after="0"/>
              <w:rPr>
                <w:sz w:val="20"/>
                <w:szCs w:val="20"/>
                <w:color w:val="auto"/>
              </w:rPr>
            </w:pPr>
            <w:r>
              <w:rPr>
                <w:rFonts w:ascii="Times New Roman" w:cs="Times New Roman" w:eastAsia="Times New Roman" w:hAnsi="Times New Roman"/>
                <w:sz w:val="11"/>
                <w:szCs w:val="11"/>
                <w:color w:val="auto"/>
              </w:rPr>
              <w:t>Inline XBRL Taxonomy Extension Label Linkbase Document</w:t>
            </w:r>
          </w:p>
        </w:tc>
        <w:tc>
          <w:tcPr>
            <w:tcW w:w="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4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49"/>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101.PRE</w:t>
            </w:r>
          </w:p>
        </w:tc>
        <w:tc>
          <w:tcPr>
            <w:tcW w:w="6180" w:type="dxa"/>
            <w:vAlign w:val="bottom"/>
            <w:gridSpan w:val="30"/>
          </w:tcPr>
          <w:p>
            <w:pPr>
              <w:spacing w:after="0"/>
              <w:rPr>
                <w:sz w:val="20"/>
                <w:szCs w:val="20"/>
                <w:color w:val="auto"/>
              </w:rPr>
            </w:pPr>
            <w:r>
              <w:rPr>
                <w:rFonts w:ascii="Times New Roman" w:cs="Times New Roman" w:eastAsia="Times New Roman" w:hAnsi="Times New Roman"/>
                <w:sz w:val="11"/>
                <w:szCs w:val="11"/>
                <w:color w:val="auto"/>
              </w:rPr>
              <w:t>Inline XBRL Taxonomy Extension Presentation Linkbase Document</w:t>
            </w:r>
          </w:p>
        </w:tc>
        <w:tc>
          <w:tcPr>
            <w:tcW w:w="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4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6"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23" w:lineRule="exact"/>
        <w:rPr>
          <w:sz w:val="20"/>
          <w:szCs w:val="20"/>
          <w:color w:val="auto"/>
        </w:rPr>
      </w:pPr>
    </w:p>
    <w:p>
      <w:pPr>
        <w:ind w:left="260" w:hanging="255"/>
        <w:spacing w:after="0"/>
        <w:tabs>
          <w:tab w:leader="none" w:pos="2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w:t>
      </w:r>
    </w:p>
    <w:p>
      <w:pPr>
        <w:spacing w:after="0" w:line="8"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Filed previously.</w:t>
      </w:r>
    </w:p>
    <w:p>
      <w:pPr>
        <w:spacing w:after="0" w:line="164" w:lineRule="exact"/>
        <w:rPr>
          <w:sz w:val="20"/>
          <w:szCs w:val="20"/>
          <w:color w:val="auto"/>
        </w:rPr>
      </w:pPr>
    </w:p>
    <w:p>
      <w:pPr>
        <w:jc w:val="both"/>
        <w:ind w:firstLine="5"/>
        <w:spacing w:after="0" w:line="270" w:lineRule="auto"/>
        <w:tabs>
          <w:tab w:leader="none" w:pos="245"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certifications are being furnished solely to accompany this Annual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44" w:lineRule="exact"/>
        <w:rPr>
          <w:sz w:val="20"/>
          <w:szCs w:val="20"/>
          <w:color w:val="auto"/>
        </w:rPr>
      </w:pPr>
    </w:p>
    <w:p>
      <w:pPr>
        <w:jc w:val="right"/>
        <w:ind w:right="4159"/>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897" w:right="1440"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31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TEMPEST THERAPEUTICS, INC.</w:t>
      </w:r>
    </w:p>
    <w:p>
      <w:pPr>
        <w:spacing w:after="0" w:line="20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u w:val="single" w:color="auto"/>
          <w:color w:val="auto"/>
        </w:rPr>
        <w:t>/s/ Stephen Brady</w:t>
      </w:r>
    </w:p>
    <w:p>
      <w:pPr>
        <w:ind w:left="4080"/>
        <w:spacing w:after="0" w:line="195" w:lineRule="auto"/>
        <w:rPr>
          <w:sz w:val="20"/>
          <w:szCs w:val="20"/>
          <w:color w:val="auto"/>
        </w:rPr>
      </w:pPr>
      <w:r>
        <w:rPr>
          <w:rFonts w:ascii="Times New Roman" w:cs="Times New Roman" w:eastAsia="Times New Roman" w:hAnsi="Times New Roman"/>
          <w:sz w:val="14"/>
          <w:szCs w:val="14"/>
          <w:color w:val="auto"/>
        </w:rPr>
        <w:t>Stephen Brady</w:t>
      </w:r>
    </w:p>
    <w:p>
      <w:pPr>
        <w:ind w:left="4080"/>
        <w:spacing w:after="0"/>
        <w:rPr>
          <w:sz w:val="20"/>
          <w:szCs w:val="20"/>
          <w:color w:val="auto"/>
        </w:rPr>
      </w:pPr>
      <w:r>
        <w:rPr>
          <w:rFonts w:ascii="Times New Roman" w:cs="Times New Roman" w:eastAsia="Times New Roman" w:hAnsi="Times New Roman"/>
          <w:sz w:val="14"/>
          <w:szCs w:val="14"/>
          <w:color w:val="auto"/>
        </w:rPr>
        <w:t>Chief Executive Officer (Principal Executive Officer)</w:t>
      </w:r>
    </w:p>
    <w:p>
      <w:pPr>
        <w:spacing w:after="0" w:line="14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u w:val="single" w:color="auto"/>
          <w:color w:val="auto"/>
        </w:rPr>
        <w:t>/s/ Nicholas Maestas</w:t>
      </w:r>
    </w:p>
    <w:p>
      <w:pPr>
        <w:ind w:left="4080"/>
        <w:spacing w:after="0" w:line="195" w:lineRule="auto"/>
        <w:rPr>
          <w:sz w:val="20"/>
          <w:szCs w:val="20"/>
          <w:color w:val="auto"/>
        </w:rPr>
      </w:pPr>
      <w:r>
        <w:rPr>
          <w:rFonts w:ascii="Times New Roman" w:cs="Times New Roman" w:eastAsia="Times New Roman" w:hAnsi="Times New Roman"/>
          <w:sz w:val="14"/>
          <w:szCs w:val="14"/>
          <w:color w:val="auto"/>
        </w:rPr>
        <w:t>Nicholas Maestas</w:t>
      </w:r>
    </w:p>
    <w:p>
      <w:pPr>
        <w:ind w:left="4080"/>
        <w:spacing w:after="0" w:line="189" w:lineRule="auto"/>
        <w:rPr>
          <w:sz w:val="20"/>
          <w:szCs w:val="20"/>
          <w:color w:val="auto"/>
        </w:rPr>
      </w:pPr>
      <w:r>
        <w:rPr>
          <w:rFonts w:ascii="Times New Roman" w:cs="Times New Roman" w:eastAsia="Times New Roman" w:hAnsi="Times New Roman"/>
          <w:sz w:val="14"/>
          <w:szCs w:val="14"/>
          <w:color w:val="auto"/>
        </w:rPr>
        <w:t>Vice-President, Strategy and Finance (Principal</w:t>
      </w:r>
    </w:p>
    <w:p>
      <w:pPr>
        <w:spacing w:after="0" w:line="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Date: March 29, 2022</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KNOW ALL PERSONS BY THESE PRESENTS, that each person whose signature appears below constitutes and appoints Stephen Brady </w:t>
      </w:r>
      <w:r>
        <w:rPr>
          <w:rFonts w:ascii="Times New Roman" w:cs="Times New Roman" w:eastAsia="Times New Roman" w:hAnsi="Times New Roman"/>
          <w:sz w:val="14"/>
          <w:szCs w:val="14"/>
          <w:color w:val="231F20"/>
        </w:rPr>
        <w:t>and Nicolas Maestas</w:t>
      </w:r>
      <w:r>
        <w:rPr>
          <w:rFonts w:ascii="Times New Roman" w:cs="Times New Roman" w:eastAsia="Times New Roman" w:hAnsi="Times New Roman"/>
          <w:sz w:val="14"/>
          <w:szCs w:val="14"/>
          <w:color w:val="auto"/>
        </w:rPr>
        <w:t>, jointly and severally, as his or her true and lawful attorneys-in-fact and agents, with full power of substitution and resubstitution, for him or her and in his or her name, place and stead, in any and all capacities, to sign this Annual Report on Form 10-K of Tempest Therapeutics, Inc., and any or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her or their substitute or substitutes, may lawfully do or cause to be done by virtue hereof.</w:t>
      </w:r>
    </w:p>
    <w:p>
      <w:pPr>
        <w:spacing w:after="0" w:line="200" w:lineRule="exact"/>
        <w:rPr>
          <w:sz w:val="20"/>
          <w:szCs w:val="20"/>
          <w:color w:val="auto"/>
        </w:rPr>
      </w:pPr>
    </w:p>
    <w:p>
      <w:pPr>
        <w:spacing w:after="0" w:line="20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107" w:name="page108"/>
    <w:bookmarkEnd w:id="107"/>
    <w:p>
      <w:pPr>
        <w:ind w:right="120"/>
        <w:spacing w:after="0" w:line="279"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as amended, this report has been signed below by the following persons on behalf of the registrant and in the capacities and on the dates indicated.</w:t>
      </w:r>
    </w:p>
    <w:tbl>
      <w:tblPr>
        <w:tblLayout w:type="fixed"/>
        <w:tblInd w:w="0" w:type="dxa"/>
        <w:tblCellMar>
          <w:top w:w="0" w:type="dxa"/>
          <w:left w:w="0" w:type="dxa"/>
          <w:bottom w:w="0" w:type="dxa"/>
          <w:right w:w="0" w:type="dxa"/>
        </w:tblCellMar>
      </w:tblPr>
      <w:tr>
        <w:trPr>
          <w:trHeight w:val="183"/>
        </w:trPr>
        <w:tc>
          <w:tcPr>
            <w:tcW w:w="4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Signature</w:t>
            </w:r>
          </w:p>
        </w:tc>
        <w:tc>
          <w:tcPr>
            <w:tcW w:w="45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Title</w:t>
            </w:r>
          </w:p>
        </w:tc>
        <w:tc>
          <w:tcPr>
            <w:tcW w:w="192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177"/>
        </w:trPr>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i w:val="1"/>
                <w:iCs w:val="1"/>
                <w:color w:val="auto"/>
                <w:w w:val="98"/>
              </w:rPr>
              <w:t>/s/ Stephen Brady</w:t>
            </w:r>
          </w:p>
        </w:tc>
        <w:tc>
          <w:tcPr>
            <w:tcW w:w="4500" w:type="dxa"/>
            <w:vAlign w:val="bottom"/>
          </w:tcPr>
          <w:p>
            <w:pPr>
              <w:spacing w:after="0"/>
              <w:rPr>
                <w:sz w:val="15"/>
                <w:szCs w:val="15"/>
                <w:color w:val="auto"/>
              </w:rPr>
            </w:pPr>
          </w:p>
        </w:tc>
        <w:tc>
          <w:tcPr>
            <w:tcW w:w="19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March 29, 2022</w:t>
            </w:r>
          </w:p>
        </w:tc>
      </w:tr>
      <w:tr>
        <w:trPr>
          <w:trHeight w:val="182"/>
        </w:trPr>
        <w:tc>
          <w:tcPr>
            <w:tcW w:w="4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Stephen Brady</w:t>
            </w:r>
          </w:p>
        </w:tc>
        <w:tc>
          <w:tcPr>
            <w:tcW w:w="4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xml:space="preserve">President, Chief Executive Officer and Director </w:t>
            </w:r>
            <w:r>
              <w:rPr>
                <w:rFonts w:ascii="Times New Roman" w:cs="Times New Roman" w:eastAsia="Times New Roman" w:hAnsi="Times New Roman"/>
                <w:sz w:val="13"/>
                <w:szCs w:val="13"/>
                <w:i w:val="1"/>
                <w:iCs w:val="1"/>
                <w:color w:val="auto"/>
              </w:rPr>
              <w:t>(Principal Executive Officer)</w:t>
            </w:r>
          </w:p>
        </w:tc>
        <w:tc>
          <w:tcPr>
            <w:tcW w:w="1920" w:type="dxa"/>
            <w:vAlign w:val="bottom"/>
          </w:tcPr>
          <w:p>
            <w:pPr>
              <w:spacing w:after="0"/>
              <w:rPr>
                <w:sz w:val="15"/>
                <w:szCs w:val="15"/>
                <w:color w:val="auto"/>
              </w:rPr>
            </w:pPr>
          </w:p>
        </w:tc>
      </w:tr>
      <w:tr>
        <w:trPr>
          <w:trHeight w:val="246"/>
        </w:trPr>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i w:val="1"/>
                <w:iCs w:val="1"/>
                <w:color w:val="auto"/>
                <w:w w:val="97"/>
              </w:rPr>
              <w:t>/s/ Nicholas Maestas</w:t>
            </w:r>
          </w:p>
        </w:tc>
        <w:tc>
          <w:tcPr>
            <w:tcW w:w="4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Vice President, Strategy and Finance</w:t>
            </w:r>
          </w:p>
        </w:tc>
        <w:tc>
          <w:tcPr>
            <w:tcW w:w="19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March 29, 2022</w:t>
            </w:r>
          </w:p>
        </w:tc>
      </w:tr>
      <w:tr>
        <w:trPr>
          <w:trHeight w:val="181"/>
        </w:trPr>
        <w:tc>
          <w:tcPr>
            <w:tcW w:w="4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Nicholas Maestas</w:t>
            </w:r>
          </w:p>
        </w:tc>
        <w:tc>
          <w:tcPr>
            <w:tcW w:w="4500" w:type="dxa"/>
            <w:vAlign w:val="bottom"/>
          </w:tcPr>
          <w:p>
            <w:pPr>
              <w:ind w:left="120"/>
              <w:spacing w:after="0"/>
              <w:rPr>
                <w:sz w:val="20"/>
                <w:szCs w:val="20"/>
                <w:color w:val="auto"/>
              </w:rPr>
            </w:pPr>
            <w:r>
              <w:rPr>
                <w:rFonts w:ascii="Times New Roman" w:cs="Times New Roman" w:eastAsia="Times New Roman" w:hAnsi="Times New Roman"/>
                <w:sz w:val="13"/>
                <w:szCs w:val="13"/>
                <w:i w:val="1"/>
                <w:iCs w:val="1"/>
                <w:color w:val="auto"/>
              </w:rPr>
              <w:t>(Principal Financial Officer)</w:t>
            </w:r>
          </w:p>
        </w:tc>
        <w:tc>
          <w:tcPr>
            <w:tcW w:w="1920" w:type="dxa"/>
            <w:vAlign w:val="bottom"/>
          </w:tcPr>
          <w:p>
            <w:pPr>
              <w:spacing w:after="0"/>
              <w:rPr>
                <w:sz w:val="15"/>
                <w:szCs w:val="15"/>
                <w:color w:val="auto"/>
              </w:rPr>
            </w:pPr>
          </w:p>
        </w:tc>
      </w:tr>
      <w:tr>
        <w:trPr>
          <w:trHeight w:val="244"/>
        </w:trPr>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i w:val="1"/>
                <w:iCs w:val="1"/>
                <w:color w:val="auto"/>
                <w:w w:val="97"/>
              </w:rPr>
              <w:t>/s/ Pierre Lorenzo</w:t>
            </w:r>
          </w:p>
        </w:tc>
        <w:tc>
          <w:tcPr>
            <w:tcW w:w="4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Corporate Controller, Treasurer and Secretary</w:t>
            </w:r>
          </w:p>
        </w:tc>
        <w:tc>
          <w:tcPr>
            <w:tcW w:w="19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March 29, 2022</w:t>
            </w:r>
          </w:p>
        </w:tc>
      </w:tr>
      <w:tr>
        <w:trPr>
          <w:trHeight w:val="181"/>
        </w:trPr>
        <w:tc>
          <w:tcPr>
            <w:tcW w:w="4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Pierre Lorenzo</w:t>
            </w:r>
          </w:p>
        </w:tc>
        <w:tc>
          <w:tcPr>
            <w:tcW w:w="4500" w:type="dxa"/>
            <w:vAlign w:val="bottom"/>
          </w:tcPr>
          <w:p>
            <w:pPr>
              <w:ind w:left="120"/>
              <w:spacing w:after="0"/>
              <w:rPr>
                <w:sz w:val="20"/>
                <w:szCs w:val="20"/>
                <w:color w:val="auto"/>
              </w:rPr>
            </w:pPr>
            <w:r>
              <w:rPr>
                <w:rFonts w:ascii="Times New Roman" w:cs="Times New Roman" w:eastAsia="Times New Roman" w:hAnsi="Times New Roman"/>
                <w:sz w:val="13"/>
                <w:szCs w:val="13"/>
                <w:i w:val="1"/>
                <w:iCs w:val="1"/>
                <w:color w:val="auto"/>
              </w:rPr>
              <w:t>(Principal Accounting Officer)</w:t>
            </w:r>
          </w:p>
        </w:tc>
        <w:tc>
          <w:tcPr>
            <w:tcW w:w="1920" w:type="dxa"/>
            <w:vAlign w:val="bottom"/>
          </w:tcPr>
          <w:p>
            <w:pPr>
              <w:spacing w:after="0"/>
              <w:rPr>
                <w:sz w:val="15"/>
                <w:szCs w:val="15"/>
                <w:color w:val="auto"/>
              </w:rPr>
            </w:pPr>
          </w:p>
        </w:tc>
      </w:tr>
      <w:tr>
        <w:trPr>
          <w:trHeight w:val="212"/>
        </w:trPr>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i w:val="1"/>
                <w:iCs w:val="1"/>
                <w:color w:val="auto"/>
                <w:w w:val="96"/>
              </w:rPr>
              <w:t>/s/ Michael Rabb</w:t>
            </w:r>
          </w:p>
        </w:tc>
        <w:tc>
          <w:tcPr>
            <w:tcW w:w="4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Chairman of the Board of Directors</w:t>
            </w:r>
          </w:p>
        </w:tc>
        <w:tc>
          <w:tcPr>
            <w:tcW w:w="19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March 29, 2022</w:t>
            </w:r>
          </w:p>
        </w:tc>
      </w:tr>
      <w:tr>
        <w:trPr>
          <w:trHeight w:val="158"/>
        </w:trPr>
        <w:tc>
          <w:tcPr>
            <w:tcW w:w="4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Michael Rabb</w:t>
            </w:r>
          </w:p>
        </w:tc>
        <w:tc>
          <w:tcPr>
            <w:tcW w:w="450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214"/>
        </w:trPr>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i w:val="1"/>
                <w:iCs w:val="1"/>
                <w:color w:val="auto"/>
                <w:w w:val="98"/>
              </w:rPr>
              <w:t>/s/ Thomas Dubensky</w:t>
            </w:r>
          </w:p>
        </w:tc>
        <w:tc>
          <w:tcPr>
            <w:tcW w:w="4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President and Director</w:t>
            </w:r>
          </w:p>
        </w:tc>
        <w:tc>
          <w:tcPr>
            <w:tcW w:w="19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March 29, 2022</w:t>
            </w:r>
          </w:p>
        </w:tc>
      </w:tr>
      <w:tr>
        <w:trPr>
          <w:trHeight w:val="158"/>
        </w:trPr>
        <w:tc>
          <w:tcPr>
            <w:tcW w:w="4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Thomas Dubensky, Ph.D.</w:t>
            </w:r>
          </w:p>
        </w:tc>
        <w:tc>
          <w:tcPr>
            <w:tcW w:w="450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214"/>
        </w:trPr>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i w:val="1"/>
                <w:iCs w:val="1"/>
                <w:color w:val="auto"/>
                <w:w w:val="97"/>
              </w:rPr>
              <w:t>/s/ Geoff Nichol</w:t>
            </w:r>
          </w:p>
        </w:tc>
        <w:tc>
          <w:tcPr>
            <w:tcW w:w="4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Director</w:t>
            </w:r>
          </w:p>
        </w:tc>
        <w:tc>
          <w:tcPr>
            <w:tcW w:w="19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March 29, 2022</w:t>
            </w:r>
          </w:p>
        </w:tc>
      </w:tr>
      <w:tr>
        <w:trPr>
          <w:trHeight w:val="158"/>
        </w:trPr>
        <w:tc>
          <w:tcPr>
            <w:tcW w:w="4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Geoff Nichol, M.B., Ch.B., M.B.A.</w:t>
            </w:r>
          </w:p>
        </w:tc>
        <w:tc>
          <w:tcPr>
            <w:tcW w:w="450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214"/>
        </w:trPr>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i w:val="1"/>
                <w:iCs w:val="1"/>
                <w:color w:val="auto"/>
                <w:w w:val="97"/>
              </w:rPr>
              <w:t>/s/ Christine Pellizzari</w:t>
            </w:r>
          </w:p>
        </w:tc>
        <w:tc>
          <w:tcPr>
            <w:tcW w:w="4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Director</w:t>
            </w:r>
          </w:p>
        </w:tc>
        <w:tc>
          <w:tcPr>
            <w:tcW w:w="19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March 29, 2022</w:t>
            </w:r>
          </w:p>
        </w:tc>
      </w:tr>
      <w:tr>
        <w:trPr>
          <w:trHeight w:val="158"/>
        </w:trPr>
        <w:tc>
          <w:tcPr>
            <w:tcW w:w="4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Christine Pellizzari</w:t>
            </w:r>
          </w:p>
        </w:tc>
        <w:tc>
          <w:tcPr>
            <w:tcW w:w="450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214"/>
        </w:trPr>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i w:val="1"/>
                <w:iCs w:val="1"/>
                <w:color w:val="auto"/>
                <w:w w:val="98"/>
              </w:rPr>
              <w:t>/s/ Ronit Simantov</w:t>
            </w:r>
          </w:p>
        </w:tc>
        <w:tc>
          <w:tcPr>
            <w:tcW w:w="4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Director</w:t>
            </w:r>
          </w:p>
        </w:tc>
        <w:tc>
          <w:tcPr>
            <w:tcW w:w="19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March 29, 2022</w:t>
            </w:r>
          </w:p>
        </w:tc>
      </w:tr>
      <w:tr>
        <w:trPr>
          <w:trHeight w:val="158"/>
        </w:trPr>
        <w:tc>
          <w:tcPr>
            <w:tcW w:w="4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Ronit Simantov, M.D.</w:t>
            </w:r>
          </w:p>
        </w:tc>
        <w:tc>
          <w:tcPr>
            <w:tcW w:w="450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214"/>
        </w:trPr>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i w:val="1"/>
                <w:iCs w:val="1"/>
                <w:color w:val="auto"/>
                <w:w w:val="97"/>
              </w:rPr>
              <w:t>/s/ Thomas Woiwode</w:t>
            </w:r>
          </w:p>
        </w:tc>
        <w:tc>
          <w:tcPr>
            <w:tcW w:w="4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Director</w:t>
            </w:r>
          </w:p>
        </w:tc>
        <w:tc>
          <w:tcPr>
            <w:tcW w:w="19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March 29, 2022</w:t>
            </w:r>
          </w:p>
        </w:tc>
      </w:tr>
      <w:tr>
        <w:trPr>
          <w:trHeight w:val="158"/>
        </w:trPr>
        <w:tc>
          <w:tcPr>
            <w:tcW w:w="4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Thomas Woiwode, Ph.D.</w:t>
            </w:r>
          </w:p>
        </w:tc>
        <w:tc>
          <w:tcPr>
            <w:tcW w:w="4500" w:type="dxa"/>
            <w:vAlign w:val="bottom"/>
          </w:tcPr>
          <w:p>
            <w:pPr>
              <w:spacing w:after="0"/>
              <w:rPr>
                <w:sz w:val="13"/>
                <w:szCs w:val="13"/>
                <w:color w:val="auto"/>
              </w:rPr>
            </w:pPr>
          </w:p>
        </w:tc>
        <w:tc>
          <w:tcPr>
            <w:tcW w:w="1920" w:type="dxa"/>
            <w:vAlign w:val="bottom"/>
          </w:tcPr>
          <w:p>
            <w:pPr>
              <w:spacing w:after="0"/>
              <w:rPr>
                <w:sz w:val="13"/>
                <w:szCs w:val="13"/>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106</w:t>
      </w:r>
    </w:p>
    <w:p>
      <w:pPr>
        <w:sectPr>
          <w:pgSz w:w="11900" w:h="16838" w:orient="portrait"/>
          <w:cols w:equalWidth="0" w:num="1">
            <w:col w:w="11240"/>
          </w:cols>
          <w:pgMar w:left="300" w:top="899" w:right="359" w:bottom="1440"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0">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333333"/>
        </w:rPr>
        <w:t>Consent of Independent Registered Public Accounting Firm</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333333"/>
        </w:rPr>
        <w:t>We consent to the incorporation by reference in the following Registration Statements:</w:t>
      </w:r>
    </w:p>
    <w:p>
      <w:pPr>
        <w:spacing w:after="0" w:line="30" w:lineRule="exact"/>
        <w:rPr>
          <w:sz w:val="20"/>
          <w:szCs w:val="20"/>
          <w:color w:val="auto"/>
        </w:rPr>
      </w:pPr>
    </w:p>
    <w:p>
      <w:pPr>
        <w:ind w:left="500" w:hanging="240"/>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S-3 No. 333-257990) of Tempest Therapeutics, Inc.,</w:t>
      </w:r>
    </w:p>
    <w:p>
      <w:pPr>
        <w:spacing w:after="0" w:line="2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333-257727) pertaining to the Tempest Therapeutics, Inc. 2017 Equity Incentive Plan and Inception 2, Inc. 2011 Equity Incentive Plan,</w:t>
      </w:r>
    </w:p>
    <w:p>
      <w:pPr>
        <w:spacing w:after="0" w:line="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333-182040) pertaining to the 2011 Stock Incentive Plan and 2012 Stock Incentive Plan of OvaScience, Inc.,</w:t>
      </w:r>
    </w:p>
    <w:p>
      <w:pPr>
        <w:spacing w:after="0" w:line="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333-187897) pertaining to the 2012 Stock Incentive Plan of OvaScience, Inc.,</w:t>
      </w:r>
    </w:p>
    <w:p>
      <w:pPr>
        <w:spacing w:after="0" w:line="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333-195780) pertaining to the 2012 Stock Incentive Plan of OvaScience, Inc. and the Stock Option Agreement for Dr. Arthur Tzianabos,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5"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333-202793) pertaining to the 2012 Stock Incentive Plan of OvaScience, Inc., the Inducement Stock Option Award for Jeffrey E. Young, and the Inducement Stock Option Award for David P. Harding,</w:t>
      </w:r>
    </w:p>
    <w:p>
      <w:pPr>
        <w:ind w:left="500" w:hanging="240"/>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333-209775) pertaining to the 2012 Stock Incentive Plan of OvaScience, Inc. and the Inducement Stock Option Award for John Eisel,</w:t>
      </w:r>
    </w:p>
    <w:p>
      <w:pPr>
        <w:spacing w:after="0" w:line="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333-216405) pertaining to the 2012 Stock Incentive Plan of OvaScience, Inc. and the 2016 New Employee Inducement Grant Plan, as Amended,</w:t>
      </w:r>
    </w:p>
    <w:p>
      <w:pPr>
        <w:spacing w:after="0" w:line="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333-226750) pertaining to the 2012 Stock Incentive Plan of OvaScience, Inc. and the Inducement Stock Option Award to James W. Lillie, Ph.D.,</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1"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333-230750) pertaining to the Millendo Therapeutics, Inc. 2012 Stock Plan, OvaScience 2012 Stock Incentive Plan, New Hire Inducement Stock Option Grants, BSA Warrants and BSPCE Warrants,</w:t>
      </w:r>
    </w:p>
    <w:p>
      <w:pPr>
        <w:ind w:left="520" w:hanging="260"/>
        <w:spacing w:after="0" w:line="253" w:lineRule="auto"/>
        <w:tabs>
          <w:tab w:leader="none" w:pos="50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333-235515) pertaining to the Millendo Therapeutics, Inc. 2019 Equity Incentive Plan, Millendo Therapeutics, Inc. 2019 Employee Stock Purchase Plan, and New Hire Inducement Stock Options Grants of Millendo Therapeutics, Inc., and</w:t>
      </w:r>
    </w:p>
    <w:p>
      <w:pPr>
        <w:ind w:left="520" w:hanging="260"/>
        <w:spacing w:after="0" w:line="266" w:lineRule="auto"/>
        <w:tabs>
          <w:tab w:leader="none" w:pos="511"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333-249993) pertaining to the Millendo Therapeutics, Inc. 2019 Equity Incentive Plan, Millendo Therapeutics, Inc. 2019 Employee Stock Purchase Plan, and New Hire Inducement Stock Options Grant of Millendo Therapeutics, Inc.;</w:t>
      </w:r>
    </w:p>
    <w:p>
      <w:pPr>
        <w:spacing w:after="0" w:line="14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333333"/>
        </w:rPr>
        <w:t>of our report dated March 29, 2022, with respect to the consolidated financial statements of Tempest Therapeutics, Inc. included in this Annual Report (Form 10-K) of Tempest Therapeutics, Inc. for the year ended December 31, 2021.</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333333"/>
        </w:rPr>
        <w:t>/s/ Ernst &amp; Young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333333"/>
        </w:rPr>
        <w:t>Grand Rapids, Michigan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333333"/>
        </w:rPr>
        <w:t>March 29, 2022</w:t>
      </w:r>
    </w:p>
    <w:p>
      <w:pPr>
        <w:sectPr>
          <w:pgSz w:w="11900" w:h="16838" w:orient="portrait"/>
          <w:cols w:equalWidth="0" w:num="1">
            <w:col w:w="11280"/>
          </w:cols>
          <w:pgMar w:left="300" w:top="1322" w:right="31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4"/>
          <w:szCs w:val="14"/>
          <w:b w:val="1"/>
          <w:bCs w:val="1"/>
          <w:color w:val="auto"/>
        </w:rPr>
        <w:t>Exhibit 23.2</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8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We consent to the incorporation by reference in registration statements No. 333-257990 on Form S-3, No. 333-257727 on Form S-8, No. 333-182040 on Form S-8, No. 333-187897 on Form S-8, No. 333-195780 on Form S-8, No. 333-202793 on Form S-8, No. 333-209775 on Form S-8, No. 333-216405 on Form S-8, No. 333-226750 on Form S-8, No. 333-230750 on Form S-8, No. 333-235515 on Form S-8, and No. 333-249993 on Form S-8, of our report dated May, 10, 2021 (March 29, 2022, as to the effects of the stock exchange as described in Note 1), relating to the consolidated financial statements of Tempest Therapeutics, Inc. and subsidiaries (the “Company”), appearing in this Annual Report on Form 10-K of Tempest Therapeutics, Inc. for the year ended December 31, 2020.</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Francisco, California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29, 2022</w:t>
      </w:r>
    </w:p>
    <w:p>
      <w:pPr>
        <w:sectPr>
          <w:pgSz w:w="11900" w:h="16838" w:orient="portrait"/>
          <w:cols w:equalWidth="0" w:num="1">
            <w:col w:w="11280"/>
          </w:cols>
          <w:pgMar w:left="300" w:top="1131" w:right="31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00" w:lineRule="exact"/>
        <w:rPr>
          <w:sz w:val="20"/>
          <w:szCs w:val="20"/>
          <w:color w:val="auto"/>
        </w:rPr>
      </w:pPr>
    </w:p>
    <w:p>
      <w:pPr>
        <w:spacing w:after="0" w:line="20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u w:val="single" w:color="auto"/>
          <w:color w:val="auto"/>
        </w:rPr>
        <w:t>CERTIFICATIONS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Stephen Brady, certify that:</w:t>
      </w:r>
    </w:p>
    <w:p>
      <w:pPr>
        <w:spacing w:after="0" w:line="200" w:lineRule="exact"/>
        <w:rPr>
          <w:sz w:val="20"/>
          <w:szCs w:val="20"/>
          <w:color w:val="auto"/>
        </w:rPr>
      </w:pPr>
    </w:p>
    <w:p>
      <w:pPr>
        <w:ind w:left="260" w:hanging="255"/>
        <w:spacing w:after="0"/>
        <w:tabs>
          <w:tab w:leader="none" w:pos="2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Tempest Therapeutics, Inc.;</w:t>
      </w:r>
    </w:p>
    <w:p>
      <w:pPr>
        <w:spacing w:after="0" w:line="199"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for the registrant and have:</w:t>
      </w:r>
    </w:p>
    <w:p>
      <w:pPr>
        <w:spacing w:after="0" w:line="145" w:lineRule="exact"/>
        <w:rPr>
          <w:rFonts w:ascii="Times New Roman" w:cs="Times New Roman" w:eastAsia="Times New Roman" w:hAnsi="Times New Roman"/>
          <w:sz w:val="14"/>
          <w:szCs w:val="14"/>
          <w:color w:val="auto"/>
        </w:rPr>
      </w:pPr>
    </w:p>
    <w:p>
      <w:pPr>
        <w:ind w:left="580" w:hanging="320"/>
        <w:spacing w:after="0" w:line="287" w:lineRule="auto"/>
        <w:tabs>
          <w:tab w:leader="none" w:pos="578"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5" w:lineRule="exact"/>
        <w:rPr>
          <w:rFonts w:ascii="Times New Roman" w:cs="Times New Roman" w:eastAsia="Times New Roman" w:hAnsi="Times New Roman"/>
          <w:sz w:val="14"/>
          <w:szCs w:val="14"/>
          <w:color w:val="auto"/>
        </w:rPr>
      </w:pPr>
    </w:p>
    <w:p>
      <w:pPr>
        <w:ind w:left="580" w:hanging="320"/>
        <w:spacing w:after="0" w:line="287" w:lineRule="auto"/>
        <w:tabs>
          <w:tab w:leader="none" w:pos="575"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580" w:hanging="320"/>
        <w:spacing w:after="0" w:line="287" w:lineRule="auto"/>
        <w:tabs>
          <w:tab w:leader="none" w:pos="578"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4"/>
          <w:szCs w:val="14"/>
          <w:color w:val="auto"/>
        </w:rPr>
      </w:pPr>
    </w:p>
    <w:p>
      <w:pPr>
        <w:ind w:left="580" w:hanging="320"/>
        <w:spacing w:after="0" w:line="287" w:lineRule="auto"/>
        <w:tabs>
          <w:tab w:leader="none" w:pos="578"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580" w:hanging="320"/>
        <w:spacing w:after="0"/>
        <w:tabs>
          <w:tab w:leader="none" w:pos="58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March 29, 2022</w:t>
      </w:r>
    </w:p>
    <w:p>
      <w:pPr>
        <w:spacing w:after="0" w:line="200" w:lineRule="exact"/>
        <w:rPr>
          <w:sz w:val="20"/>
          <w:szCs w:val="20"/>
          <w:color w:val="auto"/>
        </w:rPr>
      </w:pPr>
    </w:p>
    <w:p>
      <w:pPr>
        <w:jc w:val="center"/>
        <w:ind w:right="162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u w:val="single" w:color="auto"/>
          <w:color w:val="auto"/>
        </w:rPr>
        <w:t>/s/ Stephen Brady</w:t>
      </w:r>
    </w:p>
    <w:p>
      <w:pPr>
        <w:jc w:val="center"/>
        <w:ind w:right="1520"/>
        <w:spacing w:after="0" w:line="226" w:lineRule="auto"/>
        <w:rPr>
          <w:sz w:val="20"/>
          <w:szCs w:val="20"/>
          <w:color w:val="auto"/>
        </w:rPr>
      </w:pPr>
      <w:r>
        <w:rPr>
          <w:rFonts w:ascii="Times New Roman" w:cs="Times New Roman" w:eastAsia="Times New Roman" w:hAnsi="Times New Roman"/>
          <w:sz w:val="14"/>
          <w:szCs w:val="14"/>
          <w:color w:val="auto"/>
        </w:rPr>
        <w:t>Stephen Brady</w:t>
      </w:r>
    </w:p>
    <w:p>
      <w:pPr>
        <w:jc w:val="center"/>
        <w:ind w:right="1520"/>
        <w:spacing w:after="0"/>
        <w:rPr>
          <w:sz w:val="20"/>
          <w:szCs w:val="20"/>
          <w:color w:val="auto"/>
        </w:rPr>
      </w:pPr>
      <w:r>
        <w:rPr>
          <w:rFonts w:ascii="Times New Roman" w:cs="Times New Roman" w:eastAsia="Times New Roman" w:hAnsi="Times New Roman"/>
          <w:sz w:val="14"/>
          <w:szCs w:val="14"/>
          <w:color w:val="auto"/>
        </w:rPr>
        <w:t>Chief Executive Officer</w:t>
      </w:r>
    </w:p>
    <w:p>
      <w:pPr>
        <w:sectPr>
          <w:pgSz w:w="11900" w:h="16838" w:orient="portrait"/>
          <w:cols w:equalWidth="0" w:num="1">
            <w:col w:w="11020"/>
          </w:cols>
          <w:pgMar w:left="300" w:top="1152" w:right="57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0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u w:val="single" w:color="auto"/>
          <w:color w:val="auto"/>
        </w:rPr>
        <w:t>CERTIFICATIONS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Nicholas Maestas, certify that:</w:t>
      </w:r>
    </w:p>
    <w:p>
      <w:pPr>
        <w:spacing w:after="0" w:line="200" w:lineRule="exact"/>
        <w:rPr>
          <w:sz w:val="20"/>
          <w:szCs w:val="20"/>
          <w:color w:val="auto"/>
        </w:rPr>
      </w:pPr>
    </w:p>
    <w:p>
      <w:pPr>
        <w:ind w:left="260" w:hanging="255"/>
        <w:spacing w:after="0"/>
        <w:tabs>
          <w:tab w:leader="none" w:pos="2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Tempest Therapeutics, Inc.;</w:t>
      </w:r>
    </w:p>
    <w:p>
      <w:pPr>
        <w:spacing w:after="0" w:line="199"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for the registrant and have:</w:t>
      </w:r>
    </w:p>
    <w:p>
      <w:pPr>
        <w:spacing w:after="0" w:line="145" w:lineRule="exact"/>
        <w:rPr>
          <w:sz w:val="20"/>
          <w:szCs w:val="20"/>
          <w:color w:val="auto"/>
        </w:rPr>
      </w:pPr>
    </w:p>
    <w:p>
      <w:pPr>
        <w:ind w:left="520" w:hanging="254"/>
        <w:spacing w:after="0" w:line="287" w:lineRule="auto"/>
        <w:rPr>
          <w:sz w:val="20"/>
          <w:szCs w:val="20"/>
          <w:color w:val="auto"/>
        </w:rPr>
      </w:pPr>
      <w:r>
        <w:rPr>
          <w:rFonts w:ascii="Times New Roman" w:cs="Times New Roman" w:eastAsia="Times New Roman" w:hAnsi="Times New Roman"/>
          <w:sz w:val="14"/>
          <w:szCs w:val="14"/>
          <w:color w:val="auto"/>
        </w:rPr>
        <w:t>(a) Designed such disclosure controls and procedures, or caused such disclosure controls and procedures</w:t>
      </w:r>
      <w:r>
        <w:rPr>
          <w:sz w:val="20"/>
          <w:szCs w:val="20"/>
          <w:color w:val="auto"/>
        </w:rPr>
        <w:t xml:space="preserve"> </w:t>
      </w:r>
      <w:r>
        <w:rPr>
          <w:rFonts w:ascii="Times New Roman" w:cs="Times New Roman" w:eastAsia="Times New Roman" w:hAnsi="Times New Roman"/>
          <w:sz w:val="14"/>
          <w:szCs w:val="14"/>
          <w:color w:val="auto"/>
        </w:rPr>
        <w:t>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5" w:lineRule="exact"/>
        <w:rPr>
          <w:sz w:val="20"/>
          <w:szCs w:val="20"/>
          <w:color w:val="auto"/>
        </w:rPr>
      </w:pPr>
    </w:p>
    <w:p>
      <w:pPr>
        <w:ind w:left="520" w:hanging="260"/>
        <w:spacing w:after="0" w:line="287" w:lineRule="auto"/>
        <w:tabs>
          <w:tab w:leader="none" w:pos="515"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520" w:hanging="260"/>
        <w:spacing w:after="0" w:line="287" w:lineRule="auto"/>
        <w:tabs>
          <w:tab w:leader="none" w:pos="518"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4"/>
          <w:szCs w:val="14"/>
          <w:color w:val="auto"/>
        </w:rPr>
      </w:pPr>
    </w:p>
    <w:p>
      <w:pPr>
        <w:ind w:left="520" w:hanging="260"/>
        <w:spacing w:after="0" w:line="287" w:lineRule="auto"/>
        <w:tabs>
          <w:tab w:leader="none" w:pos="518"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March 29, 2022</w:t>
      </w:r>
    </w:p>
    <w:p>
      <w:pPr>
        <w:spacing w:after="0" w:line="2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u w:val="single" w:color="auto"/>
          <w:color w:val="auto"/>
        </w:rPr>
        <w:t>/s/ Nicholas Maestas</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color w:val="auto"/>
        </w:rPr>
        <w:t>Nicholas Maestas</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color w:val="auto"/>
        </w:rPr>
        <w:t>Vice-President, Strategy and Finance</w:t>
      </w:r>
    </w:p>
    <w:p>
      <w:pPr>
        <w:sectPr>
          <w:pgSz w:w="11900" w:h="16838" w:orient="portrait"/>
          <w:cols w:equalWidth="0" w:num="1">
            <w:col w:w="11020"/>
          </w:cols>
          <w:pgMar w:left="300" w:top="1141" w:right="57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0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Pursuant to the requirement set forth in Rule 13a-14(b) of the Securities Exchange Act of 1934, as amended, (the “Exchange Act”) and Section 1350 of Chapter 63 of Title 18 of the United States Code (18 U.S.C. §1350), Stephen Brady, Chief Executive Officer of Tempest Therapeutics, Inc. (the “Company”), and Nicholas Maestas, Vice President, Strategy and Finance, of the Company, each hereby certifies that, to the best of his or her knowledge:</w:t>
      </w:r>
    </w:p>
    <w:p>
      <w:pPr>
        <w:spacing w:after="0" w:line="157" w:lineRule="exact"/>
        <w:rPr>
          <w:sz w:val="20"/>
          <w:szCs w:val="20"/>
          <w:color w:val="auto"/>
        </w:rPr>
      </w:pPr>
    </w:p>
    <w:p>
      <w:pPr>
        <w:ind w:left="260" w:hanging="255"/>
        <w:spacing w:after="0" w:line="287" w:lineRule="auto"/>
        <w:tabs>
          <w:tab w:leader="none" w:pos="2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Annual Report on Form 10-K for the period ended December 31, 2021, to which this Certification is attached as Exhibit 32.1 (the “Report”), fully complies with the requirements of Section 13(a) or Section 15(d) of the Exchange Act; and</w:t>
      </w:r>
    </w:p>
    <w:p>
      <w:pPr>
        <w:spacing w:after="0" w:line="145"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Dated: March 29, 2022</w:t>
            </w:r>
          </w:p>
        </w:tc>
        <w:tc>
          <w:tcPr>
            <w:tcW w:w="5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61"/>
        </w:trPr>
        <w:tc>
          <w:tcPr>
            <w:tcW w:w="6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WITNESS WHEREOF</w:t>
            </w:r>
            <w:r>
              <w:rPr>
                <w:rFonts w:ascii="Times New Roman" w:cs="Times New Roman" w:eastAsia="Times New Roman" w:hAnsi="Times New Roman"/>
                <w:sz w:val="14"/>
                <w:szCs w:val="14"/>
                <w:color w:val="auto"/>
              </w:rPr>
              <w:t>, the undersigned have set their hands hereto as of the 29th day of March, 2022.</w:t>
            </w: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61"/>
        </w:trPr>
        <w:tc>
          <w:tcPr>
            <w:tcW w:w="20" w:type="dxa"/>
            <w:vAlign w:val="bottom"/>
          </w:tcPr>
          <w:p>
            <w:pPr>
              <w:spacing w:after="0"/>
              <w:rPr>
                <w:sz w:val="24"/>
                <w:szCs w:val="24"/>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Stephen Brady</w:t>
            </w:r>
          </w:p>
        </w:tc>
        <w:tc>
          <w:tcPr>
            <w:tcW w:w="2680" w:type="dxa"/>
            <w:vAlign w:val="bottom"/>
            <w:gridSpan w:val="3"/>
          </w:tcPr>
          <w:p>
            <w:pPr>
              <w:ind w:left="580"/>
              <w:spacing w:after="0"/>
              <w:rPr>
                <w:sz w:val="20"/>
                <w:szCs w:val="20"/>
                <w:color w:val="auto"/>
              </w:rPr>
            </w:pPr>
            <w:r>
              <w:rPr>
                <w:rFonts w:ascii="Times New Roman" w:cs="Times New Roman" w:eastAsia="Times New Roman" w:hAnsi="Times New Roman"/>
                <w:sz w:val="14"/>
                <w:szCs w:val="14"/>
                <w:color w:val="auto"/>
              </w:rPr>
              <w:t>/s/ Nicholas Maestas</w:t>
            </w: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Stephen Brady</w:t>
            </w:r>
          </w:p>
        </w:tc>
        <w:tc>
          <w:tcPr>
            <w:tcW w:w="5660" w:type="dxa"/>
            <w:vAlign w:val="bottom"/>
          </w:tcPr>
          <w:p>
            <w:pPr>
              <w:spacing w:after="0"/>
              <w:rPr>
                <w:sz w:val="16"/>
                <w:szCs w:val="16"/>
                <w:color w:val="auto"/>
              </w:rPr>
            </w:pPr>
          </w:p>
        </w:tc>
        <w:tc>
          <w:tcPr>
            <w:tcW w:w="2680" w:type="dxa"/>
            <w:vAlign w:val="bottom"/>
            <w:gridSpan w:val="3"/>
          </w:tcPr>
          <w:p>
            <w:pPr>
              <w:ind w:left="580"/>
              <w:spacing w:after="0"/>
              <w:rPr>
                <w:sz w:val="20"/>
                <w:szCs w:val="20"/>
                <w:color w:val="auto"/>
              </w:rPr>
            </w:pPr>
            <w:r>
              <w:rPr>
                <w:rFonts w:ascii="Times New Roman" w:cs="Times New Roman" w:eastAsia="Times New Roman" w:hAnsi="Times New Roman"/>
                <w:sz w:val="14"/>
                <w:szCs w:val="14"/>
                <w:color w:val="auto"/>
              </w:rPr>
              <w:t>Nicholas Maestas</w:t>
            </w:r>
          </w:p>
        </w:tc>
      </w:tr>
      <w:tr>
        <w:trPr>
          <w:trHeight w:val="184"/>
        </w:trPr>
        <w:tc>
          <w:tcPr>
            <w:tcW w:w="20" w:type="dxa"/>
            <w:vAlign w:val="bottom"/>
          </w:tcPr>
          <w:p>
            <w:pPr>
              <w:spacing w:after="0"/>
              <w:rPr>
                <w:sz w:val="16"/>
                <w:szCs w:val="16"/>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Executive Officer</w:t>
            </w:r>
          </w:p>
        </w:tc>
        <w:tc>
          <w:tcPr>
            <w:tcW w:w="2680" w:type="dxa"/>
            <w:vAlign w:val="bottom"/>
            <w:gridSpan w:val="3"/>
          </w:tcPr>
          <w:p>
            <w:pPr>
              <w:ind w:left="580"/>
              <w:spacing w:after="0"/>
              <w:rPr>
                <w:sz w:val="20"/>
                <w:szCs w:val="20"/>
                <w:color w:val="auto"/>
              </w:rPr>
            </w:pPr>
            <w:r>
              <w:rPr>
                <w:rFonts w:ascii="Times New Roman" w:cs="Times New Roman" w:eastAsia="Times New Roman" w:hAnsi="Times New Roman"/>
                <w:sz w:val="14"/>
                <w:szCs w:val="14"/>
                <w:color w:val="auto"/>
                <w:w w:val="99"/>
              </w:rPr>
              <w:t>Vice-President, Strategy and Finance</w:t>
            </w:r>
          </w:p>
        </w:tc>
      </w:tr>
    </w:tbl>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“This certification accompanies the Form 10-K to which it relates, is not deemed filed with the Securities and Exchange Commission and is not to be incorporated by reference into any filing of Tempest Therapeutics,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020"/>
      </w:cols>
      <w:pgMar w:left="300" w:top="1141"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1)"/>
      <w:numFmt w:val="lowerRoman"/>
      <w:start w:val="1"/>
    </w:lvl>
  </w:abstractNum>
  <w:abstractNum w:abstractNumId="38">
    <w:nsid w:val="2A487CB0"/>
    <w:multiLevelType w:val="hybridMultilevel"/>
    <w:lvl w:ilvl="0">
      <w:lvlJc w:val="left"/>
      <w:lvlText w:val="(%1)"/>
      <w:numFmt w:val="lowerRoman"/>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decimal"/>
      <w:start w:val="1"/>
    </w:lvl>
    <w:lvl w:ilvl="1">
      <w:lvlJc w:val="left"/>
      <w:lvlText w:val="(%2)"/>
      <w:numFmt w:val="lowerLetter"/>
      <w:start w:val="1"/>
    </w:lvl>
  </w:abstractNum>
  <w:abstractNum w:abstractNumId="43">
    <w:nsid w:val="7A6D8D3C"/>
    <w:multiLevelType w:val="hybridMultilevel"/>
    <w:lvl w:ilvl="0">
      <w:lvlJc w:val="left"/>
      <w:lvlText w:val="%1."/>
      <w:numFmt w:val="decimal"/>
      <w:start w:val="1"/>
    </w:lvl>
  </w:abstractNum>
  <w:abstractNum w:abstractNumId="44">
    <w:nsid w:val="4B588F54"/>
    <w:multiLevelType w:val="hybridMultilevel"/>
    <w:lvl w:ilvl="0">
      <w:lvlJc w:val="left"/>
      <w:lvlText w:val="%1"/>
      <w:numFmt w:val="decimal"/>
      <w:start w:val="1"/>
    </w:lvl>
    <w:lvl w:ilvl="1">
      <w:lvlJc w:val="left"/>
      <w:lvlText w:val="(%2)"/>
      <w:numFmt w:val="lowerLetter"/>
      <w:start w:val="2"/>
    </w:lvl>
  </w:abstractNum>
  <w:abstractNum w:abstractNumId="45">
    <w:nsid w:val="542289EC"/>
    <w:multiLevelType w:val="hybridMultilevel"/>
    <w:lvl w:ilvl="0">
      <w:lvlJc w:val="left"/>
      <w:lvlText w:val="%1."/>
      <w:numFmt w:val="decimal"/>
      <w:start w:val="5"/>
    </w:lvl>
    <w:lvl w:ilvl="1">
      <w:lvlJc w:val="left"/>
      <w:lvlText w:val="(%2)"/>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50" Type="http://schemas.openxmlformats.org/officeDocument/2006/relationships/image" Target="media/image122.png"/><Relationship Id="rId151" Type="http://schemas.openxmlformats.org/officeDocument/2006/relationships/image" Target="media/image123.png"/><Relationship Id="rId152" Type="http://schemas.openxmlformats.org/officeDocument/2006/relationships/image" Target="media/image124.png"/><Relationship Id="rId153" Type="http://schemas.openxmlformats.org/officeDocument/2006/relationships/image" Target="media/image125.png"/><Relationship Id="rId154" Type="http://schemas.openxmlformats.org/officeDocument/2006/relationships/image" Target="media/image126.png"/><Relationship Id="rId155" Type="http://schemas.openxmlformats.org/officeDocument/2006/relationships/image" Target="media/image127.png"/><Relationship Id="rId156" Type="http://schemas.openxmlformats.org/officeDocument/2006/relationships/image" Target="media/image128.png"/><Relationship Id="rId157" Type="http://schemas.openxmlformats.org/officeDocument/2006/relationships/image" Target="media/image129.png"/><Relationship Id="rId158" Type="http://schemas.openxmlformats.org/officeDocument/2006/relationships/image" Target="media/image130.png"/><Relationship Id="rId159" Type="http://schemas.openxmlformats.org/officeDocument/2006/relationships/image" Target="media/image131.png"/><Relationship Id="rId160" Type="http://schemas.openxmlformats.org/officeDocument/2006/relationships/image" Target="media/image132.png"/><Relationship Id="rId161" Type="http://schemas.openxmlformats.org/officeDocument/2006/relationships/image" Target="media/image133.png"/><Relationship Id="rId162" Type="http://schemas.openxmlformats.org/officeDocument/2006/relationships/image" Target="media/image134.png"/><Relationship Id="rId163" Type="http://schemas.openxmlformats.org/officeDocument/2006/relationships/image" Target="media/image135.png"/><Relationship Id="rId164" Type="http://schemas.openxmlformats.org/officeDocument/2006/relationships/image" Target="media/image136.png"/><Relationship Id="rId165" Type="http://schemas.openxmlformats.org/officeDocument/2006/relationships/image" Target="media/image137.png"/><Relationship Id="rId129" Type="http://schemas.openxmlformats.org/officeDocument/2006/relationships/hyperlink" Target="https://www.sec.gov/Archives/edgar/data/1544227/000110465921042768/tm2111026d1_ex2-1.htm" TargetMode="External"/><Relationship Id="rId130" Type="http://schemas.openxmlformats.org/officeDocument/2006/relationships/hyperlink" Target="https://www.sec.gov/Archives/edgar/data/1544227/000155837019005038/mlnd-20190331ex31b53fa83.htm" TargetMode="External"/><Relationship Id="rId131" Type="http://schemas.openxmlformats.org/officeDocument/2006/relationships/hyperlink" Target="https://www.sec.gov/Archives/edgar/data/1544227/000119312521201157/d196630dex31.htm" TargetMode="External"/><Relationship Id="rId132" Type="http://schemas.openxmlformats.org/officeDocument/2006/relationships/hyperlink" Target="https://www.sec.gov/Archives/edgar/data/1544227/000119312521201157/d196630dex32.htm" TargetMode="External"/><Relationship Id="rId133" Type="http://schemas.openxmlformats.org/officeDocument/2006/relationships/hyperlink" Target="https://www.sec.gov/Archives/edgar/data/1544227/000119312521281694/d222030dex31.htm" TargetMode="External"/><Relationship Id="rId134" Type="http://schemas.openxmlformats.org/officeDocument/2006/relationships/hyperlink" Target="https://www.sec.gov/Archives/edgar/data/1544227/000119312521148605/d150774dex42.htm" TargetMode="External"/><Relationship Id="rId135" Type="http://schemas.openxmlformats.org/officeDocument/2006/relationships/hyperlink" Target="https://www.sec.gov/Archives/edgar/data/1544227/000119312521208968/d184348dex102.htm" TargetMode="External"/><Relationship Id="rId136" Type="http://schemas.openxmlformats.org/officeDocument/2006/relationships/hyperlink" Target="https://www.sec.gov/Archives/edgar/data/1544227/000119312521208968/d184348dex101.htm" TargetMode="External"/><Relationship Id="rId137" Type="http://schemas.openxmlformats.org/officeDocument/2006/relationships/hyperlink" Target="https://www.sec.gov/Archives/edgar/data/1544227/000110465919035378/a19-11518_1ex10d1.htm" TargetMode="External"/><Relationship Id="rId138" Type="http://schemas.openxmlformats.org/officeDocument/2006/relationships/hyperlink" Target="https://www.sec.gov/Archives/edgar/data/1544227/000155837019007932/mlnd-20190630ex107cfce16.htm" TargetMode="External"/><Relationship Id="rId139" Type="http://schemas.openxmlformats.org/officeDocument/2006/relationships/hyperlink" Target="https://www.sec.gov/Archives/edgar/data/1544227/000155837019007932/mlnd-20190630ex108da3c00.htm" TargetMode="External"/><Relationship Id="rId140" Type="http://schemas.openxmlformats.org/officeDocument/2006/relationships/hyperlink" Target="https://www.sec.gov/Archives/edgar/data/1544227/000154422720000004/mlnd-20191231xex1016.htm" TargetMode="External"/><Relationship Id="rId141" Type="http://schemas.openxmlformats.org/officeDocument/2006/relationships/hyperlink" Target="https://www.sec.gov/Archives/edgar/data/1544227/000154422720000004/mlnd-201912x31xex1017.htm" TargetMode="External"/><Relationship Id="rId142" Type="http://schemas.openxmlformats.org/officeDocument/2006/relationships/hyperlink" Target="https://www.sec.gov/Archives/edgar/data/1544227/000110465919035378/a19-11518_1ex10d2.htm" TargetMode="External"/><Relationship Id="rId143" Type="http://schemas.openxmlformats.org/officeDocument/2006/relationships/hyperlink" Target="https://www.sec.gov/Archives/edgar/data/1544227/000119312521148605/d150774dex103.htm" TargetMode="External"/><Relationship Id="rId144" Type="http://schemas.openxmlformats.org/officeDocument/2006/relationships/hyperlink" Target="https://www.sec.gov/Archives/edgar/data/1544227/000119312521209988/d69289dex101.htm" TargetMode="External"/><Relationship Id="rId145" Type="http://schemas.openxmlformats.org/officeDocument/2006/relationships/hyperlink" Target="https://www.sec.gov/Archives/edgar/data/1544227/000119312521209988/d69289dex102.htm" TargetMode="External"/><Relationship Id="rId146" Type="http://schemas.openxmlformats.org/officeDocument/2006/relationships/hyperlink" Target="https://www.sec.gov/Archives/edgar/data/1544227/000119312521209988/d69289dex103.htm" TargetMode="External"/><Relationship Id="rId147" Type="http://schemas.openxmlformats.org/officeDocument/2006/relationships/hyperlink" Target="https://www.sec.gov/Archives/edgar/data/1544227/000119312521209988/d69289dex104.htm" TargetMode="External"/><Relationship Id="rId148" Type="http://schemas.openxmlformats.org/officeDocument/2006/relationships/hyperlink" Target="https://www.sec.gov/Archives/edgar/data/1544227/000119312521148605/d150774dex101.htm" TargetMode="External"/><Relationship Id="rId149" Type="http://schemas.openxmlformats.org/officeDocument/2006/relationships/hyperlink" Target="https://www.sec.gov/Archives/edgar/data/1544227/000119312521148605/d150774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2022-03-29T16:37:27Z</dcterms:created>
  <dcterms:modified xsi:type="dcterms:W3CDTF">2022-03-29T16:37:27Z</dcterms:modified>
</cp:coreProperties>
</file>