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May 16, 2022</w:t>
      </w:r>
    </w:p>
    <w:p>
      <w:pPr>
        <w:spacing w:after="0" w:line="4" w:lineRule="exact"/>
        <w:rPr>
          <w:sz w:val="24"/>
          <w:szCs w:val="24"/>
          <w:color w:val="auto"/>
        </w:rPr>
      </w:pP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S-3</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jc w:val="center"/>
        <w:ind w:right="-119"/>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TEMPEST THERAPEUTICS, INC.</w:t>
      </w:r>
    </w:p>
    <w:p>
      <w:pPr>
        <w:spacing w:after="0" w:line="27" w:lineRule="exact"/>
        <w:rPr>
          <w:sz w:val="24"/>
          <w:szCs w:val="24"/>
          <w:color w:val="auto"/>
        </w:rPr>
      </w:pPr>
    </w:p>
    <w:tbl>
      <w:tblPr>
        <w:tblLayout w:type="fixed"/>
        <w:tblInd w:w="1960" w:type="dxa"/>
        <w:tblCellMar>
          <w:top w:w="0" w:type="dxa"/>
          <w:left w:w="0" w:type="dxa"/>
          <w:bottom w:w="0" w:type="dxa"/>
          <w:right w:w="0" w:type="dxa"/>
        </w:tblCellMar>
      </w:tblPr>
      <w:tr>
        <w:trPr>
          <w:trHeight w:val="186"/>
        </w:trPr>
        <w:tc>
          <w:tcPr>
            <w:tcW w:w="1980" w:type="dxa"/>
            <w:vAlign w:val="bottom"/>
          </w:tcPr>
          <w:p>
            <w:pPr>
              <w:spacing w:after="0"/>
              <w:rPr>
                <w:sz w:val="16"/>
                <w:szCs w:val="16"/>
                <w:color w:val="auto"/>
              </w:rPr>
            </w:pPr>
          </w:p>
        </w:tc>
        <w:tc>
          <w:tcPr>
            <w:tcW w:w="5240" w:type="dxa"/>
            <w:vAlign w:val="bottom"/>
            <w:gridSpan w:val="3"/>
          </w:tcPr>
          <w:p>
            <w:pPr>
              <w:ind w:left="10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58"/>
        </w:trPr>
        <w:tc>
          <w:tcPr>
            <w:tcW w:w="1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r>
      <w:tr>
        <w:trPr>
          <w:trHeight w:val="308"/>
        </w:trPr>
        <w:tc>
          <w:tcPr>
            <w:tcW w:w="198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gridSpan w:val="3"/>
          </w:tcPr>
          <w:p>
            <w:pPr>
              <w:jc w:val="center"/>
              <w:ind w:left="3719"/>
              <w:spacing w:after="0"/>
              <w:rPr>
                <w:sz w:val="20"/>
                <w:szCs w:val="20"/>
                <w:color w:val="auto"/>
              </w:rPr>
            </w:pPr>
            <w:r>
              <w:rPr>
                <w:rFonts w:ascii="Arial" w:cs="Arial" w:eastAsia="Arial" w:hAnsi="Arial"/>
                <w:sz w:val="18"/>
                <w:szCs w:val="18"/>
                <w:b w:val="1"/>
                <w:bCs w:val="1"/>
                <w:color w:val="auto"/>
                <w:w w:val="91"/>
              </w:rPr>
              <w:t>45-1472564</w:t>
            </w:r>
          </w:p>
        </w:tc>
      </w:tr>
      <w:tr>
        <w:trPr>
          <w:trHeight w:val="148"/>
        </w:trPr>
        <w:tc>
          <w:tcPr>
            <w:tcW w:w="1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8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0" w:type="dxa"/>
            <w:vAlign w:val="bottom"/>
          </w:tcPr>
          <w:p>
            <w:pPr>
              <w:jc w:val="center"/>
              <w:ind w:left="88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7000 Shoreline Court, Suite 275</w:t>
      </w:r>
    </w:p>
    <w:p>
      <w:pPr>
        <w:jc w:val="center"/>
        <w:ind w:right="-119"/>
        <w:spacing w:after="0" w:line="226" w:lineRule="auto"/>
        <w:rPr>
          <w:sz w:val="20"/>
          <w:szCs w:val="20"/>
          <w:color w:val="auto"/>
        </w:rPr>
      </w:pPr>
      <w:r>
        <w:rPr>
          <w:rFonts w:ascii="Arial" w:cs="Arial" w:eastAsia="Arial" w:hAnsi="Arial"/>
          <w:sz w:val="14"/>
          <w:szCs w:val="14"/>
          <w:b w:val="1"/>
          <w:bCs w:val="1"/>
          <w:color w:val="auto"/>
        </w:rPr>
        <w:t>South San Francisco, California, 94080</w:t>
      </w:r>
    </w:p>
    <w:p>
      <w:pPr>
        <w:jc w:val="center"/>
        <w:ind w:right="-119"/>
        <w:spacing w:after="0" w:line="221" w:lineRule="auto"/>
        <w:rPr>
          <w:sz w:val="20"/>
          <w:szCs w:val="20"/>
          <w:color w:val="auto"/>
        </w:rPr>
      </w:pPr>
      <w:r>
        <w:rPr>
          <w:rFonts w:ascii="Arial" w:cs="Arial" w:eastAsia="Arial" w:hAnsi="Arial"/>
          <w:sz w:val="14"/>
          <w:szCs w:val="14"/>
          <w:b w:val="1"/>
          <w:bCs w:val="1"/>
          <w:color w:val="auto"/>
        </w:rPr>
        <w:t>(415) 798-8589</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Stephen Brady</w:t>
      </w:r>
    </w:p>
    <w:p>
      <w:pPr>
        <w:jc w:val="center"/>
        <w:ind w:right="-1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7000 Shoreline Court; Suite 275</w:t>
      </w:r>
    </w:p>
    <w:p>
      <w:pPr>
        <w:jc w:val="center"/>
        <w:ind w:right="-119"/>
        <w:spacing w:after="0" w:line="222" w:lineRule="auto"/>
        <w:rPr>
          <w:sz w:val="20"/>
          <w:szCs w:val="20"/>
          <w:color w:val="auto"/>
        </w:rPr>
      </w:pPr>
      <w:r>
        <w:rPr>
          <w:rFonts w:ascii="Arial" w:cs="Arial" w:eastAsia="Arial" w:hAnsi="Arial"/>
          <w:sz w:val="14"/>
          <w:szCs w:val="14"/>
          <w:b w:val="1"/>
          <w:bCs w:val="1"/>
          <w:color w:val="auto"/>
        </w:rPr>
        <w:t>South San Francisco, CA 94080</w:t>
      </w:r>
    </w:p>
    <w:p>
      <w:pPr>
        <w:jc w:val="center"/>
        <w:ind w:right="-119"/>
        <w:spacing w:after="0" w:line="221" w:lineRule="auto"/>
        <w:rPr>
          <w:sz w:val="20"/>
          <w:szCs w:val="20"/>
          <w:color w:val="auto"/>
        </w:rPr>
      </w:pPr>
      <w:r>
        <w:rPr>
          <w:rFonts w:ascii="Arial" w:cs="Arial" w:eastAsia="Arial" w:hAnsi="Arial"/>
          <w:sz w:val="14"/>
          <w:szCs w:val="14"/>
          <w:b w:val="1"/>
          <w:bCs w:val="1"/>
          <w:color w:val="auto"/>
        </w:rPr>
        <w:t>(415) 798-8589</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Copies to:</w:t>
      </w:r>
    </w:p>
    <w:p>
      <w:pPr>
        <w:jc w:val="center"/>
        <w:ind w:right="-119"/>
        <w:spacing w:after="0" w:line="221" w:lineRule="auto"/>
        <w:rPr>
          <w:sz w:val="20"/>
          <w:szCs w:val="20"/>
          <w:color w:val="auto"/>
        </w:rPr>
      </w:pPr>
      <w:r>
        <w:rPr>
          <w:rFonts w:ascii="Arial" w:cs="Arial" w:eastAsia="Arial" w:hAnsi="Arial"/>
          <w:sz w:val="14"/>
          <w:szCs w:val="14"/>
          <w:b w:val="1"/>
          <w:bCs w:val="1"/>
          <w:color w:val="auto"/>
        </w:rPr>
        <w:t>Laura Berezin</w:t>
      </w:r>
    </w:p>
    <w:p>
      <w:pPr>
        <w:jc w:val="center"/>
        <w:ind w:right="-119"/>
        <w:spacing w:after="0" w:line="221" w:lineRule="auto"/>
        <w:rPr>
          <w:sz w:val="20"/>
          <w:szCs w:val="20"/>
          <w:color w:val="auto"/>
        </w:rPr>
      </w:pPr>
      <w:r>
        <w:rPr>
          <w:rFonts w:ascii="Arial" w:cs="Arial" w:eastAsia="Arial" w:hAnsi="Arial"/>
          <w:sz w:val="14"/>
          <w:szCs w:val="14"/>
          <w:b w:val="1"/>
          <w:bCs w:val="1"/>
          <w:color w:val="auto"/>
        </w:rPr>
        <w:t>Jaime L. Chase</w:t>
      </w:r>
    </w:p>
    <w:p>
      <w:pPr>
        <w:jc w:val="center"/>
        <w:ind w:right="-119"/>
        <w:spacing w:after="0" w:line="222" w:lineRule="auto"/>
        <w:rPr>
          <w:sz w:val="20"/>
          <w:szCs w:val="20"/>
          <w:color w:val="auto"/>
        </w:rPr>
      </w:pPr>
      <w:r>
        <w:rPr>
          <w:rFonts w:ascii="Arial" w:cs="Arial" w:eastAsia="Arial" w:hAnsi="Arial"/>
          <w:sz w:val="14"/>
          <w:szCs w:val="14"/>
          <w:b w:val="1"/>
          <w:bCs w:val="1"/>
          <w:color w:val="auto"/>
        </w:rPr>
        <w:t>Cooley LLP</w:t>
      </w:r>
    </w:p>
    <w:p>
      <w:pPr>
        <w:jc w:val="center"/>
        <w:ind w:right="-119"/>
        <w:spacing w:after="0" w:line="221" w:lineRule="auto"/>
        <w:rPr>
          <w:sz w:val="20"/>
          <w:szCs w:val="20"/>
          <w:color w:val="auto"/>
        </w:rPr>
      </w:pPr>
      <w:r>
        <w:rPr>
          <w:rFonts w:ascii="Arial" w:cs="Arial" w:eastAsia="Arial" w:hAnsi="Arial"/>
          <w:sz w:val="14"/>
          <w:szCs w:val="14"/>
          <w:b w:val="1"/>
          <w:bCs w:val="1"/>
          <w:color w:val="auto"/>
        </w:rPr>
        <w:t>3175 Hanover Street</w:t>
      </w:r>
    </w:p>
    <w:p>
      <w:pPr>
        <w:jc w:val="center"/>
        <w:ind w:right="-119"/>
        <w:spacing w:after="0" w:line="221" w:lineRule="auto"/>
        <w:rPr>
          <w:sz w:val="20"/>
          <w:szCs w:val="20"/>
          <w:color w:val="auto"/>
        </w:rPr>
      </w:pPr>
      <w:r>
        <w:rPr>
          <w:rFonts w:ascii="Arial" w:cs="Arial" w:eastAsia="Arial" w:hAnsi="Arial"/>
          <w:sz w:val="14"/>
          <w:szCs w:val="14"/>
          <w:b w:val="1"/>
          <w:bCs w:val="1"/>
          <w:color w:val="auto"/>
        </w:rPr>
        <w:t>Palo Alto, CA 94304</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5"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96" w:lineRule="exact"/>
        <w:rPr>
          <w:sz w:val="24"/>
          <w:szCs w:val="24"/>
          <w:color w:val="auto"/>
        </w:rPr>
      </w:pPr>
    </w:p>
    <w:p>
      <w:pPr>
        <w:ind w:left="120" w:right="28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6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2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2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5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60" w:type="dxa"/>
            <w:vAlign w:val="bottom"/>
          </w:tcPr>
          <w:p>
            <w:pPr>
              <w:ind w:left="3220"/>
              <w:spacing w:after="0"/>
              <w:rPr>
                <w:sz w:val="20"/>
                <w:szCs w:val="20"/>
                <w:color w:val="auto"/>
              </w:rPr>
            </w:pPr>
            <w:r>
              <w:rPr>
                <w:rFonts w:ascii="Arial" w:cs="Arial" w:eastAsia="Arial" w:hAnsi="Arial"/>
                <w:sz w:val="14"/>
                <w:szCs w:val="14"/>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7"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8" w:lineRule="exact"/>
        <w:rPr>
          <w:sz w:val="24"/>
          <w:szCs w:val="24"/>
          <w:color w:val="auto"/>
        </w:rPr>
      </w:pPr>
    </w:p>
    <w:p>
      <w:pPr>
        <w:ind w:left="120" w:right="6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b w:val="1"/>
          <w:bCs w:val="1"/>
          <w:color w:val="FF4338"/>
        </w:rPr>
        <w:t>The information in this preliminary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MAY 16,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6,355,932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178435</wp:posOffset>
            </wp:positionV>
            <wp:extent cx="1517015" cy="368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120" w:right="180" w:firstLine="440"/>
        <w:spacing w:after="0" w:line="301" w:lineRule="auto"/>
        <w:rPr>
          <w:sz w:val="20"/>
          <w:szCs w:val="20"/>
          <w:color w:val="auto"/>
        </w:rPr>
      </w:pPr>
      <w:r>
        <w:rPr>
          <w:rFonts w:ascii="Arial" w:cs="Arial" w:eastAsia="Arial" w:hAnsi="Arial"/>
          <w:sz w:val="16"/>
          <w:szCs w:val="16"/>
          <w:color w:val="auto"/>
        </w:rPr>
        <w:t>This prospectus relates to the proposed resale from time to time of up to 6,355,932 shares of our common stock, par value $0.001 per share, (the “Resale Shares”), of which 3,149,912 shares are issued and outstanding and 3,206,020 shares (the “Warrant Shares”) are issuable upon the exercise of pre-funded warrants to purchase shares of common stock, by the selling stockholders named herein, together with any additional selling stockholders listed in a prospectus supplement (together with any of such stockholders’ transferees, pledgees, donees or successors).</w:t>
      </w:r>
    </w:p>
    <w:p>
      <w:pPr>
        <w:spacing w:after="0" w:line="15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are registering the offer and sale of the Resale Shares from time to time by the selling stockholders to satisfy the registration rights they were granted in connection with the issuance of the Resale Shares and pre-funded warrants to purchase Resale Shares (the “Pre-Funded Warrants”). We will not receive any proceeds from the sale of the Resale Shares by the selling stockholders.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selling stockholders may offer and sell or otherwise dispose of the Resale Shares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Resale Shares and any transfer taxes. We will bear all other costs, expenses and fees in connection with the registration of the Resale Shares. See “Plan of Distribution” for more information about how the selling stockholders may sell or dispose of their Resale Shares.</w:t>
      </w:r>
    </w:p>
    <w:p>
      <w:pPr>
        <w:spacing w:after="0" w:line="188"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Our common stock is listed on The Nasdaq Capital Market under the trading symbol “TPST.” On May 13, 2022, the closing price of our common stock was $2.88 per share.</w:t>
      </w:r>
    </w:p>
    <w:p>
      <w:pPr>
        <w:spacing w:after="0" w:line="166" w:lineRule="exact"/>
        <w:rPr>
          <w:sz w:val="20"/>
          <w:szCs w:val="20"/>
          <w:color w:val="auto"/>
        </w:rPr>
      </w:pPr>
    </w:p>
    <w:p>
      <w:pPr>
        <w:jc w:val="both"/>
        <w:ind w:left="120" w:right="40" w:firstLine="4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shares of our common stock involves a high degree of risk. You should review carefully the risks and uncertainties described in the section titled “</w:t>
      </w:r>
      <w:hyperlink w:anchor="page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2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80"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04"/>
        </w:trPr>
        <w:tc>
          <w:tcPr>
            <w:tcW w:w="802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30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TEMPEST THERAPEUTICS, INC.</w:t>
              </w:r>
            </w:hyperlink>
          </w:p>
        </w:tc>
        <w:tc>
          <w:tcPr>
            <w:tcW w:w="5400" w:type="dxa"/>
            <w:vAlign w:val="bottom"/>
            <w:gridSpan w:val="5"/>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020" w:type="dxa"/>
            <w:vAlign w:val="bottom"/>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8020" w:type="dxa"/>
            <w:vAlign w:val="bottom"/>
            <w:gridSpan w:val="1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SPECIAL NOTE REGARDING FORWARD-LOOKING STATEMENTS</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7"/>
          </w:tcPr>
          <w:p>
            <w:pPr>
              <w:spacing w:after="0"/>
              <w:rPr>
                <w:sz w:val="17"/>
                <w:szCs w:val="17"/>
                <w:color w:val="auto"/>
              </w:rPr>
            </w:pPr>
          </w:p>
        </w:tc>
        <w:tc>
          <w:tcPr>
            <w:tcW w:w="2700" w:type="dxa"/>
            <w:vAlign w:val="bottom"/>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8020" w:type="dxa"/>
            <w:vAlign w:val="bottom"/>
            <w:gridSpan w:val="1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CAPITAL STOCK</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8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SELLING STOCKHOLDERS</w:t>
              </w:r>
            </w:hyperlink>
          </w:p>
        </w:tc>
        <w:tc>
          <w:tcPr>
            <w:tcW w:w="5160" w:type="dxa"/>
            <w:vAlign w:val="bottom"/>
            <w:gridSpan w:val="4"/>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PLAN OF DISTRIBUTION</w:t>
              </w:r>
            </w:hyperlink>
          </w:p>
        </w:tc>
        <w:tc>
          <w:tcPr>
            <w:tcW w:w="5800" w:type="dxa"/>
            <w:vAlign w:val="bottom"/>
            <w:gridSpan w:val="6"/>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5980" w:type="dxa"/>
            <w:vAlign w:val="bottom"/>
            <w:gridSpan w:val="7"/>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020" w:type="dxa"/>
            <w:vAlign w:val="bottom"/>
            <w:gridSpan w:val="1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8020" w:type="dxa"/>
            <w:vAlign w:val="bottom"/>
            <w:gridSpan w:val="1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ADDITIONAL INFORMATION</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400" w:type="dxa"/>
            <w:vAlign w:val="bottom"/>
            <w:gridSpan w:val="9"/>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INCORPORATION OF CERTAIN INFORMATION BY REFERENCE</w:t>
              </w:r>
            </w:hyperlink>
          </w:p>
        </w:tc>
        <w:tc>
          <w:tcPr>
            <w:tcW w:w="2840" w:type="dxa"/>
            <w:vAlign w:val="bottom"/>
            <w:gridSpan w:val="2"/>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(the “SEC”), using a “shelf” registration process. Under this shelf process, certain selling stockholders may from time to time sell the shares of common stock described in this prospectus in one or more offerings or otherwise as described under “Plan of Distribution.”</w:t>
      </w:r>
    </w:p>
    <w:p>
      <w:pPr>
        <w:spacing w:after="0" w:line="184"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This prospectus may be supplemented from time to time by one or more prospectus supplements. Such prospectus supplement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Additional Information” before deciding to invest in any shares being offered.</w:t>
      </w:r>
    </w:p>
    <w:p>
      <w:pPr>
        <w:spacing w:after="0" w:line="18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Neither we nor the selling stockholders have authorized anyone to provide any information other than that contained or incorporated by reference in this prospectus or in any related prospectus supplement or any free writing prospectus that we have authorized. We take no responsibility for, and can provide no assurance as to the reliability of, any other information that others may give you. The shares are not being offered in any jurisdiction where the offer is not permitted. You should not assume that the information contained in or incorporated by reference in this prospectus is accurate as of any date other than the respective dates of such document. Our business, financial condition, results of operations and prospects may have changed since those dates.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Throughout this prospectus, the terms “we,” “us,” “our,” and our “company” refer to Tempest Therapeutics, Inc.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56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5561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TEMPEST THERAPEUTICS,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Tempest Therapeutics, Inc. (“Tempest,” or the “Company”) is a clinical-stage oncology company advancing small molecules that combine both tumor-targeted and immune-mediated mechanisms with the potential to treat a wide range of tumors. The company’s two clinical programs are TPST-1120 and TPST-1495, antagonists of PPARα and EP2/EP4, respectively. Both TPST-1120 and TPST-1495 are advancing through Phase 1 clinical trials designed to study both agents as monotherapies and in combination with other approved agents. In collaboration with F. Hoffmann La Roche, TPST-1120 is also advancing through a randomized first line, global, Phase 1b/2 clinical study in combination with the standard-of-care regimen of atezolizumab and bevacizumab in patients with advanced or metastatic hepatocellular carcinoma. Tempest is also developing an orally-available inhibitor of TREX-1 designed to activate selectively the cGAS/STING pathway, an innate immune response pathway important for the development of anti-tumor immunity. Tempest is headquartered in South San Francisco, California.</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Background</w:t>
      </w:r>
    </w:p>
    <w:p>
      <w:pPr>
        <w:spacing w:after="0" w:line="121" w:lineRule="exact"/>
        <w:rPr>
          <w:sz w:val="20"/>
          <w:szCs w:val="20"/>
          <w:color w:val="auto"/>
        </w:rPr>
      </w:pPr>
    </w:p>
    <w:p>
      <w:pPr>
        <w:ind w:left="300" w:right="120" w:firstLine="426"/>
        <w:spacing w:after="0" w:line="301" w:lineRule="auto"/>
        <w:rPr>
          <w:sz w:val="20"/>
          <w:szCs w:val="20"/>
          <w:color w:val="auto"/>
        </w:rPr>
      </w:pPr>
      <w:r>
        <w:rPr>
          <w:rFonts w:ascii="Arial" w:cs="Arial" w:eastAsia="Arial" w:hAnsi="Arial"/>
          <w:sz w:val="16"/>
          <w:szCs w:val="16"/>
          <w:color w:val="auto"/>
        </w:rPr>
        <w:t>Tempest was founded in 2011 and is currently incorporated in Delaware with headquarters in South San Francisco, California. We are a clinical-stage oncology company focused on leveraging a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w:t>
      </w:r>
    </w:p>
    <w:p>
      <w:pPr>
        <w:spacing w:after="0" w:line="157" w:lineRule="exact"/>
        <w:rPr>
          <w:sz w:val="20"/>
          <w:szCs w:val="20"/>
          <w:color w:val="auto"/>
        </w:rPr>
      </w:pPr>
    </w:p>
    <w:p>
      <w:pPr>
        <w:ind w:left="300" w:right="340" w:firstLine="426"/>
        <w:spacing w:after="0" w:line="259" w:lineRule="auto"/>
        <w:rPr>
          <w:sz w:val="20"/>
          <w:szCs w:val="20"/>
          <w:color w:val="auto"/>
        </w:rPr>
      </w:pPr>
      <w:r>
        <w:rPr>
          <w:rFonts w:ascii="Arial" w:cs="Arial" w:eastAsia="Arial" w:hAnsi="Arial"/>
          <w:sz w:val="18"/>
          <w:szCs w:val="18"/>
          <w:color w:val="auto"/>
        </w:rPr>
        <w:t>In June 2021, we completed our reverse merger business combination with Millendo Therapeutics, Inc. (“Millendo”), a publicly traded company, in accordance with the terms of an agreement and plan of merger and reorganization, dated March 29, 2021. Following the merger, Millendo was renamed “Tempest Therapeutics, Inc.” and our common stock began trading on the Nasdaq Capital Market, or Nasdaq, under the symbol “TPST.”</w:t>
      </w:r>
    </w:p>
    <w:p>
      <w:pPr>
        <w:spacing w:after="0" w:line="18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spacing w:after="0" w:line="18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Our principal executive offices are located at 7000 Shoreline Court, Suite 275, South San Francisco, CA 94080. Our telephone number is (415) 798-8589.</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Investing in shares of our common stock involves a high degree of risk. Before deciding whether to invest in shares of our common stock, you should consider carefully the risks and uncertainties discussed in this section and under the sections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any prospectus supplement and any free writing prospectus that we may authorize. Please also read carefully the section titled “Special Note Regarding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market price of our common stock has been and is likely to continue to be volatile. Some of the factors that may cause the market price of our common stock to fluctuate include:</w:t>
      </w:r>
    </w:p>
    <w:p>
      <w:pPr>
        <w:spacing w:after="0" w:line="76"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results of clinical trials and preclinical studies of our product candidates, or those of our competitors or our existing or future collaborators;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meet or exceed financial and development projections we may provide to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meet or exceed the financial and development projections of the investment community;</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we do not achieve the perceived benefits of the merger with Millendo as rapidly or to the extent anticipated by financial or industry analysts;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collaborations, joint ventures or capital commitments by us or our competitors;</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adverse or misleading opinions regarding our business and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market or macroeconomic conditions or market conditions in the pharmaceutical and biotechnology sectors;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sales of securities by us or our securityholders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we fail to raise an adequate amount of capital to fund our operations and continued development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announcements by competitors of new commercial products, clinical progress or lack thereof, significant contracts, commercial relationships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publicity relating to precision medicine product candidates, including with respect to other products in such markets;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products and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COVID-19 pandemic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our existing securityholders sell, or indicate an intention to sell, substantial amounts of our common stock in the public market after legal restrictions on resale lapse, the trading price of our common stock could decline. Upon the effectiveness of this registration statement and subject to the beneficial ownership limitations contained in the Pre-Funded Warrants, 6,355,932 shares of common stock (including the 3,206,020 Warrant Shares) will be freely tradable, without restriction, in the public market. In addition, the exercise of some or all of the Pre-Funded Warrants will increase the number of shares of our outstanding common stock, which may dilute the ownership percentage or voting power of our stockholders. In addition, shares of common stock that are subject to outstanding options and warrants will become eligible for sale in the public market to the extent permitted by the provisions of various vesting agreements and Rule 144 under the Securities Act. If these shares are sold, the trading price of our common stock could decline.</w:t>
      </w:r>
    </w:p>
    <w:p>
      <w:pPr>
        <w:spacing w:after="0" w:line="30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6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of May 1, 2022, our executive officers, directors and principal stockholders, in the aggregate, beneficially own approximately 79%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Status as a Public Company and Other General Matters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As a relatively new public company, we continue to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maintain proper and effective internal controls, our ability to produce accurate financial statements on a timely basis could be impaired.</w:t>
      </w:r>
    </w:p>
    <w:p>
      <w:pPr>
        <w:spacing w:after="0" w:line="15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that, after a transitional period, we furnish a report by management on, among other things, the effectiveness of our internal control over financial reporting. This assessment includes disclosure of any material weaknesses identified by our management in our internal control over financial reporting. However, due to SEC rules applicable to smaller reporting companies, the Company was not required to have its auditors formally attest to the effectiveness of its internal control over financial reporting in connection with the Annual Report on Form 10-K for the year ended December 31, 2021. Additionally, we will not be required to have our auditors formally attest to the effectiveness of our internal control over financial reporting until we cease to be a smaller reporting company.</w:t>
      </w:r>
    </w:p>
    <w:p>
      <w:pPr>
        <w:spacing w:after="0" w:line="18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Additionally, as a privately held company, we were not required to evaluate our internal control over financial reporting in a manner that meets the standards of publicly traded companies required by Section 404. In connection with the preparation and audit of our financial statements as of and for the year ended December 31, 2020, a material weakness was identified in our internal control over financial reporting, which remains subject to ongoing remediation. We cannot assure you that the material weaknesses identified will be remediated by us on the timelines currently anticipated, or at all, or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control systems required of public companies, could also restrict our future access to the capital markets.</w:t>
      </w:r>
    </w:p>
    <w:p>
      <w:pPr>
        <w:spacing w:after="0" w:line="333" w:lineRule="exact"/>
        <w:rPr>
          <w:sz w:val="20"/>
          <w:szCs w:val="20"/>
          <w:color w:val="auto"/>
        </w:rPr>
      </w:pPr>
    </w:p>
    <w:p>
      <w:pPr>
        <w:ind w:left="120" w:right="60"/>
        <w:spacing w:after="0" w:line="375"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natural disasters and other calamities, including pandemics, such as the global outbreak of COVID-19, and our business continuity and disaster recovery plans may not adequately protect us from a serious disaster.</w:t>
      </w:r>
    </w:p>
    <w:p>
      <w:pPr>
        <w:spacing w:after="0" w:line="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For example, the COVID-19 pandemic could have an adverse effect on the coordination of research and development, our capital raising efforts, and the financial condition of our business, as well as our ability to retain key personnel and continue to expand product candidate development and conduct clinical trials. In addition, the impact of the COVID-19 pandemic is likely to continue to cause substantial changes in consumer behavior and has caused restrictions on business and individual activities, which are likely to lead to reduced economic activity.</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82"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voluntary product recalls, withdrawals or labeling restrictions;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84"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for nominations to our board of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prohibit actions by our stockholders by written consent;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that stockholder actions be effected at a duly called stockholders meeting;</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percent of the votes that all our stockholders would be entitled to cast to amend or repeal certain provisions of our certificate of incorporation or bylaws.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15 percent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29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76"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anticipate that we will pay any cash dividends in the foreseeable future.</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be exposed to increased litigation, including stockholder litigation, which could have an adverse effect on our business and operations.</w:t>
      </w:r>
    </w:p>
    <w:p>
      <w:pPr>
        <w:spacing w:after="0" w:line="152"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may be exposed to increased litigation from stockholders, customers, suppliers, consumers and other third parties due to the combination of Millendo’s business and ours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 We also remain the subject of various securities class action lawsuits and shareholder derivative lawsuits that were filed against OvaScience, Inc. (“Ovascience”), Millendo’s predecessor, and certain of our officer and directors, as described in more detail in Part I, Item 3 under the heading “Legal Proceedings” of the Annual Report on Form 10-K for the year ended December 31, 2021.</w:t>
      </w:r>
    </w:p>
    <w:p>
      <w:pPr>
        <w:spacing w:after="0" w:line="27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29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This prospectus and the documents we have filed with the SEC that are incorporated by reference contain “forward-looking statements” within the meaning of Section 27A of the Securities Act of 1933, as amended, (the “Securities Act”), and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67"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future growth and our ability to manage such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develop, obtain regulatory approval for and commercialize TPST-1495 and TPST-1120 and our future product candidates;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development, regulatory approval, efficacy and commercialization of competing products;</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sales and marketing capabilities or enter into agreements with third parties to market and sell our product candidates;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regulatory approval for our product candidates or future product candidates in the United States and in any foreign countries in which we make seek to do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hire our board of directors, senior management, or operational personnel;</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integrate TempestTx, Inc. and Millendo Therapeutics, Inc. (now the Company) successfully and realize the anticipated benefits of the merger of the two entities, which closed in July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expectation regarding the period during which we will qualify as a smaller reporting company under the federal securities laws;</w:t>
      </w:r>
    </w:p>
    <w:p>
      <w:pPr>
        <w:spacing w:after="0" w:line="142"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maintain our corporate infrastructure, including our ability to remediate our existing material weakness and to design and maintain an effective system of internal controls;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8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some cases, you can identify forward-looking statements by terms such as “anticipates,” “believes,” “could,” “estimates,” “intends,” “may,” “plans,” “potential,” “will,” “would,” or the negative of these terms or other similar expressions. These statements reflect our current views with respect to future events and are based on assumptions and are subject to risks and uncertainties. Given these uncertainties, you should not place undue reliance on these forward-looking statements as predictions of future events. We discuss in greater detail many of these risks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w:t>
      </w:r>
    </w:p>
    <w:p>
      <w:pPr>
        <w:spacing w:after="0" w:line="17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You should read this prospectus, together with the documents we have filed with the SEC that are incorporated by reference, any prospectus supplement and any free writing prospectus that we may authorize completely and with the understanding that our actual future results may be materially different from what we expect. We qualify all of the forward-looking statements in the foregoing documents by these cautionary statements.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not receive any of the proceeds from the sale of shares of our common stock in this offering. The selling stockholders will receive all of the proceeds from the sale of shares of common stock hereunder.</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The following summary description of our capital stock is based on the provisions of our amended and restated certificate of incorporation and amended and restated bylaws and the applicable provisions of the Delaware General Corporation Law. This information is qualified entirely by reference to the applicable provisions of our amended and restated certificate of incorporation and bylaws. For information on how to obtain copies of our amended and restated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restated certificate authorizes us to issue up to 100,000,000 shares of common stock, $0.001 par value per share, and 5,000,000 shares of preferred stock, $0.001 par value per share, all of which shares of preferred stock are undesignated. Our board of directors may establish the rights and preferences of the preferred stock from time to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board of directors may, without further action by our stockholders, from time to time, direct the issuance of shares of up to 5,000,000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will file as an exhibit to the registration statement of which this prospectus is a part, or will incorporate by reference from reports that we file with the Securities and Exchange Commission, the form of any certificate of designation that describes the terms of the series of preferred stock we are offering before the issuance of that series of preferred stock. This description will include:</w:t>
      </w:r>
    </w:p>
    <w:p>
      <w:pPr>
        <w:spacing w:after="0" w:line="8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53"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9" w:lineRule="exact"/>
        <w:rPr>
          <w:sz w:val="20"/>
          <w:szCs w:val="20"/>
          <w:color w:val="auto"/>
        </w:rPr>
      </w:pPr>
    </w:p>
    <w:p>
      <w:pPr>
        <w:ind w:left="1080" w:right="1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80" w:right="40" w:hanging="424"/>
        <w:spacing w:after="0" w:line="275"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right="380" w:firstLine="440"/>
        <w:spacing w:after="0" w:line="275" w:lineRule="auto"/>
        <w:rPr>
          <w:sz w:val="20"/>
          <w:szCs w:val="20"/>
          <w:color w:val="auto"/>
        </w:rPr>
      </w:pPr>
      <w:r>
        <w:rPr>
          <w:rFonts w:ascii="Arial" w:cs="Arial" w:eastAsia="Arial" w:hAnsi="Arial"/>
          <w:sz w:val="17"/>
          <w:szCs w:val="17"/>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 directors then in office. Furthermore, our restated certificate provides that the authorized number of directors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Special Meeting of Stockholders; Advance Notice Requirements for Stockholder Proposals and Director Nominations; Stockholder Action</w:t>
      </w:r>
    </w:p>
    <w:p>
      <w:pPr>
        <w:spacing w:after="0" w:line="14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restated certificate and bylaws provide that only our board of directors, the chairman of the board or our chief executive officer may call special meetings of stockholders, and the business transacted at a special meeting of stockholders shall be limited to matters relating to the purpose or purposes stated in the notice of meeting. 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of the preceding year’s annual meeting. Our bylaws specify the requirements as to form and content of all stockholders’ notices. These requirements may preclude stockholders from bringing matters before the stockholders at an annual or special meeting. Our restated certificate and bylaws provide that our stockholders may not take any action by written consent in lieu of a meeting.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 Majority Voting</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bylaws provide that unless we consent in writing to the selection of an alternative forum, the Court of Chancery of the State of Delaware shall, to the fullest extent permitted by applicable law, be the sole and exclusive forum for (A) any derivative action or proceeding brought on behalf of the Company; (B) any action asserting a claim of breach of a fiduciary duty owed by any director, officer or other employee of the Company to the Company or the Company’s stockholders; (C) any action asserting a claim against the Company or any director or officer or other employee of the Company arising pursuant to any provision of the DGCL, our restated certificate or our bylaws; or (D) any action asserting a claim against the Company or any director or officer or other employee of the Company governed by the internal affairs doctrine.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transfer agent and registrar for our common stock is Computershare Trust Company, N.A., with offices at 250 Royall Street, Canton, Massachusetts 02021. The transfer agent for any series of preferred stock that we may offer under this prospectus will be named and described in the prospectus supplement for that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Nasdaq</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Capital Market under the symbol “TPST”.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320" w:top="459" w:right="5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have prepared this prospectus to allow the selling stockholders to offer and sell from time to time up to 6,355,932 shares of our common stock for their own account, consisting of (i) 3,149,912 shares of common stock issued and outstanding, or the Resale Shares, and (ii) 3,206,020 shares of common stock, or the Warrant Shares, issuable upon the exercise of the Pre-Funded Warrants to purchase shares of common stock, or the Warrants, held by certain of the selling stockholders. For a description of the Warrants, see “Description of Capital Stock-Warrants.”</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registering the offer and sale of the Resale Shares beneficially owned by the selling stockholders to satisfy certain registration obligations that we granted the selling stockholders in connection with the purchase of the Resale Shares and the Warrants. Pursuant to a registration rights agreement we entered into in connection with such transaction, we have agreed to use our reasonable efforts to keep the registration statement, of which this prospectus is a part, effective until the earliest to occur of: (i) the date that all Registrable Securities covered by such Registration Statement (x) have been sold, thereunder or pursuant to Rule 144, or (y)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w:t>
      </w:r>
    </w:p>
    <w:p>
      <w:pPr>
        <w:spacing w:after="0" w:line="166" w:lineRule="exact"/>
        <w:rPr>
          <w:sz w:val="20"/>
          <w:szCs w:val="20"/>
          <w:color w:val="auto"/>
        </w:rPr>
      </w:pPr>
    </w:p>
    <w:p>
      <w:pPr>
        <w:jc w:val="both"/>
        <w:ind w:left="120" w:right="420" w:firstLine="440"/>
        <w:spacing w:after="0" w:line="259" w:lineRule="auto"/>
        <w:rPr>
          <w:sz w:val="20"/>
          <w:szCs w:val="20"/>
          <w:color w:val="auto"/>
        </w:rPr>
      </w:pPr>
      <w:r>
        <w:rPr>
          <w:rFonts w:ascii="Arial" w:cs="Arial" w:eastAsia="Arial" w:hAnsi="Arial"/>
          <w:sz w:val="18"/>
          <w:szCs w:val="18"/>
          <w:color w:val="auto"/>
        </w:rPr>
        <w:t>The following table sets forth (i) the name of each selling stockholder, (ii) the number of shares beneficially owned by each of the respective selling stockholders, including the Resale Shares and the Warrant Shares, (iii) the number of Resale Shares and Warrant Shares that may be offered under this prospectus and (iv) the number of shares of our common stock beneficially owned by the selling stockholders assuming all of the Resale Shares and Warrant Shares covered hereby are sold.</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number of shares of common stock set forth in the following table for any selling stockholder does not take into account the exercise limitations described under “Description of Capital Stock-Warrants” and set forth in the Warrants. Accordingly, the number of shares of common stock set forth in the following table for any stockholder may exceed the number of shares of common stock that it could own beneficially at any given time as a result of its ownership of Warrants. As a result, the actual number of Warrant Shares that may be issued to and sold by the selling stockholders could be materially less or more than the estimated numbers in the column titled “Number of Shares Being Offered” depending on factors which cannot be predicted by us at this time. In addition, we do not know how long the selling stockholders will hold the Resale Shares or Warrant Shares before selling them, and we currently have no agreements, arrangements or understandings with the selling stockholders regarding the sale or other disposition of any Resale Shares or Warrant Shares.</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our knowledge, none of the selling stockholders has, or during the three years prior to the date of this prospectus has had, any position, office or other material relationships with us or any of our affiliates, except that (i) we and each selling stockholder are party to the registration rights agreement dated April 26, 2022 relating to the Resale Shares and the Warrant Shares described above, and (ii) Thomas Woiwode, Ph.D., a managing director at Versant Venture Capital, is a member of our Board of Directors. To our knowledge, except as set forth in the table below, none of the selling stockholders are broker-dealers or are affiliated with a broker-dealer, nor at the time of the acquisition did any selling stockholders have direct or indirect agreements or understandings with any person to distribute any common stock, including the Resale Shares and the Warrant Shares.</w:t>
      </w:r>
    </w:p>
    <w:p>
      <w:pPr>
        <w:spacing w:after="0" w:line="16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information set forth in the table below is based upon information obtained from the selling stockholders. Beneficial ownership of the selling stockholders is determined in accordance with Rule 13d-3(d) under the Exchange Act. The percentage of shares beneficially owned after the offering is based on 10,323,006 shares of our common stock outstanding as of May 13, 2022, after giving effect to the issuance of 3,149,912 Resale Shares and 3,206,020 Warrant Shares assuming full exercise of the Warrants.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used in this prospectus, the term “selling stockholders” includes the selling stockholders listed in the table below, together with any additional selling stockholders listed in a prospectus supplement, and their donees, pledgees, assignees, transferees, distributees and successors-in-interest that receive Resale Shares in any non-sale transfer after the date of this prospectus. Unless otherwise indicated, the address for each selling stockholder is c/o Tempest Therapeutics, Inc., 7000 Shoreline Court, Suite 275, South San Francisco, CA 94080.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0"/>
              </w:rPr>
              <w:t>Shares of Common</w:t>
            </w: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29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Beneficial Ownership After this Offering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Shares</w:t>
            </w:r>
          </w:p>
        </w:tc>
        <w:tc>
          <w:tcPr>
            <w:tcW w:w="164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Number of</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Name of Selling Stockholder</w:t>
            </w:r>
          </w:p>
        </w:tc>
        <w:tc>
          <w:tcPr>
            <w:tcW w:w="2060" w:type="dxa"/>
            <w:vAlign w:val="bottom"/>
            <w:vMerge w:val="restart"/>
          </w:tcPr>
          <w:p>
            <w:pPr>
              <w:spacing w:after="0"/>
              <w:rPr>
                <w:sz w:val="12"/>
                <w:szCs w:val="12"/>
                <w:color w:val="auto"/>
              </w:rPr>
            </w:pPr>
          </w:p>
        </w:tc>
        <w:tc>
          <w:tcPr>
            <w:tcW w:w="17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Being</w:t>
            </w:r>
          </w:p>
        </w:tc>
        <w:tc>
          <w:tcPr>
            <w:tcW w:w="1640" w:type="dxa"/>
            <w:vAlign w:val="bottom"/>
            <w:gridSpan w:val="2"/>
            <w:vMerge w:val="continue"/>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1760" w:type="dxa"/>
            <w:vAlign w:val="bottom"/>
            <w:tcBorders>
              <w:bottom w:val="single" w:sz="8" w:color="auto"/>
            </w:tcBorders>
            <w:gridSpan w:val="2"/>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7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this Offering</w:t>
            </w:r>
          </w:p>
        </w:tc>
        <w:tc>
          <w:tcPr>
            <w:tcW w:w="138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6"/>
              </w:rPr>
              <w:t>Offered</w:t>
            </w:r>
          </w:p>
        </w:tc>
        <w:tc>
          <w:tcPr>
            <w:tcW w:w="1640" w:type="dxa"/>
            <w:vAlign w:val="bottom"/>
            <w:gridSpan w:val="2"/>
          </w:tcPr>
          <w:p>
            <w:pPr>
              <w:jc w:val="right"/>
              <w:ind w:right="920"/>
              <w:spacing w:after="0" w:line="158" w:lineRule="exact"/>
              <w:rPr>
                <w:sz w:val="20"/>
                <w:szCs w:val="20"/>
                <w:color w:val="auto"/>
              </w:rPr>
            </w:pPr>
            <w:r>
              <w:rPr>
                <w:rFonts w:ascii="Arial" w:cs="Arial" w:eastAsia="Arial" w:hAnsi="Arial"/>
                <w:sz w:val="14"/>
                <w:szCs w:val="14"/>
                <w:b w:val="1"/>
                <w:bCs w:val="1"/>
                <w:color w:val="auto"/>
              </w:rPr>
              <w:t>Shares</w:t>
            </w:r>
          </w:p>
        </w:tc>
        <w:tc>
          <w:tcPr>
            <w:tcW w:w="15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382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Entities Affiliated with EcoR1 Capital,</w:t>
            </w:r>
          </w:p>
        </w:tc>
        <w:tc>
          <w:tcPr>
            <w:tcW w:w="1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LLC(1)</w:t>
            </w:r>
          </w:p>
        </w:tc>
        <w:tc>
          <w:tcPr>
            <w:tcW w:w="17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1,031,268</w:t>
            </w: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4,237,288</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3820" w:type="dxa"/>
            <w:vAlign w:val="bottom"/>
            <w:gridSpan w:val="3"/>
          </w:tcPr>
          <w:p>
            <w:pPr>
              <w:spacing w:after="0" w:line="201" w:lineRule="exact"/>
              <w:rPr>
                <w:sz w:val="20"/>
                <w:szCs w:val="20"/>
                <w:color w:val="auto"/>
              </w:rPr>
            </w:pPr>
            <w:r>
              <w:rPr>
                <w:rFonts w:ascii="Arial" w:cs="Arial" w:eastAsia="Arial" w:hAnsi="Arial"/>
                <w:sz w:val="18"/>
                <w:szCs w:val="18"/>
                <w:color w:val="auto"/>
              </w:rPr>
              <w:t>Entities Affiliated with Versant Venture</w:t>
            </w: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rPr>
              <w:t>Capital(2)</w:t>
            </w: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4,295,055</w:t>
            </w: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2,118,644</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2,176,411</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Selling Stockholders</w:t>
            </w:r>
          </w:p>
        </w:tc>
        <w:tc>
          <w:tcPr>
            <w:tcW w:w="17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5,326,323</w:t>
            </w: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6,355,932</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2,176,411</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80" w:hanging="424"/>
        <w:spacing w:after="0" w:line="267"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Consists of (i) 68,064 shares of common stock held by EcoR1 Capital Fund, L.P., (ii) 963,204 shares of common stock held by EcoR1 Capital Fund Qualified, L.P., (iii) 211,597 Warrant Shares underlying Pre-Funded Warrants held by EcoR1 Capital Fund, L.P., and (iv) 2,994,423 Warrant Shares underlying Pre-Funded Warrants held by EcoR1 Capital Fund Qualified, L.P. The Warrant Shares are subject to a beneficial ownership limitation pursuant to which the holder of the Pre-Funded Warrants will not have the right to exercise any portion of its Pre-Funded Warrants if such holder, together with its affiliates, would beneficially own in excess of 9.99% of the number of shares of the Company’s common stock outstanding immediately after giving effect to such exercise (the “Beneficial Ownership Limitation”); provided that the holder may increase or decrease the Beneficial Ownership Limitation by giving 61 days’ notice to the Company, but not to any percentage in excess of 19.99%. The amounts and percentages in the table give effect to the Beneficial Ownership Limitation. The address of EcoR1 Capital Fund, L.P. and EcoR1 Capital Fund Qualified, L.P. is 357 Tehama Street #3, San Francisco, CA 94103.</w:t>
      </w:r>
    </w:p>
    <w:p>
      <w:pPr>
        <w:spacing w:after="0" w:line="1" w:lineRule="exact"/>
        <w:rPr>
          <w:rFonts w:ascii="Arial" w:cs="Arial" w:eastAsia="Arial" w:hAnsi="Arial"/>
          <w:sz w:val="17"/>
          <w:szCs w:val="17"/>
          <w:color w:val="auto"/>
        </w:rPr>
      </w:pPr>
    </w:p>
    <w:p>
      <w:pPr>
        <w:ind w:left="540" w:hanging="424"/>
        <w:spacing w:after="0" w:line="30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Consists of (i) 997,940 shares of common stock held by Versant Venture Capital VI, L.P., (ii) 1,171,094 shares of common stock held by Versant Venture Capital IV, L.P., (iii) 7,377 shares of common stock held by Versant Side Fund IV, L.P. and (iv) 2,118,644 shares of common stock held by Versant Vantage II, L.P. The address of Versant Venture Capital is One Sansome Street, Suite 3630, San Francisco, CA 94104.</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registering the shares of our common stock held by the selling stockholders from time to time after the date of this prospectus. We will not receive any of the proceeds from the sale by the selling stockholders of the shares of our common stock.</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the principal trading market for our common stock or any other stock exchange, market or trading facility on which our common stock is traded or in private transactions. These sales may be at fixed or negotiated prices. A selling stockholder may use any one or more of the following methods when selling securities:</w:t>
      </w:r>
    </w:p>
    <w:p>
      <w:pPr>
        <w:spacing w:after="0" w:line="6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dealer solicits purchasers;</w:t>
      </w:r>
    </w:p>
    <w:p>
      <w:pPr>
        <w:spacing w:after="0" w:line="130" w:lineRule="exact"/>
        <w:rPr>
          <w:rFonts w:ascii="Arial" w:cs="Arial" w:eastAsia="Arial" w:hAnsi="Arial"/>
          <w:sz w:val="18"/>
          <w:szCs w:val="18"/>
          <w:color w:val="auto"/>
        </w:rPr>
      </w:pPr>
    </w:p>
    <w:p>
      <w:pPr>
        <w:ind w:left="540" w:right="56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block trades in which the broker dealer will attempt to sell the common stock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 dealer as principal and resale by the broker dealer for its account;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stockholders of the selling securityholders;</w:t>
      </w:r>
    </w:p>
    <w:p>
      <w:pPr>
        <w:spacing w:after="0" w:line="130" w:lineRule="exact"/>
        <w:rPr>
          <w:rFonts w:ascii="Arial" w:cs="Arial" w:eastAsia="Arial" w:hAnsi="Arial"/>
          <w:sz w:val="18"/>
          <w:szCs w:val="18"/>
          <w:color w:val="auto"/>
        </w:rPr>
      </w:pPr>
    </w:p>
    <w:p>
      <w:pPr>
        <w:ind w:left="540" w:right="34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transactions through broker dealers that agree with the selling stockholders to sell a specified number of such common stock at a stipulated price per security;</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30" w:lineRule="exact"/>
        <w:rPr>
          <w:rFonts w:ascii="Arial" w:cs="Arial" w:eastAsia="Arial" w:hAnsi="Arial"/>
          <w:sz w:val="18"/>
          <w:szCs w:val="18"/>
          <w:color w:val="auto"/>
        </w:rPr>
      </w:pPr>
    </w:p>
    <w:p>
      <w:pPr>
        <w:ind w:left="540" w:right="300" w:hanging="316"/>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selling stockholders may also sell the shares of our common stock under Rule 144 or any other exemption from registration under the Securities Act, if available, rather than under this prospectus.</w:t>
      </w:r>
    </w:p>
    <w:p>
      <w:pPr>
        <w:spacing w:after="0" w:line="17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thereby receive freely tradeable securities pursuant to the distribution through a registration statement. To the extent a distributee is our affiliate (or to the extent otherwise required by law), we may, at our option, file a prospectus supplement in order to permit the distributees to use the prospectus to resell the securities acquired in the distribution.</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our common stock, from the purchaser) in amounts to be negotiated, but, except as set forth in a supplement to this prospectus, in the case of an agency transaction not in excess of a customary brokerage commission in compliance with Financial Industry Regulatory Authority, (“FINRA”), Rule 5110; and in the case of a principal transaction a markup or markdown in compliance with FINRA Rule 2121.</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 In connection with the sale of our common stock or interests therein, the selling stockholders may enter into hedging transactions with broker-dealers or other financial institutions, which may in turn engage in short sales of our common stock in the course of hedging the positions they assume. The selling stockholders may also sell our common stock short and deliver these shares to close out their short positions, or loan or pledge the securities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5"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In effecting sales, broker-dealers or agents engaged by the selling stockholders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shares of our common stock purchased by them may be deemed to be underwriting commissions or discounts under the Securities Act. Each selling stockholder has informed us that it does not have any written or oral agreement or understanding, directly or indirectly, with any person to distribute the shares of our common stock.</w:t>
      </w:r>
    </w:p>
    <w:p>
      <w:pPr>
        <w:spacing w:after="0" w:line="188"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are required to pay certain fees and expenses incurred by us incident to the registration of the shares of our common stock. We and the selling stockholders have agreed to indemnify each other against certain losses, claims, damages and liabilities, including liabilities under the Securities Act.</w:t>
      </w:r>
    </w:p>
    <w:p>
      <w:pPr>
        <w:spacing w:after="0" w:line="124"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shares of our common stock may not simultaneously engage in market making activities with respect to our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and sales of our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Cooley LLP, Palo Alto, California, will pass upon the validity of the shares of common stock offered hereby. As of the date of this prospectus, Cooley LLP beneficially owned 9,750 shares of our common stock.</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Ernst &amp; Young LLP, an independent registered public accounting firm, has audited our consolidated financial statements included in our Annual Report on Form 10-K for the year ended December 31, 2021,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financial statements of Tempest Therapeutics, Inc. and subsidiaries as of December 31, 2020 and for the year ended December 31, 2020, incorporated by reference herein have been audited by Deloitte &amp; Touche LLP, an independent registered public accounting firm, as stated in their report (which report expresses an unqualified opinion on the financial statements and includes an explanatory paragraph referring to substantial doubt regarding Tempest Therapeutics, Inc.’s ability to continue as a going concern). Such financial statements are incorporated by reference in reliance upon the report of such firm given their authority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360" w:firstLine="440"/>
        <w:spacing w:after="0" w:line="293" w:lineRule="auto"/>
        <w:rPr>
          <w:sz w:val="20"/>
          <w:szCs w:val="20"/>
          <w:color w:val="auto"/>
        </w:rPr>
      </w:pPr>
      <w:r>
        <w:rPr>
          <w:rFonts w:ascii="Arial" w:cs="Arial" w:eastAsia="Arial" w:hAnsi="Arial"/>
          <w:sz w:val="16"/>
          <w:szCs w:val="16"/>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16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maintain a website at www.tempesttx.com. Information contained in or accessible through our website does not constitute a part of this prospectus.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001-35890):</w:t>
      </w:r>
    </w:p>
    <w:p>
      <w:pPr>
        <w:spacing w:after="0" w:line="98" w:lineRule="exact"/>
        <w:rPr>
          <w:sz w:val="20"/>
          <w:szCs w:val="20"/>
          <w:color w:val="auto"/>
        </w:rPr>
      </w:pPr>
    </w:p>
    <w:p>
      <w:pPr>
        <w:ind w:left="1080" w:right="1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w:t>
      </w:r>
      <w:hyperlink r:id="rId48">
        <w:r>
          <w:rPr>
            <w:rFonts w:ascii="Arial" w:cs="Arial" w:eastAsia="Arial" w:hAnsi="Arial"/>
            <w:sz w:val="18"/>
            <w:szCs w:val="18"/>
            <w:u w:val="single" w:color="auto"/>
            <w:color w:val="0000EE"/>
          </w:rPr>
          <w:t>Annual Report on Form 10-K for the year ended December 31, 2021</w:t>
        </w:r>
      </w:hyperlink>
      <w:r>
        <w:rPr>
          <w:rFonts w:ascii="Arial" w:cs="Arial" w:eastAsia="Arial" w:hAnsi="Arial"/>
          <w:sz w:val="18"/>
          <w:szCs w:val="18"/>
          <w:color w:val="auto"/>
        </w:rPr>
        <w:t xml:space="preserve">, which was filed with the SEC on March 29, 2022, as amended on </w:t>
      </w:r>
      <w:hyperlink r:id="rId49">
        <w:r>
          <w:rPr>
            <w:rFonts w:ascii="Arial" w:cs="Arial" w:eastAsia="Arial" w:hAnsi="Arial"/>
            <w:sz w:val="18"/>
            <w:szCs w:val="18"/>
            <w:u w:val="single" w:color="auto"/>
            <w:color w:val="0000EE"/>
          </w:rPr>
          <w:t>Form 10-K/A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April 1, 2022;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w:t>
      </w:r>
      <w:hyperlink r:id="rId50">
        <w:r>
          <w:rPr>
            <w:rFonts w:ascii="Arial" w:cs="Arial" w:eastAsia="Arial" w:hAnsi="Arial"/>
            <w:sz w:val="18"/>
            <w:szCs w:val="18"/>
            <w:u w:val="single" w:color="auto"/>
            <w:color w:val="0000EE"/>
          </w:rPr>
          <w:t>March 31, 2022</w:t>
        </w:r>
      </w:hyperlink>
      <w:r>
        <w:rPr>
          <w:rFonts w:ascii="Arial" w:cs="Arial" w:eastAsia="Arial" w:hAnsi="Arial"/>
          <w:sz w:val="18"/>
          <w:szCs w:val="18"/>
          <w:color w:val="auto"/>
        </w:rPr>
        <w:t>, which was filed with the SEC on May 13, 2022;</w:t>
      </w:r>
    </w:p>
    <w:p>
      <w:pPr>
        <w:spacing w:after="0" w:line="158"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Current Reports on Form 8-K (other than information furnished rather than filed) filed with the SEC on </w:t>
      </w:r>
      <w:hyperlink r:id="rId52">
        <w:r>
          <w:rPr>
            <w:rFonts w:ascii="Arial" w:cs="Arial" w:eastAsia="Arial" w:hAnsi="Arial"/>
            <w:sz w:val="18"/>
            <w:szCs w:val="18"/>
            <w:u w:val="single" w:color="auto"/>
            <w:color w:val="0000EE"/>
          </w:rPr>
          <w:t>May 2,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(excluding Exhibit 99.1 thereto); and</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2"/>
        </w:numPr>
        <w:rPr>
          <w:rFonts w:ascii="Arial" w:cs="Arial" w:eastAsia="Arial" w:hAnsi="Arial"/>
          <w:sz w:val="18"/>
          <w:szCs w:val="18"/>
          <w:u w:val="single" w:color="auto"/>
          <w:color w:val="0000EE"/>
        </w:rPr>
      </w:pPr>
      <w:r>
        <w:rPr>
          <w:rFonts w:ascii="Arial" w:cs="Arial" w:eastAsia="Arial" w:hAnsi="Arial"/>
          <w:sz w:val="18"/>
          <w:szCs w:val="18"/>
          <w:color w:val="auto"/>
        </w:rPr>
        <w:t xml:space="preserve">the description of our common stock, which is registered under Section 12 of the Exchange Act, in our registration statement on </w:t>
      </w:r>
      <w:hyperlink r:id="rId53">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w:t>
      </w:r>
      <w:hyperlink r:id="rId48">
        <w:r>
          <w:rPr>
            <w:rFonts w:ascii="Arial" w:cs="Arial" w:eastAsia="Arial" w:hAnsi="Arial"/>
            <w:sz w:val="18"/>
            <w:szCs w:val="18"/>
            <w:color w:val="auto"/>
          </w:rPr>
          <w:t xml:space="preserve">filed with the SEC on April 25, 2013, as updated by </w:t>
        </w:r>
        <w:r>
          <w:rPr>
            <w:rFonts w:ascii="Arial" w:cs="Arial" w:eastAsia="Arial" w:hAnsi="Arial"/>
            <w:sz w:val="18"/>
            <w:szCs w:val="18"/>
            <w:u w:val="single" w:color="auto"/>
            <w:color w:val="0000EE"/>
          </w:rPr>
          <w:t>Exhibit 4.1</w:t>
        </w:r>
        <w:r>
          <w:rPr>
            <w:rFonts w:ascii="Arial" w:cs="Arial" w:eastAsia="Arial" w:hAnsi="Arial"/>
            <w:sz w:val="18"/>
            <w:szCs w:val="18"/>
            <w:color w:val="auto"/>
          </w:rPr>
          <w:t xml:space="preserve"> to our </w:t>
        </w:r>
        <w:r>
          <w:rPr>
            <w:rFonts w:ascii="Arial" w:cs="Arial" w:eastAsia="Arial" w:hAnsi="Arial"/>
            <w:sz w:val="18"/>
            <w:szCs w:val="18"/>
            <w:u w:val="single" w:color="auto"/>
            <w:color w:val="0000EE"/>
          </w:rPr>
          <w:t>Annual Report on Form 10-K for the year ended December 31,</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2021.</w:t>
        </w:r>
      </w:hyperlink>
    </w:p>
    <w:p>
      <w:pPr>
        <w:spacing w:after="0" w:line="184" w:lineRule="exact"/>
        <w:rPr>
          <w:rFonts w:ascii="Arial" w:cs="Arial" w:eastAsia="Arial" w:hAnsi="Arial"/>
          <w:sz w:val="18"/>
          <w:szCs w:val="18"/>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46" w:lineRule="exact"/>
        <w:rPr>
          <w:rFonts w:ascii="Arial" w:cs="Arial" w:eastAsia="Arial" w:hAnsi="Arial"/>
          <w:sz w:val="18"/>
          <w:szCs w:val="18"/>
          <w:color w:val="auto"/>
        </w:rPr>
      </w:pPr>
    </w:p>
    <w:p>
      <w:pPr>
        <w:ind w:left="120" w:firstLine="440"/>
        <w:spacing w:after="0" w:line="253" w:lineRule="auto"/>
        <w:rPr>
          <w:sz w:val="20"/>
          <w:szCs w:val="20"/>
          <w:color w:val="auto"/>
        </w:rPr>
      </w:pPr>
      <w:r>
        <w:rPr>
          <w:rFonts w:ascii="Arial" w:cs="Arial" w:eastAsia="Arial" w:hAnsi="Arial"/>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shares of our common stock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6"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2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Tempest Therapeutics,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7000 Shoreline Court</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Suite 275</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South San Francisco, CA 94080</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Secretary</w:t>
      </w:r>
    </w:p>
    <w:p>
      <w:pPr>
        <w:spacing w:after="0" w:line="14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485775</wp:posOffset>
            </wp:positionV>
            <wp:extent cx="1517015" cy="368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1517015" cy="3683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2454910</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866775</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2470150</wp:posOffset>
            </wp:positionV>
            <wp:extent cx="6995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2529840</wp:posOffset>
            </wp:positionV>
            <wp:extent cx="699516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an estimate of the fees and expenses payable by us in connection with the sale of the securities being registered.</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-130175</wp:posOffset>
            </wp:positionV>
            <wp:extent cx="474916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7"/>
          <w:szCs w:val="17"/>
          <w:color w:val="auto"/>
        </w:rPr>
        <w:t>Accounting fees and expenses</w:t>
      </w:r>
    </w:p>
    <w:p>
      <w:pPr>
        <w:spacing w:after="0" w:line="2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5"/>
          <w:szCs w:val="15"/>
          <w:color w:val="auto"/>
        </w:rPr>
        <w:t>Miscellaneous fees and expenses</w:t>
      </w:r>
    </w:p>
    <w:p>
      <w:pPr>
        <w:spacing w:after="0" w:line="5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15. Indemnification of Directors and Officers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140" w:hanging="134"/>
        <w:spacing w:after="0"/>
        <w:tabs>
          <w:tab w:leader="none" w:pos="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1,620.29</w:t>
      </w:r>
    </w:p>
    <w:p>
      <w:pPr>
        <w:spacing w:after="0" w:line="30"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4889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$ 1,620.29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4889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734" w:lineRule="exact"/>
        <w:rPr>
          <w:sz w:val="20"/>
          <w:szCs w:val="20"/>
          <w:color w:val="auto"/>
        </w:rPr>
      </w:pPr>
    </w:p>
    <w:p>
      <w:pPr>
        <w:sectPr>
          <w:pgSz w:w="11900" w:h="16838" w:orient="portrait"/>
          <w:cols w:equalWidth="0" w:num="2">
            <w:col w:w="7800" w:space="720"/>
            <w:col w:w="2620"/>
          </w:cols>
          <w:pgMar w:left="320" w:top="459" w:right="439" w:bottom="1440" w:gutter="0" w:footer="0" w:header="0"/>
          <w:type w:val="continuous"/>
        </w:sectPr>
      </w:pPr>
    </w:p>
    <w:p>
      <w:pPr>
        <w:ind w:left="120" w:right="120" w:firstLine="440"/>
        <w:spacing w:after="0" w:line="263"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for indemnification of our directors, officers, employees and other agents to the maximum extent permitted by the Delaware General Corporation Law.</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48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vMerge w:val="restart"/>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Schedule /</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File</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vMerge w:val="restart"/>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4860" w:type="dxa"/>
            <w:vAlign w:val="bottom"/>
            <w:tcBorders>
              <w:bottom w:val="single" w:sz="8" w:color="auto"/>
            </w:tcBorders>
            <w:gridSpan w:val="7"/>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20" w:type="dxa"/>
            <w:vAlign w:val="bottom"/>
            <w:tcBorders>
              <w:bottom w:val="single" w:sz="8" w:color="0000EE"/>
            </w:tcBorders>
          </w:tcPr>
          <w:p>
            <w:pPr>
              <w:spacing w:after="0"/>
              <w:rPr>
                <w:rFonts w:ascii="Arial" w:cs="Arial" w:eastAsia="Arial" w:hAnsi="Arial"/>
                <w:sz w:val="18"/>
                <w:szCs w:val="18"/>
                <w:color w:val="0000EE"/>
                <w:w w:val="79"/>
              </w:rPr>
            </w:pPr>
            <w:hyperlink r:id="rId68">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40" w:type="dxa"/>
            <w:vAlign w:val="bottom"/>
            <w:tcBorders>
              <w:bottom w:val="single" w:sz="8" w:color="0000EE"/>
            </w:tcBorders>
            <w:gridSpan w:val="6"/>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Restated Certificate of Incorporation of the Registrant, as amended</w:t>
              </w:r>
            </w:hyperlink>
          </w:p>
        </w:tc>
        <w:tc>
          <w:tcPr>
            <w:tcW w:w="240" w:type="dxa"/>
            <w:vAlign w:val="bottom"/>
            <w:gridSpan w:val="2"/>
          </w:tcPr>
          <w:p>
            <w:pPr>
              <w:spacing w:after="0"/>
              <w:rPr>
                <w:sz w:val="23"/>
                <w:szCs w:val="2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Form 10-Q</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001-35890</w:t>
            </w:r>
          </w:p>
        </w:tc>
        <w:tc>
          <w:tcPr>
            <w:tcW w:w="2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May 15, 2019</w:t>
            </w:r>
          </w:p>
        </w:tc>
        <w:tc>
          <w:tcPr>
            <w:tcW w:w="0" w:type="dxa"/>
            <w:vAlign w:val="bottom"/>
          </w:tcPr>
          <w:p>
            <w:pPr>
              <w:spacing w:after="0"/>
              <w:rPr>
                <w:sz w:val="1"/>
                <w:szCs w:val="1"/>
                <w:color w:val="auto"/>
              </w:rPr>
            </w:pPr>
          </w:p>
        </w:tc>
      </w:tr>
      <w:tr>
        <w:trPr>
          <w:trHeight w:val="304"/>
        </w:trPr>
        <w:tc>
          <w:tcPr>
            <w:tcW w:w="220" w:type="dxa"/>
            <w:vAlign w:val="bottom"/>
            <w:tcBorders>
              <w:bottom w:val="single" w:sz="8" w:color="0000EE"/>
            </w:tcBorders>
          </w:tcPr>
          <w:p>
            <w:pPr>
              <w:spacing w:after="0"/>
              <w:rPr>
                <w:rFonts w:ascii="Arial" w:cs="Arial" w:eastAsia="Arial" w:hAnsi="Arial"/>
                <w:sz w:val="18"/>
                <w:szCs w:val="18"/>
                <w:color w:val="0000EE"/>
                <w:w w:val="79"/>
              </w:rPr>
            </w:pPr>
            <w:hyperlink r:id="rId69">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20" w:type="dxa"/>
            <w:vAlign w:val="bottom"/>
            <w:tcBorders>
              <w:bottom w:val="single" w:sz="8" w:color="0000EE"/>
            </w:tcBorders>
            <w:gridSpan w:val="4"/>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Certificate of Amendment to the Restated Certificate of</w:t>
              </w:r>
            </w:hyperlink>
          </w:p>
        </w:tc>
        <w:tc>
          <w:tcPr>
            <w:tcW w:w="1060" w:type="dxa"/>
            <w:vAlign w:val="bottom"/>
            <w:gridSpan w:val="4"/>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001-35890</w:t>
            </w: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June 28, 2021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80" w:type="dxa"/>
            <w:vAlign w:val="bottom"/>
            <w:gridSpan w:val="8"/>
          </w:tcPr>
          <w:p>
            <w:pPr>
              <w:spacing w:after="0" w:line="196" w:lineRule="exact"/>
              <w:rPr>
                <w:rFonts w:ascii="Arial" w:cs="Arial" w:eastAsia="Arial" w:hAnsi="Arial"/>
                <w:sz w:val="18"/>
                <w:szCs w:val="18"/>
                <w:color w:val="0000EE"/>
                <w:w w:val="97"/>
              </w:rPr>
            </w:pPr>
            <w:hyperlink r:id="rId69">
              <w:r>
                <w:rPr>
                  <w:rFonts w:ascii="Arial" w:cs="Arial" w:eastAsia="Arial" w:hAnsi="Arial"/>
                  <w:sz w:val="18"/>
                  <w:szCs w:val="18"/>
                  <w:color w:val="0000EE"/>
                  <w:w w:val="97"/>
                </w:rPr>
                <w:t>Incorporation of the Company, as filed with the Secretary of State</w:t>
              </w:r>
            </w:hyperlink>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of the State of Delaware on June 24, 2021</w:t>
              </w:r>
            </w:hyperlink>
          </w:p>
        </w:tc>
        <w:tc>
          <w:tcPr>
            <w:tcW w:w="1700" w:type="dxa"/>
            <w:vAlign w:val="bottom"/>
            <w:tcBorders>
              <w:top w:val="single" w:sz="8" w:color="0000EE"/>
            </w:tcBorders>
            <w:gridSpan w:val="2"/>
          </w:tcPr>
          <w:p>
            <w:pPr>
              <w:spacing w:after="0"/>
              <w:rPr>
                <w:sz w:val="17"/>
                <w:szCs w:val="17"/>
                <w:color w:val="auto"/>
              </w:rPr>
            </w:pPr>
          </w:p>
        </w:tc>
        <w:tc>
          <w:tcPr>
            <w:tcW w:w="34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20" w:type="dxa"/>
            <w:vAlign w:val="bottom"/>
            <w:tcBorders>
              <w:bottom w:val="single" w:sz="8" w:color="0000EE"/>
            </w:tcBorders>
          </w:tcPr>
          <w:p>
            <w:pPr>
              <w:spacing w:after="0"/>
              <w:rPr>
                <w:rFonts w:ascii="Arial" w:cs="Arial" w:eastAsia="Arial" w:hAnsi="Arial"/>
                <w:sz w:val="18"/>
                <w:szCs w:val="18"/>
                <w:color w:val="0000EE"/>
                <w:w w:val="79"/>
              </w:rPr>
            </w:pPr>
            <w:hyperlink r:id="rId70">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w:t>
              </w:r>
            </w:hyperlink>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20" w:type="dxa"/>
            <w:vAlign w:val="bottom"/>
            <w:tcBorders>
              <w:bottom w:val="single" w:sz="8" w:color="0000EE"/>
            </w:tcBorders>
            <w:gridSpan w:val="4"/>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Certificate of Amendment to the Restated Certificate of</w:t>
              </w:r>
            </w:hyperlink>
          </w:p>
        </w:tc>
        <w:tc>
          <w:tcPr>
            <w:tcW w:w="1060" w:type="dxa"/>
            <w:vAlign w:val="bottom"/>
            <w:gridSpan w:val="4"/>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001-35890</w:t>
            </w: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June 28, 2021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80" w:type="dxa"/>
            <w:vAlign w:val="bottom"/>
            <w:gridSpan w:val="8"/>
          </w:tcPr>
          <w:p>
            <w:pPr>
              <w:spacing w:after="0" w:line="196" w:lineRule="exact"/>
              <w:rPr>
                <w:rFonts w:ascii="Arial" w:cs="Arial" w:eastAsia="Arial" w:hAnsi="Arial"/>
                <w:sz w:val="18"/>
                <w:szCs w:val="18"/>
                <w:color w:val="0000EE"/>
                <w:w w:val="97"/>
              </w:rPr>
            </w:pPr>
            <w:hyperlink r:id="rId70">
              <w:r>
                <w:rPr>
                  <w:rFonts w:ascii="Arial" w:cs="Arial" w:eastAsia="Arial" w:hAnsi="Arial"/>
                  <w:sz w:val="18"/>
                  <w:szCs w:val="18"/>
                  <w:color w:val="0000EE"/>
                  <w:w w:val="97"/>
                </w:rPr>
                <w:t>Incorporation of the Company, as filed with the Secretary of State</w:t>
              </w:r>
            </w:hyperlink>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of the State of Delaware on June 25, 2021</w:t>
              </w:r>
            </w:hyperlink>
          </w:p>
        </w:tc>
        <w:tc>
          <w:tcPr>
            <w:tcW w:w="1700" w:type="dxa"/>
            <w:vAlign w:val="bottom"/>
            <w:tcBorders>
              <w:top w:val="single" w:sz="8" w:color="0000EE"/>
            </w:tcBorders>
            <w:gridSpan w:val="2"/>
          </w:tcPr>
          <w:p>
            <w:pPr>
              <w:spacing w:after="0"/>
              <w:rPr>
                <w:sz w:val="17"/>
                <w:szCs w:val="17"/>
                <w:color w:val="auto"/>
              </w:rPr>
            </w:pPr>
          </w:p>
        </w:tc>
        <w:tc>
          <w:tcPr>
            <w:tcW w:w="34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rFonts w:ascii="Arial" w:cs="Arial" w:eastAsia="Arial" w:hAnsi="Arial"/>
                <w:sz w:val="18"/>
                <w:szCs w:val="18"/>
                <w:color w:val="0000EE"/>
                <w:w w:val="79"/>
              </w:rPr>
            </w:pPr>
            <w:hyperlink r:id="rId7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w:t>
              </w:r>
            </w:hyperlink>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80" w:type="dxa"/>
            <w:vAlign w:val="bottom"/>
            <w:gridSpan w:val="8"/>
          </w:tcPr>
          <w:p>
            <w:pPr>
              <w:spacing w:after="0"/>
              <w:rPr>
                <w:rFonts w:ascii="Arial" w:cs="Arial" w:eastAsia="Arial" w:hAnsi="Arial"/>
                <w:sz w:val="18"/>
                <w:szCs w:val="18"/>
                <w:color w:val="0000EE"/>
              </w:rPr>
            </w:pPr>
            <w:hyperlink r:id="rId71">
              <w:r>
                <w:rPr>
                  <w:rFonts w:ascii="Arial" w:cs="Arial" w:eastAsia="Arial" w:hAnsi="Arial"/>
                  <w:sz w:val="18"/>
                  <w:szCs w:val="18"/>
                  <w:color w:val="0000EE"/>
                </w:rPr>
                <w:t>Amended and Restated Bylaws</w:t>
              </w:r>
            </w:hyperlink>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001-35890</w:t>
            </w: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September 24, 2021</w:t>
            </w:r>
          </w:p>
        </w:tc>
        <w:tc>
          <w:tcPr>
            <w:tcW w:w="0" w:type="dxa"/>
            <w:vAlign w:val="bottom"/>
          </w:tcPr>
          <w:p>
            <w:pPr>
              <w:spacing w:after="0"/>
              <w:rPr>
                <w:sz w:val="1"/>
                <w:szCs w:val="1"/>
                <w:color w:val="auto"/>
              </w:rPr>
            </w:pPr>
          </w:p>
        </w:tc>
      </w:tr>
      <w:tr>
        <w:trPr>
          <w:trHeight w:val="304"/>
        </w:trPr>
        <w:tc>
          <w:tcPr>
            <w:tcW w:w="220" w:type="dxa"/>
            <w:vAlign w:val="bottom"/>
            <w:tcBorders>
              <w:top w:val="single" w:sz="8" w:color="0000EE"/>
            </w:tcBorders>
          </w:tcPr>
          <w:p>
            <w:pPr>
              <w:spacing w:after="0"/>
              <w:rPr>
                <w:rFonts w:ascii="Arial" w:cs="Arial" w:eastAsia="Arial" w:hAnsi="Arial"/>
                <w:sz w:val="18"/>
                <w:szCs w:val="18"/>
                <w:color w:val="0000EE"/>
                <w:w w:val="79"/>
              </w:rPr>
            </w:pPr>
            <w:hyperlink r:id="rId7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Borders>
              <w:top w:val="single" w:sz="8" w:color="0000EE"/>
            </w:tcBorders>
            <w:gridSpan w:val="2"/>
          </w:tcPr>
          <w:p>
            <w:pPr>
              <w:spacing w:after="0"/>
              <w:rPr>
                <w:rFonts w:ascii="Arial" w:cs="Arial" w:eastAsia="Arial" w:hAnsi="Arial"/>
                <w:sz w:val="18"/>
                <w:szCs w:val="18"/>
                <w:color w:val="0000EE"/>
                <w:w w:val="96"/>
              </w:rPr>
            </w:pPr>
            <w:hyperlink r:id="rId72">
              <w:r>
                <w:rPr>
                  <w:rFonts w:ascii="Arial" w:cs="Arial" w:eastAsia="Arial" w:hAnsi="Arial"/>
                  <w:sz w:val="18"/>
                  <w:szCs w:val="18"/>
                  <w:color w:val="0000EE"/>
                  <w:w w:val="96"/>
                </w:rPr>
                <w:t>Form of Pre-Funded Warrant</w:t>
              </w:r>
            </w:hyperlink>
          </w:p>
        </w:tc>
        <w:tc>
          <w:tcPr>
            <w:tcW w:w="2820" w:type="dxa"/>
            <w:vAlign w:val="bottom"/>
            <w:gridSpan w:val="6"/>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Form 10-K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001-35890</w:t>
            </w: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April 1, 2022</w:t>
            </w:r>
          </w:p>
        </w:tc>
        <w:tc>
          <w:tcPr>
            <w:tcW w:w="0" w:type="dxa"/>
            <w:vAlign w:val="bottom"/>
          </w:tcPr>
          <w:p>
            <w:pPr>
              <w:spacing w:after="0"/>
              <w:rPr>
                <w:sz w:val="1"/>
                <w:szCs w:val="1"/>
                <w:color w:val="auto"/>
              </w:rPr>
            </w:pPr>
          </w:p>
        </w:tc>
      </w:tr>
      <w:tr>
        <w:trPr>
          <w:trHeight w:val="385"/>
        </w:trPr>
        <w:tc>
          <w:tcPr>
            <w:tcW w:w="2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gridSpan w:val="4"/>
          </w:tcPr>
          <w:p>
            <w:pPr>
              <w:ind w:left="300"/>
              <w:spacing w:after="0"/>
              <w:rPr>
                <w:sz w:val="20"/>
                <w:szCs w:val="20"/>
                <w:color w:val="auto"/>
              </w:rPr>
            </w:pPr>
            <w:r>
              <w:rPr>
                <w:rFonts w:ascii="Arial" w:cs="Arial" w:eastAsia="Arial" w:hAnsi="Arial"/>
                <w:sz w:val="18"/>
                <w:szCs w:val="18"/>
                <w:color w:val="auto"/>
              </w:rPr>
              <w:t>II-1</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50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200" w:type="dxa"/>
            <w:vAlign w:val="bottom"/>
            <w:vMerge w:val="restart"/>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Schedule /</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File</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vMerge w:val="restart"/>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508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20" w:type="dxa"/>
            <w:vAlign w:val="bottom"/>
            <w:tcBorders>
              <w:bottom w:val="single" w:sz="8" w:color="0000EE"/>
            </w:tcBorders>
          </w:tcPr>
          <w:p>
            <w:pPr>
              <w:spacing w:after="0"/>
              <w:rPr>
                <w:rFonts w:ascii="Arial" w:cs="Arial" w:eastAsia="Arial" w:hAnsi="Arial"/>
                <w:sz w:val="18"/>
                <w:szCs w:val="18"/>
                <w:color w:val="0000EE"/>
                <w:w w:val="79"/>
              </w:rPr>
            </w:pPr>
            <w:hyperlink r:id="rId74">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540" w:type="dxa"/>
            <w:vAlign w:val="bottom"/>
            <w:tcBorders>
              <w:bottom w:val="single" w:sz="8" w:color="0000EE"/>
            </w:tcBorders>
            <w:gridSpan w:val="4"/>
          </w:tcPr>
          <w:p>
            <w:pPr>
              <w:spacing w:after="0"/>
              <w:rPr>
                <w:rFonts w:ascii="Arial" w:cs="Arial" w:eastAsia="Arial" w:hAnsi="Arial"/>
                <w:sz w:val="18"/>
                <w:szCs w:val="18"/>
                <w:color w:val="0000EE"/>
                <w:w w:val="89"/>
              </w:rPr>
            </w:pPr>
            <w:hyperlink r:id="rId74">
              <w:r>
                <w:rPr>
                  <w:rFonts w:ascii="Arial" w:cs="Arial" w:eastAsia="Arial" w:hAnsi="Arial"/>
                  <w:sz w:val="18"/>
                  <w:szCs w:val="18"/>
                  <w:color w:val="0000EE"/>
                  <w:w w:val="89"/>
                </w:rPr>
                <w:t>Form of Tempest Therapeutics, Inc. Warrant to Purchase Stock</w:t>
              </w:r>
            </w:hyperlink>
          </w:p>
        </w:tc>
        <w:tc>
          <w:tcPr>
            <w:tcW w:w="740" w:type="dxa"/>
            <w:vAlign w:val="bottom"/>
            <w:gridSpan w:val="4"/>
          </w:tcPr>
          <w:p>
            <w:pPr>
              <w:spacing w:after="0"/>
              <w:rPr>
                <w:sz w:val="23"/>
                <w:szCs w:val="2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Form S-4/A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333-255198</w:t>
            </w:r>
          </w:p>
        </w:tc>
        <w:tc>
          <w:tcPr>
            <w:tcW w:w="220" w:type="dxa"/>
            <w:vAlign w:val="bottom"/>
          </w:tcPr>
          <w:p>
            <w:pPr>
              <w:spacing w:after="0"/>
              <w:rPr>
                <w:sz w:val="23"/>
                <w:szCs w:val="23"/>
                <w:color w:val="auto"/>
              </w:rPr>
            </w:pPr>
          </w:p>
        </w:tc>
        <w:tc>
          <w:tcPr>
            <w:tcW w:w="540" w:type="dxa"/>
            <w:vAlign w:val="bottom"/>
          </w:tcPr>
          <w:p>
            <w:pPr>
              <w:jc w:val="right"/>
              <w:ind w:right="79"/>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May 4, 2021</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0"/>
                <w:szCs w:val="20"/>
                <w:color w:val="auto"/>
              </w:rPr>
            </w:pPr>
            <w:r>
              <w:rPr>
                <w:rFonts w:ascii="Arial" w:cs="Arial" w:eastAsia="Arial" w:hAnsi="Arial"/>
                <w:sz w:val="18"/>
                <w:szCs w:val="18"/>
                <w:color w:val="auto"/>
                <w:w w:val="79"/>
              </w:rPr>
              <w:t>5.1</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Opinion of Cooley LLP</w:t>
              </w:r>
            </w:hyperlink>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528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Consent of Ernst &amp; Young LLP, independent registered public</w:t>
              </w:r>
            </w:hyperlink>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accounting firm</w:t>
              </w:r>
            </w:hyperlink>
          </w:p>
        </w:tc>
        <w:tc>
          <w:tcPr>
            <w:tcW w:w="3300" w:type="dxa"/>
            <w:vAlign w:val="bottom"/>
            <w:tcBorders>
              <w:top w:val="single" w:sz="8" w:color="0000EE"/>
            </w:tcBorders>
            <w:gridSpan w:val="2"/>
          </w:tcPr>
          <w:p>
            <w:pPr>
              <w:spacing w:after="0"/>
              <w:rPr>
                <w:sz w:val="17"/>
                <w:szCs w:val="17"/>
                <w:color w:val="auto"/>
              </w:rPr>
            </w:pPr>
          </w:p>
        </w:tc>
        <w:tc>
          <w:tcPr>
            <w:tcW w:w="80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47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Consent of Deloitte &amp; Touche LLP, independent registered public</w:t>
              </w:r>
            </w:hyperlink>
          </w:p>
        </w:tc>
        <w:tc>
          <w:tcPr>
            <w:tcW w:w="540" w:type="dxa"/>
            <w:vAlign w:val="bottom"/>
            <w:gridSpan w:val="3"/>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accounting firm</w:t>
              </w:r>
            </w:hyperlink>
          </w:p>
        </w:tc>
        <w:tc>
          <w:tcPr>
            <w:tcW w:w="410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5280" w:type="dxa"/>
            <w:vAlign w:val="bottom"/>
            <w:gridSpan w:val="8"/>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Power of Attorney (see signature page to this registration statement)</w:t>
              </w:r>
            </w:hyperlink>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4920" w:type="dxa"/>
            <w:vAlign w:val="bottom"/>
            <w:tcBorders>
              <w:top w:val="single" w:sz="8" w:color="0000EE"/>
            </w:tcBorders>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Filing Fee Table</w:t>
              </w:r>
            </w:hyperlink>
          </w:p>
        </w:tc>
        <w:tc>
          <w:tcPr>
            <w:tcW w:w="3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820" w:hanging="2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left="120" w:right="180" w:firstLine="436"/>
        <w:spacing w:after="0" w:line="293" w:lineRule="auto"/>
        <w:tabs>
          <w:tab w:leader="none" w:pos="8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120" w:right="580" w:firstLine="436"/>
        <w:spacing w:after="0" w:line="277" w:lineRule="auto"/>
        <w:tabs>
          <w:tab w:leader="none" w:pos="8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Provided, however, that paragraphs (1)(i), (1)(ii) and (1)(iii) do not apply if the information required to be included in a post-effective 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left="120" w:right="20" w:firstLine="436"/>
        <w:spacing w:after="0" w:line="263"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20" w:right="660" w:firstLine="436"/>
        <w:spacing w:after="0" w:line="277"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(4) That, for the purpose of determining liability under the Securities Act of 1933 to any purchaser:</w:t>
      </w:r>
    </w:p>
    <w:p>
      <w:pPr>
        <w:spacing w:after="0" w:line="117" w:lineRule="exact"/>
        <w:rPr>
          <w:sz w:val="20"/>
          <w:szCs w:val="20"/>
          <w:color w:val="auto"/>
        </w:rPr>
      </w:pPr>
    </w:p>
    <w:p>
      <w:pPr>
        <w:ind w:left="120" w:firstLine="436"/>
        <w:spacing w:after="0" w:line="277" w:lineRule="auto"/>
        <w:tabs>
          <w:tab w:leader="none" w:pos="7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20" w:firstLine="436"/>
        <w:spacing w:after="0" w:line="269" w:lineRule="auto"/>
        <w:tabs>
          <w:tab w:leader="none" w:pos="8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sz w:val="20"/>
          <w:szCs w:val="20"/>
          <w:color w:val="auto"/>
        </w:rPr>
      </w:pPr>
    </w:p>
    <w:p>
      <w:pPr>
        <w:ind w:left="120" w:right="40" w:firstLine="436"/>
        <w:spacing w:after="0" w:line="272"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ind w:left="120" w:right="120" w:firstLine="436"/>
        <w:spacing w:after="0" w:line="25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120" w:firstLine="436"/>
        <w:spacing w:after="0" w:line="271"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May 16, 2022.</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Stephen Brady</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Stephen Brady and Nicholas Maestas, and each of them, as true and lawful attorneys-in-fact and agents, with full powers of substitution and resubstitution, for them and in their name, place and stead, in any and all capacities, to sign any and all amendments (including pre-effective and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Securities and Exchange Commission, and generally to do all such things in their names and behalf in their capacities as officers and directors to enable Tempest Therapeutics,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substitutes or substitute, may lawfully do or cause to be done by virtue hereof.</w:t>
      </w:r>
    </w:p>
    <w:p>
      <w:pPr>
        <w:spacing w:after="0" w:line="182"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Signatures</w:t>
            </w:r>
          </w:p>
        </w:tc>
        <w:tc>
          <w:tcPr>
            <w:tcW w:w="220" w:type="dxa"/>
            <w:vAlign w:val="bottom"/>
          </w:tcPr>
          <w:p>
            <w:pPr>
              <w:spacing w:after="0"/>
              <w:rPr>
                <w:sz w:val="16"/>
                <w:szCs w:val="16"/>
                <w:color w:val="auto"/>
              </w:rPr>
            </w:pPr>
          </w:p>
        </w:tc>
        <w:tc>
          <w:tcPr>
            <w:tcW w:w="40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Brady</w:t>
            </w:r>
          </w:p>
        </w:tc>
        <w:tc>
          <w:tcPr>
            <w:tcW w:w="2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16, 2022</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88"/>
              </w:rPr>
              <w:t>Stephen Brady</w:t>
            </w:r>
          </w:p>
        </w:tc>
        <w:tc>
          <w:tcPr>
            <w:tcW w:w="2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1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Nicholas Maestas</w:t>
            </w:r>
          </w:p>
        </w:tc>
        <w:tc>
          <w:tcPr>
            <w:tcW w:w="2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Vice President, Strategy and Finance</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16, 2022</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0"/>
              </w:rPr>
              <w:t>Nicholas Maestas</w:t>
            </w:r>
          </w:p>
        </w:tc>
        <w:tc>
          <w:tcPr>
            <w:tcW w:w="2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1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Pierre Lorenzo</w:t>
            </w:r>
          </w:p>
        </w:tc>
        <w:tc>
          <w:tcPr>
            <w:tcW w:w="2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Corporate Controller, Treasurer and Secretary</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16, 2022</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1"/>
              </w:rPr>
              <w:t>Pierre Lorenzo</w:t>
            </w:r>
          </w:p>
        </w:tc>
        <w:tc>
          <w:tcPr>
            <w:tcW w:w="2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21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Mike Raab</w:t>
            </w:r>
          </w:p>
        </w:tc>
        <w:tc>
          <w:tcPr>
            <w:tcW w:w="2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16, 2022</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2"/>
              </w:rPr>
              <w:t>Mike Raab</w:t>
            </w:r>
          </w:p>
        </w:tc>
        <w:tc>
          <w:tcPr>
            <w:tcW w:w="2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Signatures</w:t>
            </w:r>
          </w:p>
        </w:tc>
        <w:tc>
          <w:tcPr>
            <w:tcW w:w="220" w:type="dxa"/>
            <w:vAlign w:val="bottom"/>
          </w:tcPr>
          <w:p>
            <w:pPr>
              <w:spacing w:after="0"/>
              <w:rPr>
                <w:sz w:val="16"/>
                <w:szCs w:val="16"/>
                <w:color w:val="auto"/>
              </w:rPr>
            </w:pPr>
          </w:p>
        </w:tc>
        <w:tc>
          <w:tcPr>
            <w:tcW w:w="40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Dubensky</w:t>
            </w:r>
          </w:p>
        </w:tc>
        <w:tc>
          <w:tcPr>
            <w:tcW w:w="2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16, 2022</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89"/>
              </w:rPr>
              <w:t>Thomas Dubensky, Ph.D.</w:t>
            </w:r>
          </w:p>
        </w:tc>
        <w:tc>
          <w:tcPr>
            <w:tcW w:w="2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Christine Pellizzari</w:t>
            </w:r>
          </w:p>
        </w:tc>
        <w:tc>
          <w:tcPr>
            <w:tcW w:w="2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16, 2022</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3"/>
              </w:rPr>
              <w:t>Christine Pellizzari</w:t>
            </w:r>
          </w:p>
        </w:tc>
        <w:tc>
          <w:tcPr>
            <w:tcW w:w="2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Geoff Nichol</w:t>
            </w:r>
          </w:p>
        </w:tc>
        <w:tc>
          <w:tcPr>
            <w:tcW w:w="2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16, 2022</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6"/>
              </w:rPr>
              <w:t>Geoff Nichol, M.B., Ch.B., M.B.A.</w:t>
            </w:r>
          </w:p>
        </w:tc>
        <w:tc>
          <w:tcPr>
            <w:tcW w:w="2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Tom Woiwode</w:t>
            </w:r>
          </w:p>
        </w:tc>
        <w:tc>
          <w:tcPr>
            <w:tcW w:w="2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16, 2022</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1"/>
              </w:rPr>
              <w:t>Tom Woiwode, Ph.D.</w:t>
            </w:r>
          </w:p>
        </w:tc>
        <w:tc>
          <w:tcPr>
            <w:tcW w:w="2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Ronit Simantov</w:t>
            </w:r>
          </w:p>
        </w:tc>
        <w:tc>
          <w:tcPr>
            <w:tcW w:w="2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16, 2022</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4"/>
              </w:rPr>
              <w:t>Ronit Simantov, M.D.</w:t>
            </w:r>
          </w:p>
        </w:tc>
        <w:tc>
          <w:tcPr>
            <w:tcW w:w="2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11275" cy="480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112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Laura Berezin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lberezin@cooley.com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275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have acted as counsel to Tempest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of a Registration Statement on Form S-3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by the Company under the Securities Act of 1933, as amended, covering the resale by a selling stockholder (the “</w:t>
      </w:r>
      <w:r>
        <w:rPr>
          <w:rFonts w:ascii="Arial" w:cs="Arial" w:eastAsia="Arial" w:hAnsi="Arial"/>
          <w:sz w:val="17"/>
          <w:szCs w:val="17"/>
          <w:b w:val="1"/>
          <w:bCs w:val="1"/>
          <w:i w:val="1"/>
          <w:iCs w:val="1"/>
          <w:color w:val="auto"/>
        </w:rPr>
        <w:t>Selling Stockholder</w:t>
      </w:r>
      <w:r>
        <w:rPr>
          <w:rFonts w:ascii="Arial" w:cs="Arial" w:eastAsia="Arial" w:hAnsi="Arial"/>
          <w:sz w:val="17"/>
          <w:szCs w:val="17"/>
          <w:color w:val="auto"/>
        </w:rPr>
        <w:t>”) of up to 6,355,932 shares of the Company’s Common Stock, par value $0.001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consisting of (i) 3,149,912 outstanding shares of Common Stock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and (ii) up to 3,206,020 shares of Common Stock (the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issuable upon the exercise of outstanding pre-funded warrants to purchase shares of Common Stock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The Shares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were issued pursuant to a Securities Purchase Agreement, dated April 26, 2022, by and among the Company and the purchaser named therein (the “</w:t>
      </w:r>
      <w:r>
        <w:rPr>
          <w:rFonts w:ascii="Arial" w:cs="Arial" w:eastAsia="Arial" w:hAnsi="Arial"/>
          <w:sz w:val="17"/>
          <w:szCs w:val="17"/>
          <w:b w:val="1"/>
          <w:bCs w:val="1"/>
          <w:i w:val="1"/>
          <w:iCs w:val="1"/>
          <w:color w:val="auto"/>
        </w:rPr>
        <w:t>Securities Purchase Agreement</w:t>
      </w:r>
      <w:r>
        <w:rPr>
          <w:rFonts w:ascii="Arial" w:cs="Arial" w:eastAsia="Arial" w:hAnsi="Arial"/>
          <w:sz w:val="17"/>
          <w:szCs w:val="17"/>
          <w:color w:val="auto"/>
        </w:rPr>
        <w:t>”).</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this opinion, we have examined and relied upon the Registration Statement and related prospectus, the Company’s Amended and Restated Certificate of Incorporation, as amended, and Bylaws, as amended, each as currently in effect, the Securities Purchase Agreement, the Warrants and such other documents, records,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execution and delivery are prerequisites to the effectiveness thereof. As to certain factual matters, we have relied upon a certificate of an officer of the Company and have not independently verified such matters.</w:t>
      </w:r>
    </w:p>
    <w:p>
      <w:pPr>
        <w:spacing w:after="0" w:line="19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as to whether any particular laws other than those identified above are applicable to the subject matter hereof. We are not rendering any opinion as to compliance with any federal or state antifraud law, rule or regulation relating to securities, or to the sale or issuance thereof.</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respect to the Warrant Shares, we express no opinion to the extent that future issuances of securities of the Company, including the Warrant Shares, and/or adjustments to outstanding securities of the Company, including the Warrants, may cause the Warrants to be exercisable for more shares of Common Stock than the number that remain authorized but unissued. Further, we have assumed the exercise price of the Warrants will not be adjusted to an amount below the par value per share of the Common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3175 Hanover St. Palo Alto, CA 94303-1130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1020"/>
          </w:cols>
          <w:pgMar w:left="440" w:top="121"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11275" cy="480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80060"/>
                    </a:xfrm>
                    <a:prstGeom prst="rect">
                      <a:avLst/>
                    </a:prstGeom>
                    <a:noFill/>
                  </pic:spPr>
                </pic:pic>
              </a:graphicData>
            </a:graphic>
          </wp:anchor>
        </w:drawing>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16,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the basis of the foregoing, and in reliance thereon, we are of the opinion that the Shares have been validly issued and are fully paid, and nonassessable and that the Warrant Shares, when issued upon exercise of the Warrants in accordance with the terms of the Warrants, will be validly issued, fully paid and nonassessable.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reference to our firm under the caption “Legal Matters” in the prospectus included in the Registration Statement and to the filing of this opinion as an exhibit to the Registration Statement.</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Cooley LLP 3175 Hanover St. Palo Alto, CA 94303-1130</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680"/>
          </w:cols>
          <w:pgMar w:left="440" w:top="1246" w:right="779" w:bottom="1440" w:gutter="0" w:footer="0" w:header="0"/>
        </w:sectPr>
      </w:pPr>
    </w:p>
    <w:bookmarkStart w:id="33" w:name="page34"/>
    <w:bookmarkEnd w:id="33"/>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311275" cy="4800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800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16,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OOLEY</w:t>
      </w:r>
      <w:r>
        <w:rPr>
          <w:rFonts w:ascii="Arial" w:cs="Arial" w:eastAsia="Arial" w:hAnsi="Arial"/>
          <w:sz w:val="18"/>
          <w:szCs w:val="18"/>
          <w:color w:val="auto"/>
        </w:rPr>
        <w:t xml:space="preserve">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Laura Berezin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Laura Berezin</w:t>
      </w:r>
    </w:p>
    <w:p>
      <w:pPr>
        <w:spacing w:after="0" w:line="157"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Cooley LLP 3175 Hanover St. Palo Alto, CA 94303-1130</w:t>
      </w:r>
    </w:p>
    <w:p>
      <w:pPr>
        <w:spacing w:after="0" w:line="4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019"/>
          </w:cols>
          <w:pgMar w:left="440" w:top="1440"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Tempest Therapeutics, Inc. for the registration of 6,355,932 shares of common stock and to the incorporation by reference therein of our report dated March 29, 2022, with respect to the consolidated financial statements of Tempest Therapeutics, Inc. included in its Annual Report (Form 10-K) for the year ended December 31, 2021,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13, 2022</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23.2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 dated May, 10, 2021 (March 29, 2022, as to the effects of the stock exchange as described in Note 1), relating to the consolidated financial statements of Tempest Therapeutics, Inc. and subsidiaries (the “Company”), appearing in the Annual Report on Form 10-K of Tempest Therapeutics, Inc. for the year ended December 31, 2020.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16, 2022</w:t>
      </w:r>
    </w:p>
    <w:p>
      <w:pPr>
        <w:sectPr>
          <w:pgSz w:w="11900" w:h="16838" w:orient="portrait"/>
          <w:cols w:equalWidth="0" w:num="1">
            <w:col w:w="11020"/>
          </w:cols>
          <w:pgMar w:left="440"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Tempest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154" w:type="dxa"/>
        <w:tblCellMar>
          <w:top w:w="0" w:type="dxa"/>
          <w:left w:w="0" w:type="dxa"/>
          <w:bottom w:w="0" w:type="dxa"/>
          <w:right w:w="0" w:type="dxa"/>
        </w:tblCellMar>
      </w:tblPr>
      <w:tr>
        <w:trPr>
          <w:trHeight w:val="144"/>
        </w:trPr>
        <w:tc>
          <w:tcPr>
            <w:tcW w:w="104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320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28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3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9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3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Security</w:t>
            </w:r>
          </w:p>
        </w:tc>
        <w:tc>
          <w:tcPr>
            <w:tcW w:w="80" w:type="dxa"/>
            <w:vAlign w:val="bottom"/>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9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Amount of</w:t>
            </w: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jc w:val="center"/>
              <w:ind w:left="8"/>
              <w:spacing w:after="0" w:line="135" w:lineRule="exact"/>
              <w:rPr>
                <w:sz w:val="20"/>
                <w:szCs w:val="20"/>
                <w:color w:val="auto"/>
              </w:rPr>
            </w:pPr>
            <w:r>
              <w:rPr>
                <w:rFonts w:ascii="Arial" w:cs="Arial" w:eastAsia="Arial" w:hAnsi="Arial"/>
                <w:sz w:val="13"/>
                <w:szCs w:val="13"/>
                <w:b w:val="1"/>
                <w:bCs w:val="1"/>
                <w:color w:val="auto"/>
                <w:w w:val="85"/>
              </w:rPr>
              <w:t>Security</w:t>
            </w:r>
          </w:p>
        </w:tc>
        <w:tc>
          <w:tcPr>
            <w:tcW w:w="3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Class</w:t>
            </w:r>
          </w:p>
        </w:tc>
        <w:tc>
          <w:tcPr>
            <w:tcW w:w="80" w:type="dxa"/>
            <w:vAlign w:val="bottom"/>
          </w:tcPr>
          <w:p>
            <w:pPr>
              <w:spacing w:after="0"/>
              <w:rPr>
                <w:sz w:val="11"/>
                <w:szCs w:val="11"/>
                <w:color w:val="auto"/>
              </w:rPr>
            </w:pPr>
          </w:p>
        </w:tc>
        <w:tc>
          <w:tcPr>
            <w:tcW w:w="780" w:type="dxa"/>
            <w:vAlign w:val="bottom"/>
            <w:tcBorders>
              <w:right w:val="single" w:sz="8" w:color="auto"/>
            </w:tcBorders>
          </w:tcPr>
          <w:p>
            <w:pPr>
              <w:jc w:val="center"/>
              <w:ind w:right="10"/>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Registration</w:t>
            </w:r>
          </w:p>
        </w:tc>
      </w:tr>
      <w:tr>
        <w:trPr>
          <w:trHeight w:val="165"/>
        </w:trPr>
        <w:tc>
          <w:tcPr>
            <w:tcW w:w="104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Rule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Share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Fee</w:t>
            </w:r>
          </w:p>
        </w:tc>
      </w:tr>
      <w:tr>
        <w:trPr>
          <w:trHeight w:val="278"/>
        </w:trPr>
        <w:tc>
          <w:tcPr>
            <w:tcW w:w="1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6"/>
              </w:rPr>
              <w:t>Fees to Be</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Equity</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Class A common  Stock, par value $0.001</w:t>
            </w:r>
          </w:p>
        </w:tc>
        <w:tc>
          <w:tcPr>
            <w:tcW w:w="80" w:type="dxa"/>
            <w:vAlign w:val="bottom"/>
          </w:tcPr>
          <w:p>
            <w:pPr>
              <w:spacing w:after="0"/>
              <w:rPr>
                <w:sz w:val="24"/>
                <w:szCs w:val="24"/>
                <w:color w:val="auto"/>
              </w:rPr>
            </w:pPr>
          </w:p>
        </w:tc>
        <w:tc>
          <w:tcPr>
            <w:tcW w:w="7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Other (3)</w:t>
            </w:r>
          </w:p>
        </w:tc>
        <w:tc>
          <w:tcPr>
            <w:tcW w:w="1080" w:type="dxa"/>
            <w:vAlign w:val="bottom"/>
            <w:tcBorders>
              <w:right w:val="single" w:sz="8" w:color="auto"/>
            </w:tcBorders>
          </w:tcPr>
          <w:p>
            <w:pPr>
              <w:jc w:val="right"/>
              <w:ind w:right="28"/>
              <w:spacing w:after="0"/>
              <w:rPr>
                <w:sz w:val="20"/>
                <w:szCs w:val="20"/>
                <w:color w:val="auto"/>
              </w:rPr>
            </w:pPr>
            <w:r>
              <w:rPr>
                <w:rFonts w:ascii="Arial" w:cs="Arial" w:eastAsia="Arial" w:hAnsi="Arial"/>
                <w:sz w:val="18"/>
                <w:szCs w:val="18"/>
                <w:color w:val="auto"/>
                <w:w w:val="94"/>
              </w:rPr>
              <w:t>6,355,932(2)</w:t>
            </w:r>
          </w:p>
        </w:tc>
        <w:tc>
          <w:tcPr>
            <w:tcW w:w="80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w w:val="98"/>
              </w:rPr>
              <w:t>$2.75(3)</w:t>
            </w:r>
          </w:p>
        </w:tc>
        <w:tc>
          <w:tcPr>
            <w:tcW w:w="1280" w:type="dxa"/>
            <w:vAlign w:val="bottom"/>
            <w:tcBorders>
              <w:right w:val="single" w:sz="8" w:color="auto"/>
            </w:tcBorders>
          </w:tcPr>
          <w:p>
            <w:pPr>
              <w:jc w:val="right"/>
              <w:ind w:right="44"/>
              <w:spacing w:after="0"/>
              <w:rPr>
                <w:sz w:val="20"/>
                <w:szCs w:val="20"/>
                <w:color w:val="auto"/>
              </w:rPr>
            </w:pPr>
            <w:r>
              <w:rPr>
                <w:rFonts w:ascii="Arial" w:cs="Arial" w:eastAsia="Arial" w:hAnsi="Arial"/>
                <w:sz w:val="18"/>
                <w:szCs w:val="18"/>
                <w:color w:val="auto"/>
                <w:w w:val="91"/>
              </w:rPr>
              <w:t>$17,478,813.00</w:t>
            </w:r>
          </w:p>
        </w:tc>
        <w:tc>
          <w:tcPr>
            <w:tcW w:w="960" w:type="dxa"/>
            <w:vAlign w:val="bottom"/>
            <w:tcBorders>
              <w:right w:val="single" w:sz="8" w:color="auto"/>
            </w:tcBorders>
          </w:tcPr>
          <w:p>
            <w:pPr>
              <w:jc w:val="right"/>
              <w:ind w:right="28"/>
              <w:spacing w:after="0"/>
              <w:rPr>
                <w:sz w:val="20"/>
                <w:szCs w:val="20"/>
                <w:color w:val="auto"/>
              </w:rPr>
            </w:pPr>
            <w:r>
              <w:rPr>
                <w:rFonts w:ascii="Arial" w:cs="Arial" w:eastAsia="Arial" w:hAnsi="Arial"/>
                <w:sz w:val="18"/>
                <w:szCs w:val="18"/>
                <w:color w:val="auto"/>
                <w:w w:val="98"/>
              </w:rPr>
              <w:t>0.0000927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$1,620.29</w:t>
            </w:r>
          </w:p>
        </w:tc>
      </w:tr>
      <w:tr>
        <w:trPr>
          <w:trHeight w:val="175"/>
        </w:trPr>
        <w:tc>
          <w:tcPr>
            <w:tcW w:w="1040" w:type="dxa"/>
            <w:vAlign w:val="bottom"/>
            <w:tcBorders>
              <w:left w:val="single" w:sz="8" w:color="auto"/>
              <w:bottom w:val="single" w:sz="8" w:color="auto"/>
              <w:right w:val="single" w:sz="8" w:color="auto"/>
            </w:tcBorders>
          </w:tcPr>
          <w:p>
            <w:pPr>
              <w:ind w:left="420"/>
              <w:spacing w:after="0" w:line="176" w:lineRule="exact"/>
              <w:rPr>
                <w:sz w:val="20"/>
                <w:szCs w:val="20"/>
                <w:color w:val="auto"/>
              </w:rPr>
            </w:pPr>
            <w:r>
              <w:rPr>
                <w:rFonts w:ascii="Arial" w:cs="Arial" w:eastAsia="Arial" w:hAnsi="Arial"/>
                <w:sz w:val="18"/>
                <w:szCs w:val="18"/>
                <w:color w:val="auto"/>
              </w:rPr>
              <w:t>Paid</w:t>
            </w:r>
          </w:p>
        </w:tc>
        <w:tc>
          <w:tcPr>
            <w:tcW w:w="680" w:type="dxa"/>
            <w:vAlign w:val="bottom"/>
            <w:tcBorders>
              <w:bottom w:val="single" w:sz="8" w:color="auto"/>
              <w:right w:val="single" w:sz="8" w:color="auto"/>
            </w:tcBorders>
          </w:tcPr>
          <w:p>
            <w:pPr>
              <w:spacing w:after="0"/>
              <w:rPr>
                <w:sz w:val="15"/>
                <w:szCs w:val="15"/>
                <w:color w:val="auto"/>
              </w:rPr>
            </w:pPr>
          </w:p>
        </w:tc>
        <w:tc>
          <w:tcPr>
            <w:tcW w:w="320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6"/>
              </w:rPr>
              <w:t>per share</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r>
      <w:tr>
        <w:trPr>
          <w:trHeight w:val="232"/>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2"/>
          </w:tcPr>
          <w:p>
            <w:pPr>
              <w:jc w:val="center"/>
              <w:ind w:left="1159"/>
              <w:spacing w:after="0"/>
              <w:rPr>
                <w:sz w:val="20"/>
                <w:szCs w:val="20"/>
                <w:color w:val="auto"/>
              </w:rPr>
            </w:pPr>
            <w:r>
              <w:rPr>
                <w:rFonts w:ascii="Arial" w:cs="Arial" w:eastAsia="Arial" w:hAnsi="Arial"/>
                <w:sz w:val="18"/>
                <w:szCs w:val="18"/>
                <w:b w:val="1"/>
                <w:bCs w:val="1"/>
                <w:color w:val="auto"/>
                <w:w w:val="91"/>
              </w:rPr>
              <w:t>Total Offering Amounts</w:t>
            </w: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8"/>
                <w:szCs w:val="18"/>
                <w:color w:val="auto"/>
                <w:w w:val="91"/>
              </w:rPr>
              <w:t>$17,478,813.00</w:t>
            </w: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1,620.29</w:t>
            </w: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2"/>
          </w:tcPr>
          <w:p>
            <w:pPr>
              <w:jc w:val="center"/>
              <w:ind w:left="1179"/>
              <w:spacing w:after="0"/>
              <w:rPr>
                <w:sz w:val="20"/>
                <w:szCs w:val="20"/>
                <w:color w:val="auto"/>
              </w:rPr>
            </w:pPr>
            <w:r>
              <w:rPr>
                <w:rFonts w:ascii="Arial" w:cs="Arial" w:eastAsia="Arial" w:hAnsi="Arial"/>
                <w:sz w:val="18"/>
                <w:szCs w:val="18"/>
                <w:b w:val="1"/>
                <w:bCs w:val="1"/>
                <w:color w:val="auto"/>
                <w:w w:val="88"/>
              </w:rPr>
              <w:t>Total Fees Previously Paid</w:t>
            </w: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2"/>
          </w:tcPr>
          <w:p>
            <w:pPr>
              <w:jc w:val="center"/>
              <w:ind w:left="1179"/>
              <w:spacing w:after="0"/>
              <w:rPr>
                <w:sz w:val="20"/>
                <w:szCs w:val="20"/>
                <w:color w:val="auto"/>
              </w:rPr>
            </w:pPr>
            <w:r>
              <w:rPr>
                <w:rFonts w:ascii="Arial" w:cs="Arial" w:eastAsia="Arial" w:hAnsi="Arial"/>
                <w:sz w:val="18"/>
                <w:szCs w:val="18"/>
                <w:b w:val="1"/>
                <w:bCs w:val="1"/>
                <w:color w:val="auto"/>
                <w:w w:val="88"/>
              </w:rPr>
              <w:t>Total Fee Offsets</w:t>
            </w: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2"/>
          </w:tcPr>
          <w:p>
            <w:pPr>
              <w:jc w:val="center"/>
              <w:ind w:left="1179"/>
              <w:spacing w:after="0"/>
              <w:rPr>
                <w:sz w:val="20"/>
                <w:szCs w:val="20"/>
                <w:color w:val="auto"/>
              </w:rPr>
            </w:pPr>
            <w:r>
              <w:rPr>
                <w:rFonts w:ascii="Arial" w:cs="Arial" w:eastAsia="Arial" w:hAnsi="Arial"/>
                <w:sz w:val="18"/>
                <w:szCs w:val="18"/>
                <w:b w:val="1"/>
                <w:bCs w:val="1"/>
                <w:color w:val="auto"/>
                <w:w w:val="89"/>
              </w:rPr>
              <w:t>Net Fees Due</w:t>
            </w: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$1,620.29</w:t>
            </w:r>
          </w:p>
        </w:tc>
      </w:tr>
    </w:tbl>
    <w:p>
      <w:pPr>
        <w:spacing w:after="0" w:line="229" w:lineRule="exact"/>
        <w:rPr>
          <w:sz w:val="20"/>
          <w:szCs w:val="20"/>
          <w:color w:val="auto"/>
        </w:rPr>
      </w:pPr>
    </w:p>
    <w:p>
      <w:pPr>
        <w:ind w:left="424" w:right="140" w:hanging="424"/>
        <w:spacing w:after="0" w:line="253"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shares of Common Stock, $0.001 par value per share (the “Common Stock”) of Tempest Therapeutics, Inc. (the “Registrant”) that will be offered for resale by the selling stockholder pursuant to the prospectus to which this exhibit is attached. Pursuant to Rule 416 under the Securities Act of 1933, as amended (the “Securities Act”), the shares being registered hereunder include such indeterminate number of additional shares of common stock as may be issuable as a result of stock splits, stock dividends or similar transactions with respect to the shares being registered hereunder.</w:t>
      </w:r>
    </w:p>
    <w:p>
      <w:pPr>
        <w:spacing w:after="0" w:line="3" w:lineRule="exact"/>
        <w:rPr>
          <w:rFonts w:ascii="Arial" w:cs="Arial" w:eastAsia="Arial" w:hAnsi="Arial"/>
          <w:sz w:val="18"/>
          <w:szCs w:val="18"/>
          <w:color w:val="auto"/>
        </w:rPr>
      </w:pPr>
    </w:p>
    <w:p>
      <w:pPr>
        <w:ind w:left="424" w:right="300" w:hanging="424"/>
        <w:spacing w:after="0" w:line="250"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an aggregate of 6,355,932 shares of the Registrant’s common stock, including 3,206,020 shares of common stock issuable upon the exercise of pre-funded warrants of the registrant.</w:t>
      </w:r>
    </w:p>
    <w:p>
      <w:pPr>
        <w:jc w:val="both"/>
        <w:ind w:left="424" w:right="100" w:hanging="424"/>
        <w:spacing w:after="0" w:line="255"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estimate is made pursuant to Rule 457(c) of the Securities Act solely for purposes of calculating the registration fee. The price per share and aggregate offering price are based upon the average of the high and low prices of the Registrant’s common stock on May 13, 2022, as reported on the Nasdaq Global Market.</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Roman"/>
      <w:start w:val="2"/>
    </w:lvl>
  </w:abstractNum>
  <w:abstractNum w:abstractNumId="15">
    <w:nsid w:val="519B500D"/>
    <w:multiLevelType w:val="hybridMultilevel"/>
    <w:lvl w:ilvl="0">
      <w:lvlJc w:val="left"/>
      <w:lvlText w:val="(%1)"/>
      <w:numFmt w:val="decimal"/>
      <w:start w:val="2"/>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decimal"/>
      <w:start w:val="5"/>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jpe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73"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jpeg"/><Relationship Id="rId80" Type="http://schemas.openxmlformats.org/officeDocument/2006/relationships/image" Target="media/image62.png"/><Relationship Id="rId81" Type="http://schemas.openxmlformats.org/officeDocument/2006/relationships/image" Target="media/image63.jpeg"/><Relationship Id="rId82" Type="http://schemas.openxmlformats.org/officeDocument/2006/relationships/image" Target="media/image64.png"/><Relationship Id="rId83" Type="http://schemas.openxmlformats.org/officeDocument/2006/relationships/image" Target="media/image65.jpeg"/><Relationship Id="rId84" Type="http://schemas.openxmlformats.org/officeDocument/2006/relationships/image" Target="media/image66.png"/><Relationship Id="rId48" Type="http://schemas.openxmlformats.org/officeDocument/2006/relationships/hyperlink" Target="http://www.sec.gov/ix?doc=/Archives/edgar/data/0001544227/000162828022007717/tpst-20211231.htm" TargetMode="External"/><Relationship Id="rId49" Type="http://schemas.openxmlformats.org/officeDocument/2006/relationships/hyperlink" Target="http://www.sec.gov/ix?doc=/Archives/edgar/data/0001544227/000119312522092417/d328059d10ka.htm" TargetMode="External"/><Relationship Id="rId50" Type="http://schemas.openxmlformats.org/officeDocument/2006/relationships/hyperlink" Target="http://www.sec.gov/ix?doc=/Archives/edgar/data/1544227/000162828022014231/tpst-20220331.htm" TargetMode="External"/><Relationship Id="rId52" Type="http://schemas.openxmlformats.org/officeDocument/2006/relationships/hyperlink" Target="http://www.sec.gov/ix?doc=/Archives/edgar/data/1544227/000119312522135401/d212050d8k.htm" TargetMode="External"/><Relationship Id="rId53" Type="http://schemas.openxmlformats.org/officeDocument/2006/relationships/hyperlink" Target="http://www.sec.gov/Archives/edgar/data/0001544227/000110465913033085/a13-9660_28a12b.htm" TargetMode="External"/><Relationship Id="rId68" Type="http://schemas.openxmlformats.org/officeDocument/2006/relationships/hyperlink" Target="http://www.sec.gov/Archives/edgar/data/1544227/000155837019005038/mlnd-20190331ex31b53fa83.htm" TargetMode="External"/><Relationship Id="rId69" Type="http://schemas.openxmlformats.org/officeDocument/2006/relationships/hyperlink" Target="http://www.sec.gov/Archives/edgar/data/1544227/000119312521201157/d196630dex31.htm" TargetMode="External"/><Relationship Id="rId70" Type="http://schemas.openxmlformats.org/officeDocument/2006/relationships/hyperlink" Target="http://www.sec.gov/Archives/edgar/data/1544227/000119312521201157/d196630dex32.htm" TargetMode="External"/><Relationship Id="rId71" Type="http://schemas.openxmlformats.org/officeDocument/2006/relationships/hyperlink" Target="http://www.sec.gov/Archives/edgar/data/1544227/000119312521281694/d222030dex31.htm" TargetMode="External"/><Relationship Id="rId72" Type="http://schemas.openxmlformats.org/officeDocument/2006/relationships/hyperlink" Target="http://www.sec.gov/Archives/edgar/data/0001544227/000119312522135401/d212050dex41.htm" TargetMode="External"/><Relationship Id="rId74" Type="http://schemas.openxmlformats.org/officeDocument/2006/relationships/hyperlink" Target="http://www.sec.gov/Archives/edgar/data/1544227/000119312521148605/d15077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2022-05-16T17:27:37Z</dcterms:created>
  <dcterms:modified xsi:type="dcterms:W3CDTF">2022-05-16T17:27:37Z</dcterms:modified>
</cp:coreProperties>
</file>