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TPST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26, 2022, Tempest Therapeutics, Inc. (the “Company”), entered into a securities purchase agreement (the “Securities Purchase Agreement”) with certain institutional accredited investors named therein (the “Purchasers”), pursuant to which the Company agreed to issue and sell to the Purchasers in a private placement (the “Private Placement”), (i) an aggregate of 3,149,912 shares (the “Shares”) of the Company’s common stock, par value $0.001 per share (the “Common Stock”) at a purchase price of $2.36 per share, and (ii), in lieu of shares of Common Stock to certain Purchasers, pre-funded warrants (the “Pre-Funded Warrants”) to purchase up to an aggregate of 3,206,020 shares of Common Stock (the “Warrant Shares”) at a purchase price of $2.359 per Pre-Funded Warrant (representing the $2.36 per Share purchase price less the exercise price of $0.001 per share). Each Pre-Funded Warrant has an exercise price of $0.001 per Warrant Share. The Pre-Funded Warrants are exercisable at any time after their original issuance and will not expire.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Versant Vantage II, L.P. (together with its affiliated funds, “Versant”), a beneficial owner of more than 5% of the Company’s common stock, is a Purchaser in the Private Placement. Additionally, Thomas Woiwode, Ph.D., a member of the Company’s Board of Directors (the “Board”), is an affiliate of Versant. The Private Placement was approved unanimously by the disinterested members of the Board.</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Pre-Funded Warrants to be issued in the Private Placement will provide that the holder of the Pre-Funded Warrants will not have the right to exercise any portion of its Pre-Funded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to the Company, but not to any percentage in excess of 19.99%.</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Private Placement closed on April 29, 2022. The Company received aggregate gross proceeds from the Private Placement of approximately $15.0 million, before deducting estimated offering expenses payable by the Company.</w:t>
      </w:r>
    </w:p>
    <w:p>
      <w:pPr>
        <w:spacing w:after="0" w:line="162"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The foregoing descriptions of the Securities Purchase Agreement and the Pre-Funded Warrants do not purport to be complete and are qualified in their entirety by reference to such agreements, copies of which are filed as Exhibits 10.1 and 4.1 hereto, respectively, and incorporated by reference herein.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Also on April 26, 2022, the Company entered into a registration rights agreement (the “Registration Rights Agreement”) with the Purchasers, pursuant to which the Company agreed to register for resale the Shares and the Warrant Shares held by the Purchasers (the “Registrable Securities”). Under the Registration Rights Agreement, the Company has agreed to file a registration statement covering the resale of the Registrable Securities by no later than May 23, 2022 (the “Filing Deadline”). The Company has agreed to use reasonable efforts to cause such registration statement to become effective as soon as practicable, but in any event no later than the 30th calendar day following the filing of the registration statement (or, in the event of a “limited” or a “full review” by the SEC, the 45th or 60th day, respectively, following the such filing date), provided, the Company is not required to cause the initial registration statement to become effective prior to June 7, 2022. The Company also agreed to use reasonable efforts to keep such registration statement effective until the date the Shares and Warrant Shares covered by such registration statement have been sold or may be resold pursuant to Rule 144 without restriction. The Company has agreed to be responsible for all fees and expenses incurred in connection with the registration of the Registrable Securities.</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(i) the registration statement has not been filed by the Filing Deadline, (ii) the registration statement has not been declared effective prior to the earlier of (A) two business days after the date which the Company is notified by the U.S. Securities and Exchange Commission (the “SEC”) that the registration statement will not be reviewed by the SEC staff or is not subject to further comment by the SEC staff (provided, that the Company shall not be required to cause the registration statement to become effective prior to June 7, 2022), or (B) 30 days following the Filing Deadline (or, in the event of “limited review” or “full review” by the SEC, 45 or 60 days, respectively, following the Filing Deadline) or (iii) after the registration statement has been declared effective by the SEC, sales cannot be made pursuant to the registration statement for any reason including by reason of a stop order or the Company’s failure to update such registration statement, subject to certain limited exceptions, then the Company has agreed to make pro rata payments to the Purchasers as liquidated damages in an amount equal to 1% of the aggregate amount invested by the Purchasers in the Registrable Securities per 30-day period or pro rata for any portion thereof for each such month during which such event continues, subject to certain caps set forth in the Registration Rights Agreement.</w:t>
      </w:r>
    </w:p>
    <w:p>
      <w:pPr>
        <w:sectPr>
          <w:pgSz w:w="11900" w:h="16838" w:orient="portrait"/>
          <w:cols w:equalWidth="0" w:num="1">
            <w:col w:w="11000"/>
          </w:cols>
          <w:pgMar w:left="440" w:top="293" w:right="459" w:bottom="1440" w:gutter="0" w:footer="0" w:header="0"/>
        </w:sectPr>
      </w:pPr>
    </w:p>
    <w:bookmarkStart w:id="2" w:name="page3"/>
    <w:bookmarkEnd w:id="2"/>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has granted the Purchasers customary indemnification rights in connection with the registration statement. The Purchasers have also granted the Company customary indemnification rights in connection with the registration statement.</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Registration Rights Agreement, a copy of which is filed as Exhibit 10.2 hereto and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Private Placement is hereby incorporated by reference into this Item 3.02. Based in part upon the representations of the Purchasers in the Securities Purchase Agreement, the offering and sale of the securities will be made in reliance on the exemption afforded by Section 4(a)(2) of the Securities Act of 1933, as amended (the “Securities Act”), and corresponding provisions of state securities or “blue sky” laws. The securities will not be registered under the Securities Act or any state securities laws and may not be offered or sold in the United States absent registration with the SEC or an applicable exemption from the registration requirements. The sale of the securities will not involve a public offering and will be made without general solicitation or general advertising. The Purchasers represented that it is an accredited investor, as such term is defined in Rule 501(a) of Regulation D under the Securities Act, and that it is acquiring the securities for investment purposes only and not with a view to any resale, distribution or other disposition of the securities in violation of the U.S. federal securities laws.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shares of Common Stock or other securities of the Company.</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27, 2022, the Company issued a press release announcing the Private Placement, the entry into the Securities Purchase Agreement and the Registration Rights Agreement. A copy of the press release is attached as Exhibit 99.1 hereto.</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April 27, 2022, the Company issued a press release announcing that two abstracts were accepted for presentation during the 2022 American Society of Clinical Oncology (ASCO) Annual Meeting being held from June 3-7, 2022. A copy of the press release is attached as Exhibit 99.2 hereto.</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in Item 8.01 and Exhibits 99.1 and 99.2 attached hereto shall not be deemed “filed” for purposes of Section 18 of the Securities Exchange Act of 1934, as amended (the “Exchange Act”), or otherwise subject to the liabilities under that section, nor shall it be deemed incorporated by reference in any filing under the Securities Act of 1933, as amended, or the Exchange Act,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Private Securities Litigation Reform Act of 1995, including without limitation statements regarding the expected closing of the Private Placement, anticipated proceeds from the Private Placement and the use thereof, the Company’s plans to file a registration statement to register the resale of the shares of Common Stock issuable upon exercise of the Pre-Funded Warrants, the Company’s plans to present at the ASCO Annual Meeting, the information to be presented at such meeting, the results of the Company’s pre-clinical studies, development plans with regards to its product candidates and other programs. The words “anticipate,” “believe,” “continue,” “could,” “estimate,” “expect,” “intend,” “may,” “plan,” “potential,” “predict,” “project,” “target,” “should,”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important factors, including risks relating to the Company’s inability, or the inability of the Investor, to satisfy the conditions to closing for the Private Placement; risks relating to the closing of the Private Placement; and risks described under the caption “Risk Factors” in the Company’s Annual Report on Form 10-K for the year ended December 31, 2021, which is on file with the SEC; and risks described in other filings that the Company makes with the SEC in the future. Any forward-looking statements contained in this Form 8-K speak only as of the date hereof, and the Company expressly disclaims any obligation to update any forward-looking statements, whether because of new information, future events or otherwise.</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88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88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Securities Purchase Agreement, dated April 26, 22, by and among Tempest Therapeutics, Inc. and the persons party thereto</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88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April 26, 22, by and among Tempest Therapeutics, Inc. and the persons party thereto</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2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dated April 27, 2022</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2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dated April 27, 2022</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A copy of any omitted schedule and/or exhibit will be furnished to the SEC upon request.</w:t>
      </w:r>
    </w:p>
    <w:p>
      <w:pPr>
        <w:sectPr>
          <w:pgSz w:w="11900" w:h="16838" w:orient="portrait"/>
          <w:cols w:equalWidth="0" w:num="1">
            <w:col w:w="10524"/>
          </w:cols>
          <w:pgMar w:left="436" w:top="293" w:right="9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2022</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34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34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5" w:name="page6"/>
    <w:bookmarkEnd w:id="5"/>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OR BLUE SKY LAWS AS EVIDENCED BY A LEGAL OPINION OF COUNSEL REASONABLY SATISFACTORY TO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April 29, 2022 (such date, the “</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PF-01</w:t>
      </w:r>
    </w:p>
    <w:p>
      <w:pPr>
        <w:spacing w:after="0" w:line="20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PRE-FUNDED COMMON STOCK PURCHASE WARRANT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certifies that, for value received, the registered holder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set forth herein, at any time on or after the Issue Date, to subscribe for and purchase from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purchase price of one share of Common Stock under this Warrant shall be equal $0.001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This Warrant is one of the Pre-Funded Common Stock Purchase Warrants issued in connection with the transactions contemplated by that certain Securities Purchase Agreement, dated as of April 26, 2022, by and between the Company and the Purchasers named therein.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27" w:lineRule="exact"/>
        <w:rPr>
          <w:sz w:val="20"/>
          <w:szCs w:val="20"/>
          <w:color w:val="auto"/>
        </w:rPr>
      </w:pPr>
    </w:p>
    <w:p>
      <w:pPr>
        <w:ind w:left="960" w:right="120" w:hanging="532"/>
        <w:spacing w:after="0" w:line="26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60" w:right="40" w:hanging="532"/>
        <w:spacing w:after="0" w:line="25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Common Stock would or could be aggregated with the Holder’s and the other Attribution Parties for purposes of Section 13(d) or Section 16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For clarity, the purpose of the foregoing is to subject collectively the Holder and all other Attribution Parties to the Maximum Percentage (as defined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Markets.</w:t>
      </w:r>
    </w:p>
    <w:p>
      <w:pPr>
        <w:spacing w:after="0" w:line="130" w:lineRule="exact"/>
        <w:rPr>
          <w:rFonts w:ascii="Times New Roman" w:cs="Times New Roman" w:eastAsia="Times New Roman" w:hAnsi="Times New Roman"/>
          <w:sz w:val="18"/>
          <w:szCs w:val="18"/>
          <w:color w:val="auto"/>
        </w:rPr>
      </w:pPr>
    </w:p>
    <w:p>
      <w:pPr>
        <w:ind w:left="960" w:right="80" w:hanging="532"/>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any Saturday, any Sunday, any day that is a federal legal holiday in the United States or any day on which the Trading Market is authorized or required by law or other governmental action to close.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means a “group” as that term is used in Section 13(d) of the Exchange Act and as defined in Rule 13d-5 thereunder.</w:t>
      </w:r>
    </w:p>
    <w:p>
      <w:pPr>
        <w:spacing w:after="0" w:line="130" w:lineRule="exact"/>
        <w:rPr>
          <w:rFonts w:ascii="Times New Roman" w:cs="Times New Roman" w:eastAsia="Times New Roman" w:hAnsi="Times New Roman"/>
          <w:sz w:val="18"/>
          <w:szCs w:val="18"/>
          <w:color w:val="auto"/>
        </w:rPr>
      </w:pPr>
    </w:p>
    <w:p>
      <w:pPr>
        <w:ind w:left="960" w:right="720" w:hanging="532"/>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Common Stock is traded on the Trading Market.</w:t>
      </w:r>
    </w:p>
    <w:p>
      <w:pPr>
        <w:spacing w:after="0" w:line="130" w:lineRule="exact"/>
        <w:rPr>
          <w:rFonts w:ascii="Times New Roman" w:cs="Times New Roman" w:eastAsia="Times New Roman" w:hAnsi="Times New Roman"/>
          <w:sz w:val="18"/>
          <w:szCs w:val="18"/>
          <w:color w:val="auto"/>
        </w:rPr>
      </w:pPr>
    </w:p>
    <w:p>
      <w:pPr>
        <w:ind w:left="960" w:right="540" w:hanging="532"/>
        <w:spacing w:after="0" w:line="28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principal securities exchange or securities market, including an over-the-counter market, on which the Common Stock is then traded in the United States.</w:t>
      </w:r>
    </w:p>
    <w:p>
      <w:pPr>
        <w:spacing w:after="0" w:line="60" w:lineRule="exact"/>
        <w:rPr>
          <w:rFonts w:ascii="Times New Roman" w:cs="Times New Roman" w:eastAsia="Times New Roman" w:hAnsi="Times New Roman"/>
          <w:sz w:val="18"/>
          <w:szCs w:val="18"/>
          <w:color w:val="auto"/>
        </w:rPr>
      </w:pPr>
    </w:p>
    <w:p>
      <w:pPr>
        <w:ind w:left="960" w:right="60" w:hanging="532"/>
        <w:spacing w:after="0" w:line="253"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Weighted Average Price</w:t>
      </w:r>
      <w:r>
        <w:rPr>
          <w:rFonts w:ascii="Times New Roman" w:cs="Times New Roman" w:eastAsia="Times New Roman" w:hAnsi="Times New Roman"/>
          <w:sz w:val="18"/>
          <w:szCs w:val="18"/>
          <w:color w:val="auto"/>
        </w:rPr>
        <w:t xml:space="preserve">” means, for any security as of any date, the dollar volume-weighted average price for such security on the Trading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published by OTC Markets Group, Inc. (or a similar organization or agency succeeding to its functions of reporting prices).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Times New Roman" w:cs="Times New Roman" w:eastAsia="Times New Roman" w:hAnsi="Times New Roman"/>
          <w:sz w:val="18"/>
          <w:szCs w:val="18"/>
          <w:u w:val="single" w:color="auto"/>
          <w:color w:val="auto"/>
        </w:rPr>
        <w:t>Section 5(n)</w:t>
      </w:r>
      <w:r>
        <w:rPr>
          <w:rFonts w:ascii="Times New Roman" w:cs="Times New Roman" w:eastAsia="Times New Roman" w:hAnsi="Times New Roman"/>
          <w:sz w:val="18"/>
          <w:szCs w:val="18"/>
          <w:color w:val="auto"/>
        </w:rPr>
        <w:t xml:space="preserve"> with the term “Weighted Average Price” being substituted for the term “Exercise Price.” All such determinations shall be appropriately adjusted for any stock dividend, stock split, stock combination or other similar transaction during such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p>
    <w:p>
      <w:pPr>
        <w:spacing w:after="0" w:line="131" w:lineRule="exact"/>
        <w:rPr>
          <w:sz w:val="20"/>
          <w:szCs w:val="20"/>
          <w:color w:val="auto"/>
        </w:rPr>
      </w:pPr>
    </w:p>
    <w:p>
      <w:pPr>
        <w:ind w:left="960" w:hanging="532"/>
        <w:spacing w:after="0" w:line="25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Subject to the terms and conditions hereof, the purchase rights represented by this Warrant may be exercised, in whole or in part, at any time or times on or after the Issue Date by delivery (whether via facsimile or otherwise) to the Company (or such other office or agency of the Company as it may designate by notice in writing to the registered Holder at the address of the Holder appearing on the books of the Company) of a duly executed copy of the Notice of Exercise form annexed hereto (the “</w:t>
      </w:r>
      <w:r>
        <w:rPr>
          <w:rFonts w:ascii="Times New Roman" w:cs="Times New Roman" w:eastAsia="Times New Roman" w:hAnsi="Times New Roman"/>
          <w:sz w:val="18"/>
          <w:szCs w:val="18"/>
          <w:b w:val="1"/>
          <w:bCs w:val="1"/>
          <w:i w:val="1"/>
          <w:iCs w:val="1"/>
          <w:color w:val="auto"/>
        </w:rPr>
        <w:t>Notice of Exercise</w:t>
      </w:r>
      <w:r>
        <w:rPr>
          <w:rFonts w:ascii="Times New Roman" w:cs="Times New Roman" w:eastAsia="Times New Roman" w:hAnsi="Times New Roman"/>
          <w:sz w:val="18"/>
          <w:szCs w:val="18"/>
          <w:color w:val="auto"/>
        </w:rPr>
        <w:t xml:space="preserve">”) and by payment to the Company of an amount equal to the aggregate Exercise Price of the Warrant Shares thereby purchased by wire transfer (or by notifying the Company that this Warrant is being exercised pursuant to a Cashless Exercise (as defined below)). No ink-original Notice of Exercise shall be required, nor shall any medallion guarantee (or other type of guarantee or notarization) of any Notice of Exercise form be required.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Trading Days after the date the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paragraph, following the purchase of a portion of the Warrant Shares hereunder, the number of Warrant Shares available for purchase hereunder at any given time may be less than the amount stated on the face 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 w:name="page8"/>
    <w:bookmarkEnd w:id="7"/>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00" w:hanging="439"/>
        <w:spacing w:after="0" w:line="253"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Certificates for shares purchased hereunder shall be transmitted to the Holder by crediting the account of the Holder’s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Deposit/Withdrawal at Custodian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system if the Company is then a participant in such system and otherwise by physical delivery to the address specified by the Holder in the Notice of Exercise by the date that is two Trading Days after the receipt by the Company of the Notice of Exercise (provided that payment of the Exercise Price (or notification of Cashless Exercise, if applicable) has then been received by the Company) (such date, the “</w:t>
      </w:r>
      <w:r>
        <w:rPr>
          <w:rFonts w:ascii="Times New Roman" w:cs="Times New Roman" w:eastAsia="Times New Roman" w:hAnsi="Times New Roman"/>
          <w:sz w:val="18"/>
          <w:szCs w:val="18"/>
          <w:b w:val="1"/>
          <w:bCs w:val="1"/>
          <w:i w:val="1"/>
          <w:iCs w:val="1"/>
          <w:color w:val="auto"/>
        </w:rPr>
        <w:t>Warrant Share Delivery Date</w:t>
      </w:r>
      <w:r>
        <w:rPr>
          <w:rFonts w:ascii="Times New Roman" w:cs="Times New Roman" w:eastAsia="Times New Roman" w:hAnsi="Times New Roman"/>
          <w:sz w:val="18"/>
          <w:szCs w:val="18"/>
          <w:color w:val="auto"/>
        </w:rPr>
        <w:t>”). This Warrant shall be deemed to have been exercised upon proper delivery of the Notice of Exercise and payment of the Exercise Price (or notification of Cashless Exercise). The Warrant Shares shall be deemed to have been issued, and the Holder or any other person so designated to be named therein shall be deemed to have become a holder of record of such shares for all purposes, as of the date the Warrant has been exercised. The Company shall use its reasonable best efforts to maintain a transfer agent that is a participant in the FAST program so long as this Warrant remains outstanding and exercisable.</w:t>
      </w:r>
    </w:p>
    <w:p>
      <w:pPr>
        <w:spacing w:after="0" w:line="97" w:lineRule="exact"/>
        <w:rPr>
          <w:rFonts w:ascii="Times New Roman" w:cs="Times New Roman" w:eastAsia="Times New Roman" w:hAnsi="Times New Roman"/>
          <w:sz w:val="18"/>
          <w:szCs w:val="18"/>
          <w:color w:val="auto"/>
        </w:rPr>
      </w:pPr>
    </w:p>
    <w:p>
      <w:pPr>
        <w:ind w:left="1000" w:right="160" w:hanging="439"/>
        <w:spacing w:after="0" w:line="261"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spacing w:after="0" w:line="85" w:lineRule="exact"/>
        <w:rPr>
          <w:rFonts w:ascii="Times New Roman" w:cs="Times New Roman" w:eastAsia="Times New Roman" w:hAnsi="Times New Roman"/>
          <w:sz w:val="18"/>
          <w:szCs w:val="18"/>
          <w:color w:val="auto"/>
        </w:rPr>
      </w:pPr>
    </w:p>
    <w:p>
      <w:pPr>
        <w:ind w:left="1000" w:hanging="439"/>
        <w:spacing w:after="0" w:line="253"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xml:space="preserve">. In addition to any other rights available to the Holder, if the Company fails to cause the Transfer Agent to transmit to the Holder the Warrant Shares in accordance with the provisions of </w:t>
      </w:r>
      <w:r>
        <w:rPr>
          <w:rFonts w:ascii="Times New Roman" w:cs="Times New Roman" w:eastAsia="Times New Roman" w:hAnsi="Times New Roman"/>
          <w:sz w:val="18"/>
          <w:szCs w:val="18"/>
          <w:u w:val="single" w:color="auto"/>
          <w:color w:val="auto"/>
        </w:rPr>
        <w:t>Section 2(b)(i)</w:t>
      </w:r>
      <w:r>
        <w:rPr>
          <w:rFonts w:ascii="Times New Roman" w:cs="Times New Roman" w:eastAsia="Times New Roman" w:hAnsi="Times New Roman"/>
          <w:sz w:val="18"/>
          <w:szCs w:val="18"/>
          <w:color w:val="auto"/>
        </w:rPr>
        <w:t xml:space="preserve"> above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then the Company shall either (A) pay in cash to the Holder the amount, if any, by which (x) the Holder’s total purchase price (including brokerage commissions, if any) for the shares of Common Stock so purchased exceeds</w:t>
      </w:r>
    </w:p>
    <w:p>
      <w:pPr>
        <w:ind w:left="10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(y) the amount obtained by multiplying (1) the number of Warrant Shares that the Company was required to deliver to the Holder in connection with the exercise at issue times (2) the price at which the sell order giving rise to such purchase obligation was executed, or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with an aggregate sale price giving rise to such purchase obligation of $10,000, under clause</w:t>
      </w:r>
    </w:p>
    <w:p>
      <w:pPr>
        <w:spacing w:after="0" w:line="1" w:lineRule="exact"/>
        <w:rPr>
          <w:rFonts w:ascii="Times New Roman" w:cs="Times New Roman" w:eastAsia="Times New Roman" w:hAnsi="Times New Roman"/>
          <w:sz w:val="18"/>
          <w:szCs w:val="18"/>
          <w:color w:val="auto"/>
        </w:rPr>
      </w:pPr>
    </w:p>
    <w:p>
      <w:pPr>
        <w:ind w:left="100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the immediately preceding sentence the Company shall be required to pay the Holder $1,000.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60" w:top="270" w:right="459" w:bottom="1440" w:gutter="0" w:footer="0" w:header="0"/>
        </w:sectPr>
      </w:pPr>
    </w:p>
    <w:bookmarkStart w:id="8" w:name="page9"/>
    <w:bookmarkEnd w:id="8"/>
    <w:p>
      <w:pPr>
        <w:jc w:val="both"/>
        <w:ind w:left="1000" w:right="180" w:hanging="439"/>
        <w:spacing w:after="0" w:line="261"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or down) to the nearest whole share.</w:t>
      </w:r>
    </w:p>
    <w:p>
      <w:pPr>
        <w:spacing w:after="0" w:line="85" w:lineRule="exact"/>
        <w:rPr>
          <w:rFonts w:ascii="Times New Roman" w:cs="Times New Roman" w:eastAsia="Times New Roman" w:hAnsi="Times New Roman"/>
          <w:sz w:val="18"/>
          <w:szCs w:val="18"/>
          <w:color w:val="auto"/>
        </w:rPr>
      </w:pPr>
    </w:p>
    <w:p>
      <w:pPr>
        <w:ind w:left="1000" w:right="20" w:hanging="439"/>
        <w:spacing w:after="0" w:line="255"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94" w:lineRule="exact"/>
        <w:rPr>
          <w:rFonts w:ascii="Times New Roman" w:cs="Times New Roman" w:eastAsia="Times New Roman" w:hAnsi="Times New Roman"/>
          <w:sz w:val="18"/>
          <w:szCs w:val="18"/>
          <w:color w:val="auto"/>
        </w:rPr>
      </w:pPr>
    </w:p>
    <w:p>
      <w:pPr>
        <w:ind w:left="1000" w:right="40" w:hanging="439"/>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67" w:lineRule="exact"/>
        <w:rPr>
          <w:rFonts w:ascii="Times New Roman" w:cs="Times New Roman" w:eastAsia="Times New Roman" w:hAnsi="Times New Roman"/>
          <w:sz w:val="18"/>
          <w:szCs w:val="18"/>
          <w:color w:val="auto"/>
        </w:rPr>
      </w:pPr>
    </w:p>
    <w:p>
      <w:pPr>
        <w:jc w:val="both"/>
        <w:ind w:left="540" w:right="120" w:hanging="532"/>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the Holder may exercise this Warrant, whether in whole or in part, and in lieu of making the cash payment otherwise contemplated to be made to the Company upon such exercise in payment of the Exercise Price, by effecting a cashless exercise of this Warrant pursuant to which the Holder shall receive upon such cashless exercise the “Net Number” of Warrant Shares determined according to the following formula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142875</wp:posOffset>
            </wp:positionV>
            <wp:extent cx="192849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84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131" w:lineRule="exact"/>
        <w:rPr>
          <w:sz w:val="20"/>
          <w:szCs w:val="20"/>
          <w:color w:val="auto"/>
        </w:rPr>
      </w:pPr>
    </w:p>
    <w:p>
      <w:pPr>
        <w:ind w:left="1000"/>
        <w:spacing w:after="0"/>
        <w:tabs>
          <w:tab w:leader="none" w:pos="152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total number of shares of Common Stock with respect to which this Warrant is then being exercised.</w:t>
      </w:r>
    </w:p>
    <w:p>
      <w:pPr>
        <w:spacing w:after="0" w:line="131" w:lineRule="exact"/>
        <w:rPr>
          <w:sz w:val="20"/>
          <w:szCs w:val="20"/>
          <w:color w:val="auto"/>
        </w:rPr>
      </w:pPr>
    </w:p>
    <w:p>
      <w:pPr>
        <w:ind w:left="1540" w:right="380" w:hanging="539"/>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B =</w:t>
        <w:tab/>
        <w:t>the Weighted Average Price of the shares of Common Stock on the date immediately preceding the date of the Notice of Exercise.</w:t>
      </w:r>
    </w:p>
    <w:p>
      <w:pPr>
        <w:spacing w:after="0" w:line="67" w:lineRule="exact"/>
        <w:rPr>
          <w:sz w:val="20"/>
          <w:szCs w:val="20"/>
          <w:color w:val="auto"/>
        </w:rPr>
      </w:pPr>
    </w:p>
    <w:p>
      <w:pPr>
        <w:ind w:left="1000"/>
        <w:spacing w:after="0"/>
        <w:tabs>
          <w:tab w:leader="none" w:pos="1520" w:val="left"/>
        </w:tabs>
        <w:rPr>
          <w:sz w:val="20"/>
          <w:szCs w:val="20"/>
          <w:color w:val="auto"/>
        </w:rPr>
      </w:pPr>
      <w:r>
        <w:rPr>
          <w:rFonts w:ascii="Times New Roman" w:cs="Times New Roman" w:eastAsia="Times New Roman" w:hAnsi="Times New Roman"/>
          <w:sz w:val="18"/>
          <w:szCs w:val="18"/>
          <w:color w:val="auto"/>
        </w:rPr>
        <w:t>C =</w:t>
      </w:r>
      <w:r>
        <w:rPr>
          <w:sz w:val="20"/>
          <w:szCs w:val="20"/>
          <w:color w:val="auto"/>
        </w:rPr>
        <w:tab/>
      </w:r>
      <w:r>
        <w:rPr>
          <w:rFonts w:ascii="Times New Roman" w:cs="Times New Roman" w:eastAsia="Times New Roman" w:hAnsi="Times New Roman"/>
          <w:sz w:val="17"/>
          <w:szCs w:val="17"/>
          <w:color w:val="auto"/>
        </w:rPr>
        <w:t>the Exercise Price then in effect for the applicable Warrant Shares at the time of such exercise.</w:t>
      </w:r>
    </w:p>
    <w:p>
      <w:pPr>
        <w:spacing w:after="0" w:line="117"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 xml:space="preserve">If Warrant Shares are issued in such a Cashless Exercise, the Company acknowledges and agrees that in accordance with Section 3(a)(9) of the Securities Act, the Warrant Shares shall take on the registered characteristics of the Warrant being exercised, and the holding period of the Warrant being exercised may be tacked on to the holding period of the Warrant Shares. The Company agrees not to take any position contrary to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540" w:hanging="532"/>
        <w:spacing w:after="0" w:line="258"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(the “</w:t>
      </w:r>
      <w:r>
        <w:rPr>
          <w:rFonts w:ascii="Times New Roman" w:cs="Times New Roman" w:eastAsia="Times New Roman" w:hAnsi="Times New Roman"/>
          <w:sz w:val="18"/>
          <w:szCs w:val="18"/>
          <w:b w:val="1"/>
          <w:bCs w:val="1"/>
          <w:i w:val="1"/>
          <w:iCs w:val="1"/>
          <w:color w:val="auto"/>
        </w:rPr>
        <w:t>Maximum</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9" w:name="page10"/>
    <w:bookmarkEnd w:id="9"/>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Securities and Exchange Commission, as the case may be, (y) a more recent public announcement by the Company or (z) any other written notice by the Company setting forth the number of shares of Common Stock outstanding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For any reason at any time, upon the written request of the Holder, the Company shall within five Business Days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i w:val="1"/>
          <w:iCs w:val="1"/>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5635(b) or any successor rule) as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increase in the Maximum Percentage will not be effective until the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w:t>
      </w:r>
    </w:p>
    <w:p>
      <w:pPr>
        <w:spacing w:after="0" w:line="13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0"/>
          </w:cols>
          <w:pgMar w:left="1420" w:top="266" w:right="459" w:bottom="1440" w:gutter="0" w:footer="0" w:header="0"/>
        </w:sectPr>
      </w:pPr>
    </w:p>
    <w:bookmarkStart w:id="10" w:name="page11"/>
    <w:bookmarkEnd w:id="10"/>
    <w:p>
      <w:pPr>
        <w:ind w:left="98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paragraph may not be waived and shall apply to a successor holder of this Warrant. Notwithstanding the foregoing, at any time following notice of a Fundamental Transaction under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with respect to a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w:t>
      </w:r>
    </w:p>
    <w:p>
      <w:pPr>
        <w:spacing w:after="0" w:line="100" w:lineRule="exact"/>
        <w:rPr>
          <w:sz w:val="20"/>
          <w:szCs w:val="20"/>
          <w:color w:val="auto"/>
        </w:rPr>
      </w:pPr>
    </w:p>
    <w:p>
      <w:pPr>
        <w:ind w:left="960" w:right="40" w:hanging="532"/>
        <w:spacing w:after="0" w:line="25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any Section herein (including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Affiliates and Attribution Parties, to exceed 19.99% of the total number of issued and outstanding shares of Common Stock of the Company following such exercise, or (ii) the combined voting power of the securities of the Company beneficially owned by the Holder and its Affiliates and Attribution Parties to exceed 19.99% of the combined voting power of all of the securities of the Company then outstanding following such exercise. For purposes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 aggregate number of shares of Common Stock or voting securities beneficially owned by the Holder and its Affiliates and Attribution Parties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Attribution Parties.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4"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Combination of Common Stock</w:t>
      </w:r>
      <w:r>
        <w:rPr>
          <w:rFonts w:ascii="Times New Roman" w:cs="Times New Roman" w:eastAsia="Times New Roman" w:hAnsi="Times New Roman"/>
          <w:sz w:val="18"/>
          <w:szCs w:val="18"/>
          <w:color w:val="auto"/>
        </w:rPr>
        <w:t xml:space="preserve">. During such time as this Warrant is outstanding, if the Company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become effective at the close of business on the date the subdivision or combination becomes effective.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1" w:name="page12"/>
    <w:bookmarkEnd w:id="11"/>
    <w:p>
      <w:pPr>
        <w:ind w:left="540" w:hanging="532"/>
        <w:spacing w:after="0" w:line="253"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Rights Offerings</w:t>
      </w:r>
      <w:r>
        <w:rPr>
          <w:rFonts w:ascii="Times New Roman" w:cs="Times New Roman" w:eastAsia="Times New Roman" w:hAnsi="Times New Roman"/>
          <w:sz w:val="18"/>
          <w:szCs w:val="18"/>
          <w:color w:val="auto"/>
        </w:rPr>
        <w:t xml:space="preserve">. In addition to any adjustments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 if during such time as this Warrant is outstanding the Company grants, issues or sells any rights to purchase stock, warrants, securities or other property, in each case pro rata to the record holders of any class of shares of Common Stock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that the Holder’s right to participate in any such Purchase Right would result in the Holder and the other Attribution Parties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and the other Attribution Parties exceeding the Maximum Percentage).</w:t>
      </w:r>
    </w:p>
    <w:p>
      <w:pPr>
        <w:spacing w:after="0" w:line="95" w:lineRule="exact"/>
        <w:rPr>
          <w:rFonts w:ascii="Times New Roman" w:cs="Times New Roman" w:eastAsia="Times New Roman" w:hAnsi="Times New Roman"/>
          <w:sz w:val="18"/>
          <w:szCs w:val="18"/>
          <w:color w:val="auto"/>
        </w:rPr>
      </w:pPr>
    </w:p>
    <w:p>
      <w:pPr>
        <w:ind w:left="540" w:right="40" w:hanging="532"/>
        <w:spacing w:after="0" w:line="25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hereof)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and the other Attribution Parties exceeding the Maximum Percentage,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and the other Attribution Parties exceeding the Maximum Percentage).</w:t>
      </w:r>
    </w:p>
    <w:p>
      <w:pPr>
        <w:spacing w:after="0" w:line="102"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with or into another Person, (ii) the Company, directly or indirectly, effects any sale, lease, license, assignment, transfer, conveyance or other disposition of all or substantially all of its assets in one or a series of related transactions (which, for the avoidance of doubt, shall not include a license or other agreement granting rights to intellectual property),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70" w:right="459" w:bottom="1440" w:gutter="0" w:footer="0" w:header="0"/>
        </w:sectPr>
      </w:pPr>
    </w:p>
    <w:bookmarkStart w:id="12" w:name="page13"/>
    <w:bookmarkEnd w:id="12"/>
    <w:p>
      <w:pPr>
        <w:ind w:left="5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issuable upon such exercise immediately prior to the occurrence of such Fundamental Transaction, at the option of the Holder (without regard to any limitation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on the exercise of this Warrant), the number of shares of Common Stock of the successor or acquiring corporation or of the Company, if it is the surviving corporation, and any additional consideration (together, the “</w:t>
      </w:r>
      <w:r>
        <w:rPr>
          <w:rFonts w:ascii="Times New Roman" w:cs="Times New Roman" w:eastAsia="Times New Roman" w:hAnsi="Times New Roman"/>
          <w:sz w:val="18"/>
          <w:szCs w:val="18"/>
          <w:b w:val="1"/>
          <w:bCs w:val="1"/>
          <w:i w:val="1"/>
          <w:iCs w:val="1"/>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if any, receivable as a result of such Fundamental Transaction by a holder of the number of shares of Common Stock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which this Warrant is exercisable immediately prior to such Fundamental Transaction (without regard to any limitation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Any such payment of such amount of such Alternative Consideration shall be made in the same form of consideration (whether securities, cash or property) as is given to the holders of Common Stock in such Fundamental Transaction, and if multiple forms of consideration are given, the consideration shall be paid to the Holder in the same proportion as such consideration is paid to the holders of Common Stock. The terms of any agreement pursuant to which a Fundamental Transaction is effected shall include terms requiring any such successor or surviving entity to comply with the provisions of this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and insuring that this Warrant (or any such replacement security) will be similarly adjusted upon any subsequent Fundamental Transaction. The Company shall cause any successor entity in a Fundamental Transaction in which the Company is not the survivor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xml:space="preserve">”) to assume in writing all of the obligations of the Company under this Warrant in accordance with the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and without limiting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hereof, the Holder may elect, at its sole option, by delivery of written notice to the Company to waive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to permit a Fundamental Transaction without the assumption of this Warrant.</w:t>
      </w:r>
    </w:p>
    <w:p>
      <w:pPr>
        <w:spacing w:after="0" w:line="105" w:lineRule="exact"/>
        <w:rPr>
          <w:sz w:val="20"/>
          <w:szCs w:val="20"/>
          <w:color w:val="auto"/>
        </w:rPr>
      </w:pPr>
    </w:p>
    <w:p>
      <w:pPr>
        <w:ind w:left="540" w:right="240" w:hanging="532"/>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made to the nearest cent or the nearest whole share, as the case may be. For purposes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any calculation of the number of shares of Common Stock deemed to be issued and outstanding as of a given date shall not include treasury shares, if any.</w:t>
      </w:r>
    </w:p>
    <w:p>
      <w:pPr>
        <w:spacing w:after="0" w:line="81"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 Value</w:t>
      </w:r>
      <w:r>
        <w:rPr>
          <w:rFonts w:ascii="Times New Roman" w:cs="Times New Roman" w:eastAsia="Times New Roman" w:hAnsi="Times New Roman"/>
          <w:sz w:val="18"/>
          <w:szCs w:val="18"/>
          <w:color w:val="auto"/>
        </w:rPr>
        <w:t>. Notwithstanding anything to the contrary in this Warrant, in no event shall the Exercise Price be reduced below the par value of the Company’s Common Stock.</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60"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40" w:hanging="532"/>
        <w:spacing w:after="0" w:line="254"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this Warrant and all rights hereunder are transferable, in whole or in part, upon surrender of this Warrant at the principal office of the Company (or other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97" w:lineRule="exact"/>
        <w:rPr>
          <w:rFonts w:ascii="Times New Roman" w:cs="Times New Roman" w:eastAsia="Times New Roman" w:hAnsi="Times New Roman"/>
          <w:sz w:val="18"/>
          <w:szCs w:val="18"/>
          <w:color w:val="auto"/>
        </w:rPr>
      </w:pPr>
    </w:p>
    <w:p>
      <w:pPr>
        <w:ind w:left="960" w:right="20" w:hanging="532"/>
        <w:spacing w:after="0" w:line="255"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This Warrant may be divided or combined with other Warrants upon presentation hereof at the aforesaid office of the Company (or other designated agent), together with a written notice specifying the names and denominations in which new Warrants are to be issued, signed by the Holder or its agent or attorney. Subject to compliance with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set forth on the first page of this Warrant and shall be identical with this Warrant except as to the number of Warrant Shares issuable pursuant thereto.</w:t>
      </w:r>
    </w:p>
    <w:p>
      <w:pPr>
        <w:spacing w:after="0" w:line="94" w:lineRule="exact"/>
        <w:rPr>
          <w:rFonts w:ascii="Times New Roman" w:cs="Times New Roman" w:eastAsia="Times New Roman" w:hAnsi="Times New Roman"/>
          <w:sz w:val="18"/>
          <w:szCs w:val="18"/>
          <w:color w:val="auto"/>
        </w:rPr>
      </w:pPr>
    </w:p>
    <w:p>
      <w:pPr>
        <w:ind w:left="960" w:right="80" w:hanging="532"/>
        <w:spacing w:after="0" w:line="253"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initially serve as warrant agent under this Warrant. The Company shall register ownership of this Warrant, upon records to be maintained by the Company for that purpose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assigned hereunder) from time to time. Upon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The Company may deem and treat the registered Holder of this Warrant as the absolute owner hereof for the purpose of any exercise hereof or any distribution to the Holder, and for all other purposes, absent actual notice to the contrary.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50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xml:space="preserve">.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them of the loss, theft, destruction or mutilation of this Warrant or any stock certificate relating to the Warrant Shares, and in case of loss, theft or destruction, of indemnity or security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ind w:left="540" w:right="40" w:hanging="532"/>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67"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(without regard to any limitations on exercise contained herein).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in each case to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its reasonable best efforts to obtain all such authorizations, exemptions or consents from any public regulatory body having jurisdiction thereof, as may be, necessary to enable the Company to perform its obligations under this Warrant.</w:t>
      </w:r>
    </w:p>
    <w:p>
      <w:pPr>
        <w:spacing w:after="0" w:line="93" w:lineRule="exact"/>
        <w:rPr>
          <w:rFonts w:ascii="Times New Roman" w:cs="Times New Roman" w:eastAsia="Times New Roman" w:hAnsi="Times New Roman"/>
          <w:sz w:val="18"/>
          <w:szCs w:val="18"/>
          <w:color w:val="auto"/>
        </w:rPr>
      </w:pPr>
    </w:p>
    <w:p>
      <w:pPr>
        <w:ind w:left="540" w:right="240" w:hanging="532"/>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New York without giving effect to the conflicts of law principles thereof.</w:t>
      </w:r>
    </w:p>
    <w:p>
      <w:pPr>
        <w:spacing w:after="0" w:line="67" w:lineRule="exact"/>
        <w:rPr>
          <w:rFonts w:ascii="Times New Roman" w:cs="Times New Roman" w:eastAsia="Times New Roman" w:hAnsi="Times New Roman"/>
          <w:sz w:val="18"/>
          <w:szCs w:val="18"/>
          <w:color w:val="auto"/>
        </w:rPr>
      </w:pPr>
    </w:p>
    <w:p>
      <w:pPr>
        <w:ind w:left="540" w:right="40" w:hanging="532"/>
        <w:spacing w:after="0" w:line="25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9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00" w:right="40" w:hanging="439"/>
        <w:spacing w:after="0" w:line="258" w:lineRule="auto"/>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email or facsimile at or prior to 5:30 p.m. (New York City time) on a Trading Day, (b) the next Trading Day after the date of transmission, if such notice or communication is delivered via email or facsimile on a day that is not a Trading Day or later than 5:30 p.m. (New York City time) on any Trading Day, (c) the second Trading</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00"/>
          </w:cols>
          <w:pgMar w:left="860" w:top="270" w:right="439" w:bottom="1440" w:gutter="0" w:footer="0" w:header="0"/>
        </w:sectPr>
      </w:pPr>
    </w:p>
    <w:bookmarkStart w:id="15" w:name="page16"/>
    <w:bookmarkEnd w:id="15"/>
    <w:p>
      <w:pPr>
        <w:ind w:left="439" w:right="5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following the date of mailing, if sent by U.S. nationally recognized overnight courier service or by International Federal Express, (d) the third Trading Day following the date of mailing if sent by first-class registered or certified mail domestic, or</w:t>
      </w:r>
    </w:p>
    <w:p>
      <w:pPr>
        <w:spacing w:after="0" w:line="1" w:lineRule="exact"/>
        <w:rPr>
          <w:sz w:val="20"/>
          <w:szCs w:val="20"/>
          <w:color w:val="auto"/>
        </w:rPr>
      </w:pPr>
    </w:p>
    <w:p>
      <w:pPr>
        <w:ind w:left="839" w:right="220" w:hanging="393"/>
        <w:spacing w:after="0" w:line="365" w:lineRule="auto"/>
        <w:tabs>
          <w:tab w:leader="none" w:pos="6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 The addresses for such communications shall be: If to the Company:</w:t>
      </w:r>
    </w:p>
    <w:p>
      <w:pPr>
        <w:ind w:left="1359"/>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7000 Shoreline Court, Suite 275</w:t>
      </w:r>
    </w:p>
    <w:p>
      <w:pPr>
        <w:spacing w:after="0" w:line="9"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Attention: Stephen R. Brady</w:t>
      </w:r>
    </w:p>
    <w:p>
      <w:pPr>
        <w:spacing w:after="0" w:line="9"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Email: sbrady@Tempesttx.com</w:t>
      </w:r>
    </w:p>
    <w:p>
      <w:pPr>
        <w:spacing w:after="0" w:line="99" w:lineRule="exact"/>
        <w:rPr>
          <w:sz w:val="20"/>
          <w:szCs w:val="20"/>
          <w:color w:val="auto"/>
        </w:rPr>
      </w:pPr>
    </w:p>
    <w:p>
      <w:pPr>
        <w:ind w:left="839"/>
        <w:spacing w:after="0"/>
        <w:rPr>
          <w:sz w:val="20"/>
          <w:szCs w:val="20"/>
          <w:color w:val="auto"/>
        </w:rPr>
      </w:pPr>
      <w:r>
        <w:rPr>
          <w:rFonts w:ascii="Times New Roman" w:cs="Times New Roman" w:eastAsia="Times New Roman" w:hAnsi="Times New Roman"/>
          <w:sz w:val="18"/>
          <w:szCs w:val="18"/>
          <w:color w:val="auto"/>
        </w:rPr>
        <w:t>With copy to:</w:t>
      </w:r>
    </w:p>
    <w:p>
      <w:pPr>
        <w:spacing w:after="0" w:line="117"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Attention: Laura Berezin</w:t>
      </w:r>
    </w:p>
    <w:p>
      <w:pPr>
        <w:spacing w:after="0" w:line="9" w:lineRule="exact"/>
        <w:rPr>
          <w:sz w:val="20"/>
          <w:szCs w:val="20"/>
          <w:color w:val="auto"/>
        </w:rPr>
      </w:pPr>
    </w:p>
    <w:p>
      <w:pPr>
        <w:ind w:left="1359"/>
        <w:spacing w:after="0"/>
        <w:rPr>
          <w:sz w:val="20"/>
          <w:szCs w:val="20"/>
          <w:color w:val="auto"/>
        </w:rPr>
      </w:pPr>
      <w:r>
        <w:rPr>
          <w:rFonts w:ascii="Times New Roman" w:cs="Times New Roman" w:eastAsia="Times New Roman" w:hAnsi="Times New Roman"/>
          <w:sz w:val="18"/>
          <w:szCs w:val="18"/>
          <w:color w:val="auto"/>
        </w:rPr>
        <w:t>Email: lberezin@cooley.com</w:t>
      </w:r>
    </w:p>
    <w:p>
      <w:pPr>
        <w:spacing w:after="0" w:line="99" w:lineRule="exact"/>
        <w:rPr>
          <w:sz w:val="20"/>
          <w:szCs w:val="20"/>
          <w:color w:val="auto"/>
        </w:rPr>
      </w:pPr>
    </w:p>
    <w:p>
      <w:pPr>
        <w:ind w:left="839"/>
        <w:spacing w:after="0"/>
        <w:rPr>
          <w:sz w:val="20"/>
          <w:szCs w:val="20"/>
          <w:color w:val="auto"/>
        </w:rPr>
      </w:pPr>
      <w:r>
        <w:rPr>
          <w:rFonts w:ascii="Times New Roman" w:cs="Times New Roman" w:eastAsia="Times New Roman" w:hAnsi="Times New Roman"/>
          <w:sz w:val="18"/>
          <w:szCs w:val="18"/>
          <w:color w:val="auto"/>
        </w:rPr>
        <w:t>If to the Holder:</w:t>
      </w:r>
    </w:p>
    <w:p>
      <w:pPr>
        <w:spacing w:after="0" w:line="117" w:lineRule="exact"/>
        <w:rPr>
          <w:sz w:val="20"/>
          <w:szCs w:val="20"/>
          <w:color w:val="auto"/>
        </w:rPr>
      </w:pPr>
    </w:p>
    <w:p>
      <w:pPr>
        <w:ind w:left="1439" w:right="260"/>
        <w:spacing w:after="0" w:line="282" w:lineRule="auto"/>
        <w:rPr>
          <w:sz w:val="20"/>
          <w:szCs w:val="20"/>
          <w:color w:val="auto"/>
        </w:rPr>
      </w:pPr>
      <w:r>
        <w:rPr>
          <w:rFonts w:ascii="Times New Roman" w:cs="Times New Roman" w:eastAsia="Times New Roman" w:hAnsi="Times New Roman"/>
          <w:sz w:val="18"/>
          <w:szCs w:val="18"/>
          <w:color w:val="auto"/>
        </w:rPr>
        <w:t xml:space="preserve">To the address, email address or facsimile number set forth in the Warrant Register, or as otherwise provided by the Holder to the Company in accordance with this </w:t>
      </w:r>
      <w:r>
        <w:rPr>
          <w:rFonts w:ascii="Times New Roman" w:cs="Times New Roman" w:eastAsia="Times New Roman" w:hAnsi="Times New Roman"/>
          <w:sz w:val="18"/>
          <w:szCs w:val="18"/>
          <w:u w:val="single" w:color="auto"/>
          <w:color w:val="auto"/>
        </w:rPr>
        <w:t>Section 5(g)(i)</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439" w:right="240" w:hanging="439"/>
        <w:spacing w:after="0" w:line="266" w:lineRule="auto"/>
        <w:tabs>
          <w:tab w:leader="none" w:pos="4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xml:space="preserve">. Whenever the Exercise Price or number of Warrant Shares is adjusted pursuant to any provision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 shall promptly provide the Holder a notice setting forth the Exercise Price and number of Warrant Shares after such adjustment and setting forth a brief statement of the facts requiring such adjustment.</w:t>
      </w:r>
    </w:p>
    <w:p>
      <w:pPr>
        <w:spacing w:after="0" w:line="81" w:lineRule="exact"/>
        <w:rPr>
          <w:rFonts w:ascii="Times New Roman" w:cs="Times New Roman" w:eastAsia="Times New Roman" w:hAnsi="Times New Roman"/>
          <w:sz w:val="18"/>
          <w:szCs w:val="18"/>
          <w:color w:val="auto"/>
        </w:rPr>
      </w:pPr>
    </w:p>
    <w:p>
      <w:pPr>
        <w:ind w:left="439" w:hanging="439"/>
        <w:spacing w:after="0" w:line="252" w:lineRule="auto"/>
        <w:tabs>
          <w:tab w:leader="none" w:pos="4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the Holder</w:t>
      </w:r>
      <w:r>
        <w:rPr>
          <w:rFonts w:ascii="Times New Roman" w:cs="Times New Roman" w:eastAsia="Times New Roman" w:hAnsi="Times New Roman"/>
          <w:sz w:val="18"/>
          <w:szCs w:val="18"/>
          <w:color w:val="auto"/>
        </w:rPr>
        <w:t>. After the Issue Date,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(which, for the avoidance of doubt, shall not include a license or other agreement granting rights to intellectual property),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at least ten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w:t>
      </w:r>
    </w:p>
    <w:p>
      <w:pPr>
        <w:spacing w:after="0" w:line="127"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999"/>
          </w:cols>
          <w:pgMar w:left="1421" w:top="270" w:right="479" w:bottom="1440" w:gutter="0" w:footer="0" w:header="0"/>
        </w:sectPr>
      </w:pPr>
    </w:p>
    <w:bookmarkStart w:id="16" w:name="page17"/>
    <w:bookmarkEnd w:id="16"/>
    <w:p>
      <w:pPr>
        <w:ind w:left="100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property deliverable upon such reclassification, consolidation, merger, sale, transfer or share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mail such notice or any defect therein or in the mailing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87" w:lineRule="exact"/>
        <w:rPr>
          <w:sz w:val="20"/>
          <w:szCs w:val="20"/>
          <w:color w:val="auto"/>
        </w:rPr>
      </w:pPr>
    </w:p>
    <w:p>
      <w:pPr>
        <w:ind w:left="540" w:right="300" w:hanging="532"/>
        <w:spacing w:after="0" w:line="26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85" w:lineRule="exact"/>
        <w:rPr>
          <w:rFonts w:ascii="Times New Roman" w:cs="Times New Roman" w:eastAsia="Times New Roman" w:hAnsi="Times New Roman"/>
          <w:sz w:val="18"/>
          <w:szCs w:val="18"/>
          <w:color w:val="auto"/>
        </w:rPr>
      </w:pPr>
    </w:p>
    <w:p>
      <w:pPr>
        <w:ind w:left="540" w:right="60" w:hanging="532"/>
        <w:spacing w:after="0" w:line="25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Without limiting any rights of a Holder to receive Warrant Shares on a “cashless exercise” pursuant to Section 2(c) herein, in no event shall the Company be required to net cash settle an exercise of this Warrant.</w:t>
      </w:r>
    </w:p>
    <w:p>
      <w:pPr>
        <w:spacing w:after="0" w:line="92" w:lineRule="exact"/>
        <w:rPr>
          <w:rFonts w:ascii="Times New Roman" w:cs="Times New Roman" w:eastAsia="Times New Roman" w:hAnsi="Times New Roman"/>
          <w:sz w:val="18"/>
          <w:szCs w:val="18"/>
          <w:color w:val="auto"/>
        </w:rPr>
      </w:pPr>
    </w:p>
    <w:p>
      <w:pPr>
        <w:ind w:left="540" w:right="180" w:hanging="532"/>
        <w:spacing w:after="0" w:line="26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any Holder from time to time of this Warrant and shall be enforceable by the Holder or holder of Warrant Shares.</w:t>
      </w:r>
    </w:p>
    <w:p>
      <w:pPr>
        <w:spacing w:after="0" w:line="85" w:lineRule="exact"/>
        <w:rPr>
          <w:rFonts w:ascii="Times New Roman" w:cs="Times New Roman" w:eastAsia="Times New Roman" w:hAnsi="Times New Roman"/>
          <w:sz w:val="18"/>
          <w:szCs w:val="18"/>
          <w:color w:val="auto"/>
        </w:rPr>
      </w:pPr>
    </w:p>
    <w:p>
      <w:pPr>
        <w:ind w:left="540" w:right="80" w:hanging="532"/>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67"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85" w:lineRule="exact"/>
        <w:rPr>
          <w:rFonts w:ascii="Times New Roman" w:cs="Times New Roman" w:eastAsia="Times New Roman" w:hAnsi="Times New Roman"/>
          <w:sz w:val="18"/>
          <w:szCs w:val="18"/>
          <w:color w:val="auto"/>
        </w:rPr>
      </w:pPr>
    </w:p>
    <w:p>
      <w:pPr>
        <w:ind w:left="540" w:hanging="532"/>
        <w:spacing w:after="0" w:line="269" w:lineRule="auto"/>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The Holder agrees to keep confidential any proprietary information relating to the Company delivered by the Company hereunder; provided that nothing herein shall prevent the Holder from disclosing such information: (i) to any holder of Warrants or Warrant Shares, (ii) to any Affiliate of any holder of Warrants or Warrant Shares or any actual or potential transferee of the rights or obligations hereunder that agrees to be bound by this </w:t>
      </w:r>
      <w:r>
        <w:rPr>
          <w:rFonts w:ascii="Times New Roman" w:cs="Times New Roman" w:eastAsia="Times New Roman" w:hAnsi="Times New Roman"/>
          <w:sz w:val="17"/>
          <w:szCs w:val="17"/>
          <w:u w:val="single" w:color="auto"/>
          <w:color w:val="auto"/>
        </w:rPr>
        <w:t>Section 5(m)</w:t>
      </w:r>
      <w:r>
        <w:rPr>
          <w:rFonts w:ascii="Times New Roman" w:cs="Times New Roman" w:eastAsia="Times New Roman" w:hAnsi="Times New Roman"/>
          <w:sz w:val="17"/>
          <w:szCs w:val="17"/>
          <w:color w:val="auto"/>
        </w:rPr>
        <w:t>, (iii) upon order, subpoena, or other process of any court or administrative agency or otherwise required by law, (iv) upon the request or demand of any regulatory agency or authority having jurisdiction over such party,</w:t>
      </w:r>
    </w:p>
    <w:p>
      <w:pPr>
        <w:spacing w:after="0" w:line="2" w:lineRule="exact"/>
        <w:rPr>
          <w:rFonts w:ascii="Times New Roman" w:cs="Times New Roman" w:eastAsia="Times New Roman" w:hAnsi="Times New Roman"/>
          <w:sz w:val="17"/>
          <w:szCs w:val="17"/>
          <w:color w:val="auto"/>
        </w:rPr>
      </w:pPr>
    </w:p>
    <w:p>
      <w:pPr>
        <w:ind w:left="54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which has been publicly disclosed without breach of any obligation to the Company, (vi) which has been obtained from any Person that is not a party hereto or an Affiliate of any such party without any breach of any obligation to the Company, (vii) in connection with the exercise of any remedy, or the resolution of any dispute hereunder, (viii) to the legal counsel or certified public accountants for any holder of Warrants or Warrant Shares, or (ix) as otherwise expressly contemplated by this Warrant. Notwithstanding the foregoing, the Company shall not provide material, non-public information or confidential or proprietary information to the Holder without such Holder’s written consent.</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60" w:top="268" w:right="459" w:bottom="1440" w:gutter="0" w:footer="0" w:header="0"/>
        </w:sectPr>
      </w:pPr>
    </w:p>
    <w:bookmarkStart w:id="17" w:name="page18"/>
    <w:bookmarkEnd w:id="17"/>
    <w:p>
      <w:pPr>
        <w:ind w:left="540" w:hanging="532"/>
        <w:spacing w:after="0" w:line="269"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Times New Roman" w:cs="Times New Roman" w:eastAsia="Times New Roman" w:hAnsi="Times New Roman"/>
          <w:sz w:val="17"/>
          <w:szCs w:val="17"/>
          <w:color w:val="auto"/>
        </w:rPr>
        <w:t>. In the case of a dispute as to the determination of the Exercise Price or the arithmetic calculation of the Warrant Shares, the Company shall submit the disputed determinations or arithmetic calculations via facsimile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facsimile (i) the disputed determination of the Exercise Price to an independent, reputable investment bank selected by the Company and approved by the Holder or (ii)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Business Days from the time it receives the disputed determinations or calculations. Such investment bank’s or accountant’s determination or calculation, as the case may be, shall be binding upon all parties absent demonstrable error. The expenses of the investment bank and accountant will be borne by the Company unless the investment bank or accountant determines that the determination of the Exercise Price or the arithmetic calculation of the Warrant Shares by the Holder was incorrect, in which case the expenses of the investment bank and accountant will be borne by the Holder.</w:t>
      </w:r>
    </w:p>
    <w:p>
      <w:pPr>
        <w:spacing w:after="0" w:line="67" w:lineRule="exact"/>
        <w:rPr>
          <w:rFonts w:ascii="Times New Roman" w:cs="Times New Roman" w:eastAsia="Times New Roman" w:hAnsi="Times New Roman"/>
          <w:sz w:val="17"/>
          <w:szCs w:val="17"/>
          <w:color w:val="auto"/>
        </w:rPr>
      </w:pPr>
    </w:p>
    <w:p>
      <w:pPr>
        <w:ind w:left="20" w:right="80" w:hanging="4"/>
        <w:spacing w:after="0" w:line="282" w:lineRule="auto"/>
        <w:tabs>
          <w:tab w:leader="none" w:pos="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60" w:top="270" w:right="479" w:bottom="1440" w:gutter="0" w:footer="0" w:header="0"/>
        </w:sectPr>
      </w:pPr>
    </w:p>
    <w:bookmarkStart w:id="18" w:name="page19"/>
    <w:bookmarkEnd w:id="1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Warrant to be executed by its officer thereunto duly authorized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indicated.</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R. Brady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auto"/>
        </w:rPr>
        <w:t>[Signature Page to Pre-Funded Warrant]</w:t>
      </w:r>
    </w:p>
    <w:p>
      <w:pPr>
        <w:sectPr>
          <w:pgSz w:w="11900" w:h="16838" w:orient="portrait"/>
          <w:cols w:equalWidth="0" w:num="1">
            <w:col w:w="10560"/>
          </w:cols>
          <w:pgMar w:left="440" w:top="266" w:right="899" w:bottom="1440" w:gutter="0" w:footer="0" w:header="0"/>
        </w:sectPr>
      </w:pPr>
    </w:p>
    <w:bookmarkStart w:id="19" w:name="page20"/>
    <w:bookmarkEnd w:id="19"/>
    <w:tbl>
      <w:tblPr>
        <w:tblLayout w:type="fixed"/>
        <w:tblInd w:w="4"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NOTICE OF EXERCISE</w:t>
            </w:r>
          </w:p>
        </w:tc>
        <w:tc>
          <w:tcPr>
            <w:tcW w:w="392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 Tempest Therapeutics, Inc.</w:t>
            </w: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(1)   The undersigned holder of Warrant No. PF-</w:t>
            </w:r>
          </w:p>
        </w:tc>
        <w:tc>
          <w:tcPr>
            <w:tcW w:w="780" w:type="dxa"/>
            <w:vAlign w:val="bottom"/>
            <w:tcBorders>
              <w:bottom w:val="single" w:sz="8" w:color="auto"/>
            </w:tcBorders>
          </w:tcPr>
          <w:p>
            <w:pPr>
              <w:spacing w:after="0"/>
              <w:rPr>
                <w:sz w:val="24"/>
                <w:szCs w:val="24"/>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hereby elects to purchase</w:t>
            </w:r>
          </w:p>
        </w:tc>
        <w:tc>
          <w:tcPr>
            <w:tcW w:w="720" w:type="dxa"/>
            <w:vAlign w:val="bottom"/>
            <w:tcBorders>
              <w:bottom w:val="single" w:sz="8" w:color="auto"/>
            </w:tcBorders>
          </w:tcPr>
          <w:p>
            <w:pPr>
              <w:spacing w:after="0"/>
              <w:rPr>
                <w:sz w:val="24"/>
                <w:szCs w:val="24"/>
                <w:color w:val="auto"/>
              </w:rPr>
            </w:pPr>
          </w:p>
        </w:tc>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Warrant Shares of the Company pursuant to the terms</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60"/>
        <w:spacing w:after="0" w:line="282" w:lineRule="auto"/>
        <w:rPr>
          <w:sz w:val="20"/>
          <w:szCs w:val="20"/>
          <w:color w:val="auto"/>
        </w:rPr>
      </w:pPr>
      <w:r>
        <w:rPr>
          <w:rFonts w:ascii="Times New Roman" w:cs="Times New Roman" w:eastAsia="Times New Roman" w:hAnsi="Times New Roman"/>
          <w:sz w:val="18"/>
          <w:szCs w:val="18"/>
          <w:color w:val="auto"/>
        </w:rPr>
        <w:t>of the attached Warrant (only if exercised in full), and tenders herewith payment of the exercise price in full, together with all applicable transfer taxes, if any.</w:t>
      </w:r>
    </w:p>
    <w:p>
      <w:pPr>
        <w:spacing w:after="0" w:line="67" w:lineRule="exact"/>
        <w:rPr>
          <w:sz w:val="20"/>
          <w:szCs w:val="20"/>
          <w:color w:val="auto"/>
        </w:rPr>
      </w:pPr>
    </w:p>
    <w:p>
      <w:pPr>
        <w:ind w:left="544" w:hanging="544"/>
        <w:spacing w:after="0"/>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 lawful money of the United States; or</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the cancellation of such number of Warrant Shares as is necessary, in accordance with the formula set forth in</w:t>
      </w:r>
    </w:p>
    <w:p>
      <w:pPr>
        <w:spacing w:after="0" w:line="29" w:lineRule="exact"/>
        <w:rPr>
          <w:rFonts w:ascii="MS PGothic" w:cs="MS PGothic" w:eastAsia="MS PGothic" w:hAnsi="MS PGothic"/>
          <w:sz w:val="18"/>
          <w:szCs w:val="18"/>
          <w:color w:val="auto"/>
        </w:rPr>
      </w:pPr>
    </w:p>
    <w:p>
      <w:pPr>
        <w:ind w:left="964"/>
        <w:spacing w:after="0" w:line="258" w:lineRule="auto"/>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to exercise this Warrant with respect to the maximum number of Warrant Shares purchasable pursuant to the cashless exercise procedure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49" w:lineRule="exact"/>
        <w:rPr>
          <w:rFonts w:ascii="MS PGothic" w:cs="MS PGothic" w:eastAsia="MS PGothic" w:hAnsi="MS PGothic"/>
          <w:sz w:val="18"/>
          <w:szCs w:val="18"/>
          <w:color w:val="auto"/>
        </w:rPr>
      </w:pPr>
    </w:p>
    <w:p>
      <w:pPr>
        <w:ind w:left="544" w:hanging="544"/>
        <w:spacing w:after="0"/>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130" w:lineRule="exact"/>
        <w:rPr>
          <w:rFonts w:ascii="Times New Roman" w:cs="Times New Roman" w:eastAsia="Times New Roman" w:hAnsi="Times New Roman"/>
          <w:sz w:val="18"/>
          <w:szCs w:val="18"/>
          <w:color w:val="auto"/>
        </w:rPr>
      </w:pPr>
    </w:p>
    <w:p>
      <w:pPr>
        <w:ind w:left="544" w:right="40" w:hanging="544"/>
        <w:spacing w:after="0" w:line="261" w:lineRule="auto"/>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w:t>
      </w:r>
    </w:p>
    <w:p>
      <w:pPr>
        <w:ind w:left="54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of the Warrant to which this notice relates.</w:t>
      </w:r>
    </w:p>
    <w:p>
      <w:pPr>
        <w:spacing w:after="0" w:line="86" w:lineRule="exact"/>
        <w:rPr>
          <w:rFonts w:ascii="Times New Roman" w:cs="Times New Roman" w:eastAsia="Times New Roman" w:hAnsi="Times New Roman"/>
          <w:sz w:val="18"/>
          <w:szCs w:val="18"/>
          <w:color w:val="auto"/>
        </w:rPr>
      </w:pPr>
    </w:p>
    <w:p>
      <w:pPr>
        <w:ind w:left="544" w:right="260" w:hanging="544"/>
        <w:spacing w:after="0" w:line="282" w:lineRule="auto"/>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-1376680</wp:posOffset>
            </wp:positionV>
            <wp:extent cx="6626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68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-1239520</wp:posOffset>
            </wp:positionV>
            <wp:extent cx="542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420370</wp:posOffset>
            </wp:positionV>
            <wp:extent cx="6626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686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557530</wp:posOffset>
            </wp:positionV>
            <wp:extent cx="5429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2925"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840105</wp:posOffset>
            </wp:positionV>
            <wp:extent cx="6626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68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977265</wp:posOffset>
            </wp:positionV>
            <wp:extent cx="542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2925" cy="8255"/>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1260475</wp:posOffset>
            </wp:positionV>
            <wp:extent cx="6626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8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1397635</wp:posOffset>
            </wp:positionV>
            <wp:extent cx="5429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20" w:name="page21"/>
    <w:bookmarkEnd w:id="20"/>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7" w:lineRule="exact"/>
        <w:rPr>
          <w:sz w:val="20"/>
          <w:szCs w:val="20"/>
          <w:color w:val="auto"/>
        </w:rPr>
      </w:pPr>
    </w:p>
    <w:p>
      <w:pPr>
        <w:spacing w:after="0"/>
        <w:tabs>
          <w:tab w:leader="none" w:pos="2580" w:val="left"/>
          <w:tab w:leader="none" w:pos="4080" w:val="left"/>
        </w:tabs>
        <w:rPr>
          <w:sz w:val="20"/>
          <w:szCs w:val="20"/>
          <w:color w:val="auto"/>
        </w:rPr>
      </w:pPr>
      <w:r>
        <w:rPr>
          <w:rFonts w:ascii="Times New Roman" w:cs="Times New Roman" w:eastAsia="Times New Roman" w:hAnsi="Times New Roman"/>
          <w:sz w:val="18"/>
          <w:szCs w:val="18"/>
          <w:color w:val="auto"/>
        </w:rPr>
        <w:t>FOR VALUE RECEIVED, [</w:t>
      </w:r>
      <w:r>
        <w:rPr>
          <w:sz w:val="20"/>
          <w:szCs w:val="20"/>
          <w:color w:val="auto"/>
        </w:rPr>
        <w:tab/>
      </w:r>
      <w:r>
        <w:rPr>
          <w:rFonts w:ascii="Times New Roman" w:cs="Times New Roman" w:eastAsia="Times New Roman" w:hAnsi="Times New Roman"/>
          <w:sz w:val="18"/>
          <w:szCs w:val="18"/>
          <w:color w:val="auto"/>
        </w:rPr>
        <w:t>] all of or [</w:t>
      </w:r>
      <w:r>
        <w:rPr>
          <w:sz w:val="20"/>
          <w:szCs w:val="20"/>
          <w:color w:val="auto"/>
        </w:rPr>
        <w:tab/>
      </w:r>
      <w:r>
        <w:rPr>
          <w:rFonts w:ascii="Times New Roman" w:cs="Times New Roman" w:eastAsia="Times New Roman" w:hAnsi="Times New Roman"/>
          <w:sz w:val="17"/>
          <w:szCs w:val="17"/>
          <w:color w:val="auto"/>
        </w:rPr>
        <w:t>] shares of the foregoing Warrant and all rights evidenced thereby are hereby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420370</wp:posOffset>
            </wp:positionV>
            <wp:extent cx="47986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98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274320</wp:posOffset>
            </wp:positionV>
            <wp:extent cx="3855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5572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480060</wp:posOffset>
            </wp:positionV>
            <wp:extent cx="38557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5572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763270</wp:posOffset>
            </wp:positionV>
            <wp:extent cx="38557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55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3284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485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-7620</wp:posOffset>
            </wp:positionV>
            <wp:extent cx="3284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8485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-7620</wp:posOffset>
            </wp:positionV>
            <wp:extent cx="3884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8493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274320</wp:posOffset>
            </wp:positionV>
            <wp:extent cx="39135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13505"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557530</wp:posOffset>
            </wp:positionV>
            <wp:extent cx="39135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13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w:t>
      </w:r>
    </w:p>
    <w:p>
      <w:pPr>
        <w:sectPr>
          <w:pgSz w:w="11900" w:h="16838" w:orient="portrait"/>
          <w:cols w:equalWidth="0" w:num="1">
            <w:col w:w="10480"/>
          </w:cols>
          <w:pgMar w:left="440" w:top="266" w:right="97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SECURITIES PURCHASE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April 26, 2022, by and among Tempest Therapeutics,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each purchaser identified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(each, including its successors and assigns, a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In the event that there is only a single Purchaser, then all references herein to Purchasers shall be deemed to refer to such Purchaser.</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6" w:lineRule="exact"/>
        <w:rPr>
          <w:sz w:val="20"/>
          <w:szCs w:val="20"/>
          <w:color w:val="auto"/>
        </w:rPr>
      </w:pPr>
    </w:p>
    <w:p>
      <w:pPr>
        <w:ind w:left="964" w:right="80" w:hanging="532"/>
        <w:spacing w:after="0" w:line="254" w:lineRule="auto"/>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set forth in this Agreement and pursuant to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Rule 506 promulgated thereunder, the Company desires to issue and sell to each Purchaser, and each Purchaser, severally and not jointly, desires to purchase from the Company, (i)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(ii) pre-funded warrants,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Pre-Funded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to purchase shares of Common Stock, as more fully described in this Agreement. The shares of Common Stock issuable upon exercise of, or otherwise pursuant to, the Pre-Funded Warrants collectively are referred to herein as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The Shares, Pre-Funded Warrants and Warrant Shares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218"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(as hereinafter defined), each Purchaser, severally and not jointly, wishes to purchase, and the Company wishes to sell, upon the terms and conditions stated in this Agreement, the number of Shares and Pre-Funded Warrants as hereafter specified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4" w:right="8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mutual covenants contained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Company and each Purchaser agree as follows:</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left="4" w:right="1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Authorization of Sale of the Securities</w:t>
      </w:r>
      <w:r>
        <w:rPr>
          <w:rFonts w:ascii="Times New Roman" w:cs="Times New Roman" w:eastAsia="Times New Roman" w:hAnsi="Times New Roman"/>
          <w:sz w:val="17"/>
          <w:szCs w:val="17"/>
          <w:color w:val="auto"/>
        </w:rPr>
        <w:t xml:space="preserve">. The Company shall issue and sell each Purchaser, and each Purchaser shall, severally and not jointly, purchase from the Company, (i) such number of Shares set forth opposite their respective names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hereto, at a price per share of Common Stock equal to $2.36 (the “</w:t>
      </w:r>
      <w:r>
        <w:rPr>
          <w:rFonts w:ascii="Times New Roman" w:cs="Times New Roman" w:eastAsia="Times New Roman" w:hAnsi="Times New Roman"/>
          <w:sz w:val="17"/>
          <w:szCs w:val="17"/>
          <w:b w:val="1"/>
          <w:bCs w:val="1"/>
          <w:i w:val="1"/>
          <w:iCs w:val="1"/>
          <w:color w:val="auto"/>
        </w:rPr>
        <w:t>Price Per Share</w:t>
      </w:r>
      <w:r>
        <w:rPr>
          <w:rFonts w:ascii="Times New Roman" w:cs="Times New Roman" w:eastAsia="Times New Roman" w:hAnsi="Times New Roman"/>
          <w:sz w:val="17"/>
          <w:szCs w:val="17"/>
          <w:color w:val="auto"/>
        </w:rPr>
        <w:t>” and the total purchase price for the Shares to be paid by each Purchaser, the “</w:t>
      </w:r>
      <w:r>
        <w:rPr>
          <w:rFonts w:ascii="Times New Roman" w:cs="Times New Roman" w:eastAsia="Times New Roman" w:hAnsi="Times New Roman"/>
          <w:sz w:val="17"/>
          <w:szCs w:val="17"/>
          <w:b w:val="1"/>
          <w:bCs w:val="1"/>
          <w:i w:val="1"/>
          <w:iCs w:val="1"/>
          <w:color w:val="auto"/>
        </w:rPr>
        <w:t>Share Purchase Price</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4" w:right="340" w:hanging="4"/>
        <w:spacing w:after="0" w:line="255"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number of Pre-Funded Warrants set forth opposite their respective names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at a purchase price per Pre-Funded Warrant equal to the Price Per Share minus $0.001. Each Purchaser’s aggregate purchase price for the Securities purchased by such Purchaser hereunder is referred to as the “</w:t>
      </w:r>
      <w:r>
        <w:rPr>
          <w:rFonts w:ascii="Times New Roman" w:cs="Times New Roman" w:eastAsia="Times New Roman" w:hAnsi="Times New Roman"/>
          <w:sz w:val="18"/>
          <w:szCs w:val="18"/>
          <w:b w:val="1"/>
          <w:bCs w:val="1"/>
          <w:i w:val="1"/>
          <w:iCs w:val="1"/>
          <w:color w:val="auto"/>
        </w:rPr>
        <w:t>Aggregate Purchase Price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terms and conditions set forth in this Agreement, at the Closing, the Company shall issue and sell to the Purchasers, and the Purchasers shall purchase from the Company, the Securities. The closing of the purchase and sale of the Securities to the Purchasers by the Company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will occur, subject to the conditions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two business days following the satisfaction or waiver of the conditions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or at such other time and place or on such date as the Purchasers and the Company may agree upon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22" w:name="page23"/>
    <w:bookmarkEnd w:id="22"/>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On the Closing Date, (a) each Purchaser shall pay to the Company its Aggregate Purchase Price in United States dollars and in immediately available funds, by wire transfer to the Company’s account as set forth in instructions previously delivered to each Purchaser, and (b) the Company shall irrevocably instruct the Company’s transfer agent to deliver to each Purchaser the number of Shares set forth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duly executed on behalf of the Company and registered in the name of such Purchaser as set forth on such Purchaser’s signature page hereto and will deliver to each Purchaser the applicable Pre-Funded Warrants set forth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1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Closing Deliverables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right="40" w:firstLine="1428"/>
        <w:spacing w:after="0" w:line="266" w:lineRule="auto"/>
        <w:tabs>
          <w:tab w:leader="none" w:pos="16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irrevocable instructions to the Company’s transfer agent instructing the transfer agent to deliver, on an expedited basis the number of Shares set forth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registered in the name of such Purchaser as set forth on such Purchaser’s signature page hereto;</w:t>
      </w:r>
    </w:p>
    <w:p>
      <w:pPr>
        <w:spacing w:after="0" w:line="175" w:lineRule="exact"/>
        <w:rPr>
          <w:rFonts w:ascii="Times New Roman" w:cs="Times New Roman" w:eastAsia="Times New Roman" w:hAnsi="Times New Roman"/>
          <w:sz w:val="18"/>
          <w:szCs w:val="18"/>
          <w:color w:val="auto"/>
        </w:rPr>
      </w:pPr>
    </w:p>
    <w:p>
      <w:pPr>
        <w:ind w:right="120" w:firstLine="1428"/>
        <w:spacing w:after="0" w:line="312" w:lineRule="auto"/>
        <w:tabs>
          <w:tab w:leader="none" w:pos="169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Registration Rights Agreement, dated as of the Closing Date, among the Company and the Purchasers,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(together with this Agreement and the Pre-Funded Warrants the “</w:t>
      </w:r>
      <w:r>
        <w:rPr>
          <w:rFonts w:ascii="Times New Roman" w:cs="Times New Roman" w:eastAsia="Times New Roman" w:hAnsi="Times New Roman"/>
          <w:sz w:val="17"/>
          <w:szCs w:val="17"/>
          <w:b w:val="1"/>
          <w:bCs w:val="1"/>
          <w:i w:val="1"/>
          <w:iCs w:val="1"/>
          <w:color w:val="auto"/>
        </w:rPr>
        <w:t>Transaction Documents</w:t>
      </w:r>
      <w:r>
        <w:rPr>
          <w:rFonts w:ascii="Times New Roman" w:cs="Times New Roman" w:eastAsia="Times New Roman" w:hAnsi="Times New Roman"/>
          <w:sz w:val="17"/>
          <w:szCs w:val="17"/>
          <w:color w:val="auto"/>
        </w:rPr>
        <w:t>”), duly executed by the Company;</w:t>
      </w:r>
    </w:p>
    <w:p>
      <w:pPr>
        <w:spacing w:after="0" w:line="139" w:lineRule="exact"/>
        <w:rPr>
          <w:rFonts w:ascii="Times New Roman" w:cs="Times New Roman" w:eastAsia="Times New Roman" w:hAnsi="Times New Roman"/>
          <w:sz w:val="17"/>
          <w:szCs w:val="17"/>
          <w:color w:val="auto"/>
        </w:rPr>
      </w:pPr>
    </w:p>
    <w:p>
      <w:pPr>
        <w:ind w:firstLine="1428"/>
        <w:spacing w:after="0" w:line="266" w:lineRule="auto"/>
        <w:tabs>
          <w:tab w:leader="none" w:pos="17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copies of the Pre-Funded Warrants, if applicable, executed by the Company and registered in the name of such Purchaser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pursuant to which such Purchaser shall have the right to acquire such number of Warrant Shares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on the terms set forth therein, with the original Pre-Funded Warrants, delivered within five Business Days of the Closing Date;</w:t>
      </w:r>
    </w:p>
    <w:p>
      <w:pPr>
        <w:spacing w:after="0" w:line="1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Cooley LLP, legal counsel to the Company, in a form reasonably acceptable to the Purchasers; and</w:t>
      </w:r>
    </w:p>
    <w:p>
      <w:pPr>
        <w:spacing w:after="0" w:line="225" w:lineRule="exact"/>
        <w:rPr>
          <w:rFonts w:ascii="Times New Roman" w:cs="Times New Roman" w:eastAsia="Times New Roman" w:hAnsi="Times New Roman"/>
          <w:sz w:val="18"/>
          <w:szCs w:val="18"/>
          <w:color w:val="auto"/>
        </w:rPr>
      </w:pPr>
    </w:p>
    <w:p>
      <w:pPr>
        <w:ind w:right="180" w:firstLine="1428"/>
        <w:spacing w:after="0" w:line="282" w:lineRule="auto"/>
        <w:tabs>
          <w:tab w:leader="none" w:pos="168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lock-up agreements, dated as of the date hereof, by and among the Company and the Company’s directors and officers and their respective affiliates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680" w:hanging="252"/>
        <w:spacing w:after="0"/>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each Purchaser;</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Purchase Price by wire transfer to the account specified by the Company.</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The Company shall not issue, and EcoR1 Capital (as defined below) shall not purchase any shares of Common Stock under this Agreement, if such shares proposed to be issued and sold, when aggregated with all other shares of Common Stock then owned beneficially (as calculated pursuant to Section 13(d)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13d-3 promulgated thereunder) by EcoR1 Capital, LLC and their affiliates (collectively, “</w:t>
      </w:r>
      <w:r>
        <w:rPr>
          <w:rFonts w:ascii="Times New Roman" w:cs="Times New Roman" w:eastAsia="Times New Roman" w:hAnsi="Times New Roman"/>
          <w:sz w:val="18"/>
          <w:szCs w:val="18"/>
          <w:b w:val="1"/>
          <w:bCs w:val="1"/>
          <w:i w:val="1"/>
          <w:iCs w:val="1"/>
          <w:color w:val="auto"/>
        </w:rPr>
        <w:t>EcoR1 Capital</w:t>
      </w:r>
      <w:r>
        <w:rPr>
          <w:rFonts w:ascii="Times New Roman" w:cs="Times New Roman" w:eastAsia="Times New Roman" w:hAnsi="Times New Roman"/>
          <w:sz w:val="18"/>
          <w:szCs w:val="18"/>
          <w:color w:val="auto"/>
        </w:rPr>
        <w:t>”) would result in the beneficial ownership by the EcoR1 Capital of more than 9.99% of the then issued and outstanding shares of Common Stock.</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Subject to and except as set forth in the SEC Documents (as defined below), the Company hereby represents and warrants to the Purchasers as of the date hereof as follows: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Since June 25, 2021, the Company has filed all reports, schedules, forms, statements and other documents required to be filed by it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pursuant to the reporting requirements of the Exchange Act (the “</w:t>
      </w:r>
      <w:r>
        <w:rPr>
          <w:rFonts w:ascii="Times New Roman" w:cs="Times New Roman" w:eastAsia="Times New Roman" w:hAnsi="Times New Roman"/>
          <w:sz w:val="18"/>
          <w:szCs w:val="18"/>
          <w:b w:val="1"/>
          <w:bCs w:val="1"/>
          <w:i w:val="1"/>
          <w:iCs w:val="1"/>
          <w:color w:val="auto"/>
        </w:rPr>
        <w:t>SEC Documents</w:t>
      </w:r>
      <w:r>
        <w:rPr>
          <w:rFonts w:ascii="Times New Roman" w:cs="Times New Roman" w:eastAsia="Times New Roman" w:hAnsi="Times New Roman"/>
          <w:sz w:val="18"/>
          <w:szCs w:val="18"/>
          <w:color w:val="auto"/>
        </w:rPr>
        <w:t>”) on a timely basis or has received a valid extension of such time of filing and has filed any such SEC Document prior to the expiration of any such extension. At the time they were filed with the Commission, the SEC Documents and any amendment or supplement thereto complied in all material respects with the requirements of the Exchange Act, and did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The Company has never been an issuer subject to Rule 144(i) under the Securities Act.</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other than as otherwise disclosed in the SEC Documents, are effective in all material respects to perform the functions for which they were established. Other than as otherwise disclosed in the SEC Documents, since the end of the Company’s most recent audited fiscal year, the Company is not aware of any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Authorization of the Securities</w:t>
      </w:r>
      <w:r>
        <w:rPr>
          <w:rFonts w:ascii="Times New Roman" w:cs="Times New Roman" w:eastAsia="Times New Roman" w:hAnsi="Times New Roman"/>
          <w:sz w:val="18"/>
          <w:szCs w:val="18"/>
          <w:color w:val="auto"/>
        </w:rPr>
        <w:t>. The Securities have been duly authorized for issuance and sale pursuant to this Agreement and, when issued and delivered by the Company against payment therefor in accordance with the Transaction Documents, will be validly issued, fully paid and nonassessable, and the issuance and sale of the Securities is not subject to any preemptive rights, rights of first refusal or other similar rights to subscribe for or purchase the Securities. The Warrant Shares issuable upon exercise of the Pre-Funded Warrants have been duly authorized and, when issued and paid for in accordance with the terms of the Transaction Documents, will be duly and validly issued, fully paid and nonassessable, other than restrictions on transfer provided for in the Transaction Documents or imposed by applicable securities laws, and shall not be subject to preemptive rights, rights of first refusal or other similar rights The Company has reserved from its duly authorized capital stock the maximum number of shares of Common Stock issuable pursuant to this Agreement and the Pre-Funded Warrants.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4" w:name="page25"/>
    <w:bookmarkEnd w:id="24"/>
    <w:p>
      <w:pPr>
        <w:ind w:right="1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SEC Documents, subsequent to the respective dates as of which information is given in the SEC Documents: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i w:val="1"/>
          <w:i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9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independent registered public accounting firms which have expressed their opinions with respect to the financial statements (which term as used in this Agreement includes the related notes thereto) filed with the Commission are (i) independent public or certified public accountants as required by the Securities Act and the Exchange Act, (ii) in compliance with the applicable requirements relating to the qualification of accountants under Rule 2-01 of Regulation S-X; and (iii) registered public accounting firms as defined by the Public Company Accounting Oversight Board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whose registration has not been suspended or revoked and who has not requested such registration to be withdrawn.</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filed with the Commission included in the SEC Documents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in the SEC Documents fairly presents the information called for in all material respects and has been prepared in accordance with the Commission’s rules and guidelines applicable thereto.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SEC Documents.</w:t>
      </w:r>
    </w:p>
    <w:p>
      <w:pPr>
        <w:spacing w:after="0" w:line="18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in the SEC Documents fairly presents the information called for in all material respects and is prepared in accordance with the Commission’s rules and guidelines applicable thereto.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5" w:name="page26"/>
    <w:bookmarkEnd w:id="25"/>
    <w:p>
      <w:pPr>
        <w:ind w:left="4" w:right="1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SEC Documents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so qualify or to be in good standing, individually or in the aggregate, would not reasonably be expected to result in a Material Adverse Change.</w:t>
      </w:r>
    </w:p>
    <w:p>
      <w:pPr>
        <w:spacing w:after="0" w:line="184"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SEC Documents in all material respects.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(i) TempestTx, Inc.,</w:t>
      </w:r>
    </w:p>
    <w:p>
      <w:pPr>
        <w:spacing w:after="0" w:line="10" w:lineRule="exact"/>
        <w:rPr>
          <w:sz w:val="20"/>
          <w:szCs w:val="20"/>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subsidiaries listed on Exhibit 21.1 to the Company’s most recent annual report on Form 10-K and (iii) such other entities omitted from Exhibit</w:t>
      </w:r>
    </w:p>
    <w:p>
      <w:pPr>
        <w:spacing w:after="0" w:line="9" w:lineRule="exact"/>
        <w:rPr>
          <w:rFonts w:ascii="Times New Roman" w:cs="Times New Roman" w:eastAsia="Times New Roman" w:hAnsi="Times New Roman"/>
          <w:sz w:val="18"/>
          <w:szCs w:val="18"/>
          <w:color w:val="auto"/>
        </w:rPr>
      </w:pPr>
    </w:p>
    <w:p>
      <w:pPr>
        <w:ind w:left="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which, when such omitted entities are considered in the aggregate as a single subsidiary, would not constitute a “significant subsidiary” within the meaning of Rule 1-02(w) of Regulation S-X.</w:t>
      </w:r>
    </w:p>
    <w:p>
      <w:pPr>
        <w:spacing w:after="0" w:line="181"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Capitalization and Other Capital Stock Matters</w:t>
      </w:r>
      <w:r>
        <w:rPr>
          <w:rFonts w:ascii="Times New Roman" w:cs="Times New Roman" w:eastAsia="Times New Roman" w:hAnsi="Times New Roman"/>
          <w:sz w:val="17"/>
          <w:szCs w:val="17"/>
          <w:color w:val="auto"/>
        </w:rPr>
        <w:t>. The authorized, issued and outstanding capital stock of the Company is as set forth in the SEC Documents (other than for subsequent issuances, if any, pursuant to employee benefit plans described in the SEC Documents or upon the exercise of outstanding options or warrants, in each case described in the SEC Documents). The shares of Common Stock (including the Shares and the Warrant Shares) conform in all material respects to the description thereof contained in the SEC Documents. All of the issued and outstanding shares of Common Stock have been duly authorized and validly issued, are fully paid and nonassessable and have been issued in compliance with all federal and state securities laws. None of the outstanding shares of Common Stock was issued in violation of any preemptive rights, rights of first refusal or other similar rights to subscribe for or purchase securities of the Company that have not been duly waived or satisfied.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SEC Documents. The descriptions of the Company’s stock option, stock bonus and other stock plans or arrangements, and the options or other rights granted thereunder, set forth in the SEC Documents accurately and fairly presents, in all material respects, the information required to be shown with respect to such plans, arrangements, options and rights.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8" w:right="459" w:bottom="1440" w:gutter="0" w:footer="0" w:header="0"/>
        </w:sectPr>
      </w:pPr>
    </w:p>
    <w:bookmarkStart w:id="26" w:name="page27"/>
    <w:bookmarkEnd w:id="2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2.12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shares of Common Stock are registered pursuant to Section 12(b) or 12(g) of the Exchange Act and are listed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To the Company’s knowledge, it is in compliance with all applicable listing requirements of Nasdaq.</w:t>
      </w:r>
    </w:p>
    <w:p>
      <w:pPr>
        <w:spacing w:after="0" w:line="183"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i w:val="1"/>
          <w:iCs w:val="1"/>
          <w:color w:val="auto"/>
        </w:rPr>
        <w:t>Existing Instrument</w:t>
      </w:r>
      <w:r>
        <w:rPr>
          <w:rFonts w:ascii="Times New Roman" w:cs="Times New Roman" w:eastAsia="Times New Roman" w:hAnsi="Times New Roman"/>
          <w:sz w:val="18"/>
          <w:szCs w:val="18"/>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the issuance and sale of the Securities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except such as have been obtained or made by the Company and are in full force and effect under the Securities Act and such as may be required under applicable state securities or blue sky laws. As used herein, a “</w:t>
      </w:r>
      <w:r>
        <w:rPr>
          <w:rFonts w:ascii="Times New Roman" w:cs="Times New Roman" w:eastAsia="Times New Roman" w:hAnsi="Times New Roman"/>
          <w:sz w:val="18"/>
          <w:szCs w:val="18"/>
          <w:b w:val="1"/>
          <w:bCs w:val="1"/>
          <w:i w:val="1"/>
          <w:i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Except as otherwise disclosed in the SEC Documents, there is no action, suit, proceeding, inquiry or 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otherwise disclosed in the SEC Documents, the Company and its subsidiaries own, or have obtained valid and enforceable licenses for, the inventions, patent applications, patents, trademarks, trade names, service names, copyrights, trade secrets and other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7" w:name="page28"/>
    <w:bookmarkEnd w:id="2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described in the SEC Documents as being owned or licensed by them or which are necessary for the conduct of their respective businesses as currently conducted or as currently proposed to be conducted (collectively,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and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SEC Documents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SEC Documents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The product candidates described in the SEC Documents as under development by the Company or any subsidiary fall within the scope of the claims of one or more patents owned by, or exclusively licensed to, the Company or any subsidiary.</w:t>
      </w:r>
    </w:p>
    <w:p>
      <w:pPr>
        <w:spacing w:after="0" w:line="20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and each subsidiary possess such valid and current certificates, authorizations, approvals, clearances, licenses, registrations, exemptions, or permits required by state, federal or foreign regulatory agencies or bodies to conduct, in all material respects, their respective businesses as currently conducted and as described in the SEC Documents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Neither the Company nor any of its subsidiaries is in violation of, or in default under, any Permit or has received any notice of proceedings relating to the revocation or modification of, or non-compliance with, any such Permit. The Company and its subsidiaries have fulfilled and performed all of their material obligations with respect to such Permits, and no event has occurred which allows, or after notice or lapse of time would allow, revocation or termination thereof or results in any other material impairment of the rights of the holder of any such Permit.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8" w:name="page29"/>
    <w:bookmarkEnd w:id="28"/>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2.17 </w:t>
      </w: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xml:space="preserve">. Except as otherwise disclosed in the SEC Documents, the Company and its subsidiaries has good and marketable title to all of the real and personal property and other assets reflected as owned in the financial statements referred to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above,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89"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2.18 </w:t>
      </w:r>
      <w:r>
        <w:rPr>
          <w:rFonts w:ascii="Times New Roman" w:cs="Times New Roman" w:eastAsia="Times New Roman" w:hAnsi="Times New Roman"/>
          <w:sz w:val="17"/>
          <w:szCs w:val="17"/>
          <w:u w:val="single" w:color="auto"/>
          <w:color w:val="auto"/>
        </w:rPr>
        <w:t>Tax Law Compliance</w:t>
      </w:r>
      <w:r>
        <w:rPr>
          <w:rFonts w:ascii="Times New Roman" w:cs="Times New Roman" w:eastAsia="Times New Roman" w:hAnsi="Times New Roman"/>
          <w:sz w:val="17"/>
          <w:szCs w:val="17"/>
          <w:color w:val="auto"/>
        </w:rPr>
        <w:t xml:space="preserv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w:t>
      </w:r>
      <w:r>
        <w:rPr>
          <w:rFonts w:ascii="Times New Roman" w:cs="Times New Roman" w:eastAsia="Times New Roman" w:hAnsi="Times New Roman"/>
          <w:sz w:val="17"/>
          <w:szCs w:val="17"/>
          <w:u w:val="single" w:color="auto"/>
          <w:color w:val="auto"/>
        </w:rPr>
        <w:t>Section 2(n)</w:t>
      </w:r>
      <w:r>
        <w:rPr>
          <w:rFonts w:ascii="Times New Roman" w:cs="Times New Roman" w:eastAsia="Times New Roman" w:hAnsi="Times New Roman"/>
          <w:sz w:val="17"/>
          <w:szCs w:val="17"/>
          <w:color w:val="auto"/>
        </w:rPr>
        <w:t xml:space="preserve"> above in respect of all federal, state and foreign income and franchise taxes for all periods as to which the tax liability of the Company or any of its subsidiaries has not been finally determined.</w:t>
      </w:r>
    </w:p>
    <w:p>
      <w:pPr>
        <w:spacing w:after="0" w:line="168"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xml:space="preserve"> The Company is not, and will not be, after receipt of payment for the Securities, required to register as an “investment company” under the Investment Company Act of 1940, as amended.</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has taken, directly or indirectly, any action designed to or that would reasonably be expected to cause or result in stabilization or manipulation of the price of the Common Stock or of any “reference security” (as defined in Rule 100 of Regulation M under the Exchange Act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with respect to the Common Stock, whether to facilitate the sale or resale of the Securities or otherwise, and has taken no action which would directly or indirectly violate Regulation M.</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SEC Documents which have not been described as required.</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Except as otherwise disclosed in the SEC Documents,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SEC Documents.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9" w:name="page30"/>
    <w:bookmarkEnd w:id="2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2.24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described in the SEC Documents and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97"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as otherwise disclosed in the SEC Documents,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9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There is no broker, finder or other party that is entitled to receive from the Company any brokerage or finder’s fee or other fee or commission as a result of any transactions contemplated by this Agreement.</w:t>
      </w:r>
    </w:p>
    <w:p>
      <w:pPr>
        <w:spacing w:after="0" w:line="162"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0" w:name="page31"/>
    <w:bookmarkEnd w:id="30"/>
    <w:p>
      <w:pPr>
        <w:ind w:left="4" w:right="2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2.28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Company and its subsidiaries have been and are in compliance with all applicable laws, rules and regulations, except where failure to be so in compliance could not be expected, individually or in the aggregate, to result in a Material Adverse Change.</w:t>
      </w:r>
    </w:p>
    <w:p>
      <w:pPr>
        <w:spacing w:after="0" w:line="140"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Except as disclosed in the SEC Documents,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0"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5" w:lineRule="exact"/>
        <w:rPr>
          <w:sz w:val="20"/>
          <w:szCs w:val="20"/>
          <w:color w:val="auto"/>
        </w:rPr>
      </w:pPr>
    </w:p>
    <w:p>
      <w:pPr>
        <w:ind w:left="4" w:right="60" w:hanging="4"/>
        <w:spacing w:after="0" w:line="253" w:lineRule="auto"/>
        <w:tabs>
          <w:tab w:leader="none" w:pos="3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U.S. Foreign Corrupt Practices Act of 1977, as amended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87"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sz w:val="20"/>
          <w:szCs w:val="20"/>
          <w:color w:val="auto"/>
        </w:rPr>
      </w:pPr>
    </w:p>
    <w:p>
      <w:pPr>
        <w:ind w:left="4" w:firstLine="440"/>
        <w:spacing w:after="0" w:line="271" w:lineRule="auto"/>
        <w:rPr>
          <w:sz w:val="20"/>
          <w:szCs w:val="20"/>
          <w:color w:val="auto"/>
        </w:rPr>
      </w:pP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17"/>
          <w:szCs w:val="17"/>
          <w:u w:val="single" w:color="auto"/>
          <w:color w:val="auto"/>
        </w:rPr>
        <w:t>Clinical Data and Regulatory Compliance</w:t>
      </w:r>
      <w:r>
        <w:rPr>
          <w:rFonts w:ascii="Times New Roman" w:cs="Times New Roman" w:eastAsia="Times New Roman" w:hAnsi="Times New Roman"/>
          <w:sz w:val="17"/>
          <w:szCs w:val="17"/>
          <w:color w:val="auto"/>
        </w:rPr>
        <w:t>. The preclinical tests and clinical trials, and other studies (collectively, “studies”) that are described in, or the results of which are referred to in, the SEC Documents were and, if still pending, are being conducted in all material respects in accordance with all applicable laws and regulations, including, without limitation, the Federal Food, Drug and Cosmetic Act and its implementing regulations at 21 C.F.R. Parts 50, 54, 56, 58, and 312,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SEC Documents; the Company and its subsidiaries have made all such filings and obtained all such approvals or exemptions as may be required by the Food and Drug Administration of the U.S. Department of Health and Human Services or any committee thereof or from any other U.S. or foreign government or drug or medical device regulatory agency, or health care facility</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1" w:name="page32"/>
    <w:bookmarkEnd w:id="31"/>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Institutional Review Board (collectively, the “</w:t>
      </w:r>
      <w:r>
        <w:rPr>
          <w:rFonts w:ascii="Times New Roman" w:cs="Times New Roman" w:eastAsia="Times New Roman" w:hAnsi="Times New Roman"/>
          <w:sz w:val="18"/>
          <w:szCs w:val="18"/>
          <w:b w:val="1"/>
          <w:bCs w:val="1"/>
          <w:i w:val="1"/>
          <w:iCs w:val="1"/>
          <w:color w:val="auto"/>
        </w:rPr>
        <w:t>Regulatory Agencies</w:t>
      </w:r>
      <w:r>
        <w:rPr>
          <w:rFonts w:ascii="Times New Roman" w:cs="Times New Roman" w:eastAsia="Times New Roman" w:hAnsi="Times New Roman"/>
          <w:sz w:val="18"/>
          <w:szCs w:val="18"/>
          <w:color w:val="auto"/>
        </w:rPr>
        <w:t>”); neither the Company nor any of its subsidiaries has received any notice of, or correspondence from, any Regulatory Agency requiring the termination, suspension or modification of any clinical trials that are described or referred to in the SEC Documents; and the Company and its subsidiaries have each operated and currently are in compliance in all material respects with all applicable rules, regulations and policies of the Regulatory Agencies.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or the U.S. Department of State,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the Crimea region and the Donetsk People’s Republic and Luhansk People’s Republic in Ukraine, Cuba, Iran, North Korea, and Syria (collectively, “</w:t>
      </w:r>
      <w:r>
        <w:rPr>
          <w:rFonts w:ascii="Times New Roman" w:cs="Times New Roman" w:eastAsia="Times New Roman" w:hAnsi="Times New Roman"/>
          <w:sz w:val="18"/>
          <w:szCs w:val="18"/>
          <w:b w:val="1"/>
          <w:bCs w:val="1"/>
          <w:i w:val="1"/>
          <w:iCs w:val="1"/>
          <w:color w:val="auto"/>
        </w:rPr>
        <w:t>Sanctioned Countries</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compliance, in all material respects, with all applicable provisions of the Sarbanes-Oxley Act of 2002 and the rules and regulations promulgated thereunder.</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Securities.</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to the knowledge of the Company,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(v) any other piece of information that allows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32" w:name="page33"/>
    <w:bookmarkEnd w:id="3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identification of such natural person, or his or her family, or permits the collection or analysis of any data related to an identified person’s health or sexual orientation.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u w:val="single" w:color="auto"/>
          <w:color w:val="auto"/>
        </w:rPr>
        <w:t>Compliance with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if and to the extent applicable, the European Union General Data Protection Regulation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(EU 2016/679) in all material respects (collectively, the “</w:t>
      </w:r>
      <w:r>
        <w:rPr>
          <w:rFonts w:ascii="Times New Roman" w:cs="Times New Roman" w:eastAsia="Times New Roman" w:hAnsi="Times New Roman"/>
          <w:sz w:val="18"/>
          <w:szCs w:val="18"/>
          <w:b w:val="1"/>
          <w:bCs w:val="1"/>
          <w:i w:val="1"/>
          <w:iCs w:val="1"/>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by any governmental or regulatory authority under any Privacy Law.</w:t>
      </w:r>
    </w:p>
    <w:p>
      <w:pPr>
        <w:spacing w:after="0" w:line="19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2.38 </w:t>
      </w:r>
      <w:r>
        <w:rPr>
          <w:rFonts w:ascii="Times New Roman" w:cs="Times New Roman" w:eastAsia="Times New Roman" w:hAnsi="Times New Roman"/>
          <w:sz w:val="17"/>
          <w:szCs w:val="17"/>
          <w:u w:val="single" w:color="auto"/>
          <w:color w:val="auto"/>
        </w:rPr>
        <w:t>Compliance with Health Care Laws</w:t>
      </w:r>
      <w:r>
        <w:rPr>
          <w:rFonts w:ascii="Times New Roman" w:cs="Times New Roman" w:eastAsia="Times New Roman" w:hAnsi="Times New Roman"/>
          <w:sz w:val="17"/>
          <w:szCs w:val="17"/>
          <w:color w:val="auto"/>
        </w:rPr>
        <w:t>. The Company and its subsidiaries are, and at all times have been, in compliance with all Health Care Laws. For purposes of this Agreement, “</w:t>
      </w:r>
      <w:r>
        <w:rPr>
          <w:rFonts w:ascii="Times New Roman" w:cs="Times New Roman" w:eastAsia="Times New Roman" w:hAnsi="Times New Roman"/>
          <w:sz w:val="17"/>
          <w:szCs w:val="17"/>
          <w:b w:val="1"/>
          <w:bCs w:val="1"/>
          <w:i w:val="1"/>
          <w:iCs w:val="1"/>
          <w:color w:val="auto"/>
        </w:rPr>
        <w:t>Health Care Laws</w:t>
      </w:r>
      <w:r>
        <w:rPr>
          <w:rFonts w:ascii="Times New Roman" w:cs="Times New Roman" w:eastAsia="Times New Roman" w:hAnsi="Times New Roman"/>
          <w:sz w:val="17"/>
          <w:szCs w:val="17"/>
          <w:color w:val="auto"/>
        </w:rPr>
        <w:t>” means: (i) the Federal Food, Drug, and Cosmetic Act (21 U.S.C. Section 301 et seq.), the Public Health Service Act (42 U.S.C. Section 201 et seq.), and the regulations promulgated thereunder; (ii) all applicable federal and state health care fraud and abuse laws, including, without limitation, the federal Anti-Kickback Statute (42 U.S.C. Section 1320a-7b(b)), the federal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17"/>
          <w:szCs w:val="17"/>
          <w:b w:val="1"/>
          <w:bCs w:val="1"/>
          <w:i w:val="1"/>
          <w:iCs w:val="1"/>
          <w:color w:val="auto"/>
        </w:rPr>
        <w:t>HIPAA</w:t>
      </w:r>
      <w:r>
        <w:rPr>
          <w:rFonts w:ascii="Times New Roman" w:cs="Times New Roman" w:eastAsia="Times New Roman" w:hAnsi="Times New Roman"/>
          <w:sz w:val="17"/>
          <w:szCs w:val="17"/>
          <w:color w:val="auto"/>
        </w:rPr>
        <w:t>”) (42 U.S.C. Section 1320d et seq.), the civil monetary penalties law (42 U.S.C. Section 1320a-7a), the exclusion law (42 U.S.C. Section 1320a-7), the Physician Payments Sunshine Act (42 U.S.C. Section 1320-7h), and the rules and regulations promulgated thereunder by the Food and Drug Administration; (iii) HIPAA, as amended by the Health Information Technology for Economic and Clinical Health Act (42 U.S.C. Section 17921 et seq.); (iv) licensure, quality, safety and accreditation requirements under applicable federal, state, local or foreign laws or regulatory bodies; and (v) all other local, state, federal, national, supranational and foreign laws, relating to the regulation of the Company or its subsidiaries, and (vi)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3" w:name="page34"/>
    <w:bookmarkEnd w:id="3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claim, action, suit, proceeding, hearing, enforcement, investigation, arbitration or other action threatened related to any Health Care Laws.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related to a violation of Health Care Laws. Additionally, neither the Company, any of its subsidiaries nor, to its knowledge,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94"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2.39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Article III, no registration under the Securities Act is required for the offer and sale of the Securities by the Company to the Purchasers as contemplated hereby. The issuance and sale of the Securities hereunder does not contravene the rules and regulations of Nasdaq.</w:t>
      </w:r>
    </w:p>
    <w:p>
      <w:pPr>
        <w:spacing w:after="0" w:line="17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2.40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Article III hereof,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Nasdaq.</w:t>
      </w:r>
    </w:p>
    <w:p>
      <w:pPr>
        <w:spacing w:after="0" w:line="183"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SEC Documents and other than the Purchasers,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2.42 </w:t>
      </w:r>
      <w:r>
        <w:rPr>
          <w:rFonts w:ascii="Times New Roman" w:cs="Times New Roman" w:eastAsia="Times New Roman" w:hAnsi="Times New Roman"/>
          <w:sz w:val="17"/>
          <w:szCs w:val="17"/>
          <w:u w:val="single" w:color="auto"/>
          <w:color w:val="auto"/>
        </w:rPr>
        <w:t>Acknowledgment Regarding Purchaser’s Trading Activity</w:t>
      </w:r>
      <w:r>
        <w:rPr>
          <w:rFonts w:ascii="Times New Roman" w:cs="Times New Roman" w:eastAsia="Times New Roman" w:hAnsi="Times New Roman"/>
          <w:sz w:val="17"/>
          <w:szCs w:val="17"/>
          <w:color w:val="auto"/>
        </w:rPr>
        <w:t>. Anything in this Agreement or elsewhere herein to the contrary notwithstanding, it is understood and acknowledged by the Company that: (i)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 any Purchaser, and counter-parties in “derivative” transactions to which any such Purchaser is a party, directly or indirectly, presently may have a “short” position in the Common Stock and (iii)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w:t>
      </w:r>
    </w:p>
    <w:p>
      <w:pPr>
        <w:spacing w:after="0" w:line="2" w:lineRule="exact"/>
        <w:rPr>
          <w:sz w:val="20"/>
          <w:szCs w:val="20"/>
          <w:color w:val="auto"/>
        </w:rPr>
      </w:pPr>
    </w:p>
    <w:p>
      <w:pPr>
        <w:ind w:left="4" w:right="20" w:hanging="4"/>
        <w:spacing w:after="0" w:line="255"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Form S-3 Eligibility</w:t>
      </w:r>
      <w:r>
        <w:rPr>
          <w:rFonts w:ascii="Times New Roman" w:cs="Times New Roman" w:eastAsia="Times New Roman" w:hAnsi="Times New Roman"/>
          <w:sz w:val="18"/>
          <w:szCs w:val="18"/>
          <w:color w:val="auto"/>
        </w:rPr>
        <w:t>. The Company is eligible to register the resale of the Shares and Warrant Shares for resale by the Purchasers on Form S-3 promulgated under the Securities Act.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4" w:name="page35"/>
    <w:bookmarkEnd w:id="34"/>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2.44 </w:t>
      </w:r>
      <w:r>
        <w:rPr>
          <w:rFonts w:ascii="Times New Roman" w:cs="Times New Roman" w:eastAsia="Times New Roman" w:hAnsi="Times New Roman"/>
          <w:sz w:val="17"/>
          <w:szCs w:val="17"/>
          <w:u w:val="single" w:color="auto"/>
          <w:color w:val="auto"/>
        </w:rPr>
        <w:t>No Disqualification Events</w:t>
      </w:r>
      <w:r>
        <w:rPr>
          <w:rFonts w:ascii="Times New Roman" w:cs="Times New Roman" w:eastAsia="Times New Roman" w:hAnsi="Times New Roman"/>
          <w:sz w:val="17"/>
          <w:szCs w:val="17"/>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 to</w:t>
      </w:r>
    </w:p>
    <w:p>
      <w:pPr>
        <w:spacing w:after="0" w:line="3" w:lineRule="exact"/>
        <w:rPr>
          <w:sz w:val="20"/>
          <w:szCs w:val="20"/>
          <w:color w:val="auto"/>
        </w:rPr>
      </w:pPr>
    </w:p>
    <w:p>
      <w:pPr>
        <w:ind w:left="4" w:right="160" w:hanging="4"/>
        <w:spacing w:after="0" w:line="277" w:lineRule="auto"/>
        <w:tabs>
          <w:tab w:leader="none" w:pos="4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Securities Act (a “Disqualification Event”),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p>
    <w:p>
      <w:pPr>
        <w:spacing w:after="0" w:line="169"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 AND COVENANTS OF PURCHASERS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Purchaser, for itself and for no other Purchaser, hereby represents, warrants and covenants to the Company as follows:</w:t>
      </w:r>
    </w:p>
    <w:p>
      <w:pPr>
        <w:spacing w:after="0" w:line="225" w:lineRule="exact"/>
        <w:rPr>
          <w:sz w:val="20"/>
          <w:szCs w:val="20"/>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Authorization and Power</w:t>
      </w:r>
      <w:r>
        <w:rPr>
          <w:rFonts w:ascii="Times New Roman" w:cs="Times New Roman" w:eastAsia="Times New Roman" w:hAnsi="Times New Roman"/>
          <w:sz w:val="17"/>
          <w:szCs w:val="17"/>
          <w:color w:val="auto"/>
        </w:rPr>
        <w:t>. Such Purchaser has the requisite power and authority to enter into and perform the Transaction Documents and to purchase the Securities being sold to it hereunder. The execution, delivery and performance of this Agreement by such Purchaser and the consummation by it of the transactions contemplated hereby have been duly authorized by all necessary corporate action, and no further consent or authorization of such Purchaser or its board of directors, stockholders or other governing body is required. When executed and delivered by such Purchaser, this Agreement shall constitute a valid and binding obligation of such Purchaser, enforceable against such Purchaser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spacing w:after="0" w:line="171"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Documents by such Purchaser and the consummation by such</w:t>
      </w:r>
    </w:p>
    <w:p>
      <w:pPr>
        <w:spacing w:after="0" w:line="27"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7"/>
          <w:szCs w:val="17"/>
          <w:color w:val="auto"/>
        </w:rPr>
        <w:t>Purchaser of the transactions contemplated hereby do not and will not (i) violate any provision of such Purchaser’s charter or organizational documents,</w:t>
      </w:r>
    </w:p>
    <w:p>
      <w:pPr>
        <w:spacing w:after="0" w:line="21" w:lineRule="exact"/>
        <w:rPr>
          <w:sz w:val="20"/>
          <w:szCs w:val="20"/>
          <w:color w:val="auto"/>
        </w:rPr>
      </w:pPr>
    </w:p>
    <w:p>
      <w:pPr>
        <w:ind w:left="4" w:right="260" w:hanging="4"/>
        <w:spacing w:after="0" w:line="253"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such Purchaser is a party or by which such Purchaser’s properties or assets are bound, or (iii) result in a violation of any federal, state, local or foreign statute, rule, regulation, order, judgment or decree (including federal and state securities laws and regulations) applicable to such Purchaser or by which any property or asset of such Purchaser are bound or affected.</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5" w:name="page36"/>
    <w:bookmarkEnd w:id="3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Purchaser Sophistication; Accredited Investor</w:t>
      </w:r>
      <w:r>
        <w:rPr>
          <w:rFonts w:ascii="Times New Roman" w:cs="Times New Roman" w:eastAsia="Times New Roman" w:hAnsi="Times New Roman"/>
          <w:sz w:val="18"/>
          <w:szCs w:val="18"/>
          <w:color w:val="auto"/>
        </w:rPr>
        <w:t>. At the time such Purchaser was offered the Securities, as of the date hereof, such Purchaser</w:t>
      </w:r>
    </w:p>
    <w:p>
      <w:pPr>
        <w:spacing w:after="0" w:line="27" w:lineRule="exact"/>
        <w:rPr>
          <w:sz w:val="20"/>
          <w:szCs w:val="20"/>
          <w:color w:val="auto"/>
        </w:rPr>
      </w:pPr>
    </w:p>
    <w:p>
      <w:pPr>
        <w:ind w:left="4" w:hanging="4"/>
        <w:spacing w:after="0" w:line="250"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knowledgeable, sophisticated and experienced in making, and is qualified to make decisions with respect to, investments in shares presenting an investment decision like that involved in the purchase of the Securities, including investments in securities issued by the Company and investments in comparable companies, and has requested, received, reviewed and considered all information it deemed relevant in making an informed decision to purchase the Securities; (b) in connection with its decision to purchase the Securities, relied only upon the SEC Documents, other publicly available information, and the representations and warranties of the Company contained herein; (c) is an “accredited investor” pursuant to Rule 501 of Regulation D under the Securities Act; (d) is acquiring the Securities for its own account for investment only and with no present intention of distributing any of the Securities or any arrangement or understanding with any other persons regarding the distribution of the Securities; (e) has not been organized, reorganized or recapitalized specifically for the purpose of investing in the Securities; (f) will not, directly or indirectly, offer, sell, pledge, transfer or otherwise dispose of (or solicit any offers to buy, purchase or otherwise acquire to take a pledge of) any of the Securities except in compliance with the Securities Act and applicable state securities laws; (g) understands that the Securities are being offered and sold to it in reliance upon specific exemptions from the registration requirements of the Securities Act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w:t>
      </w:r>
    </w:p>
    <w:p>
      <w:pPr>
        <w:spacing w:after="0" w:line="5" w:lineRule="exact"/>
        <w:rPr>
          <w:rFonts w:ascii="Times New Roman" w:cs="Times New Roman" w:eastAsia="Times New Roman" w:hAnsi="Times New Roman"/>
          <w:sz w:val="18"/>
          <w:szCs w:val="18"/>
          <w:color w:val="auto"/>
        </w:rPr>
      </w:pPr>
    </w:p>
    <w:p>
      <w:pPr>
        <w:ind w:left="4" w:right="300" w:hanging="4"/>
        <w:spacing w:after="0" w:line="265" w:lineRule="auto"/>
        <w:tabs>
          <w:tab w:leader="none" w:pos="25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understands that its investment in the Securities involves a significant degree of risk, including a risk of total loss of such Purchaser’s investment (provided that such acknowledgment in no way diminishes the representations, warranties and covenants made by the Company hereunder); and</w:t>
      </w:r>
    </w:p>
    <w:p>
      <w:pPr>
        <w:ind w:left="4" w:right="940" w:hanging="4"/>
        <w:spacing w:after="0" w:line="260" w:lineRule="auto"/>
        <w:tabs>
          <w:tab w:leader="none" w:pos="2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that no United States federal or state agency or any other government or governmental agency has passed upon or made any recommendation or endorsement of the Securities.</w:t>
      </w:r>
    </w:p>
    <w:p>
      <w:pPr>
        <w:spacing w:after="0" w:line="181"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Such Purchaser acknowledges that the Securities are restricted securities and must be held indefinitely unless subsequently registered under the Securities Act or (if the Company is not selling the Securities pursuant to Rule 144 promulgated under the Securities Act) the Company receives an opinion of counsel reasonably satisfactory to the Company that such registration is not required. Such Purchaser is aware of the provisions of Rule 144 promulgated under the Securities Act which provide a safe harbor for the limited resale of stock purchased in a private placement subject to the satisfaction of certain conditions (if applicable), including, among other things, the existence of a public market for the stock, the availability of certain current public information about the Company, the resale occurring after certain holding periods have been met, the sale being conducted through a “broker’s transaction” or a transaction directly with a “market maker” and the number of shares of the stock being sold during any three-month period not exceeding specified limitations. Such Purchaser further acknowledges and understands that the Company may not be satisfying the current public information requirement of Rule 144 at the time such Purchaser wishes to sell the Shares and, if so, such Purchaser may be precluded from selling the Shares under Rule 144 even if the required holding period has been satisfied.</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xml:space="preserve">. Such Purchaser is a resident of or an entity organized under the jurisdiction specified below its address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Ownership of Capital Stock</w:t>
      </w:r>
      <w:r>
        <w:rPr>
          <w:rFonts w:ascii="Times New Roman" w:cs="Times New Roman" w:eastAsia="Times New Roman" w:hAnsi="Times New Roman"/>
          <w:sz w:val="18"/>
          <w:szCs w:val="18"/>
          <w:color w:val="auto"/>
        </w:rPr>
        <w:t>. Except as previously disclosed to the Company in writing or by email and excluding the Shares, such Purchaser and its affiliates beneficially own no shares of capital stock of the Company as of the date hereof.</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36" w:name="page37"/>
    <w:bookmarkEnd w:id="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Stock Legends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80" w:firstLine="987"/>
        <w:spacing w:after="0" w:line="282"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acknowledges that certificates evidencing the Securities shall bear a restrictive legend in substantially the following form (and including related stock transfer instructions and record notations):</w:t>
      </w:r>
    </w:p>
    <w:p>
      <w:pPr>
        <w:spacing w:after="0" w:line="54" w:lineRule="exact"/>
        <w:rPr>
          <w:sz w:val="20"/>
          <w:szCs w:val="20"/>
          <w:color w:val="auto"/>
        </w:rPr>
      </w:pPr>
    </w:p>
    <w:p>
      <w:pPr>
        <w:ind w:left="444" w:right="260"/>
        <w:spacing w:after="0" w:line="255" w:lineRule="auto"/>
        <w:rPr>
          <w:sz w:val="20"/>
          <w:szCs w:val="20"/>
          <w:color w:val="auto"/>
        </w:rPr>
      </w:pPr>
      <w:r>
        <w:rPr>
          <w:rFonts w:ascii="Times New Roman" w:cs="Times New Roman" w:eastAsia="Times New Roman" w:hAnsi="Times New Roman"/>
          <w:sz w:val="18"/>
          <w:szCs w:val="18"/>
          <w:color w:val="auto"/>
        </w:rPr>
        <w:t>THESE SECURITIES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OR BLUE SKY LAWS AS EVIDENCED BY A LEGAL OPINION OF COUNSEL REASONABLY SATISFACTORY TO THE COMPANY.</w:t>
      </w:r>
    </w:p>
    <w:p>
      <w:pPr>
        <w:spacing w:after="0" w:line="189" w:lineRule="exact"/>
        <w:rPr>
          <w:sz w:val="20"/>
          <w:szCs w:val="20"/>
          <w:color w:val="auto"/>
        </w:rPr>
      </w:pPr>
    </w:p>
    <w:p>
      <w:pPr>
        <w:ind w:left="4" w:firstLine="987"/>
        <w:spacing w:after="0" w:line="269" w:lineRule="auto"/>
        <w:tabs>
          <w:tab w:leader="none" w:pos="125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at its sole expense, upon appropriate notice from any Purchaser stating that Registrable Shares have been sold pursuant to an effective registration statement naming the Purchasers as selling securityholders (the “</w:t>
      </w:r>
      <w:r>
        <w:rPr>
          <w:rFonts w:ascii="Times New Roman" w:cs="Times New Roman" w:eastAsia="Times New Roman" w:hAnsi="Times New Roman"/>
          <w:sz w:val="17"/>
          <w:szCs w:val="17"/>
          <w:b w:val="1"/>
          <w:bCs w:val="1"/>
          <w:i w:val="1"/>
          <w:iCs w:val="1"/>
          <w:color w:val="auto"/>
        </w:rPr>
        <w:t>Resale Registration Statement</w:t>
      </w:r>
      <w:r>
        <w:rPr>
          <w:rFonts w:ascii="Times New Roman" w:cs="Times New Roman" w:eastAsia="Times New Roman" w:hAnsi="Times New Roman"/>
          <w:sz w:val="17"/>
          <w:szCs w:val="17"/>
          <w:color w:val="auto"/>
        </w:rPr>
        <w:t>”), timely prepare and deliver certificates or book-entry shares representing the Securities to be delivered to a transferee pursuant to the Resale Registration Statement, which certificates or book-entry shares shall be free of any restrictive legends and in such denominations and registered in such names as such Purchaser may request. Further, the Company shall, at its sole expense, cause its legal counsel or other counsel satisfactory to the Company’s transfer agent:</w:t>
      </w:r>
    </w:p>
    <w:p>
      <w:pPr>
        <w:spacing w:after="0" w:line="2" w:lineRule="exact"/>
        <w:rPr>
          <w:rFonts w:ascii="Times New Roman" w:cs="Times New Roman" w:eastAsia="Times New Roman" w:hAnsi="Times New Roman"/>
          <w:sz w:val="17"/>
          <w:szCs w:val="17"/>
          <w:color w:val="auto"/>
        </w:rPr>
      </w:pPr>
    </w:p>
    <w:p>
      <w:pPr>
        <w:ind w:left="4" w:hanging="4"/>
        <w:spacing w:after="0" w:line="250"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Resale Registration Statement is effective, to issue to the Company’s transfer agent a “blanket” legal opinion to allow sales without restriction pursuant to the effective Resale Registration Statement, and (ii) provide all other opinions as may reasonably be required by the Company’s transfer agent in connection with the removal of legends. A Purchaser may request that the Company remove, and the Company agrees to authorize the removal of, any legend from such Securities, following the delivery by a Purchaser to the Company or the Company’s transfer agent of a legended certificate representing such Securities: (i) following any sale of such Securities pursuant to Rule 144, (ii) if such Securities are eligible for sale under Rule 144(b)(1), or (iii) following the time that the Resale Registration Statement is declared effective. If all or any portion of a Pre-Funded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Pre-Funded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then such Warrant Shares shall be issued free of all legends. Certificates for Securities free from all restrictive legends may be transmitted by the Company’s transfer agent to the Purchasers by crediting the account of the Purchaser’s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as directed by such Purchaser. The Company warrants that the Securities shall otherwise be freely transferable on the books and records of the Company as and to the extent provided in this Agreement. If a Purchaser effects a transfer of the Securities in accordance with the Section 3.7(b),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severally and not jointly with the other Purchasers, agrees with the Company that such Purchaser will only sell Securities pursuant to either the registration requirements of the Securities Act, including any applicable prospectus delivery requirements, or an exemption therefrom, and that if Securities are sold pursuant to the Resale Registration Statement, they will be sold in compliance with the plan of distribution set forth therein, and acknowledges that the removal of the restrictive legend from certificates representing Securities as set forth in this Section 3.7(b) is predicated upon the Company’s reliance upon this understanding.</w:t>
      </w:r>
    </w:p>
    <w:p>
      <w:pPr>
        <w:spacing w:after="0" w:line="13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37" w:name="page38"/>
    <w:bookmarkEnd w:id="37"/>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3.8 </w:t>
      </w:r>
      <w:r>
        <w:rPr>
          <w:rFonts w:ascii="Times New Roman" w:cs="Times New Roman" w:eastAsia="Times New Roman" w:hAnsi="Times New Roman"/>
          <w:sz w:val="18"/>
          <w:szCs w:val="18"/>
          <w:u w:val="single" w:color="auto"/>
          <w:color w:val="auto"/>
        </w:rPr>
        <w:t>No Legal, Tax or Investment Advice</w:t>
      </w:r>
      <w:r>
        <w:rPr>
          <w:rFonts w:ascii="Times New Roman" w:cs="Times New Roman" w:eastAsia="Times New Roman" w:hAnsi="Times New Roman"/>
          <w:sz w:val="18"/>
          <w:szCs w:val="18"/>
          <w:color w:val="auto"/>
        </w:rPr>
        <w:t>. Such Purchaser understands that nothing in this Agreement or any other materials presented by or on behalf of the Company to such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No General Solicitation; Pre-Existing Relationship</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 Such Purchaser also represents that such Purchaser was contacted regarding the sale of the Securities by the Company (or an authorized agent or representative of the Company) with which such Purchaser had a substantial pre-existing relationship.</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The Securities to be received by such Purchaser hereunder will be acquired for such Purchaser’s own account, not as nominee or agent, and not with a view to the resale or distribution of any part thereof in violation of the Securities Act, and such Purchaser has no present intention of selling, granting any participation in, or otherwise distributing the same in violation of the Securities Act without prejudice, however, to such Purchaser’s right at all times to sell or otherwise dispose of all or any part of such Securities in compliance with applicable federal and state securities laws. Nothing contained herein shall be deemed a representation or warranty by such Purchaser to hold the Securities for any period of time.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Such Purchaser has had an opportunity to receive all information related to the Company requested by it and to ask questions of and receive answers from the Company regarding the Company, its business and the terms and conditions of the offering of the Securities. Such Purchaser acknowledges receipt of copies of the SEC Documents (or access thereto via EDGAR). Neither such inquiries nor any other due diligence investigation conducted by such Purchaser shall modify, limit or otherwise affect such Purchaser’s right to rely on the Company’s representations and warranties contained in this Agreement.</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No Rule 506 Disqualifying Activities</w:t>
      </w:r>
      <w:r>
        <w:rPr>
          <w:rFonts w:ascii="Times New Roman" w:cs="Times New Roman" w:eastAsia="Times New Roman" w:hAnsi="Times New Roman"/>
          <w:sz w:val="18"/>
          <w:szCs w:val="18"/>
          <w:color w:val="auto"/>
        </w:rPr>
        <w:t>. Such Purchaser has not taken any of the actions set forth in, and is not subject to, the disqualification provisions of Rule 506(d)(1) of the Securities Act.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w:t>
      </w:r>
    </w:p>
    <w:p>
      <w:pPr>
        <w:spacing w:after="0" w:line="9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Further Transfers</w:t>
      </w:r>
      <w:r>
        <w:rPr>
          <w:rFonts w:ascii="Times New Roman" w:cs="Times New Roman" w:eastAsia="Times New Roman" w:hAnsi="Times New Roman"/>
          <w:sz w:val="18"/>
          <w:szCs w:val="18"/>
          <w:color w:val="auto"/>
        </w:rPr>
        <w:t>. Each Purchaser covenants that the Securities will only be sold, offered for sale, pledged, loaned, or otherwise disposed of pursuant to an effective registration statement under, and in compliance with the requirements of, the Securities Act or pursuant to an available exemption from the registration requirements of the Securities Act, and in compliance with any applicable state securities laws. In connection with any transfer of Securities other than pursuant to an effective registration statement or Rule 144, the Company may require such Purchaser to provide to the Company an opinion of counsel selected by such Purchaser, the form and substance of which opinion shall be reasonably satisfactory to the Company, to the effect that such transfer does not require registration under the Securities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8" w:name="page39"/>
    <w:bookmarkEnd w:id="3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pursuant to this Agreement in a manner that would require the registration under the Securities Act of the sale of the Securities to the Purchasers, or that will be integrated with the offer or sale of the Securities pursuant to this Agreement for purposes of the rules and regulations of Nasdaq such that it would require stockholder approval prior to the closing of such other transaction unless stockholder approval is obtained before the closing of such subsequent transaction. The Purchasers shall take no action to become a group such that any transactions contemplated by this Agreement would require shareholder approval prior to Closing.</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and continuing to and including the date that is the earlier of (i) 90 days after the Closing Date and (ii) the date on which a registration statement with respect to the resale of all of the Shares and Warrant Shares is declared effective by the Commission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the Company shall not, and shall not cause or direct any of its affiliates to (A) offer, sell, contract to sell, pledge, grant any option to purchase, make any short sale or otherwise transfer or dispose of, directly or indirectly, any shares of Common Stock or any securities convertible into or exchangeable for, or that represent the right to receive, shares of Common Stock, except for new issuances of Common Stock of the Company for a price per share that is greater than or equal to the greater of the Price Per Share or the closing price on the trading day immediately preceding the date of the agreement to purchase such shares, or (B) file with the Commission a registration statement under the Securities Act relating to any shares of Common Stock or any securities convertible into or exchangeable for, or that represent the right to receive, shares of Common Stock, except pursuant to the terms of the Registration Rights Agreement. Notwithstanding anything to the contrary contained herein, the foregoing restrictions shall not apply to (a) the Securities to be issued and sold pursuant to this Agreement, including the issuance of Warrant Shares upon the exercise of the exercise of the Pre-Funded Warrants, (b) any shares of Common Stock or any securities or other awards (including without limitation options, restricted stock or restricted stock units) convertible into, exercisable for, or that represent the right to receive, shares of Common Stock pursuant to any stock option plan, incentive plan or stock purchase plan of the Company (collectively, “</w:t>
      </w:r>
      <w:r>
        <w:rPr>
          <w:rFonts w:ascii="Times New Roman" w:cs="Times New Roman" w:eastAsia="Times New Roman" w:hAnsi="Times New Roman"/>
          <w:sz w:val="18"/>
          <w:szCs w:val="18"/>
          <w:b w:val="1"/>
          <w:bCs w:val="1"/>
          <w:i w:val="1"/>
          <w:iCs w:val="1"/>
          <w:color w:val="auto"/>
        </w:rPr>
        <w:t>Company Stock Plans</w:t>
      </w:r>
      <w:r>
        <w:rPr>
          <w:rFonts w:ascii="Times New Roman" w:cs="Times New Roman" w:eastAsia="Times New Roman" w:hAnsi="Times New Roman"/>
          <w:sz w:val="18"/>
          <w:szCs w:val="18"/>
          <w:color w:val="auto"/>
        </w:rPr>
        <w:t xml:space="preserve">”) or otherwise in equity compensation arrangements described in the SEC Documents that are in effect as of the date hereof, (c) any shares of Common Stock issued upon the conversion, exercise or exchange of convertible, exercisable or exchangeable securities outstanding as of the date hereof and described in the SEC Documents that are in effect as of the date hereof, and (e) any shares of Common Stock or any securities convertible into or exchangeable for, or that represent the right to receive, shares of Common Stock issued in connection with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licensing, commercialization, joint venture, technology transfer or development collaboration agreement with an unaffiliated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that the Company may sell or issue or agree to sell or issue pursuant to clause (e) shall not exceed 5.0% of the total number of shares of Common Stock issued and outstanding immediately following the issuance and sale of the Securities to be sold pursuant to this Agreement.</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9" w:name="page40"/>
    <w:bookmarkEnd w:id="39"/>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9:30 a.m. (New York City time) on the Trading Day immediately following the date hereof, issue a press release disclosing the material terms of the transactions contemplated hereby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and (b) by 5:30 p.m. (New York City time) on the fourth Trading Day following the date hereof, file a Current Report on Form 8-K disclosing the material terms of the transactions contemplated hereby in the form required by the Exchange Act and attaching as exhibits to such Current Report on Form 8-K this Agreement and the Registration Rights Agreement (including all attachments, the “</w:t>
      </w:r>
      <w:r>
        <w:rPr>
          <w:rFonts w:ascii="Times New Roman" w:cs="Times New Roman" w:eastAsia="Times New Roman" w:hAnsi="Times New Roman"/>
          <w:sz w:val="18"/>
          <w:szCs w:val="18"/>
          <w:b w:val="1"/>
          <w:bCs w:val="1"/>
          <w:i w:val="1"/>
          <w:iCs w:val="1"/>
          <w:color w:val="auto"/>
        </w:rPr>
        <w:t>8-K Filing</w:t>
      </w:r>
      <w:r>
        <w:rPr>
          <w:rFonts w:ascii="Times New Roman" w:cs="Times New Roman" w:eastAsia="Times New Roman" w:hAnsi="Times New Roman"/>
          <w:sz w:val="18"/>
          <w:szCs w:val="18"/>
          <w:color w:val="auto"/>
        </w:rPr>
        <w:t xml:space="preserve">”). Subject to the foregoing, neither the Company nor any Purchaser shall issue any press releases or any other public statements with respect to the transactions contemplated hereby except as may be reviewed and approved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be entitled, without the prior approval of any Purchaser, to make any press release or other public disclosure with respect to the transactions contemplated hereby,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the Company shall not publicly disclose the name of any Purchaser or any Affiliate of any Purchaser except as otherwise required by applicable law and regulations or as agreed to by the applicable Purchaser.</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 Until the earlier of the time that (i) no Purchaser owns Securities or (ii) the Pre-Funded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40" w:name="page41"/>
    <w:bookmarkEnd w:id="40"/>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4.9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4.9,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w:t>
      </w:r>
    </w:p>
    <w:p>
      <w:pPr>
        <w:spacing w:after="0" w:line="10" w:lineRule="exact"/>
        <w:rPr>
          <w:sz w:val="20"/>
          <w:szCs w:val="20"/>
          <w:color w:val="auto"/>
        </w:rPr>
      </w:pPr>
    </w:p>
    <w:p>
      <w:pPr>
        <w:ind w:left="4" w:right="40" w:hanging="4"/>
        <w:spacing w:after="0" w:line="251" w:lineRule="auto"/>
        <w:tabs>
          <w:tab w:leader="none" w:pos="2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4.9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Pre-Funded Warrants.</w:t>
      </w:r>
    </w:p>
    <w:p>
      <w:pPr>
        <w:spacing w:after="0" w:line="176"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Nasdaq, and concurrently with the Closing, the Company shall apply to list or quote all of the Shares and Warrant Shares on Nasdaq and promptly secure the listing of all of the Shares and Warrant Shares on Nasdaq. The Company will then take all action reasonably necessary to continue the listing and trading of its Common Stock on Nasdaq and will comply in all respects with the Company’s reporting, filing and other obligations under the bylaws or rules of Nasdaq.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41" w:name="page42"/>
    <w:bookmarkEnd w:id="4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Precedent to the Obligations of the Purchasers</w:t>
      </w:r>
      <w:r>
        <w:rPr>
          <w:rFonts w:ascii="Times New Roman" w:cs="Times New Roman" w:eastAsia="Times New Roman" w:hAnsi="Times New Roman"/>
          <w:sz w:val="18"/>
          <w:szCs w:val="18"/>
          <w:color w:val="auto"/>
        </w:rPr>
        <w:t>. The obligation of the Purchasers to acquire the Securities at the Closing is subject to the satisfaction or waiver by the Purchasers, at or before the Closing, of each of the following conditions:</w:t>
      </w:r>
    </w:p>
    <w:p>
      <w:pPr>
        <w:spacing w:after="0" w:line="162" w:lineRule="exact"/>
        <w:rPr>
          <w:sz w:val="20"/>
          <w:szCs w:val="20"/>
          <w:color w:val="auto"/>
        </w:rPr>
      </w:pPr>
    </w:p>
    <w:p>
      <w:pPr>
        <w:ind w:right="80" w:firstLine="987"/>
        <w:spacing w:after="0" w:line="256"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in Article II shall be true and correct in all respects as of the date of this Agreement and as of the Closing Date, except to the extent any such representation or warranty expressly speaks as of an earlier date, in which case such representation or warranty shall be true and correct as of such earlier date, and, the representations and warranties made by the Company in Article II hereof not qualified as to materiality shall be true and correct in all material respects as of the date hereof and the Closing Date, except to the extent any such representation or warranty expressly speaks as of an earlier date, in which case such representation or warranty shall be true and correct in all material respects as of such earlier date.</w:t>
      </w:r>
    </w:p>
    <w:p>
      <w:pPr>
        <w:spacing w:after="0" w:line="187"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and complied, in all material respects, with all covenants, agreements, obligations and conditions contained in this Agreement that are required to be performed or complied with by the Company on or before the Closing, including, without limitation, the delivery by the Company of the items contemplated by Section 1.4(a).</w:t>
      </w:r>
    </w:p>
    <w:p>
      <w:pPr>
        <w:spacing w:after="0" w:line="175"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2" w:name="page43"/>
    <w:bookmarkEnd w:id="42"/>
    <w:p>
      <w:pPr>
        <w:ind w:right="60" w:firstLine="987"/>
        <w:spacing w:after="0" w:line="282"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Nasdaq Objection</w:t>
      </w:r>
      <w:r>
        <w:rPr>
          <w:rFonts w:ascii="Times New Roman" w:cs="Times New Roman" w:eastAsia="Times New Roman" w:hAnsi="Times New Roman"/>
          <w:sz w:val="18"/>
          <w:szCs w:val="18"/>
          <w:color w:val="auto"/>
        </w:rPr>
        <w:t>. Nasdaq shall have raised no objection to the consummation of the transactions contemplated by the Transaction Documents in the absence of stockholder approval of such transactions.</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Additional Shares</w:t>
      </w:r>
      <w:r>
        <w:rPr>
          <w:rFonts w:ascii="Times New Roman" w:cs="Times New Roman" w:eastAsia="Times New Roman" w:hAnsi="Times New Roman"/>
          <w:sz w:val="18"/>
          <w:szCs w:val="18"/>
          <w:color w:val="auto"/>
        </w:rPr>
        <w:t>. The Company shall have submitted a Listing of Additional Shares Notification with Nasdaq covering all of the Shares and the Warrant Shares.</w:t>
      </w:r>
    </w:p>
    <w:p>
      <w:pPr>
        <w:spacing w:after="0" w:line="161" w:lineRule="exact"/>
        <w:rPr>
          <w:rFonts w:ascii="Times New Roman" w:cs="Times New Roman" w:eastAsia="Times New Roman" w:hAnsi="Times New Roman"/>
          <w:sz w:val="18"/>
          <w:szCs w:val="18"/>
          <w:color w:val="auto"/>
        </w:rPr>
      </w:pPr>
    </w:p>
    <w:p>
      <w:pPr>
        <w:ind w:right="780" w:firstLine="987"/>
        <w:spacing w:after="0" w:line="282" w:lineRule="auto"/>
        <w:tabs>
          <w:tab w:leader="none" w:pos="1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Company shall have executed and delivered the Registration Rights Agreement, and the Registration Rights Agreement shall be in full force and effect.</w:t>
      </w:r>
    </w:p>
    <w:p>
      <w:pPr>
        <w:spacing w:after="0" w:line="161"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Suspensions of Trading in Common Stock</w:t>
      </w:r>
      <w:r>
        <w:rPr>
          <w:rFonts w:ascii="Times New Roman" w:cs="Times New Roman" w:eastAsia="Times New Roman" w:hAnsi="Times New Roman"/>
          <w:sz w:val="18"/>
          <w:szCs w:val="18"/>
          <w:color w:val="auto"/>
        </w:rPr>
        <w:t>. The Common Stock shall not have been suspended, as of the Closing Date, by the Commission or Nasdaq from trading on Nasdaq.</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There shall have been no Material Adverse Change with respect to the Company since the date hereof.</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Precedent to the Obligations of the Company</w:t>
      </w:r>
      <w:r>
        <w:rPr>
          <w:rFonts w:ascii="Times New Roman" w:cs="Times New Roman" w:eastAsia="Times New Roman" w:hAnsi="Times New Roman"/>
          <w:sz w:val="18"/>
          <w:szCs w:val="18"/>
          <w:color w:val="auto"/>
        </w:rPr>
        <w:t>. The obligation of the Company to issue the Securities at the Closing is subject to the satisfaction or waiver by the Company, at or before the Closing, of each of the following conditions:</w:t>
      </w:r>
    </w:p>
    <w:p>
      <w:pPr>
        <w:spacing w:after="0" w:line="162" w:lineRule="exact"/>
        <w:rPr>
          <w:sz w:val="20"/>
          <w:szCs w:val="20"/>
          <w:color w:val="auto"/>
        </w:rPr>
      </w:pPr>
    </w:p>
    <w:p>
      <w:pPr>
        <w:ind w:right="8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each Purchaser contained in Article III shall be true and correct in all respects as of the Closing (unless as of a specific date therein in which case they shall be accurate as of such date).</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Purchaser shall have performed, satisfied and complied in all material respects with all covenants, agreements and conditions required by the Transaction Documents to be performed, satisfied or complied with by such Purchaser at or prior to the Closing, including, without limitation, the delivery by each Purchaser of the items contemplated by Section 1.4(b).</w:t>
      </w:r>
    </w:p>
    <w:p>
      <w:pPr>
        <w:spacing w:after="0" w:line="175"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Nasdaq Objection</w:t>
      </w:r>
      <w:r>
        <w:rPr>
          <w:rFonts w:ascii="Times New Roman" w:cs="Times New Roman" w:eastAsia="Times New Roman" w:hAnsi="Times New Roman"/>
          <w:sz w:val="18"/>
          <w:szCs w:val="18"/>
          <w:color w:val="auto"/>
        </w:rPr>
        <w:t>. Nasdaq shall have raised no objection to the consummation of the transactions contemplated by the Transaction Documents in the absence of stockholder approval of such transactions.</w:t>
      </w:r>
    </w:p>
    <w:p>
      <w:pPr>
        <w:spacing w:after="0" w:line="161" w:lineRule="exact"/>
        <w:rPr>
          <w:rFonts w:ascii="Times New Roman" w:cs="Times New Roman" w:eastAsia="Times New Roman" w:hAnsi="Times New Roman"/>
          <w:sz w:val="18"/>
          <w:szCs w:val="18"/>
          <w:color w:val="auto"/>
        </w:rPr>
      </w:pPr>
    </w:p>
    <w:p>
      <w:pPr>
        <w:ind w:right="66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Each Purchaser shall have executed and delivered the Registration Rights Agreement, and the Registration Rights Agreement shall be in full force and effect.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In addition to the provisions of Section 7.6, in the event that the Closing shall not have occurred with respect to a Purchaser on or before ten Business Days from the date hereof due to the Company’s or such Purchaser’s failure to satisfy the conditions set forth in Section 5 above (and the nonbreaching party’s failure to waive such unsatisfied condition(s)), the nonbreaching party shall have the option to terminate this Agreement with respect to such breaching party at the close of business on such date without liability of any party to any other party.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Unless otherwise set forth in this Agreement, the representations and warranties of the Company and the Purchasers contained in or made pursuant to this Agreement shall survive the Closing and the delivery of the Securities.</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Each party represents that it neither is nor will be obligated for any finder’s fee or commission in connection with this transaction. The Company agrees to indemnify and to hold harmless the Purchasers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 Each Purchaser, severally and not jointly, agrees to indemnify and hold harmless the Company from any liability for any commission or compensation in the nature of a finder’s or broker’s fee arising out of this transaction (and the costs and expenses of defending against such liability or asserted liability) for which such Purchaser or any of its officers, employees or representatives is responsible.</w:t>
      </w:r>
    </w:p>
    <w:p>
      <w:pPr>
        <w:spacing w:after="0" w:line="18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7.3 F</w:t>
      </w:r>
      <w:r>
        <w:rPr>
          <w:rFonts w:ascii="Times New Roman" w:cs="Times New Roman" w:eastAsia="Times New Roman" w:hAnsi="Times New Roman"/>
          <w:sz w:val="18"/>
          <w:szCs w:val="18"/>
          <w:u w:val="single" w:color="auto"/>
          <w:color w:val="auto"/>
        </w:rPr>
        <w:t>ees and Expenses</w:t>
      </w:r>
      <w:r>
        <w:rPr>
          <w:rFonts w:ascii="Times New Roman" w:cs="Times New Roman" w:eastAsia="Times New Roman" w:hAnsi="Times New Roman"/>
          <w:sz w:val="18"/>
          <w:szCs w:val="18"/>
          <w:color w:val="auto"/>
        </w:rPr>
        <w:t>. Each party shall pay the fees and expenses of its advisors, counsel, accountants and other experts, if any, and all other expenses, incurred by such party incident to the negotiation, preparation, execution, delivery and performance of this Agreement.</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Confidentiality Agreements previously entered into between the Company and any Purchasers shall remain in full force and effect. At or after the Closing, and without further consideration, the Company will execute and deliver to the Purchasers, and the Purchasers will execute and deliver to the Company, such further documents as may be reasonably requested in order to give practical effect to the intention of the parties under the Transaction Documents.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or email at the facsimile number or email address specified in this Section prior to 4:00 p.m. (New York City time) on a Nasdaq trading day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(b) the next Trading Day after the date of transmission, if such notice or communication is delivered via facsimile or email at the facsimile number or email address specified in this Section on a day that is not a Trading Day or later than 4:00 p.m. (New York City time) on any Trading Day, (c) the Trading Day following the date of deposit with a nationally recognized overnight courier service, or (d) upon actual receipt by the party to whom such notice is required to be given. The addresses, facsimile numbers and email addresses for such notices and communications are those set forth below, or such other address or facsimile number as may be designated in writing hereafter, in the same manner, by any such person: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7000 Shoreline Court, Suite 275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44" w:name="page45"/>
    <w:bookmarkEnd w:id="4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South San Francisco, California</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Stephen R. Brady</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copies (which copies shall not constitute notice to the Company) 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Laura Berezin</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Purchasers:</w:t>
      </w:r>
    </w:p>
    <w:p>
      <w:pPr>
        <w:spacing w:after="0" w:line="225"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 xml:space="preserve">To their respective addresses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4" w:right="2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This Agreement and any term hereof may be amended, terminated or waived only with the written consent of the Company and (i) with respect to an amendment, termination or waiver prior to the Closing, the Purchasers obligated to purchase a majority of the Securities (on an as-converted to Common Stock basis) to be issued at the Closing, and (ii) with respect to an amendment, termination or waiver after the Closing, the Purchasers holding at least a majority of the outstanding Securities (on an as-converted to Common Stock basis) then held by all Purchasers.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7.6 shall be binding upon each Purchaser and holder of Securities and the Company.</w:t>
      </w:r>
    </w:p>
    <w:p>
      <w:pPr>
        <w:spacing w:after="0" w:line="194"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176"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7.8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This Agreement shall be binding upon and inure to the benefit of the parties and their successors and permitted assigns. The Company may not assign this Agreement or any rights or obligations hereunder without the prior written consent of each Purchaser;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no such consent shall be required in connection with any assignment (i) occurring by operation of law in connection with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 or consolidation to which the Company is a party, (ii) in connection with the acquisition of all or substantially all of the assets of the Company or</w:t>
      </w:r>
    </w:p>
    <w:p>
      <w:pPr>
        <w:spacing w:after="0" w:line="3" w:lineRule="exact"/>
        <w:rPr>
          <w:sz w:val="20"/>
          <w:szCs w:val="20"/>
          <w:color w:val="auto"/>
        </w:rPr>
      </w:pPr>
    </w:p>
    <w:p>
      <w:pPr>
        <w:ind w:left="4" w:hanging="4"/>
        <w:spacing w:after="0" w:line="253"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similar business combination transaction involving the Company. A Purchaser may assign its rights under this Agreement only to a person to whom such Purchaser assigns or transfers all Securities held by such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 following such transfer or assignment, the further disposition of the Securities by the transferee or assignee is restricted under the Securities Act and applicable state securities laws, (ii) as a condition of such transfer, such transferee agrees in writing to be bound by all of the terms and conditions of this Agreement as a party hereto and (iii) such transfer shall have been made in accordance with the applicable requirements of this Agreement and with all laws applicable thereto.</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45" w:name="page46"/>
    <w:bookmarkEnd w:id="45"/>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7.9 </w:t>
      </w: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choice of law principles thereof. Each of the parties hereto irrevocably submits to the exclusive jurisdiction of the state and federal courts located in the State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If any party hereto shall commence an action or proceeding to enforce any provisions of the Transaction Documents, then,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Counterparts; Execution</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hereof should be held invalid, illegal or unenforceable in any respect, then, to the fullest extent permitted by law, (a) all other provisions hereof shall remain in full force and effect and shall be liberally construed in order to carry out the intentions of the parties as nearly as may be possible and (b) the parties shall use their best efforts to replace the invalid, illegal or unenforceable provision(s) with valid, legal and enforceable provision(s) which, insofar as practical, implement the purposes of such provision(s) in this Agreement.</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92"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46" w:name="page47"/>
    <w:bookmarkEnd w:id="46"/>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7.15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p>
    <w:p>
      <w:pPr>
        <w:spacing w:after="0" w:line="3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47" w:name="page48"/>
    <w:bookmarkEnd w:id="4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Securities Purchase Agreement to be duly executed by their respective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signatories as of the date first indicated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R. Brady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ectPr>
          <w:pgSz w:w="11900" w:h="16838" w:orient="portrait"/>
          <w:cols w:equalWidth="0" w:num="1">
            <w:col w:w="10960"/>
          </w:cols>
          <w:pgMar w:left="440" w:top="266" w:right="499" w:bottom="1440" w:gutter="0" w:footer="0" w:header="0"/>
        </w:sectPr>
      </w:pPr>
    </w:p>
    <w:bookmarkStart w:id="48" w:name="page49"/>
    <w:bookmarkEnd w:id="4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ECOR1 CAPITAL FUND,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357 Tehama Street #3</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171450</wp:posOffset>
            </wp:positionV>
            <wp:extent cx="27946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Perlen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ECOR1 CAPITAL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 in which Securities are to be registered:</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Securities Purchase Agreement]</w:t>
      </w:r>
    </w:p>
    <w:p>
      <w:pPr>
        <w:sectPr>
          <w:pgSz w:w="11900" w:h="16838" w:orient="portrait"/>
          <w:cols w:equalWidth="0" w:num="1">
            <w:col w:w="9019"/>
          </w:cols>
          <w:pgMar w:left="1440" w:top="266" w:right="1440" w:bottom="1440" w:gutter="0" w:footer="0" w:header="0"/>
        </w:sectPr>
      </w:pPr>
    </w:p>
    <w:bookmarkStart w:id="49" w:name="page50"/>
    <w:bookmarkEnd w:id="4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ECOR1 CAPITAL FUND QUALIFIED, L.P.</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357 Tehama Street #3</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171450</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Perlen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ECOR1 CAPITAL FUND QUALIFIED,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in which Securities are to be registered:</w:t>
      </w:r>
    </w:p>
    <w:p>
      <w:pPr>
        <w:sectPr>
          <w:pgSz w:w="11900" w:h="16838" w:orient="portrait"/>
          <w:cols w:equalWidth="0" w:num="1">
            <w:col w:w="9060"/>
          </w:cols>
          <w:pgMar w:left="1440" w:top="266" w:right="1399" w:bottom="1440" w:gutter="0" w:footer="0" w:header="0"/>
        </w:sectPr>
      </w:pPr>
    </w:p>
    <w:bookmarkStart w:id="50" w:name="page51"/>
    <w:bookmarkEnd w:id="5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ERSANT</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ANTAGE</w:t>
      </w:r>
      <w:r>
        <w:rPr>
          <w:rFonts w:ascii="Times New Roman" w:cs="Times New Roman" w:eastAsia="Times New Roman" w:hAnsi="Times New Roman"/>
          <w:sz w:val="18"/>
          <w:szCs w:val="18"/>
          <w:b w:val="1"/>
          <w:bCs w:val="1"/>
          <w:color w:val="auto"/>
        </w:rPr>
        <w:t xml:space="preserve"> II,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Versant Vantage II GP, L.P.</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Versant Vantage II GP-GP, LLC</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Thomas Woiwode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One Sansome Street, Suite 3630</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151765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171450</wp:posOffset>
            </wp:positionV>
            <wp:extent cx="27946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Versant Vantage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5715</wp:posOffset>
            </wp:positionV>
            <wp:extent cx="27946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7"/>
          <w:szCs w:val="17"/>
          <w:color w:val="auto"/>
        </w:rPr>
        <w:t>Name in which Securities are to be registered:</w:t>
      </w:r>
    </w:p>
    <w:p>
      <w:pPr>
        <w:sectPr>
          <w:pgSz w:w="11900" w:h="16838" w:orient="portrait"/>
          <w:cols w:equalWidth="0" w:num="1">
            <w:col w:w="9019"/>
          </w:cols>
          <w:pgMar w:left="1440" w:top="266" w:right="1440"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 of Purchaser and Address/Contact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EcoR1 Capital Fund,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Address:357 Tehama Street #3</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Perlen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EcoR1 Capital Fund Qualified,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Address:357 Tehama Street #3</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Perlen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Vantage II,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Address:One Sansome Street, Suite 3630</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Thomas Woiwode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jc w:val="center"/>
        <w:ind w:right="45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-210820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Purchasers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 Share</w:t>
            </w:r>
          </w:p>
        </w:tc>
        <w:tc>
          <w:tcPr>
            <w:tcW w:w="940" w:type="dxa"/>
            <w:vAlign w:val="bottom"/>
            <w:gridSpan w:val="2"/>
            <w:vMerge w:val="continue"/>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Pre-Funded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 of</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-7620</wp:posOffset>
            </wp:positionV>
            <wp:extent cx="6995160" cy="8312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4460" w:val="left"/>
          <w:tab w:leader="none" w:pos="3060" w:val="left"/>
          <w:tab w:leader="none" w:pos="2320" w:val="left"/>
          <w:tab w:leader="none" w:pos="1120" w:val="left"/>
          <w:tab w:leader="none" w:pos="800" w:val="left"/>
        </w:tabs>
        <w:rPr>
          <w:sz w:val="20"/>
          <w:szCs w:val="20"/>
          <w:color w:val="auto"/>
        </w:rPr>
      </w:pPr>
      <w:r>
        <w:rPr>
          <w:rFonts w:ascii="Times New Roman" w:cs="Times New Roman" w:eastAsia="Times New Roman" w:hAnsi="Times New Roman"/>
          <w:sz w:val="18"/>
          <w:szCs w:val="18"/>
          <w:color w:val="auto"/>
        </w:rPr>
        <w:t>68,064</w:t>
        <w:tab/>
        <w:t>$  160,631.04</w:t>
      </w:r>
      <w:r>
        <w:rPr>
          <w:sz w:val="20"/>
          <w:szCs w:val="20"/>
          <w:color w:val="auto"/>
        </w:rPr>
        <w:tab/>
      </w:r>
      <w:r>
        <w:rPr>
          <w:rFonts w:ascii="Times New Roman" w:cs="Times New Roman" w:eastAsia="Times New Roman" w:hAnsi="Times New Roman"/>
          <w:sz w:val="18"/>
          <w:szCs w:val="18"/>
          <w:color w:val="auto"/>
        </w:rPr>
        <w:t>211,597</w:t>
        <w:tab/>
        <w:t>$  499,157.32</w:t>
        <w:tab/>
        <w:t>$</w:t>
        <w:tab/>
        <w:t>659,788.36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00"/>
        <w:spacing w:after="0"/>
        <w:tabs>
          <w:tab w:leader="none" w:pos="1840" w:val="left"/>
          <w:tab w:leader="none" w:pos="3100" w:val="left"/>
          <w:tab w:leader="none" w:pos="3980" w:val="left"/>
          <w:tab w:leader="none" w:pos="5180" w:val="left"/>
        </w:tabs>
        <w:rPr>
          <w:sz w:val="20"/>
          <w:szCs w:val="20"/>
          <w:color w:val="auto"/>
        </w:rPr>
      </w:pPr>
      <w:r>
        <w:rPr>
          <w:rFonts w:ascii="Times New Roman" w:cs="Times New Roman" w:eastAsia="Times New Roman" w:hAnsi="Times New Roman"/>
          <w:sz w:val="18"/>
          <w:szCs w:val="18"/>
          <w:color w:val="auto"/>
        </w:rPr>
        <w:t>963,204</w:t>
        <w:tab/>
        <w:t>$2,273,161.44</w:t>
        <w:tab/>
        <w:t>2,994,423</w:t>
        <w:tab/>
        <w:t>$7,063,843.86</w:t>
        <w:tab/>
        <w:t>$ 9,337,005.30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17145</wp:posOffset>
            </wp:positionV>
            <wp:extent cx="6995160" cy="8312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2,118,644</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4,999,999.84</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4,999,999.84</w:t>
            </w:r>
          </w:p>
        </w:tc>
      </w:tr>
      <w:tr>
        <w:trPr>
          <w:trHeight w:val="223"/>
        </w:trPr>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3,149,912</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7,433,792.32</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3,206,020</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7,563,001.18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14,996,793.50</w:t>
            </w:r>
          </w:p>
        </w:tc>
        <w:tc>
          <w:tcPr>
            <w:tcW w:w="20" w:type="dxa"/>
            <w:vAlign w:val="bottom"/>
          </w:tcPr>
          <w:p>
            <w:pPr>
              <w:spacing w:after="0"/>
              <w:rPr>
                <w:sz w:val="19"/>
                <w:szCs w:val="19"/>
                <w:color w:val="auto"/>
              </w:rPr>
            </w:pPr>
          </w:p>
        </w:tc>
      </w:tr>
    </w:tbl>
    <w:p>
      <w:pPr>
        <w:sectPr>
          <w:pgSz w:w="11900" w:h="16838" w:orient="portrait"/>
          <w:cols w:equalWidth="0" w:num="2">
            <w:col w:w="3900" w:space="720"/>
            <w:col w:w="6340"/>
          </w:cols>
          <w:pgMar w:left="440" w:top="266" w:right="4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[Form of Registration Rights Agreement as separately filed]</w:t>
      </w:r>
    </w:p>
    <w:p>
      <w:pPr>
        <w:sectPr>
          <w:pgSz w:w="11900" w:h="16838" w:orient="portrait"/>
          <w:cols w:equalWidth="0" w:num="1">
            <w:col w:w="9019"/>
          </w:cols>
          <w:pgMar w:left="1440" w:top="266"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 of Warrant as separately filed]</w:t>
      </w:r>
    </w:p>
    <w:p>
      <w:pPr>
        <w:sectPr>
          <w:pgSz w:w="11900" w:h="16838" w:orient="portrait"/>
          <w:cols w:equalWidth="0" w:num="1">
            <w:col w:w="9019"/>
          </w:cols>
          <w:pgMar w:left="1440" w:top="266"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Shoreline Court, Suite 275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Tempest Therapeutics, Inc. – Lock-Up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340" w:firstLine="440"/>
        <w:spacing w:after="0" w:line="262" w:lineRule="auto"/>
        <w:rPr>
          <w:sz w:val="20"/>
          <w:szCs w:val="20"/>
          <w:color w:val="auto"/>
        </w:rPr>
      </w:pPr>
      <w:r>
        <w:rPr>
          <w:rFonts w:ascii="Times New Roman" w:cs="Times New Roman" w:eastAsia="Times New Roman" w:hAnsi="Times New Roman"/>
          <w:sz w:val="18"/>
          <w:szCs w:val="18"/>
          <w:color w:val="auto"/>
        </w:rPr>
        <w:t>The undersigned understands that you, as purchasers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have entered into that certain Securities Purchase Agreement with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dated April 26, 2022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providing for the sale and issuance of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and/or pre-funded warrants exercisable for shares of Common Stock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In consideration of the entry into the Purchase Agreement, and of other good and valuable consideration the receipt and sufficiency of which is hereby acknowledged, the undersigned agrees that, during the period beginning from the date of this Lock-Up Agreement and continuing to and including the earlier of (i) the date that is 90 days after the date hereof or (ii) the date on which a registration statement with respect to the resale of all of the Securities is declared effective by the Securities and Exchange Commission (such period,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w:t>
      </w:r>
      <w:r>
        <w:rPr>
          <w:rFonts w:ascii="Times New Roman" w:cs="Times New Roman" w:eastAsia="Times New Roman" w:hAnsi="Times New Roman"/>
          <w:sz w:val="18"/>
          <w:szCs w:val="18"/>
          <w:b w:val="1"/>
          <w:bCs w:val="1"/>
          <w:i w:val="1"/>
          <w:iCs w:val="1"/>
          <w:color w:val="auto"/>
        </w:rPr>
        <w:t>Lock-Up Securities</w:t>
      </w:r>
      <w:r>
        <w:rPr>
          <w:rFonts w:ascii="Times New Roman" w:cs="Times New Roman" w:eastAsia="Times New Roman" w:hAnsi="Times New Roman"/>
          <w:sz w:val="18"/>
          <w:szCs w:val="18"/>
          <w:color w:val="auto"/>
        </w:rPr>
        <w:t>”),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31" w:lineRule="exact"/>
        <w:rPr>
          <w:sz w:val="20"/>
          <w:szCs w:val="20"/>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w:t>
      </w:r>
    </w:p>
    <w:p>
      <w:pPr>
        <w:spacing w:after="0" w:line="12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one or more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or charitable contributions,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w:t>
      </w:r>
    </w:p>
    <w:p>
      <w:pPr>
        <w:spacing w:after="0" w:line="13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by will, testamentary document or intestate succession,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55" w:name="page56"/>
    <w:bookmarkEnd w:id="55"/>
    <w:p>
      <w:pPr>
        <w:ind w:left="440" w:right="40" w:hanging="439"/>
        <w:spacing w:after="0" w:line="281" w:lineRule="auto"/>
        <w:tabs>
          <w:tab w:leader="none" w:pos="4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w:t>
      </w:r>
    </w:p>
    <w:p>
      <w:pPr>
        <w:spacing w:after="0" w:line="69" w:lineRule="exact"/>
        <w:rPr>
          <w:rFonts w:ascii="Times New Roman" w:cs="Times New Roman" w:eastAsia="Times New Roman" w:hAnsi="Times New Roman"/>
          <w:sz w:val="17"/>
          <w:szCs w:val="17"/>
          <w:color w:val="auto"/>
        </w:rPr>
      </w:pPr>
    </w:p>
    <w:p>
      <w:pPr>
        <w:ind w:left="440" w:right="40" w:hanging="439"/>
        <w:spacing w:after="0" w:line="282" w:lineRule="auto"/>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any other entity of which the undersigned and the immediate family of the undersigned are the legal and beneficial owner of all of the outstanding equity securities or similar interests,</w:t>
      </w:r>
    </w:p>
    <w:p>
      <w:pPr>
        <w:spacing w:after="0" w:line="67" w:lineRule="exact"/>
        <w:rPr>
          <w:rFonts w:ascii="Times New Roman" w:cs="Times New Roman" w:eastAsia="Times New Roman" w:hAnsi="Times New Roman"/>
          <w:sz w:val="18"/>
          <w:szCs w:val="18"/>
          <w:color w:val="auto"/>
        </w:rPr>
      </w:pPr>
    </w:p>
    <w:p>
      <w:pPr>
        <w:ind w:left="440" w:right="180" w:hanging="439"/>
        <w:spacing w:after="0" w:line="282" w:lineRule="auto"/>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(a)(i) through (iv) above,</w:t>
      </w:r>
    </w:p>
    <w:p>
      <w:pPr>
        <w:spacing w:after="0" w:line="67" w:lineRule="exact"/>
        <w:rPr>
          <w:rFonts w:ascii="Times New Roman" w:cs="Times New Roman" w:eastAsia="Times New Roman" w:hAnsi="Times New Roman"/>
          <w:sz w:val="18"/>
          <w:szCs w:val="18"/>
          <w:color w:val="auto"/>
        </w:rPr>
      </w:pPr>
    </w:p>
    <w:p>
      <w:pPr>
        <w:ind w:left="440" w:right="20" w:hanging="439"/>
        <w:spacing w:after="0" w:line="258" w:lineRule="auto"/>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w:t>
      </w:r>
    </w:p>
    <w:p>
      <w:pPr>
        <w:spacing w:after="0" w:line="88"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30" w:lineRule="exact"/>
        <w:rPr>
          <w:rFonts w:ascii="Times New Roman" w:cs="Times New Roman" w:eastAsia="Times New Roman" w:hAnsi="Times New Roman"/>
          <w:sz w:val="18"/>
          <w:szCs w:val="18"/>
          <w:color w:val="auto"/>
        </w:rPr>
      </w:pPr>
    </w:p>
    <w:p>
      <w:pPr>
        <w:ind w:left="440" w:right="500" w:hanging="439"/>
        <w:spacing w:after="0" w:line="282" w:lineRule="auto"/>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 or</w:t>
      </w:r>
    </w:p>
    <w:p>
      <w:pPr>
        <w:spacing w:after="0" w:line="67" w:lineRule="exact"/>
        <w:rPr>
          <w:rFonts w:ascii="Times New Roman" w:cs="Times New Roman" w:eastAsia="Times New Roman" w:hAnsi="Times New Roman"/>
          <w:sz w:val="18"/>
          <w:szCs w:val="18"/>
          <w:color w:val="auto"/>
        </w:rPr>
      </w:pPr>
    </w:p>
    <w:p>
      <w:pPr>
        <w:ind w:left="440" w:right="120" w:hanging="439"/>
        <w:spacing w:after="0" w:line="254" w:lineRule="auto"/>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Company’s Annual Report on Form 10-K or Quarterly Report on Form 10-Q most recently filed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any securities received upon such vesting, settlement, exercise or conversion shall be subject to the terms of this Lock-Up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(other than a required filing on Form 5), and (D) in the case of clauses (a)(vii), (viii), (ix) and</w:t>
      </w:r>
    </w:p>
    <w:p>
      <w:pPr>
        <w:spacing w:after="0" w:line="2" w:lineRule="exact"/>
        <w:rPr>
          <w:sz w:val="20"/>
          <w:szCs w:val="20"/>
          <w:color w:val="auto"/>
        </w:rPr>
      </w:pPr>
    </w:p>
    <w:p>
      <w:pPr>
        <w:ind w:right="260" w:firstLine="7"/>
        <w:spacing w:after="0" w:line="253"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 in the form of this Lock-Up Agreement;</w:t>
      </w:r>
    </w:p>
    <w:p>
      <w:pPr>
        <w:spacing w:after="0" w:line="1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20"/>
          </w:cols>
          <w:pgMar w:left="1420" w:top="270" w:right="459" w:bottom="1440" w:gutter="0" w:footer="0" w:header="0"/>
        </w:sectPr>
      </w:pPr>
    </w:p>
    <w:bookmarkStart w:id="56" w:name="page57"/>
    <w:bookmarkEnd w:id="56"/>
    <w:p>
      <w:pPr>
        <w:ind w:left="1420" w:right="40" w:hanging="439"/>
        <w:spacing w:after="0" w:line="258"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enter into a written plan meeting the requirements of Rule 10b5-1 under the Exchange Act relating to the transfer, sale or other disposition of the undersigned’s Lock-Up Securities, if then permitted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w:t>
      </w:r>
    </w:p>
    <w:p>
      <w:pPr>
        <w:spacing w:after="0" w:line="88" w:lineRule="exact"/>
        <w:rPr>
          <w:rFonts w:ascii="Times New Roman" w:cs="Times New Roman" w:eastAsia="Times New Roman" w:hAnsi="Times New Roman"/>
          <w:sz w:val="18"/>
          <w:szCs w:val="18"/>
          <w:color w:val="auto"/>
        </w:rPr>
      </w:pPr>
    </w:p>
    <w:p>
      <w:pPr>
        <w:ind w:left="1420" w:right="100" w:hanging="439"/>
        <w:spacing w:after="0" w:line="266"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or dispose of the undersigned’s Lock-Up Securities under a trading plan pursuant to Rule 10b5-1 under the Exchange Act that is existing on the date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Section 16 filing with respect to any such transfer or disposition with a footnote indicating that such transfer or disposition was carried out pursuant to a Rule 10b5-1 plan; and</w:t>
      </w:r>
    </w:p>
    <w:p>
      <w:pPr>
        <w:spacing w:after="0" w:line="81" w:lineRule="exact"/>
        <w:rPr>
          <w:rFonts w:ascii="Times New Roman" w:cs="Times New Roman" w:eastAsia="Times New Roman" w:hAnsi="Times New Roman"/>
          <w:sz w:val="18"/>
          <w:szCs w:val="18"/>
          <w:color w:val="auto"/>
        </w:rPr>
      </w:pPr>
    </w:p>
    <w:p>
      <w:pPr>
        <w:ind w:left="1420" w:right="80" w:hanging="439"/>
        <w:spacing w:after="0" w:line="254"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Lock-Up Agreement.</w:t>
      </w:r>
    </w:p>
    <w:p>
      <w:pPr>
        <w:spacing w:after="0" w:line="19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This Lock-Up Agreement is intended for the benefit of the parties hereto and their respective successors and permitted assigns and is not for the benefit of, nor may any provisions hereof be enforced by, any other Person.</w:t>
      </w:r>
    </w:p>
    <w:p>
      <w:pPr>
        <w:spacing w:after="0" w:line="162"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undersigned now has, and, except as contemplated by clauses (a) and (d)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all obligations hereunder upon the date on which for any reason the Purchase Agreement is terminated (other than the provisions thereof that survive termination) prior to payment for and delivery of the Securities to be sold thereunder.</w:t>
      </w:r>
    </w:p>
    <w:p>
      <w:pPr>
        <w:spacing w:after="0" w:line="17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INDIVIDUAL:</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ENTITY:</w:t>
            </w:r>
          </w:p>
        </w:tc>
      </w:tr>
      <w:tr>
        <w:trPr>
          <w:trHeight w:val="432"/>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0"/>
        </w:trPr>
        <w:tc>
          <w:tcPr>
            <w:tcW w:w="640" w:type="dxa"/>
            <w:vAlign w:val="bottom"/>
          </w:tcPr>
          <w:p>
            <w:pPr>
              <w:spacing w:after="0"/>
              <w:rPr>
                <w:sz w:val="19"/>
                <w:szCs w:val="19"/>
                <w:color w:val="auto"/>
              </w:rPr>
            </w:pPr>
          </w:p>
        </w:tc>
        <w:tc>
          <w:tcPr>
            <w:tcW w:w="2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c>
          <w:tcPr>
            <w:tcW w:w="2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tc>
      </w:tr>
      <w:tr>
        <w:trPr>
          <w:trHeight w:val="425"/>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0"/>
        </w:trPr>
        <w:tc>
          <w:tcPr>
            <w:tcW w:w="640" w:type="dxa"/>
            <w:vAlign w:val="bottom"/>
          </w:tcPr>
          <w:p>
            <w:pPr>
              <w:spacing w:after="0"/>
              <w:rPr>
                <w:sz w:val="19"/>
                <w:szCs w:val="19"/>
                <w:color w:val="auto"/>
              </w:rPr>
            </w:pPr>
          </w:p>
        </w:tc>
        <w:tc>
          <w:tcPr>
            <w:tcW w:w="2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c>
          <w:tcPr>
            <w:tcW w:w="2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r>
      <w:tr>
        <w:trPr>
          <w:trHeight w:val="425"/>
        </w:trPr>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30"/>
        </w:trPr>
        <w:tc>
          <w:tcPr>
            <w:tcW w:w="6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r>
      <w:tr>
        <w:trPr>
          <w:trHeight w:val="425"/>
        </w:trPr>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30"/>
        </w:trPr>
        <w:tc>
          <w:tcPr>
            <w:tcW w:w="6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(please print full title)</w:t>
            </w:r>
          </w:p>
        </w:tc>
      </w:tr>
      <w:tr>
        <w:trPr>
          <w:trHeight w:val="425"/>
        </w:trPr>
        <w:tc>
          <w:tcPr>
            <w:tcW w:w="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660" w:type="dxa"/>
            <w:vAlign w:val="bottom"/>
            <w:gridSpan w:val="4"/>
          </w:tcPr>
          <w:p>
            <w:pPr>
              <w:ind w:left="74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tc>
      </w:tr>
    </w:tbl>
    <w:p>
      <w:pPr>
        <w:ind w:left="74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April 26, 2022, by and among Tempest Therapeutics,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the purchasers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and shall become effective as of the Closing (as defined in the Purchase Agreement, defined below). Capitalized terms used and not otherwise defined herein that are defined in the Purchase Agreement shall have the meanings given such terms in the Purchase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 connection with the Securities Purchase Agreement, by and among the Company and the Purchasers, dated as of April 26, 2022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the Company has agreed, upon the terms and conditions stated in the Purchase Agreement, to issue and sell to each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pre-funded warrants to purchase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and</w:t>
      </w: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B. To induce the Purchasers to execute and deliver the Purchase Agreement, the Company has agreed to provide certain registration rights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applicable state securities laws.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mutual covenants contained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Company and each Purchaser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or is controlled by or under common control with such Person. For the purposes of this definition,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when used with respect to any Person, means the possession, directly or indirectly, of the power to direct or cause the direction of the management and policies of such Person, whether through the ownership of voting securities, by contract or otherwise; and the terms of “</w:t>
      </w:r>
      <w:r>
        <w:rPr>
          <w:rFonts w:ascii="Times New Roman" w:cs="Times New Roman" w:eastAsia="Times New Roman" w:hAnsi="Times New Roman"/>
          <w:sz w:val="18"/>
          <w:szCs w:val="18"/>
          <w:b w:val="1"/>
          <w:bCs w:val="1"/>
          <w:i w:val="1"/>
          <w:iCs w:val="1"/>
          <w:color w:val="auto"/>
        </w:rPr>
        <w:t>affiliated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have meanings correlative to the foregoing.</w:t>
      </w:r>
    </w:p>
    <w:p>
      <w:pPr>
        <w:spacing w:after="0" w:line="176"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Saturday, Sunday and any day which shall be a legal holiday or a day on which banking institutions in the state of New York generally are authorized or required by law or other government actions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Date</w:t>
      </w:r>
      <w:r>
        <w:rPr>
          <w:rFonts w:ascii="Times New Roman" w:cs="Times New Roman" w:eastAsia="Times New Roman" w:hAnsi="Times New Roman"/>
          <w:sz w:val="18"/>
          <w:szCs w:val="18"/>
          <w:color w:val="auto"/>
        </w:rPr>
        <w:t>” means, with respect to the Registration Statement required to be filed hereunder, the 30th calendar day following the filing thereof (or, in the event of a “limited review” by the Commission, the 45th calendar day following the filing thereof, and in the event of a “full review” by the Commission, the 60th calendar day following the filing thereof) and with respect to any additional Registration Statements which may be required pursuant to Section 2.1(b), the 30th calendar day following the date on which an additional Registration Statement is required to be filed hereunder (or, in the event of a “limited review” by the Commission, the 45th calendar day following the filing thereof,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9" w:name="page60"/>
    <w:bookmarkEnd w:id="59"/>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of a “full review” by the Commission, the 60th calendar day following the date such additional Registration Statement is required to be filed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no later than the second Trading Day following the date on which the Company is so notified if such date precedes the dates otherwise required above, provided, further, if such Effectiveness Date falls on a day that is not a Trading Day, then the Effectiveness Date shall be the next succeeding Trading Day. Notwithstanding the foregoing, the Company shall not be required to have the initial Registration Statement declared effective until June 7, 2022, and shall use its reasonable efforts to (i) have the Commission complete its review of the initial Registration Statement on or before June 4, 2022, and</w:t>
      </w:r>
    </w:p>
    <w:p>
      <w:pPr>
        <w:spacing w:after="0" w:line="2" w:lineRule="exact"/>
        <w:rPr>
          <w:sz w:val="20"/>
          <w:szCs w:val="20"/>
          <w:color w:val="auto"/>
        </w:rPr>
      </w:pPr>
    </w:p>
    <w:p>
      <w:pPr>
        <w:ind w:left="4" w:right="340" w:hanging="4"/>
        <w:spacing w:after="0" w:line="260"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SEC to declare the initial Registration Statement effective on June 7, 2022 (including but not limited to requesting such acceleration at least 48 hours in advance and discussing the timing with the staff of the Commission).</w:t>
      </w:r>
    </w:p>
    <w:p>
      <w:pPr>
        <w:spacing w:after="0" w:line="177"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Filing Date</w:t>
      </w:r>
      <w:r>
        <w:rPr>
          <w:rFonts w:ascii="Times New Roman" w:cs="Times New Roman" w:eastAsia="Times New Roman" w:hAnsi="Times New Roman"/>
          <w:sz w:val="18"/>
          <w:szCs w:val="18"/>
          <w:color w:val="auto"/>
        </w:rPr>
        <w:t>” means, with respect to the initial Registration Statement required hereunder, May 23, 2022 and, with respect to any additional Registration Statements which may be required pursuant to Section 2.1(c) or Section 3(c), the earliest practical date on which the Company is permitted by SEC Guidance to file such additional Registration Statement related to the Registrable Securities.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4"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or a corporation, partnership, trust, incorporated or unincorporated association, joint venture, limited liability company, joint stock company, government (or an agency or political subdivision thereof) or other entity of any kind.</w:t>
      </w:r>
    </w:p>
    <w:p>
      <w:pPr>
        <w:spacing w:after="0" w:line="15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investigation or partial proceeding, such as a deposition), whether commenced or threatened.</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any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any such Prospectus, including post-effective amendments, and all material incorporated by reference in such Prospectus.</w:t>
      </w:r>
    </w:p>
    <w:p>
      <w:pPr>
        <w:spacing w:after="0" w:line="179" w:lineRule="exact"/>
        <w:rPr>
          <w:sz w:val="20"/>
          <w:szCs w:val="20"/>
          <w:color w:val="auto"/>
        </w:rPr>
      </w:pPr>
    </w:p>
    <w:p>
      <w:pPr>
        <w:ind w:left="4" w:right="8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means, as of any date of determination, (a) all Shares, (b) all Warrant Shares then issued or issuable upon exercise of the Pre-Funded Warrants (assuming on such date the Pre-Funded Warrants are exercised in full without regard to any exercise limitations therein) and</w:t>
      </w:r>
    </w:p>
    <w:p>
      <w:pPr>
        <w:spacing w:after="0" w:line="1" w:lineRule="exact"/>
        <w:rPr>
          <w:sz w:val="20"/>
          <w:szCs w:val="20"/>
          <w:color w:val="auto"/>
        </w:rPr>
      </w:pPr>
    </w:p>
    <w:p>
      <w:pPr>
        <w:ind w:left="244" w:hanging="244"/>
        <w:spacing w:after="0"/>
        <w:tabs>
          <w:tab w:leader="none" w:pos="2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issued or then issuable upon any stock split, dividend or other distribution, recapitalization or similar event with respect to the</w:t>
      </w:r>
    </w:p>
    <w:p>
      <w:pPr>
        <w:spacing w:after="0" w:line="9" w:lineRule="exact"/>
        <w:rPr>
          <w:rFonts w:ascii="Times New Roman" w:cs="Times New Roman" w:eastAsia="Times New Roman" w:hAnsi="Times New Roman"/>
          <w:sz w:val="18"/>
          <w:szCs w:val="18"/>
          <w:color w:val="auto"/>
        </w:rPr>
      </w:pPr>
    </w:p>
    <w:p>
      <w:pPr>
        <w:ind w:left="4"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securities shall no longer be deemed Registrable Securities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the requirement for the Company to be in compliance with the current public information requirement under Rule 144 as set forth in a written opinion letter to such effect, addressed, delivered and acceptable to the Transfer Agent and the affected Holders (assuming that such securities and any securities issuable upon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0" w:name="page61"/>
    <w:bookmarkEnd w:id="60"/>
    <w:p>
      <w:pPr>
        <w:jc w:val="both"/>
        <w:ind w:left="4" w:right="6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conversion or exchange of which, or as a dividend upon which, such securities were issued or are issuable, were at no time held by any Affiliate of the Company, and all Pre-Funded Warrants are exercised by “cashless exercise” as provided in each of the Pre-Funded Warrants), as reasonably determined by the Company, upon the advice of counsel to the Company.</w:t>
      </w:r>
    </w:p>
    <w:p>
      <w:pPr>
        <w:spacing w:after="0" w:line="172"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statements and any additional registration statements contemplated by Article II, including (in each case) the related Prospectus, amendments and supplements to such registration statement or Prospectus, including pre- and post-effective amendments, all exhibits thereto, and all material incorporated by reference in such registration statement.</w:t>
      </w:r>
    </w:p>
    <w:p>
      <w:pPr>
        <w:spacing w:after="0" w:line="171"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5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5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5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Stockholder Questionnaire</w:t>
      </w:r>
      <w:r>
        <w:rPr>
          <w:rFonts w:ascii="Times New Roman" w:cs="Times New Roman" w:eastAsia="Times New Roman" w:hAnsi="Times New Roman"/>
          <w:sz w:val="18"/>
          <w:szCs w:val="18"/>
          <w:color w:val="auto"/>
        </w:rPr>
        <w:t xml:space="preserve">” means a questionnaire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such other form of questionnaire as may reasonably be requested by the Company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Agreement, the Purchase Agreement, and the schedules and exhibits attached hereto and thereto.</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REGISTRATION PROCEDURES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In connection with the Company’s registration obligations hereunder, the Company shall:</w:t>
      </w:r>
    </w:p>
    <w:p>
      <w:pPr>
        <w:spacing w:after="0" w:line="225" w:lineRule="exact"/>
        <w:rPr>
          <w:sz w:val="20"/>
          <w:szCs w:val="20"/>
          <w:color w:val="auto"/>
        </w:rPr>
      </w:pPr>
    </w:p>
    <w:p>
      <w:pPr>
        <w:ind w:left="4" w:right="20" w:firstLine="987"/>
        <w:spacing w:after="0" w:line="269"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Commission on or prior to the Filing Date, a Registration Statement covering the Registrable Securities in accordance with the method or methods of distribution thereof as described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(except if otherwise directed by all of the Holders), and use its reasonable efforts to cause a Registration Statement filed under this Agreement (including, without limitation, under Section 3(c)) to become effective under the Securities Act as promptly as reasonably possible after the filing thereof, but in any event no later than the applicable Effectiveness Date, and shall use its reasonable efforts to keep such Registration Statement continuously effective under the Securities Act until the earliest to occur of</w:t>
      </w:r>
    </w:p>
    <w:p>
      <w:pPr>
        <w:spacing w:after="0" w:line="2" w:lineRule="exact"/>
        <w:rPr>
          <w:rFonts w:ascii="Times New Roman" w:cs="Times New Roman" w:eastAsia="Times New Roman" w:hAnsi="Times New Roman"/>
          <w:sz w:val="17"/>
          <w:szCs w:val="17"/>
          <w:color w:val="auto"/>
        </w:rPr>
      </w:pPr>
    </w:p>
    <w:p>
      <w:pPr>
        <w:ind w:left="4" w:right="60" w:hanging="4"/>
        <w:spacing w:after="0" w:line="252"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all Registrable Securities covered by such Registration Statement (x) have been sold, thereunder or pursuant to Rule 144, or (y)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b w:val="1"/>
          <w:bCs w:val="1"/>
          <w:i w:val="1"/>
          <w:iCs w:val="1"/>
          <w:color w:val="auto"/>
        </w:rPr>
        <w:t>Effectiveness Period</w:t>
      </w:r>
      <w:r>
        <w:rPr>
          <w:rFonts w:ascii="Times New Roman" w:cs="Times New Roman" w:eastAsia="Times New Roman" w:hAnsi="Times New Roman"/>
          <w:sz w:val="18"/>
          <w:szCs w:val="18"/>
          <w:color w:val="auto"/>
        </w:rPr>
        <w:t>”). The Company shall notify the Holders of the effectiveness of the Registration Statement on the same Trading Day as such effectiveness occurs. The Registration Statement shall be on Form S-3 (except if the Company is not then eligible to register for resale the Registrable Securities on Form S-3, in which case such registration shall be on another appropriate form in accordance with the Securities Act and the rules promulgated thereunder).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1" w:name="page62"/>
    <w:bookmarkEnd w:id="61"/>
    <w:p>
      <w:pPr>
        <w:ind w:left="-20" w:right="60" w:firstLine="987"/>
        <w:spacing w:after="0" w:line="254" w:lineRule="auto"/>
        <w:tabs>
          <w:tab w:leader="none" w:pos="12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registration obligations set forth in Section 2.1(a),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2.1(f); with respect to filing on Form S-3 or other appropriate form, and subject to the provisions of Section 2.1(e) with respect to the payment of liquidated damages; provided, however,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8" w:lineRule="exact"/>
        <w:rPr>
          <w:rFonts w:ascii="Times New Roman" w:cs="Times New Roman" w:eastAsia="Times New Roman" w:hAnsi="Times New Roman"/>
          <w:sz w:val="18"/>
          <w:szCs w:val="18"/>
          <w:color w:val="auto"/>
        </w:rPr>
      </w:pPr>
    </w:p>
    <w:p>
      <w:pPr>
        <w:ind w:left="-20" w:right="180" w:firstLine="987"/>
        <w:spacing w:after="0" w:line="258" w:lineRule="auto"/>
        <w:tabs>
          <w:tab w:leader="none" w:pos="12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rFonts w:ascii="Times New Roman" w:cs="Times New Roman" w:eastAsia="Times New Roman" w:hAnsi="Times New Roman"/>
          <w:sz w:val="18"/>
          <w:szCs w:val="18"/>
          <w:color w:val="auto"/>
        </w:rPr>
      </w:pPr>
    </w:p>
    <w:p>
      <w:pPr>
        <w:ind w:left="1620" w:hanging="212"/>
        <w:spacing w:after="0"/>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225" w:lineRule="exact"/>
        <w:rPr>
          <w:rFonts w:ascii="Times New Roman" w:cs="Times New Roman" w:eastAsia="Times New Roman" w:hAnsi="Times New Roman"/>
          <w:sz w:val="18"/>
          <w:szCs w:val="18"/>
          <w:color w:val="auto"/>
        </w:rPr>
      </w:pPr>
    </w:p>
    <w:p>
      <w:pPr>
        <w:ind w:left="-20" w:right="80" w:firstLine="1428"/>
        <w:spacing w:after="0" w:line="312" w:lineRule="auto"/>
        <w:tabs>
          <w:tab w:leader="none" w:pos="167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the Company shall reduce Registrable Securities represented by Warrant Shares (applied, in the case that some Warrant Shares may be registered, to the Holders on a pro rata basis based on the total number of unregistered Warrant Shares held by such Holders); and</w:t>
      </w:r>
    </w:p>
    <w:p>
      <w:pPr>
        <w:spacing w:after="0" w:line="139" w:lineRule="exact"/>
        <w:rPr>
          <w:rFonts w:ascii="Times New Roman" w:cs="Times New Roman" w:eastAsia="Times New Roman" w:hAnsi="Times New Roman"/>
          <w:sz w:val="17"/>
          <w:szCs w:val="17"/>
          <w:color w:val="auto"/>
        </w:rPr>
      </w:pPr>
    </w:p>
    <w:p>
      <w:pPr>
        <w:ind w:left="-20" w:right="320" w:firstLine="1428"/>
        <w:spacing w:after="0" w:line="282" w:lineRule="auto"/>
        <w:tabs>
          <w:tab w:leader="none" w:pos="172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Company shall reduce Registrable Securities represented by Shares (applied, in the case that some Shares may be registered, to the Holders on a pro rata basis based on the total number of unregistered Shares held by such Holders).</w:t>
      </w:r>
    </w:p>
    <w:p>
      <w:pPr>
        <w:spacing w:after="0" w:line="161" w:lineRule="exact"/>
        <w:rPr>
          <w:rFonts w:ascii="Times New Roman" w:cs="Times New Roman" w:eastAsia="Times New Roman" w:hAnsi="Times New Roman"/>
          <w:sz w:val="18"/>
          <w:szCs w:val="18"/>
          <w:color w:val="auto"/>
        </w:rPr>
      </w:pPr>
    </w:p>
    <w:p>
      <w:pPr>
        <w:ind w:left="-20" w:firstLine="987"/>
        <w:spacing w:after="0" w:line="256" w:lineRule="auto"/>
        <w:tabs>
          <w:tab w:leader="none" w:pos="12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cutback hereunder, the Company shall give each Holder at least five Trading Days prior written notice along with the calculations as to such Holder’s allotment of Registrable Securities to be registered on such Registration Statement. In the event the Company amends the initial Registration Statement in accordance with the foregoing, the Company will use its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7" w:lineRule="exact"/>
        <w:rPr>
          <w:rFonts w:ascii="Times New Roman" w:cs="Times New Roman" w:eastAsia="Times New Roman" w:hAnsi="Times New Roman"/>
          <w:sz w:val="18"/>
          <w:szCs w:val="18"/>
          <w:color w:val="auto"/>
        </w:rPr>
      </w:pPr>
    </w:p>
    <w:p>
      <w:pPr>
        <w:ind w:left="-20" w:right="100" w:firstLine="987"/>
        <w:spacing w:after="0" w:line="258" w:lineRule="auto"/>
        <w:tabs>
          <w:tab w:leader="none" w:pos="12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its Filing Date, or (ii) except with respect to the initial Registration Statement,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62" w:name="page63"/>
    <w:bookmarkEnd w:id="6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respond in writing to comments made by the Commission in respect of such Registration Statement within ten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consecutive calendar days or more than an aggregate of 15 calendar days (which need not be consecutive calendar days) during any 12-month period (any such failure or breach being referred to as an “Event”, and for purposes of clauses (i) and (iii), the date on which such Event occurs, and for purpose of clause (ii) the date which such ten calendar day period is exceeded, and for purpose of clause (v) the date on which such ten or 15 calendar day period, as applicable, is exceeded being referred to as “Event Date”),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 multiplied by the aggregate Subscription Amount paid by such Holder pursuant to the Purchase Agreement. The parties agree that the maximum aggregate liquidated damages payable to a Holder under this Agreement shall be 10.0%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92" w:lineRule="exact"/>
        <w:rPr>
          <w:sz w:val="20"/>
          <w:szCs w:val="20"/>
          <w:color w:val="auto"/>
        </w:rPr>
      </w:pPr>
    </w:p>
    <w:p>
      <w:pPr>
        <w:ind w:firstLine="987"/>
        <w:spacing w:after="0" w:line="261"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Form S-1 or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including post-effective amendments, to the Registration Statement as may be necessary to keep the Registration Statement continuously effective under the Securities Act during the Effectiveness Period; cause the related prospectus to be amended or supplemented by any required prospectus supplement, and as so supplemented or amended to be filed pursuant to Rule 424 (or any similar provisions then in force) promulgated under the Securities Act; respond promptly to any comments received from the Commission with respect to the Registration Statement or any amendment thereto; and comply in all material respects with the provisions of the Securities Act and the Exchange Act with respect to the disposition of all Registrable Securities covered by the Registration Statement during the applicable period in accordance with the intended methods of disposition by the Holders thereof set forth in the Registration Statement as so amended or in such prospectus as so supplemented.</w:t>
      </w:r>
    </w:p>
    <w:p>
      <w:pPr>
        <w:spacing w:after="0" w:line="191"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Commission declares the Registration Statement effective, each Holder shall be named as a selling stockholder in the Registration Statement and the related prospectus in such a manner as to permit such Holder to deliver such prospectus to purchasers of Registrable Securities included in the Registration Statement in accordance with applicable law, subject to the terms and conditions hereof. The Company shall promptly notify the Holders of Registrable Securities (i)(A) when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63" w:name="page64"/>
    <w:bookmarkEnd w:id="6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Registration Statement, a prospectus or any prospectus supplement or pre- or post-effective amendment to the Registration Statement is filed;</w:t>
      </w:r>
    </w:p>
    <w:p>
      <w:pPr>
        <w:spacing w:after="0" w:line="27" w:lineRule="exact"/>
        <w:rPr>
          <w:sz w:val="20"/>
          <w:szCs w:val="20"/>
          <w:color w:val="auto"/>
        </w:rPr>
      </w:pPr>
    </w:p>
    <w:p>
      <w:pPr>
        <w:ind w:left="4" w:hanging="4"/>
        <w:spacing w:after="0" w:line="251" w:lineRule="auto"/>
        <w:tabs>
          <w:tab w:leader="none" w:pos="2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Commission notifies the Company whether there will be a “review” of such Registration Statement and whenever the Commission comments in writing on such Registration Statement, and if requested by such Holders, furnish to them a copy of such comments and the Company’s responses thereto and (C) with respect to the Registration Statement or any post-effective amendment filed by the Company, when the same has become effective; (ii) of any request by the Commission or any other Federal or state governmental authority for amendments or supplements to the Registration Statement or prospectus or for additional information of the Company; (iii) of the issuance by the Commission of any stop order suspending the effectiveness of the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of the Company for sale in any jurisdiction, or the initiation or threatening of any Proceeding for such purpose; and (v) of the occurrence of any event that makes any statement made in the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1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efforts to avoid the issuance of, and, if issued, to obtain the withdrawal of, (i) any order suspending the effectiveness of the Registration Statement or (ii) any suspension of the qualification (or exemption from qualification) of any of the Registrable Securities for sale in any U.S. jurisdiction.</w:t>
      </w:r>
    </w:p>
    <w:p>
      <w:pPr>
        <w:spacing w:after="0" w:line="175"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1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Holders of a majority of the Registrable Securities, (i) promptly incorporate in a prospectus supplement or post-effective amendment to the Registration Statement such information as such Holders reasonably request to be included therein unless the inclusion of such information would reasonably be expected to expose the Company to liability under federal and state securities laws and regulations and (ii) make all required filings of such prospectus supplement or such post-effective amendment as soon as practicable after the Company has received notification of the matters to be incorporated in such prospectus supplement or post-effective amendment.</w:t>
      </w:r>
    </w:p>
    <w:p>
      <w:pPr>
        <w:spacing w:after="0" w:line="183"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to each Holder, without charge and upon request, at least one conformed copy of each Registration Statement and each amendment thereto, including financial statements and schedules, and, to the extent requested by such Person, all documents incorporated or deemed to be incorporated therein by reference, and all exhibits (including those previously furnished or incorporated by reference) promptly after the filing of such documents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have no obligation to provide any document pursuant to this clause that is available on the SEC’s EDGAR system.</w:t>
      </w:r>
    </w:p>
    <w:p>
      <w:pPr>
        <w:spacing w:after="0" w:line="183" w:lineRule="exact"/>
        <w:rPr>
          <w:rFonts w:ascii="Times New Roman" w:cs="Times New Roman" w:eastAsia="Times New Roman" w:hAnsi="Times New Roman"/>
          <w:sz w:val="18"/>
          <w:szCs w:val="18"/>
          <w:color w:val="auto"/>
        </w:rPr>
      </w:pPr>
    </w:p>
    <w:p>
      <w:pPr>
        <w:ind w:left="4" w:right="40" w:firstLine="987"/>
        <w:spacing w:after="0" w:line="281" w:lineRule="auto"/>
        <w:tabs>
          <w:tab w:leader="none" w:pos="121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deliver to each Holder, without charge, as many copies of the prospectus or prospectuses (including each form of prospectus) and each amendment or supplement thereto as such Persons may reasonably request; and the Company hereby consents to the use of such prospectus and each amendment or supplement thereto by each of the selling Holders in connection with the offering and sale of the Registrable Securities covered by such prospectus and any amendment or supplement thereto to the extent permitted by federal and state securities laws and regulations.</w:t>
      </w:r>
    </w:p>
    <w:p>
      <w:pPr>
        <w:spacing w:after="0" w:line="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64" w:name="page65"/>
    <w:bookmarkEnd w:id="64"/>
    <w:p>
      <w:pPr>
        <w:ind w:right="220" w:firstLine="987"/>
        <w:spacing w:after="0" w:line="282"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Cooperate with the Holders to facilitate the timely preparation and delivery of certificates representing Registrable Securities of the Company to be sold pursuant to a Registration Statement.</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2.1(h)(v), as promptly as practicable prepare a supplement or amendment, including a post-effective amendment, to the Registration Statement or a supplement to the related prospectus or any document incorporated or deemed to be incorporated therein by reference, and file any other required document so that, as thereafter delivered, neither the Registration Statement nor such prospectus will contain an untrue statement of a material fact or omit to state a material fact required to be stated therein or necessary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efforts to cause all Registrable Securities relating to the Registration Statement to be listed on the Nasdaq Stock Market, LLC or any subsequent securities exchange, quotation system or market, if any, on which similar securities issued by the Company are then listed or traded.</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information regarding such Holder and the distribution of such Registrable Securities as is required by law to be disclosed in the Registration Statement, and the Company may exclude from such registration the Registrable Securities of any such Holder who fails to furnish such information within 15 days after receiving such request.</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there is material non-public information regarding the Company which the Company’s board of directors reasonably determines not to be in the Company’s best interest to disclose and which the Company is not otherwise required to disclose, or (ii) there is a significant business opportunity (including, but not limited to, the acquisition or disposition of assets (other than in the ordinary course of business) or any merger, consolidation, tender offer or other similar transaction) available to the Company which the Company’s board of directors reasonably determines not to be in the Company’s best interest to disclose, then the Company may postpone or suspend filing or effectiveness of a Registration Statement for a period (a “</w:t>
      </w:r>
      <w:r>
        <w:rPr>
          <w:rFonts w:ascii="Times New Roman" w:cs="Times New Roman" w:eastAsia="Times New Roman" w:hAnsi="Times New Roman"/>
          <w:sz w:val="18"/>
          <w:szCs w:val="18"/>
          <w:b w:val="1"/>
          <w:bCs w:val="1"/>
          <w:i w:val="1"/>
          <w:iCs w:val="1"/>
          <w:color w:val="auto"/>
        </w:rPr>
        <w:t>Deferral Period</w:t>
      </w:r>
      <w:r>
        <w:rPr>
          <w:rFonts w:ascii="Times New Roman" w:cs="Times New Roman" w:eastAsia="Times New Roman" w:hAnsi="Times New Roman"/>
          <w:sz w:val="18"/>
          <w:szCs w:val="18"/>
          <w:color w:val="auto"/>
        </w:rPr>
        <w:t>”) not to exceed 60 consecutive days, provided that the Company may not postpone or suspend its obligation under this</w:t>
      </w:r>
    </w:p>
    <w:p>
      <w:pPr>
        <w:spacing w:after="0" w:line="5"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2.1(l) for more than 90 days in the aggregate during any 12-month period; provided, however, that no such postponement or suspension by the Company shall be permitted for more than one 60-day period, arising out of the same set of facts, circumstances or transactions.</w:t>
      </w:r>
    </w:p>
    <w:p>
      <w:pPr>
        <w:spacing w:after="0" w:line="181" w:lineRule="exact"/>
        <w:rPr>
          <w:rFonts w:ascii="Times New Roman" w:cs="Times New Roman" w:eastAsia="Times New Roman" w:hAnsi="Times New Roman"/>
          <w:sz w:val="18"/>
          <w:szCs w:val="18"/>
          <w:color w:val="auto"/>
        </w:rPr>
      </w:pPr>
    </w:p>
    <w:p>
      <w:pPr>
        <w:ind w:right="20" w:firstLine="987"/>
        <w:spacing w:after="0" w:line="256"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efforts to register or qualify, or cooperate with the Holders of the Registrable Securities included in the Registration Statement in connection with the registration or qualification of, the resale of the Registrable Securities under applicable securities or “blue sky” laws of such states of the United States as any such Holder requests in writing and to do any and all other acts or things necessary or advisable to enable the offer and sale in such jurisdictions of the Registrable Securities covered by the Registration Statement; provided, however, that the Company shall not be required to (i) qualify generally to do business in any jurisdiction where it is not then so qualified or (ii) take any action that would subject it to general service of process or to taxation in any jurisdiction to which it is not then so subject.</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with all rules and regulations of the Commission to the extent and so long as they are applicable to the Registration and will make generally available to its security holders (or otherwise provide in accordance with Section 11(a) of the Securities Act) an earnings statement (which need not be audited) satisfying the provisions of Section 11(a) of the Securities Act and Rule 158 thereunder, no later than 45 days after the end of a 12-month period (or 90 days, if such period is a fiscal year) beginning with the Company’s first fiscal quarter commencing after the effective date of the Registration Statement.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65" w:name="page66"/>
    <w:bookmarkEnd w:id="6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Holder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5"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Business Days prior to the first anticipated filing date of a Registration Statement, the Company shall notify each Holder in writing of the information the Company requires from each such Holder if such Holder elects to have any of such Holder’s Registrable Securities included in such Registration Statement. It shall be a condition precedent to the obligations of the Company to complete the registration pursuant to this Agreement with respect to the Registrable Securities of a particular Holder that (i) such Holder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Holder execute such documents in connection with such registration as the Company may reasonably request</w:t>
      </w:r>
    </w:p>
    <w:p>
      <w:pPr>
        <w:spacing w:after="0" w:line="188" w:lineRule="exact"/>
        <w:rPr>
          <w:rFonts w:ascii="Times New Roman" w:cs="Times New Roman" w:eastAsia="Times New Roman" w:hAnsi="Times New Roman"/>
          <w:sz w:val="18"/>
          <w:szCs w:val="18"/>
          <w:color w:val="auto"/>
        </w:rPr>
      </w:pPr>
    </w:p>
    <w:p>
      <w:pPr>
        <w:ind w:left="4" w:right="200" w:firstLine="987"/>
        <w:spacing w:after="0" w:line="258" w:lineRule="auto"/>
        <w:tabs>
          <w:tab w:leader="none" w:pos="12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covenants and agrees by its acquisition of such Registrable Securities that (i) it will not sell any Registrable Securities under the Registration Statement until it has received copies of the prospectus as then amended or supplemented as contemplated in Section 2.1(l) and notice from the Company that such Registration Statement and any post-effective amendments thereto have become effective as contemplated by Section 2.1(h) and (ii) it and its officers, directors or Affiliates, if any, will comply with the prospectus delivery requirements of the Securities Act as applicable to them in connection with sales of Registrable Securities pursuant to the Registration Statement.</w:t>
      </w:r>
    </w:p>
    <w:p>
      <w:pPr>
        <w:spacing w:after="0" w:line="183"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notice from the Company of the occurrence of any event of the kind described in Section 2.1(h)(ii), 2.1(h)(iii), 2.1(h) (iv), 2.1(h)(v) or 2.1(l), such Holder will forthwith discontinue disposition of such Registrable Securities under the Registration Statement until such Holder’s receipt of the copies of the supplemented prospectus and/or amended Registration Statement contemplated by Section 2.1(n), or until it is advised in writing by the Company that the use of the applicable prospectus may be resumed, and, in either case, has received copies of any additional or supplemental filings that are incorporated or deemed to be incorporated by reference in such prospectus or Registration Statement.</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EXPENSES</w:t>
      </w:r>
    </w:p>
    <w:p>
      <w:pPr>
        <w:spacing w:after="0" w:line="20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All reasonable fees and expenses incident to the performance of or compliance with this Agreement by the Company (excluding underwriters’ discounts and commissions and all fees and expenses of legal counsel, accountants and other advisors for any Purchaser except as specifically provided below), except as and to the extent specified in this Section 3.1, shall be borne by the Company whether or not a Registration Statement is filed by the Company or becomes effective and whether or not any Registrable Securities are sold pursuant to a Registration Statement. The fees and expenses referred to in the foregoing sentence shall include, without limitation, (i) all registration and filing fees (including, without limitation, fees and expenses (A) with respect to filings required to be made with the Nasdaq Stock Market, LLC and each other securities exchange or market on which Registrable Securities are required hereunder to be listed, (B) with respect to filings required to be made by the Company with the Financial Industry Regulatory Authority and (C) in compliance with state securities or Blue Sky laws by the Company or with respect to Registrable Securities,</w:t>
      </w:r>
    </w:p>
    <w:p>
      <w:pPr>
        <w:ind w:left="4" w:hanging="4"/>
        <w:spacing w:after="0" w:line="255" w:lineRule="auto"/>
        <w:tabs>
          <w:tab w:leader="none" w:pos="2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messenger, telephone and delivery expenses, (iii) fees and disbursements of counsel for the Company, (iv) Securities Act liability insurance, if the Company so desires such insurance, and (v) fees and expenses of all other Persons retained by the Company in connection with the consummation of the transactions contemplated by this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66" w:name="page67"/>
    <w:bookmarkEnd w:id="66"/>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including, without limitation, the Company’s independent public accountants).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the fees and expenses incurred in connection with the listing of the Registrable Securities on any securities exchange as required hereunder. In no event shall the Company be responsible for any underwriting, broker or similar fees or commissions of any Purchaser or, except to the extent provided for above or in the Transaction Documents, any legal fees or other costs of the Purchasers.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its permitted assignees, officers, directors, agents, brokers (including brokers who offer and sell Registrable Securities as principal as a result of a pledge or any failure to perform under a margin call of Company Common Stock), underwriters, investment advisors and employees, each Person who controls any such Holder or permitted assignee (within the meaning of Section 15 of the Securities Act or Section 20 of the Exchange Act) and the officers, directors, agents and employees of each such controlling Person, and the respective successors, assigns, estate and personal representatives of each of the foregoing, to the fullest extent permitted by applicable law, from and against any and all claims, losses, damages, liabilities, penalties, judgments, costs (including, without limitation, costs of investigation) and expenses (including, without limitation, reasonable attorneys’ fees and expenses)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xml:space="preserve">”), arising out of or relating to any untrue or alleged untrue statement of a material fact contained in the Registration Statement, any prospectus, as supplemented or amended, if applicable,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except (i) to the extent, but only to the extent, that such untrue statements or omissions or alleged untrue statements or omissions are based upon information regarding such Holder furnished in writing to the Company by such Holder expressly for use in such Registration Statement, such prospectus or in any amendment or supplement thereto or to the extent that such information relates to such Holder or such Holder’s proposed method of distribution of Registrable Securities and was furnished in writing by such Holder expressly for use therein (it being understood that each Holder has approved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this purpose); or (ii) in the case of an occurrence of an event of the type specified in Section 2.1(h)(ii)-(v), the use by a Holder of an outdated or defective prospectus, but only if and to the extent that following such receipt the misstatement or omission giving rise to such Loss would have been corrected; provided, however, that the indemnity agreement contained in this Section 4.1 shall not apply to amounts paid in settlement of any Losses if such settlement is effected without the prior written consent of the Company, which consent shall not be unreasonably withheld. The Company shall notify such Holder promptly of the institution, threat or assertion of any Proceeding of which the Company is aware in connection with the transactions contemplated by this Agreement. Such indemnity shall remain in full force and effect regardless of any investigation made by or on behalf of an Indemnified Party (as defined in Section 4.3(a) hereof) and shall survive the transfer of the Registrable Securities by the Holder.</w:t>
      </w:r>
    </w:p>
    <w:p>
      <w:pPr>
        <w:spacing w:after="0" w:line="20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and its permitted assignees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and the respective successors, assigns, estate and personal representatives of each of the foregoing, to the fullest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67" w:name="page68"/>
    <w:bookmarkEnd w:id="6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extent permitted by applicable law, from and against all Losses, as incurred, arising out of or relating to any untrue or alleged untrue statement of a material fact contained in any Registration Statement, any prospectus, as supplemented or amended, if applicable,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to the extent, but only to the extent, that such untrue statement or omission or alleged untrue statement or omission is contained in or omitted from any information regarding such Holder furnished in writing to the Company by such Holder expressly for use in therein, and that such information was reasonably relied upon by the Company for use therein, or to the extent that such information relates to such Holder or such Holder’s proposed method of distribution of Registrable Securities and was furnished in writing by such Holder expressly for use therein (it being understood that each Holder has approved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this purpose);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a Holder’s liability pursuant to this Subsection 4.2, exceed the proceeds from the offering received by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except in the case of willful misconduct or fraud by such Holder.</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20" w:firstLine="987"/>
        <w:spacing w:after="0" w:line="256"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Proceeding shall be brought or asserted against any Person entitled to indemnity hereunder (an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such Indemnified Party promptly shall notify the Person from whom indemnity is sought (the “</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in writing, and the Indemnifying Party shall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spacing w:after="0" w:line="186"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(which shall be reasonably acceptable to the Indemnifying Party) that a conflict of interest is likely to exist if the same counsel were to represent such Indemnified Party and the Indemnifying Party (in which case, the Indemnifying Party shall be responsible for reasonable fees and expenses of no more than one counsel (together with appropriate local counsel) for the Indemnified Parties).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or could have been a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87"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20 Business Days of written notice thereof to the Indemnifying Party (regardless of whether it is ultimately determined that an Indemnified Party is not entitled to indemnification hereunder; provided, that the Indemnifying Party may require such Indemnified Party to undertake to reimburse all such fees and expenses to the extent it is finally judicially determined that such Indemnified Party is not entitled to indemnification hereunder).</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under Section 4.1 or 4.2 is unavailable to an Indemnified Party because of a failure or refusal of a governmental authority to enforce such indemnification in accordance with its terms (by reason of public policy or otherwise),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Section 4.3,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9"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4.4 were determined by pro rata allocation or by any other method of allocation that does not take into account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and contribution agreements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in addition to any liability that the Indemnifying Parties may have to the Indemnified Parties.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Company’s obligations hereunder shall be conditioned upon the occurrence of the Closing under the Purchase Agreement, and this Agreement shall not be effective until such Closing. If the Purchase Agreement shall be terminated prior to the Closing, then this Agreement shall be void and of no further force or effect (and no party hereto shall have any rights or obligations with respect to this Agreement).</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obligations under this Agreement, each non-breaching Holder and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9" w:name="page70"/>
    <w:bookmarkEnd w:id="6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and the other Transaction Documents contain the entire understanding and agreement of the parties with respect to the matters covered hereby and, except as specifically set forth herein or therein, neither the Company nor any Holder make any representation, warranty, covenant or undertaking with respect to such matters, and they supersede all prior understandings and agreements with respect to said subject matter, all of which are merged herein. This Agreement and any term hereof may be amended, terminated or waived only with the written consent of the Company and the Holders of at least a majority of all outstanding Registrable Securities then held by all Holders. Any amendment or waiver effected in accordance with this Section 5.3 shall be binding upon each Holder (and their permitted assigns).</w:t>
      </w:r>
    </w:p>
    <w:p>
      <w:pPr>
        <w:spacing w:after="0" w:line="187"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The Company will not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or email at the facsimile number or email address specified in this Section prior to 4:00 p.m. (New York City time) on a Trading Day, (b) the next Trading Day after the date of transmission, if such notice or communication is delivered via facsimile or email at the facsimile number or email address specified in this Section on a day that is not a Trading Day or later than 4:00 p.m. (New York City time) on any Trading Day, (c) the Trading Day following the date of deposit with a nationally recognized overnight courier service, or (d) upon actual receipt by the party to whom such notice is required to be given. The addresses, facsimile numbers and email addresses for such notices and communications are those set forth below, or such other address or facsimile number as may be designated in writing hereafter, in the same manner, by any such Person: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7000 Shoreline Court, Suite 275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Stephen R. Brady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copies (which copies shall not constitute notice to the Company)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Laura Berezin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Purchasers: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To their respective addresses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70" w:name="page71"/>
    <w:bookmarkEnd w:id="70"/>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No waiver by either party of any default with respect to any provision, condition or requirement of this Agreement shall be deemed to be a continuing waiver in the future or a waiver of any other provision, condition or requirement hereof, nor shall any delay or omission of any party to exercise any right hereunder in any manner impair the exercise of any such right accruing to it thereafter.</w:t>
      </w:r>
    </w:p>
    <w:p>
      <w:pPr>
        <w:spacing w:after="0" w:line="176"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and shall inure to the benefit of each Holder and its successors and assigns. The Company may not assign this Agreement or any of its rights or obligations hereunder without the prior written consent of the Holders of at least a majority of all Registrable Securities then outstanding.</w:t>
      </w:r>
    </w:p>
    <w:p>
      <w:pPr>
        <w:spacing w:after="0" w:line="176"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Assignment of Registration Rights</w:t>
      </w:r>
      <w:r>
        <w:rPr>
          <w:rFonts w:ascii="Times New Roman" w:cs="Times New Roman" w:eastAsia="Times New Roman" w:hAnsi="Times New Roman"/>
          <w:sz w:val="17"/>
          <w:szCs w:val="17"/>
          <w:color w:val="auto"/>
        </w:rPr>
        <w:t>. The rights of each Holder hereunder, including the right to have the Company register for resale Registrable Securities in accordance with the terms of this Agreement, shall be assignable by each Holder of all or a portion of the Registrable Securities if: (i) the Holder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w:t>
      </w:r>
    </w:p>
    <w:p>
      <w:pPr>
        <w:spacing w:after="0" w:line="3" w:lineRule="exact"/>
        <w:rPr>
          <w:sz w:val="20"/>
          <w:szCs w:val="20"/>
          <w:color w:val="auto"/>
        </w:rPr>
      </w:pPr>
    </w:p>
    <w:p>
      <w:pPr>
        <w:ind w:left="4" w:right="260" w:hanging="4"/>
        <w:spacing w:after="0" w:line="252"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transferee or assignee, and (b) the Registrable Securities with respect to which such registration rights are being transferred or assigned to such transferee or assignee, (iii) following such transfer or assignment the further disposition of such securities by the transferee or assignees is restricted under the Securities Act and applicable state securities laws, (iv) at or before the time the Company receives the written notice contemplated by clause (ii) of this Section, the transferee or assignee agrees in writing with the Company to be bound by all of the provisions of this Agreement, and (v) such transfer shall have been made in accordance with the applicable requirements of the Purchase Agreement. The rights to assignment shall apply to the Holders (and to subsequent) successors and assigns.</w:t>
      </w:r>
    </w:p>
    <w:p>
      <w:pPr>
        <w:spacing w:after="0" w:line="19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at the end of the Effectiveness Period, except that Articles III and VI and this Article V shall remain in effect in accordance with their terms.</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choice of law principles thereof. Each of the parties hereto irrevocably submits to the exclusive jurisdiction of the state and federal courts located in the State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If any party hereto shall commence an action or proceeding to enforce any provisions of the Transaction Documents, then,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71" w:name="page72"/>
    <w:bookmarkEnd w:id="71"/>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Counterparts; Execution</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hereof should be held invalid, illegal or unenforceable in any respect, then, to the fullest extent permitted by law, (a) all other provisions hereof shall remain in full force and effect and shall be liberally construed in order to carry out the intentions of the parties as nearly as may be possible and (b) the parties shall use their best efforts to replace the invalid, illegal or unenforceable provision(s) with valid, legal and enforceable provision(s) which, insofar as practical, implement the purposes of such provision(s) in this Agreement.</w:t>
      </w:r>
    </w:p>
    <w:p>
      <w:pPr>
        <w:spacing w:after="0" w:line="180" w:lineRule="exact"/>
        <w:rPr>
          <w:sz w:val="20"/>
          <w:szCs w:val="20"/>
          <w:color w:val="auto"/>
        </w:rPr>
      </w:pPr>
    </w:p>
    <w:p>
      <w:pPr>
        <w:ind w:left="4" w:right="3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5.14 shall not prohibit the Company from filing</w:t>
      </w:r>
    </w:p>
    <w:p>
      <w:pPr>
        <w:spacing w:after="0" w:line="3" w:lineRule="exact"/>
        <w:rPr>
          <w:sz w:val="20"/>
          <w:szCs w:val="20"/>
          <w:color w:val="auto"/>
        </w:rPr>
      </w:pPr>
    </w:p>
    <w:p>
      <w:pPr>
        <w:ind w:left="4" w:right="520" w:hanging="4"/>
        <w:spacing w:after="0" w:line="255"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registration statements filed prior to the date of this Agreement so long as no new securities are registered on any such existing registration statements and (ii) a registration statement on Form S-8 pursuant to any benefits plans or arrangements existing on the date of this Agreement.</w:t>
      </w:r>
    </w:p>
    <w:p>
      <w:pPr>
        <w:spacing w:after="0" w:line="186"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72" w:name="page73"/>
    <w:bookmarkEnd w:id="7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Registration Rights Agreement to be duly executed by their respective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signatories as of the date first indicated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R. Brady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960"/>
          </w:cols>
          <w:pgMar w:left="440" w:top="266" w:right="499" w:bottom="1440" w:gutter="0" w:footer="0" w:header="0"/>
        </w:sectPr>
      </w:pPr>
    </w:p>
    <w:bookmarkStart w:id="73" w:name="page74"/>
    <w:bookmarkEnd w:id="7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ECOR1 CAPITAL FUND,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Oleg Nodelman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Oleg Nodelman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ECOR1 CAPITAL FUND QUALIFIED, L.P.</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EcoR1 Capital,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Oleg Nodelman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Oleg Nodelman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ectPr>
          <w:pgSz w:w="11900" w:h="16838" w:orient="portrait"/>
          <w:cols w:equalWidth="0" w:num="1">
            <w:col w:w="10020"/>
          </w:cols>
          <w:pgMar w:left="1440" w:top="266" w:right="439" w:bottom="1440" w:gutter="0" w:footer="0" w:header="0"/>
        </w:sectPr>
      </w:pPr>
    </w:p>
    <w:bookmarkStart w:id="74" w:name="page75"/>
    <w:bookmarkEnd w:id="7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ERSANT</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ANTAGE</w:t>
      </w:r>
      <w:r>
        <w:rPr>
          <w:rFonts w:ascii="Times New Roman" w:cs="Times New Roman" w:eastAsia="Times New Roman" w:hAnsi="Times New Roman"/>
          <w:sz w:val="18"/>
          <w:szCs w:val="18"/>
          <w:b w:val="1"/>
          <w:bCs w:val="1"/>
          <w:color w:val="auto"/>
        </w:rPr>
        <w:t xml:space="preserve"> II,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Versant Vantage II GP, L.P.</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7"/>
          <w:szCs w:val="17"/>
          <w:color w:val="auto"/>
        </w:rPr>
        <w:t>By:</w:t>
        <w:tab/>
        <w:t>Versant Vantage II GP-GP, LLC</w:t>
      </w:r>
    </w:p>
    <w:p>
      <w:pPr>
        <w:spacing w:after="0" w:line="237"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4860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019"/>
          </w:cols>
          <w:pgMar w:left="1440" w:top="266" w:right="1440" w:bottom="1440" w:gutter="0" w:footer="0" w:header="0"/>
        </w:sectPr>
      </w:pPr>
    </w:p>
    <w:bookmarkStart w:id="75" w:name="page76"/>
    <w:bookmarkEnd w:id="75"/>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Schedule of Purchasers</w:t>
      </w:r>
    </w:p>
    <w:p>
      <w:pPr>
        <w:sectPr>
          <w:pgSz w:w="11900" w:h="16838" w:orient="portrait"/>
          <w:cols w:equalWidth="0" w:num="1">
            <w:col w:w="10960"/>
          </w:cols>
          <w:pgMar w:left="440" w:top="266" w:right="4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Purchaser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Address/Contact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EcoR1 Capital Fund, L.P.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357 Tehama Street #3</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Perlen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EcoR1 Capital Fund Qualified,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357 Tehama Street #3</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Perlen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Vantage II,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One Sansome Street, Suite 3630</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Thomas Woiwode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 Share</w:t>
            </w:r>
          </w:p>
        </w:tc>
        <w:tc>
          <w:tcPr>
            <w:tcW w:w="940" w:type="dxa"/>
            <w:vAlign w:val="bottom"/>
            <w:gridSpan w:val="2"/>
            <w:vMerge w:val="continue"/>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Pre-Funded</w:t>
            </w: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Securities</w:t>
            </w:r>
          </w:p>
        </w:tc>
        <w:tc>
          <w:tcPr>
            <w:tcW w:w="0" w:type="dxa"/>
            <w:vAlign w:val="bottom"/>
          </w:tcPr>
          <w:p>
            <w:pPr>
              <w:spacing w:after="0"/>
              <w:rPr>
                <w:sz w:val="1"/>
                <w:szCs w:val="1"/>
                <w:color w:val="auto"/>
              </w:rPr>
            </w:pPr>
          </w:p>
        </w:tc>
      </w:tr>
      <w:tr>
        <w:trPr>
          <w:trHeight w:val="228"/>
        </w:trPr>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160,631.04</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211,597</w:t>
            </w:r>
          </w:p>
        </w:tc>
        <w:tc>
          <w:tcPr>
            <w:tcW w:w="16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499,157.32</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659,788.36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-156845</wp:posOffset>
            </wp:positionV>
            <wp:extent cx="6995160" cy="831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tabs>
          <w:tab w:leader="none" w:pos="920" w:val="left"/>
          <w:tab w:leader="none" w:pos="2240" w:val="left"/>
          <w:tab w:leader="none" w:pos="3120" w:val="left"/>
          <w:tab w:leader="none" w:pos="4380" w:val="left"/>
        </w:tabs>
        <w:rPr>
          <w:sz w:val="20"/>
          <w:szCs w:val="20"/>
          <w:color w:val="auto"/>
        </w:rPr>
      </w:pPr>
      <w:r>
        <w:rPr>
          <w:rFonts w:ascii="Times New Roman" w:cs="Times New Roman" w:eastAsia="Times New Roman" w:hAnsi="Times New Roman"/>
          <w:sz w:val="18"/>
          <w:szCs w:val="18"/>
          <w:color w:val="auto"/>
        </w:rPr>
        <w:t>963,204</w:t>
        <w:tab/>
        <w:t>$ 2,273,161.44</w:t>
        <w:tab/>
        <w:t>2,994,423</w:t>
        <w:tab/>
        <w:t>$ 7,063,843.86</w:t>
        <w:tab/>
        <w:t>$  9,337,005.30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
        <w:spacing w:after="0"/>
        <w:tabs>
          <w:tab w:leader="none" w:pos="920" w:val="left"/>
          <w:tab w:leader="none" w:pos="2700" w:val="left"/>
          <w:tab w:leader="none" w:pos="3960" w:val="left"/>
          <w:tab w:leader="none" w:pos="4380" w:val="left"/>
        </w:tabs>
        <w:rPr>
          <w:sz w:val="20"/>
          <w:szCs w:val="20"/>
          <w:color w:val="auto"/>
        </w:rPr>
      </w:pPr>
      <w:r>
        <w:rPr>
          <w:rFonts w:ascii="Times New Roman" w:cs="Times New Roman" w:eastAsia="Times New Roman" w:hAnsi="Times New Roman"/>
          <w:sz w:val="18"/>
          <w:szCs w:val="18"/>
          <w:color w:val="auto"/>
        </w:rPr>
        <w:t>2,118,644</w:t>
        <w:tab/>
        <w:t>$ 4,999,999.84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  4,999,999.84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-119380</wp:posOffset>
            </wp:positionV>
            <wp:extent cx="6995160" cy="8312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31215"/>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2">
            <w:col w:w="4660" w:space="720"/>
            <w:col w:w="5580"/>
          </w:cols>
          <w:pgMar w:left="440" w:top="266" w:right="4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17"/>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3,149,912</w:t>
            </w:r>
          </w:p>
        </w:tc>
        <w:tc>
          <w:tcPr>
            <w:tcW w:w="160" w:type="dxa"/>
            <w:vAlign w:val="bottom"/>
          </w:tcPr>
          <w:p>
            <w:pPr>
              <w:spacing w:after="0"/>
              <w:rPr>
                <w:sz w:val="18"/>
                <w:szCs w:val="18"/>
                <w:color w:val="auto"/>
              </w:rPr>
            </w:pPr>
          </w:p>
        </w:tc>
        <w:tc>
          <w:tcPr>
            <w:tcW w:w="2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$ 7,433,792.32   3,206,020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$ 7,563,001.18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$ 14,996,793.50</w:t>
            </w:r>
          </w:p>
        </w:tc>
      </w:tr>
      <w:tr>
        <w:trPr>
          <w:trHeight w:val="20"/>
        </w:trPr>
        <w:tc>
          <w:tcPr>
            <w:tcW w:w="5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ectPr>
          <w:pgSz w:w="11900" w:h="16838" w:orient="portrait"/>
          <w:cols w:equalWidth="0" w:num="1">
            <w:col w:w="10960"/>
          </w:cols>
          <w:pgMar w:left="440" w:top="266" w:right="499" w:bottom="144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 Questionnaire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questionnaire for confirming accredited investor status]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Selling Securityholder Questionnaire]</w:t>
      </w:r>
    </w:p>
    <w:p>
      <w:pPr>
        <w:sectPr>
          <w:pgSz w:w="11900" w:h="16838" w:orient="portrait"/>
          <w:cols w:equalWidth="0" w:num="1">
            <w:col w:w="9019"/>
          </w:cols>
          <w:pgMar w:left="1440" w:top="266"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language for plan of distribution section of Registration Statement]</w:t>
      </w:r>
    </w:p>
    <w:p>
      <w:pPr>
        <w:sectPr>
          <w:pgSz w:w="11900" w:h="16838" w:orient="portrait"/>
          <w:cols w:equalWidth="0" w:num="1">
            <w:col w:w="9019"/>
          </w:cols>
          <w:pgMar w:left="1440" w:top="266"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173990</wp:posOffset>
            </wp:positionV>
            <wp:extent cx="2245995" cy="6000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459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Announces Private Placement Financing of $15 Million</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w:t>
      </w:r>
      <w:r>
        <w:rPr>
          <w:rFonts w:ascii="Times New Roman" w:cs="Times New Roman" w:eastAsia="Times New Roman" w:hAnsi="Times New Roman"/>
          <w:sz w:val="18"/>
          <w:szCs w:val="18"/>
          <w:color w:val="auto"/>
        </w:rPr>
        <w:t>Calif., April 27, 2022 (GLOBE NEWSWIRE) – Tempest Therapeutics, Inc. (Nasdaq: TPST), a clinical-stage oncology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novel therapeutics that combine both targeted and immune-mediated mechanisms, today announced a $15 million private investment in public equity (PIPE) financing from the sale of 3,149,912 shares of its common stock at a price per share of $2.36 and, in lieu of shares of common stock, pre-funded warrants to purchase up to 3,206,020 shares of its common stock at price per pre-funded warrant of $2.359 to EcoR1 Capital, LLC and Versant Venture Capital. Gross proceeds from the PIPE financings total approximately $15.0 million, before deducting offering expenses.</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very pleased to have a top investor such as EcoR1 recognize the value in Tempest, and we strongly appreciate Versant’s continued support of the Company, which has been consistent since our inception,” said Stephen R. Brady, chief executive officer of Tempest. “Given the current capital markets environment, we are also pleased with the equivalent value between the securities, and will continue to diligently execute towards the development of meaningful therapies for patients.”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PIPE financing is subject to customary closing conditions and is expected to close by April 29, 2022.</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securities sold in this private placement, including the shares of common stock underlying the pre-funded warrants, have not been registered under the Securities Act of 1933, as amended, and may not be offered or sold in the U.S. except pursuant to an effective registration statement or an applicable exemption from the registration requirements. Tempest Therapeutics has agreed to file a registration statement with the Securities and Exchange Commission registering the resale of the shares of common stock issued in this private placement and the shares of common stock underlying the pre-funded warrants.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ectPr>
          <w:pgSz w:w="11900" w:h="16838" w:orient="portrait"/>
          <w:cols w:equalWidth="0" w:num="1">
            <w:col w:w="11020"/>
          </w:cols>
          <w:pgMar w:left="440" w:top="117"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Draft – Not for Distribution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within the meaning of Section 21E of the Securities Exchange Act of 1934, as amended, and Section 27A of the Securities Act of 1933, as amended) concerning Tempest Therapeutics, Inc., including without limitation, statements related to the anticipated proceeds to be received in the proposed PIPE, expected timing of closing of the proposed PIPE, and the size and completion of the proposed PIPE.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Forward-looking statements are based on information available to Tempest Therapeutics as of the date hereof and are not guarantees of future performance. Actual events or results may differ materially from those expressed or implied by any forward-looking statements contained herein, including, without limitation, the risks and uncertainties described in the section entitled “Risk Factors” in the Form 10-K filed by Tempest Therapeutics with the Securities and Exchange Commission on March 29, 2022.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swheeler@wheelhouselsa.com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Aljanae 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areynolds@tempesttx.com</w:t>
      </w:r>
    </w:p>
    <w:p>
      <w:pPr>
        <w:sectPr>
          <w:pgSz w:w="11900" w:h="16838" w:orient="portrait"/>
          <w:cols w:equalWidth="0" w:num="1">
            <w:col w:w="11000"/>
          </w:cols>
          <w:pgMar w:left="440" w:top="268" w:right="4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173990</wp:posOffset>
            </wp:positionV>
            <wp:extent cx="2245995" cy="6000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459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Announces Oral and Poster Presentations at the Upcoming 2022 ASCO Annual Meeting</w:t>
      </w:r>
    </w:p>
    <w:p>
      <w:pPr>
        <w:spacing w:after="0" w:line="135" w:lineRule="exact"/>
        <w:rPr>
          <w:sz w:val="20"/>
          <w:szCs w:val="20"/>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 presentation for TPST-1120 completed Phase 1 trial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Poster presentation for TPST-1495 trial in progress</w:t>
      </w:r>
    </w:p>
    <w:p>
      <w:pPr>
        <w:spacing w:after="0" w:line="2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South San Francisco, CA</w:t>
      </w:r>
      <w:r>
        <w:rPr>
          <w:rFonts w:ascii="Times New Roman" w:cs="Times New Roman" w:eastAsia="Times New Roman" w:hAnsi="Times New Roman"/>
          <w:sz w:val="18"/>
          <w:szCs w:val="18"/>
          <w:color w:val="auto"/>
        </w:rPr>
        <w:t>, April 27, 2022</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Tempest Therapeutics, Inc. (Nasdaq: TPST), a clinical-stage oncology company developing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combine both targeted and immune-mediated mechanisms, today announced that two abstracts were accepted for presentation at the 2022 American Society of Clinical Oncology (ASCO) Annual Meeting taking place June 3-7, 2022 at the McCormick Place Convention Center in Chicago, IL. The results of the Phase 1 monotherapy and Phase 1 combination therapy studies with TPST-1120, a potential first-in-class PPARα antagonist, received an invitation for an oral presentation. The trial results will be presented on the podium by Mark Yarchoan, a clinical investigator from Johns Hopkins School of Medicine.</w:t>
      </w:r>
    </w:p>
    <w:p>
      <w:pPr>
        <w:spacing w:after="0" w:line="1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the trials-in-progress abstract for TPST-1495, a potential first-in-class EP2/EP4 prostaglandin receptor dual antagonist, was accepted for a poster presentation.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thrilled that ASCO recognized our two novel clinical programs and accepted the abstracts for presentation,” commented Stephen Brady, chief executive officer of Tempest. “This will be the first presentation of clinical data from a Tempest program, and we are encouraged by the results from our completed Phase 1 study with TPST-1120, and excited about the ongoing first-line randomized study in patients with hepatocellular carcinoma.”</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abstracts will be released on Thursday, May 26, 2022 at 5:00 p.m. EDT on ASCO.org/abstracts. We expect to also include data from the additional TPST-1120 patients enrolled after abstract submission.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A phase 1 study of TPST-1120 as a single agent and in combination with nivolumab in subjects with advanced solid tumors.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Typer/Title: </w:t>
      </w:r>
      <w:r>
        <w:rPr>
          <w:rFonts w:ascii="Times New Roman" w:cs="Times New Roman" w:eastAsia="Times New Roman" w:hAnsi="Times New Roman"/>
          <w:sz w:val="18"/>
          <w:szCs w:val="18"/>
          <w:color w:val="auto"/>
        </w:rPr>
        <w:t>Oral Abstract Session, Developmental Therapeutics – Molecularly Targeted Agents and Tumor Biology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Date and Time: </w:t>
      </w:r>
      <w:r>
        <w:rPr>
          <w:rFonts w:ascii="Times New Roman" w:cs="Times New Roman" w:eastAsia="Times New Roman" w:hAnsi="Times New Roman"/>
          <w:sz w:val="18"/>
          <w:szCs w:val="18"/>
          <w:color w:val="auto"/>
        </w:rPr>
        <w:t>Tuesday, June 7, 2022; 9:45 a.m.—12:45 p.m. CDT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Number: </w:t>
      </w:r>
      <w:r>
        <w:rPr>
          <w:rFonts w:ascii="Times New Roman" w:cs="Times New Roman" w:eastAsia="Times New Roman" w:hAnsi="Times New Roman"/>
          <w:sz w:val="18"/>
          <w:szCs w:val="18"/>
          <w:color w:val="auto"/>
        </w:rPr>
        <w:t>3005</w:t>
      </w:r>
    </w:p>
    <w:p>
      <w:pPr>
        <w:sectPr>
          <w:pgSz w:w="11900" w:h="16838" w:orient="portrait"/>
          <w:cols w:equalWidth="0" w:num="1">
            <w:col w:w="11020"/>
          </w:cols>
          <w:pgMar w:left="440" w:top="117"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Title: </w:t>
      </w:r>
      <w:r>
        <w:rPr>
          <w:rFonts w:ascii="Times New Roman" w:cs="Times New Roman" w:eastAsia="Times New Roman" w:hAnsi="Times New Roman"/>
          <w:sz w:val="18"/>
          <w:szCs w:val="18"/>
          <w:color w:val="auto"/>
        </w:rPr>
        <w:t>A phase 1 study of TPST-1495 as a single agent and in combination with pembrolizumab in subjects with solid tumors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Type/Title: </w:t>
      </w:r>
      <w:r>
        <w:rPr>
          <w:rFonts w:ascii="Times New Roman" w:cs="Times New Roman" w:eastAsia="Times New Roman" w:hAnsi="Times New Roman"/>
          <w:sz w:val="18"/>
          <w:szCs w:val="18"/>
          <w:color w:val="auto"/>
        </w:rPr>
        <w:t>Poster Session, Developmental Therapeutics – Immunotherapy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Date and Time: </w:t>
      </w:r>
      <w:r>
        <w:rPr>
          <w:rFonts w:ascii="Times New Roman" w:cs="Times New Roman" w:eastAsia="Times New Roman" w:hAnsi="Times New Roman"/>
          <w:sz w:val="18"/>
          <w:szCs w:val="18"/>
          <w:color w:val="auto"/>
        </w:rPr>
        <w:t>Sunday, June 5, 2022; 8:00 a.m. – 11:00 a.m. CDT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Number: </w:t>
      </w:r>
      <w:r>
        <w:rPr>
          <w:rFonts w:ascii="Times New Roman" w:cs="Times New Roman" w:eastAsia="Times New Roman" w:hAnsi="Times New Roman"/>
          <w:sz w:val="18"/>
          <w:szCs w:val="18"/>
          <w:color w:val="auto"/>
        </w:rPr>
        <w:t>TPST2696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Tempest Therapeutics</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Tempest Therapeutics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TPST-1120 and TPST-1495 are advancing through Phase 1 clinical trials designed to study both agents as monotherapies and in combination with other approved agents. In collaboration with F. Hoffmann La Roche, TPST-1120 is also advancing through a randomized first line, global, Phase 1b/2 clinical study in combination with the standard-of-care regimen of atezolizumab and bevacizumab in patients with advanced or metastatic hepatocellular carcinoma. Tempest is also developing an orally-available inhibitor of TREX-1 designed to activate selectively the cGAS/STING pathway, an innate immune response pathway important for the development of anti-tumor immunity. Tempest is headquartered in South San Francisco. More information about Tempest can be found on the company’s website at </w:t>
      </w:r>
      <w:r>
        <w:rPr>
          <w:rFonts w:ascii="Times New Roman" w:cs="Times New Roman" w:eastAsia="Times New Roman" w:hAnsi="Times New Roman"/>
          <w:sz w:val="17"/>
          <w:szCs w:val="17"/>
          <w:u w:val="single" w:color="auto"/>
          <w:color w:val="auto"/>
        </w:rPr>
        <w:t>www.tempesttx.com</w:t>
      </w:r>
      <w:r>
        <w:rPr>
          <w:rFonts w:ascii="Times New Roman" w:cs="Times New Roman" w:eastAsia="Times New Roman" w:hAnsi="Times New Roman"/>
          <w:sz w:val="17"/>
          <w:szCs w:val="17"/>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swheeler@wheelhouselsa.com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Aljanae 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areynolds@tempesttx.com</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Letter"/>
      <w:start w:val="4"/>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1)"/>
      <w:numFmt w:val="lowerLetter"/>
      <w:start w:val="5"/>
    </w:lvl>
  </w:abstractNum>
  <w:abstractNum w:abstractNumId="5">
    <w:nsid w:val="614FD4A1"/>
    <w:multiLevelType w:val="hybridMultilevel"/>
    <w:lvl w:ilvl="0">
      <w:lvlJc w:val="left"/>
      <w:lvlText w:val="(%1)"/>
      <w:numFmt w:val="lowerLetter"/>
      <w:start w:val="1"/>
    </w:lvl>
  </w:abstractNum>
  <w:abstractNum w:abstractNumId="6">
    <w:nsid w:val="419AC241"/>
    <w:multiLevelType w:val="hybridMultilevel"/>
    <w:lvl w:ilvl="0">
      <w:lvlJc w:val="left"/>
      <w:lvlText w:val="(%1)"/>
      <w:numFmt w:val="lowerLetter"/>
      <w:start w:val="2"/>
    </w:lvl>
    <w:lvl w:ilvl="1">
      <w:lvlJc w:val="left"/>
      <w:lvlText w:val="(%2)"/>
      <w:numFmt w:val="lowerRoman"/>
      <w:start w:val="1"/>
    </w:lvl>
  </w:abstractNum>
  <w:abstractNum w:abstractNumId="7">
    <w:nsid w:val="5577F8E1"/>
    <w:multiLevelType w:val="hybridMultilevel"/>
    <w:lvl w:ilvl="0">
      <w:lvlJc w:val="left"/>
      <w:lvlText w:val="%1"/>
      <w:numFmt w:val="lowerLetter"/>
      <w:start w:val="1"/>
    </w:lvl>
    <w:lvl w:ilvl="1">
      <w:lvlJc w:val="left"/>
      <w:lvlText w:val="(%2)"/>
      <w:numFmt w:val="lowerRoman"/>
      <w:start w:val="4"/>
    </w:lvl>
  </w:abstractNum>
  <w:abstractNum w:abstractNumId="8">
    <w:nsid w:val="440BADFC"/>
    <w:multiLevelType w:val="hybridMultilevel"/>
    <w:lvl w:ilvl="0">
      <w:lvlJc w:val="left"/>
      <w:lvlText w:val="(%1)"/>
      <w:numFmt w:val="lowerLetter"/>
      <w:start w:val="3"/>
    </w:lvl>
    <w:lvl w:ilvl="1">
      <w:lvlJc w:val="left"/>
      <w:lvlText w:val="%2"/>
      <w:numFmt w:val="lowerRoman"/>
      <w:start w:val="1"/>
    </w:lvl>
  </w:abstractNum>
  <w:abstractNum w:abstractNumId="9">
    <w:nsid w:val="5072367"/>
    <w:multiLevelType w:val="hybridMultilevel"/>
    <w:lvl w:ilvl="0">
      <w:lvlJc w:val="left"/>
      <w:lvlText w:val="(%1)"/>
      <w:numFmt w:val="lowerLetter"/>
      <w:start w:val="4"/>
    </w:lvl>
  </w:abstractNum>
  <w:abstractNum w:abstractNumId="10">
    <w:nsid w:val="3804823E"/>
    <w:multiLevelType w:val="hybridMultilevel"/>
    <w:lvl w:ilvl="0">
      <w:lvlJc w:val="left"/>
      <w:lvlText w:val="(%1)"/>
      <w:numFmt w:val="lowerLetter"/>
      <w:start w:val="5"/>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2"/>
    </w:lvl>
  </w:abstractNum>
  <w:abstractNum w:abstractNumId="13">
    <w:nsid w:val="5C482A97"/>
    <w:multiLevelType w:val="hybridMultilevel"/>
    <w:lvl w:ilvl="0">
      <w:lvlJc w:val="left"/>
      <w:lvlText w:val="(%1)"/>
      <w:numFmt w:val="lowerLetter"/>
      <w:start w:val="5"/>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Letter"/>
      <w:start w:val="3"/>
    </w:lvl>
    <w:lvl w:ilvl="1">
      <w:lvlJc w:val="left"/>
      <w:lvlText w:val="(%2)"/>
      <w:numFmt w:val="lowerRoman"/>
      <w:start w:val="1"/>
    </w:lvl>
  </w:abstractNum>
  <w:abstractNum w:abstractNumId="17">
    <w:nsid w:val="2D517796"/>
    <w:multiLevelType w:val="hybridMultilevel"/>
    <w:lvl w:ilvl="0">
      <w:lvlJc w:val="left"/>
      <w:lvlText w:val="(%1)"/>
      <w:numFmt w:val="lowerLetter"/>
      <w:start w:val="5"/>
    </w:lvl>
  </w:abstractNum>
  <w:abstractNum w:abstractNumId="18">
    <w:nsid w:val="580BD78F"/>
    <w:multiLevelType w:val="hybridMultilevel"/>
    <w:lvl w:ilvl="0">
      <w:lvlJc w:val="left"/>
      <w:lvlText w:val="(%1)"/>
      <w:numFmt w:val="lowerRoman"/>
      <w:start w:val="2"/>
    </w:lvl>
  </w:abstractNum>
  <w:abstractNum w:abstractNumId="19">
    <w:nsid w:val="153EA438"/>
    <w:multiLevelType w:val="hybridMultilevel"/>
    <w:lvl w:ilvl="0">
      <w:lvlJc w:val="left"/>
      <w:lvlText w:val="(%1)"/>
      <w:numFmt w:val="lowerLetter"/>
      <w:start w:val="8"/>
    </w:lvl>
  </w:abstractNum>
  <w:abstractNum w:abstractNumId="20">
    <w:nsid w:val="3855585C"/>
    <w:multiLevelType w:val="hybridMultilevel"/>
    <w:lvl w:ilvl="0">
      <w:lvlJc w:val="left"/>
      <w:lvlText w:val="(%1)"/>
      <w:numFmt w:val="lowerLetter"/>
      <w:start w:val="14"/>
    </w:lvl>
  </w:abstractNum>
  <w:abstractNum w:abstractNumId="21">
    <w:nsid w:val="70A64E2A"/>
    <w:multiLevelType w:val="hybridMultilevel"/>
    <w:lvl w:ilvl="0">
      <w:lvlJc w:val="left"/>
      <w:lvlText w:val="(%1)"/>
      <w:numFmt w:val="decimal"/>
      <w:start w:val="2"/>
    </w:lvl>
    <w:lvl w:ilvl="1">
      <w:lvlJc w:val="left"/>
      <w:lvlText w:val="☐"/>
      <w:numFmt w:val="bullet"/>
      <w:start w:val="1"/>
    </w:lvl>
  </w:abstractNum>
  <w:abstractNum w:abstractNumId="22">
    <w:nsid w:val="6A2342EC"/>
    <w:multiLevelType w:val="hybridMultilevel"/>
    <w:lvl w:ilvl="0">
      <w:lvlJc w:val="left"/>
      <w:lvlText w:val="%1."/>
      <w:numFmt w:val="upperLetter"/>
      <w:start w:val="1"/>
    </w:lvl>
  </w:abstractNum>
  <w:abstractNum w:abstractNumId="23">
    <w:nsid w:val="2A487CB0"/>
    <w:multiLevelType w:val="hybridMultilevel"/>
    <w:lvl w:ilvl="0">
      <w:lvlJc w:val="left"/>
      <w:lvlText w:val="(%1)"/>
      <w:numFmt w:val="lowerRoman"/>
      <w:start w:val="2"/>
    </w:lvl>
  </w:abstractNum>
  <w:abstractNum w:abstractNumId="24">
    <w:nsid w:val="1D4ED43B"/>
    <w:multiLevelType w:val="hybridMultilevel"/>
    <w:lvl w:ilvl="0">
      <w:lvlJc w:val="left"/>
      <w:lvlText w:val="(%1)"/>
      <w:numFmt w:val="lowerLetter"/>
      <w:start w:val="1"/>
    </w:lvl>
    <w:lvl w:ilvl="1">
      <w:lvlJc w:val="left"/>
      <w:lvlText w:val="(%2)"/>
      <w:numFmt w:val="lowerRoman"/>
      <w:start w:val="1"/>
    </w:lvl>
  </w:abstractNum>
  <w:abstractNum w:abstractNumId="25">
    <w:nsid w:val="725A06FB"/>
    <w:multiLevelType w:val="hybridMultilevel"/>
    <w:lvl w:ilvl="0">
      <w:lvlJc w:val="left"/>
      <w:lvlText w:val="(%1)"/>
      <w:numFmt w:val="lowerLetter"/>
      <w:start w:val="2"/>
    </w:lvl>
  </w:abstractNum>
  <w:abstractNum w:abstractNumId="26">
    <w:nsid w:val="2CD89A32"/>
    <w:multiLevelType w:val="hybridMultilevel"/>
    <w:lvl w:ilvl="0">
      <w:lvlJc w:val="left"/>
      <w:lvlText w:val="(%1)"/>
      <w:numFmt w:val="lowerLetter"/>
      <w:start w:val="9"/>
    </w:lvl>
  </w:abstractNum>
  <w:abstractNum w:abstractNumId="27">
    <w:nsid w:val="57E4CCAF"/>
    <w:multiLevelType w:val="hybridMultilevel"/>
    <w:lvl w:ilvl="0">
      <w:lvlJc w:val="left"/>
      <w:lvlText w:val="(%1)"/>
      <w:numFmt w:val="lowerLetter"/>
      <w:start w:val="35"/>
    </w:lvl>
  </w:abstractNum>
  <w:abstractNum w:abstractNumId="28">
    <w:nsid w:val="7A6D8D3C"/>
    <w:multiLevelType w:val="hybridMultilevel"/>
    <w:lvl w:ilvl="0">
      <w:lvlJc w:val="left"/>
      <w:lvlText w:val="(%1)"/>
      <w:numFmt w:val="lowerRoman"/>
      <w:start w:val="2"/>
    </w:lvl>
  </w:abstractNum>
  <w:abstractNum w:abstractNumId="29">
    <w:nsid w:val="4B588F54"/>
    <w:multiLevelType w:val="hybridMultilevel"/>
    <w:lvl w:ilvl="0">
      <w:lvlJc w:val="left"/>
      <w:lvlText w:val="(%1)"/>
      <w:numFmt w:val="lowerRoman"/>
      <w:start w:val="3"/>
    </w:lvl>
  </w:abstractNum>
  <w:abstractNum w:abstractNumId="30">
    <w:nsid w:val="542289EC"/>
    <w:multiLevelType w:val="hybridMultilevel"/>
    <w:lvl w:ilvl="0">
      <w:lvlJc w:val="left"/>
      <w:lvlText w:val="(%1)"/>
      <w:numFmt w:val="lowerLetter"/>
      <w:start w:val="26"/>
    </w:lvl>
  </w:abstractNum>
  <w:abstractNum w:abstractNumId="31">
    <w:nsid w:val="6DE91B18"/>
    <w:multiLevelType w:val="hybridMultilevel"/>
    <w:lvl w:ilvl="0">
      <w:lvlJc w:val="left"/>
      <w:lvlText w:val="(%1)"/>
      <w:numFmt w:val="lowerRoman"/>
      <w:start w:val="8"/>
    </w:lvl>
  </w:abstractNum>
  <w:abstractNum w:abstractNumId="32">
    <w:nsid w:val="38437FDB"/>
    <w:multiLevelType w:val="hybridMultilevel"/>
    <w:lvl w:ilvl="0">
      <w:lvlJc w:val="left"/>
      <w:lvlText w:val="(%1)"/>
      <w:numFmt w:val="lowerRoman"/>
      <w:start w:val="2"/>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8"/>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lvl w:ilvl="1">
      <w:lvlJc w:val="left"/>
      <w:lvlText w:val="(%2)"/>
      <w:numFmt w:val="lowerLetter"/>
      <w:start w:val="2"/>
    </w:lvl>
  </w:abstractNum>
  <w:abstractNum w:abstractNumId="37">
    <w:nsid w:val="749ABB43"/>
    <w:multiLevelType w:val="hybridMultilevel"/>
    <w:lvl w:ilvl="0">
      <w:lvlJc w:val="left"/>
      <w:lvlText w:val="(%1)"/>
      <w:numFmt w:val="lowerLetter"/>
      <w:start w:val="9"/>
    </w:lvl>
    <w:lvl w:ilvl="1">
      <w:lvlJc w:val="left"/>
      <w:lvlText w:val="%2"/>
      <w:numFmt w:val="lowerLetter"/>
      <w:start w:val="1"/>
    </w:lvl>
  </w:abstractNum>
  <w:abstractNum w:abstractNumId="38">
    <w:nsid w:val="3DC240FB"/>
    <w:multiLevelType w:val="hybridMultilevel"/>
    <w:lvl w:ilvl="0">
      <w:lvlJc w:val="left"/>
      <w:lvlText w:val="(%1)"/>
      <w:numFmt w:val="lowerRoman"/>
      <w:start w:val="2"/>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4"/>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Roman"/>
      <w:start w:val="3"/>
    </w:lvl>
  </w:abstractNum>
  <w:abstractNum w:abstractNumId="43">
    <w:nsid w:val="70C6A529"/>
    <w:multiLevelType w:val="hybridMultilevel"/>
    <w:lvl w:ilvl="0">
      <w:lvlJc w:val="left"/>
      <w:lvlText w:val="(%1)"/>
      <w:numFmt w:val="lowerLetter"/>
      <w:start w:val="1"/>
    </w:lvl>
    <w:lvl w:ilvl="1">
      <w:lvlJc w:val="left"/>
      <w:lvlText w:val="(%2)"/>
      <w:numFmt w:val="lowerRoman"/>
      <w:start w:val="1"/>
    </w:lvl>
  </w:abstractNum>
  <w:abstractNum w:abstractNumId="44">
    <w:nsid w:val="520EEDD1"/>
    <w:multiLevelType w:val="hybridMultilevel"/>
    <w:lvl w:ilvl="0">
      <w:lvlJc w:val="left"/>
      <w:lvlText w:val="(%1)"/>
      <w:numFmt w:val="lowerRoman"/>
      <w:start w:val="3"/>
    </w:lvl>
  </w:abstractNum>
  <w:abstractNum w:abstractNumId="45">
    <w:nsid w:val="374A3FE6"/>
    <w:multiLevelType w:val="hybridMultilevel"/>
    <w:lvl w:ilvl="0">
      <w:lvlJc w:val="left"/>
      <w:lvlText w:val="(%1)"/>
      <w:numFmt w:val="lowerRoman"/>
      <w:start w:val="10"/>
    </w:lvl>
  </w:abstractNum>
  <w:abstractNum w:abstractNumId="46">
    <w:nsid w:val="4F4EF005"/>
    <w:multiLevelType w:val="hybridMultilevel"/>
    <w:lvl w:ilvl="0">
      <w:lvlJc w:val="left"/>
      <w:lvlText w:val="(%1)"/>
      <w:numFmt w:val="lowerLetter"/>
      <w:start w:val="2"/>
    </w:lvl>
  </w:abstractNum>
  <w:abstractNum w:abstractNumId="47">
    <w:nsid w:val="23F9C13C"/>
    <w:multiLevelType w:val="hybridMultilevel"/>
    <w:lvl w:ilvl="0">
      <w:lvlJc w:val="left"/>
      <w:lvlText w:val="(%1)"/>
      <w:numFmt w:val="lowerRoman"/>
      <w:start w:val="2"/>
    </w:lvl>
  </w:abstractNum>
  <w:abstractNum w:abstractNumId="48">
    <w:nsid w:val="649BB77C"/>
    <w:multiLevelType w:val="hybridMultilevel"/>
    <w:lvl w:ilvl="0">
      <w:lvlJc w:val="left"/>
      <w:lvlText w:val="(%1)"/>
      <w:numFmt w:val="lowerLetter"/>
      <w:start w:val="3"/>
    </w:lvl>
  </w:abstractNum>
  <w:abstractNum w:abstractNumId="49">
    <w:nsid w:val="275AC794"/>
    <w:multiLevelType w:val="hybridMultilevel"/>
    <w:lvl w:ilvl="0">
      <w:lvlJc w:val="left"/>
      <w:lvlText w:val="%1"/>
      <w:numFmt w:val="lowerLetter"/>
      <w:start w:val="1"/>
    </w:lvl>
    <w:lvl w:ilvl="1">
      <w:lvlJc w:val="left"/>
      <w:lvlText w:val="(%2)"/>
      <w:numFmt w:val="lowerLetter"/>
      <w:start w:val="1"/>
    </w:lvl>
  </w:abstractNum>
  <w:abstractNum w:abstractNumId="50">
    <w:nsid w:val="39386575"/>
    <w:multiLevelType w:val="hybridMultilevel"/>
    <w:lvl w:ilvl="0">
      <w:lvlJc w:val="left"/>
      <w:lvlText w:val="(%1)"/>
      <w:numFmt w:val="lowerLetter"/>
      <w:start w:val="9"/>
    </w:lvl>
    <w:lvl w:ilvl="1">
      <w:lvlJc w:val="left"/>
      <w:lvlText w:val="%2"/>
      <w:numFmt w:val="lowerLetter"/>
      <w:start w:val="1"/>
    </w:lvl>
  </w:abstractNum>
  <w:abstractNum w:abstractNumId="51">
    <w:nsid w:val="1CF10FD8"/>
    <w:multiLevelType w:val="hybridMultilevel"/>
    <w:lvl w:ilvl="0">
      <w:lvlJc w:val="left"/>
      <w:lvlText w:val="(%1)"/>
      <w:numFmt w:val="lowerLetter"/>
      <w:start w:val="2"/>
    </w:lvl>
    <w:lvl w:ilvl="1">
      <w:lvlJc w:val="left"/>
      <w:lvlText w:val="(%2)"/>
      <w:numFmt w:val="lowerRoman"/>
      <w:start w:val="1"/>
    </w:lvl>
  </w:abstractNum>
  <w:abstractNum w:abstractNumId="52">
    <w:nsid w:val="180115BE"/>
    <w:multiLevelType w:val="hybridMultilevel"/>
    <w:lvl w:ilvl="0">
      <w:lvlJc w:val="left"/>
      <w:lvlText w:val="(%1)"/>
      <w:numFmt w:val="lowerLetter"/>
      <w:start w:val="6"/>
    </w:lvl>
  </w:abstractNum>
  <w:abstractNum w:abstractNumId="53">
    <w:nsid w:val="235BA861"/>
    <w:multiLevelType w:val="hybridMultilevel"/>
    <w:lvl w:ilvl="0">
      <w:lvlJc w:val="left"/>
      <w:lvlText w:val="(%1)"/>
      <w:numFmt w:val="upperLetter"/>
      <w:start w:val="2"/>
    </w:lvl>
    <w:lvl w:ilvl="1">
      <w:lvlJc w:val="left"/>
      <w:lvlText w:val="(%2)"/>
      <w:numFmt w:val="lowerLetter"/>
      <w:start w:val="9"/>
    </w:lvl>
  </w:abstractNum>
  <w:abstractNum w:abstractNumId="54">
    <w:nsid w:val="47398C89"/>
    <w:multiLevelType w:val="hybridMultilevel"/>
    <w:lvl w:ilvl="0">
      <w:lvlJc w:val="left"/>
      <w:lvlText w:val="(%1)"/>
      <w:numFmt w:val="lowerLetter"/>
      <w:start w:val="13"/>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Roman"/>
      <w:start w:val="2"/>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lowerRoman"/>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2022-05-02T07:05:28Z</dcterms:created>
  <dcterms:modified xsi:type="dcterms:W3CDTF">2022-05-02T07:05:28Z</dcterms:modified>
</cp:coreProperties>
</file>