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5"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June 26, 2026</w:t>
      </w:r>
    </w:p>
    <w:p>
      <w:pPr>
        <w:spacing w:after="0" w:line="26" w:lineRule="exact"/>
        <w:rPr>
          <w:sz w:val="24"/>
          <w:szCs w:val="24"/>
          <w:color w:val="auto"/>
        </w:rPr>
      </w:pPr>
    </w:p>
    <w:p>
      <w:pPr>
        <w:ind w:left="8360"/>
        <w:spacing w:after="0"/>
        <w:rPr>
          <w:sz w:val="20"/>
          <w:szCs w:val="20"/>
          <w:color w:val="auto"/>
        </w:rPr>
      </w:pPr>
      <w:r>
        <w:rPr>
          <w:rFonts w:ascii="Times New Roman" w:cs="Times New Roman" w:eastAsia="Times New Roman" w:hAnsi="Times New Roman"/>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817880</wp:posOffset>
            </wp:positionH>
            <wp:positionV relativeFrom="paragraph">
              <wp:posOffset>60960</wp:posOffset>
            </wp:positionV>
            <wp:extent cx="553847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38470" cy="698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95250</wp:posOffset>
            </wp:positionV>
            <wp:extent cx="553847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38470" cy="6985"/>
                    </a:xfrm>
                    <a:prstGeom prst="rect">
                      <a:avLst/>
                    </a:prstGeom>
                    <a:noFill/>
                  </pic:spPr>
                </pic:pic>
              </a:graphicData>
            </a:graphic>
          </wp:anchor>
        </w:drawing>
      </w:r>
    </w:p>
    <w:p>
      <w:pPr>
        <w:spacing w:after="0" w:line="15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1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ind w:left="476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3003550</wp:posOffset>
            </wp:positionH>
            <wp:positionV relativeFrom="paragraph">
              <wp:posOffset>114935</wp:posOffset>
            </wp:positionV>
            <wp:extent cx="11607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21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6"/>
          <w:szCs w:val="26"/>
          <w:b w:val="1"/>
          <w:bCs w:val="1"/>
          <w:color w:val="auto"/>
        </w:rPr>
        <w:t>FORM S-3</w:t>
      </w:r>
    </w:p>
    <w:p>
      <w:pPr>
        <w:spacing w:after="0" w:line="1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6"/>
          <w:szCs w:val="26"/>
          <w:b w:val="1"/>
          <w:bCs w:val="1"/>
          <w:color w:val="auto"/>
        </w:rPr>
        <w:t>REGISTRATION STATEMENT</w:t>
      </w:r>
    </w:p>
    <w:p>
      <w:pPr>
        <w:jc w:val="center"/>
        <w:ind w:right="-1140"/>
        <w:spacing w:after="0" w:line="236" w:lineRule="auto"/>
        <w:rPr>
          <w:sz w:val="20"/>
          <w:szCs w:val="20"/>
          <w:color w:val="auto"/>
        </w:rPr>
      </w:pPr>
      <w:r>
        <w:rPr>
          <w:rFonts w:ascii="Times New Roman" w:cs="Times New Roman" w:eastAsia="Times New Roman" w:hAnsi="Times New Roman"/>
          <w:sz w:val="17"/>
          <w:szCs w:val="17"/>
          <w:b w:val="1"/>
          <w:bCs w:val="1"/>
          <w:i w:val="1"/>
          <w:iCs w:val="1"/>
          <w:color w:val="auto"/>
        </w:rPr>
        <w:t>UNDER</w:t>
      </w:r>
    </w:p>
    <w:p>
      <w:pPr>
        <w:jc w:val="center"/>
        <w:ind w:right="-1140"/>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3003550</wp:posOffset>
            </wp:positionH>
            <wp:positionV relativeFrom="paragraph">
              <wp:posOffset>121920</wp:posOffset>
            </wp:positionV>
            <wp:extent cx="11607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22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4"/>
          <w:szCs w:val="34"/>
          <w:b w:val="1"/>
          <w:bCs w:val="1"/>
          <w:color w:val="auto"/>
        </w:rPr>
        <w:t>TEMPEST THERAPEUTICS, INC.</w:t>
      </w:r>
    </w:p>
    <w:p>
      <w:pPr>
        <w:spacing w:after="0" w:line="47"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3003550</wp:posOffset>
            </wp:positionH>
            <wp:positionV relativeFrom="paragraph">
              <wp:posOffset>120650</wp:posOffset>
            </wp:positionV>
            <wp:extent cx="116078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297" w:lineRule="exact"/>
        <w:rPr>
          <w:sz w:val="24"/>
          <w:szCs w:val="24"/>
          <w:color w:val="auto"/>
        </w:rPr>
      </w:pPr>
    </w:p>
    <w:tbl>
      <w:tblPr>
        <w:tblLayout w:type="fixed"/>
        <w:tblInd w:w="2740" w:type="dxa"/>
        <w:tblCellMar>
          <w:top w:w="0" w:type="dxa"/>
          <w:left w:w="0" w:type="dxa"/>
          <w:bottom w:w="0" w:type="dxa"/>
          <w:right w:w="0" w:type="dxa"/>
        </w:tblCellMar>
      </w:tblPr>
      <w:tr>
        <w:trPr>
          <w:trHeight w:val="154"/>
        </w:trPr>
        <w:tc>
          <w:tcPr>
            <w:tcW w:w="3040" w:type="dxa"/>
            <w:vAlign w:val="bottom"/>
          </w:tcPr>
          <w:p>
            <w:pPr>
              <w:jc w:val="center"/>
              <w:ind w:right="1501"/>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2680" w:type="dxa"/>
            <w:vAlign w:val="bottom"/>
          </w:tcPr>
          <w:p>
            <w:pPr>
              <w:jc w:val="center"/>
              <w:ind w:left="1481"/>
              <w:spacing w:after="0"/>
              <w:rPr>
                <w:sz w:val="20"/>
                <w:szCs w:val="20"/>
                <w:color w:val="auto"/>
              </w:rPr>
            </w:pPr>
            <w:r>
              <w:rPr>
                <w:rFonts w:ascii="Times New Roman" w:cs="Times New Roman" w:eastAsia="Times New Roman" w:hAnsi="Times New Roman"/>
                <w:sz w:val="13"/>
                <w:szCs w:val="13"/>
                <w:b w:val="1"/>
                <w:bCs w:val="1"/>
                <w:color w:val="auto"/>
                <w:w w:val="98"/>
              </w:rPr>
              <w:t>45-1472564</w:t>
            </w:r>
          </w:p>
        </w:tc>
      </w:tr>
      <w:tr>
        <w:trPr>
          <w:trHeight w:val="118"/>
        </w:trPr>
        <w:tc>
          <w:tcPr>
            <w:tcW w:w="3040" w:type="dxa"/>
            <w:vAlign w:val="bottom"/>
          </w:tcPr>
          <w:p>
            <w:pPr>
              <w:jc w:val="center"/>
              <w:ind w:right="1481"/>
              <w:spacing w:after="0" w:line="118"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680" w:type="dxa"/>
            <w:vAlign w:val="bottom"/>
          </w:tcPr>
          <w:p>
            <w:pPr>
              <w:jc w:val="center"/>
              <w:ind w:left="1481"/>
              <w:spacing w:after="0" w:line="118"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50"/>
        </w:trPr>
        <w:tc>
          <w:tcPr>
            <w:tcW w:w="3040" w:type="dxa"/>
            <w:vAlign w:val="bottom"/>
          </w:tcPr>
          <w:p>
            <w:pPr>
              <w:jc w:val="center"/>
              <w:ind w:right="1501"/>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680" w:type="dxa"/>
            <w:vAlign w:val="bottom"/>
          </w:tcPr>
          <w:p>
            <w:pPr>
              <w:jc w:val="center"/>
              <w:ind w:left="1481"/>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bl>
    <w:p>
      <w:pPr>
        <w:spacing w:after="0" w:line="7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2000 Sierra Point Parkway, Suite 400</w:t>
      </w:r>
    </w:p>
    <w:p>
      <w:pPr>
        <w:spacing w:after="0" w:line="1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Brisbane, California, 94005</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(415) 798-8589</w:t>
      </w:r>
    </w:p>
    <w:p>
      <w:pPr>
        <w:spacing w:after="0" w:line="10"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3003550</wp:posOffset>
            </wp:positionH>
            <wp:positionV relativeFrom="paragraph">
              <wp:posOffset>113030</wp:posOffset>
            </wp:positionV>
            <wp:extent cx="116078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24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Matthew Angel</w:t>
      </w:r>
    </w:p>
    <w:p>
      <w:pPr>
        <w:spacing w:after="0" w:line="1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Chief Executive Officer</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2000 Sierra Point Parkway, Suite 400</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Brisbane, CA 94005</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(415) 798-8589</w:t>
      </w:r>
    </w:p>
    <w:p>
      <w:pPr>
        <w:spacing w:after="0" w:line="10"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3003550</wp:posOffset>
            </wp:positionH>
            <wp:positionV relativeFrom="paragraph">
              <wp:posOffset>113030</wp:posOffset>
            </wp:positionV>
            <wp:extent cx="116078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24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p>
      <w:pPr>
        <w:spacing w:after="0" w:line="9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Drew M. Altman, Esq.</w:t>
      </w:r>
    </w:p>
    <w:p>
      <w:pPr>
        <w:spacing w:after="0" w:line="1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Michael J. Minahan, Esq.</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Greenberg Traurig, LLP</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One International Place, Suite 2000</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Boston, Massachusetts 02110</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Telephone: (617) 310-6000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3003550</wp:posOffset>
            </wp:positionH>
            <wp:positionV relativeFrom="paragraph">
              <wp:posOffset>132080</wp:posOffset>
            </wp:positionV>
            <wp:extent cx="116078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26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From time to time after the effective date of this Registration Statement</w:t>
      </w:r>
    </w:p>
    <w:p>
      <w:pPr>
        <w:spacing w:after="0" w:line="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(Approximate date of commencement of proposed sale to the public)</w:t>
      </w:r>
    </w:p>
    <w:p>
      <w:pPr>
        <w:spacing w:after="0" w:line="42" w:lineRule="exact"/>
        <w:rPr>
          <w:sz w:val="24"/>
          <w:szCs w:val="24"/>
          <w:color w:val="auto"/>
        </w:rPr>
      </w:pPr>
    </w:p>
    <w:p>
      <w:pPr>
        <w:ind w:left="1280"/>
        <w:spacing w:after="0" w:line="150"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125" w:lineRule="exact"/>
        <w:rPr>
          <w:sz w:val="24"/>
          <w:szCs w:val="24"/>
          <w:color w:val="auto"/>
        </w:rPr>
      </w:pPr>
    </w:p>
    <w:p>
      <w:pPr>
        <w:ind w:left="1280" w:right="239"/>
        <w:spacing w:after="0" w:line="174"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60" w:lineRule="exact"/>
        <w:rPr>
          <w:sz w:val="24"/>
          <w:szCs w:val="24"/>
          <w:color w:val="auto"/>
        </w:rPr>
      </w:pPr>
    </w:p>
    <w:p>
      <w:pPr>
        <w:ind w:left="1280" w:right="179"/>
        <w:spacing w:after="0" w:line="174"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0" w:lineRule="exact"/>
        <w:rPr>
          <w:sz w:val="24"/>
          <w:szCs w:val="24"/>
          <w:color w:val="auto"/>
        </w:rPr>
      </w:pPr>
    </w:p>
    <w:p>
      <w:pPr>
        <w:ind w:left="1280" w:right="619"/>
        <w:spacing w:after="0" w:line="174"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60" w:lineRule="exact"/>
        <w:rPr>
          <w:sz w:val="24"/>
          <w:szCs w:val="24"/>
          <w:color w:val="auto"/>
        </w:rPr>
      </w:pPr>
    </w:p>
    <w:p>
      <w:pPr>
        <w:ind w:left="1280" w:right="259"/>
        <w:spacing w:after="0" w:line="174"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60" w:lineRule="exact"/>
        <w:rPr>
          <w:sz w:val="24"/>
          <w:szCs w:val="24"/>
          <w:color w:val="auto"/>
        </w:rPr>
      </w:pPr>
    </w:p>
    <w:p>
      <w:pPr>
        <w:ind w:left="1280" w:right="179"/>
        <w:spacing w:after="0" w:line="270"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1280" w:type="dxa"/>
        <w:tblCellMar>
          <w:top w:w="0" w:type="dxa"/>
          <w:left w:w="0" w:type="dxa"/>
          <w:bottom w:w="0" w:type="dxa"/>
          <w:right w:w="0" w:type="dxa"/>
        </w:tblCellMar>
      </w:tblPr>
      <w:tr>
        <w:trPr>
          <w:trHeight w:val="182"/>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94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4220" w:type="dxa"/>
            <w:vAlign w:val="bottom"/>
          </w:tcPr>
          <w:p>
            <w:pPr>
              <w:ind w:left="2680"/>
              <w:spacing w:after="0"/>
              <w:rPr>
                <w:sz w:val="20"/>
                <w:szCs w:val="20"/>
                <w:color w:val="auto"/>
              </w:rPr>
            </w:pPr>
            <w:r>
              <w:rPr>
                <w:rFonts w:ascii="Times New Roman" w:cs="Times New Roman" w:eastAsia="Times New Roman" w:hAnsi="Times New Roman"/>
                <w:sz w:val="13"/>
                <w:szCs w:val="13"/>
                <w:color w:val="auto"/>
              </w:rPr>
              <w:t>Accelerated filer</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2"/>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94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4220" w:type="dxa"/>
            <w:vAlign w:val="bottom"/>
          </w:tcPr>
          <w:p>
            <w:pPr>
              <w:ind w:left="26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5"/>
        </w:trPr>
        <w:tc>
          <w:tcPr>
            <w:tcW w:w="1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220" w:type="dxa"/>
            <w:vAlign w:val="bottom"/>
          </w:tcPr>
          <w:p>
            <w:pPr>
              <w:ind w:left="2680"/>
              <w:spacing w:after="0"/>
              <w:rPr>
                <w:sz w:val="20"/>
                <w:szCs w:val="20"/>
                <w:color w:val="auto"/>
              </w:rPr>
            </w:pPr>
            <w:r>
              <w:rPr>
                <w:rFonts w:ascii="Times New Roman" w:cs="Times New Roman" w:eastAsia="Times New Roman" w:hAnsi="Times New Roman"/>
                <w:sz w:val="13"/>
                <w:szCs w:val="13"/>
                <w:color w:val="auto"/>
              </w:rPr>
              <w:t>Emerging growth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60" w:lineRule="exact"/>
        <w:rPr>
          <w:sz w:val="24"/>
          <w:szCs w:val="24"/>
          <w:color w:val="auto"/>
        </w:rPr>
      </w:pPr>
    </w:p>
    <w:p>
      <w:pPr>
        <w:ind w:left="1280" w:right="439"/>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58" w:lineRule="exact"/>
        <w:rPr>
          <w:sz w:val="24"/>
          <w:szCs w:val="24"/>
          <w:color w:val="auto"/>
        </w:rPr>
      </w:pPr>
    </w:p>
    <w:p>
      <w:pPr>
        <w:ind w:left="1280" w:right="159"/>
        <w:spacing w:after="0" w:line="267"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817880</wp:posOffset>
            </wp:positionH>
            <wp:positionV relativeFrom="paragraph">
              <wp:posOffset>60960</wp:posOffset>
            </wp:positionV>
            <wp:extent cx="553847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38470" cy="698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94615</wp:posOffset>
            </wp:positionV>
            <wp:extent cx="553847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38470" cy="6985"/>
                    </a:xfrm>
                    <a:prstGeom prst="rect">
                      <a:avLst/>
                    </a:prstGeom>
                    <a:noFill/>
                  </pic:spPr>
                </pic:pic>
              </a:graphicData>
            </a:graphic>
          </wp:anchor>
        </w:drawing>
      </w:r>
    </w:p>
    <w:p>
      <w:pPr>
        <w:sectPr>
          <w:pgSz w:w="11900" w:h="16838" w:orient="portrait"/>
          <w:cols w:equalWidth="0" w:num="1">
            <w:col w:w="10159"/>
          </w:cols>
          <w:pgMar w:left="300" w:top="208"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44" w:lineRule="exact"/>
        <w:rPr>
          <w:sz w:val="20"/>
          <w:szCs w:val="20"/>
          <w:color w:val="auto"/>
        </w:rPr>
      </w:pPr>
    </w:p>
    <w:tbl>
      <w:tblPr>
        <w:tblLayout w:type="fixed"/>
        <w:tblInd w:w="1280" w:type="dxa"/>
        <w:tblCellMar>
          <w:top w:w="0" w:type="dxa"/>
          <w:left w:w="0" w:type="dxa"/>
          <w:bottom w:w="0" w:type="dxa"/>
          <w:right w:w="0" w:type="dxa"/>
        </w:tblCellMar>
      </w:tblPr>
      <w:tr>
        <w:trPr>
          <w:trHeight w:val="384"/>
        </w:trPr>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rPr>
              <w:t>to buy</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rPr>
              <w:t>sell</w:t>
            </w:r>
          </w:p>
        </w:tc>
        <w:tc>
          <w:tcPr>
            <w:tcW w:w="160" w:type="dxa"/>
            <w:vAlign w:val="bottom"/>
          </w:tcPr>
          <w:p>
            <w:pPr>
              <w:spacing w:after="0"/>
              <w:rPr>
                <w:sz w:val="24"/>
                <w:szCs w:val="24"/>
                <w:color w:val="auto"/>
              </w:rPr>
            </w:pPr>
          </w:p>
        </w:tc>
      </w:tr>
      <w:tr>
        <w:trPr>
          <w:trHeight w:val="8723"/>
        </w:trPr>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rPr>
              <w:t>The information in this prospectus is not complete and may be changed. The selling stockholders may not sell these securities or accept an offer</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rPr>
              <w:t>these securities until the registration statement filed with the Securities and Exchange Commission is effective. This prospectus is not an offer to</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rPr>
              <w:t>these securities and it is not soliciting offers to buy these securities in any state where such offer or sale is not 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FF4338"/>
        </w:rPr>
        <w:t>SUBJECT TO COMPLETION, DATED 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-600075</wp:posOffset>
            </wp:positionV>
            <wp:extent cx="7199630"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9630" cy="3302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1731645</wp:posOffset>
            </wp:positionH>
            <wp:positionV relativeFrom="paragraph">
              <wp:posOffset>139065</wp:posOffset>
            </wp:positionV>
            <wp:extent cx="1214755" cy="298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14755" cy="29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20"/>
          <w:szCs w:val="20"/>
          <w:b w:val="1"/>
          <w:bCs w:val="1"/>
          <w:color w:val="auto"/>
        </w:rPr>
        <w:t>Up to 2,426,897 Shares of Common Stock</w:t>
      </w:r>
    </w:p>
    <w:p>
      <w:pPr>
        <w:spacing w:after="0" w:line="184" w:lineRule="exact"/>
        <w:rPr>
          <w:sz w:val="20"/>
          <w:szCs w:val="20"/>
          <w:color w:val="auto"/>
        </w:rPr>
      </w:pPr>
    </w:p>
    <w:p>
      <w:pPr>
        <w:ind w:right="879" w:firstLine="294"/>
        <w:spacing w:after="0" w:line="260" w:lineRule="auto"/>
        <w:rPr>
          <w:sz w:val="20"/>
          <w:szCs w:val="20"/>
          <w:color w:val="auto"/>
        </w:rPr>
      </w:pPr>
      <w:r>
        <w:rPr>
          <w:rFonts w:ascii="Times New Roman" w:cs="Times New Roman" w:eastAsia="Times New Roman" w:hAnsi="Times New Roman"/>
          <w:sz w:val="14"/>
          <w:szCs w:val="14"/>
          <w:color w:val="auto"/>
        </w:rPr>
        <w:t>This prospectus relates to the offer and resale from time to time by the selling stockholders named in this prospectus, referred to as the selling stockholders, of up to 2,426,897 shares of common stock, par value $0.001 per share, of Tempest Therapeutics, Inc. (the “Shares”), consisting of (i) up to 2,344,828 shares of our common stock issuable upon the exercise of outstanding common stock purchase warrants (the “New Warrants”) and (ii) up to 82,069 shares of our common stock that are issuable upon the exercise of certain placement agent warrants (the “Placement Agent Warrants”, and together with the New Warrants, the “Warrants”) issued to designees of H.C. Wainwright &amp; Co., LLC, our placement agent (the “Placement Agent”) in connection with the private transaction pursuant to which we issued the Warrants.</w:t>
      </w:r>
    </w:p>
    <w:p>
      <w:pPr>
        <w:spacing w:after="0" w:line="147" w:lineRule="exact"/>
        <w:rPr>
          <w:sz w:val="20"/>
          <w:szCs w:val="20"/>
          <w:color w:val="auto"/>
        </w:rPr>
      </w:pPr>
    </w:p>
    <w:p>
      <w:pPr>
        <w:ind w:right="939" w:firstLine="294"/>
        <w:spacing w:after="0" w:line="266" w:lineRule="auto"/>
        <w:rPr>
          <w:sz w:val="20"/>
          <w:szCs w:val="20"/>
          <w:color w:val="auto"/>
        </w:rPr>
      </w:pPr>
      <w:r>
        <w:rPr>
          <w:rFonts w:ascii="Times New Roman" w:cs="Times New Roman" w:eastAsia="Times New Roman" w:hAnsi="Times New Roman"/>
          <w:sz w:val="14"/>
          <w:szCs w:val="14"/>
          <w:color w:val="auto"/>
        </w:rPr>
        <w:t>Our registration of Shares covered by this prospectus does not mean that the selling stockholders will sell any Shares. The New Warrants were issued and sold to certain of the selling stockholders named herein in a private placement pursuant to a warrant exercise and inducement offer letter agreement, dated May 28, 2026 (the “Inducement Agreement”), by and among us and the parties named therein, in a transaction more fully described in the section titled “Prospectus Summary.”</w:t>
      </w:r>
    </w:p>
    <w:p>
      <w:pPr>
        <w:spacing w:after="0" w:line="141" w:lineRule="exact"/>
        <w:rPr>
          <w:sz w:val="20"/>
          <w:szCs w:val="20"/>
          <w:color w:val="auto"/>
        </w:rPr>
      </w:pPr>
    </w:p>
    <w:p>
      <w:pPr>
        <w:ind w:right="979" w:firstLine="294"/>
        <w:spacing w:after="0" w:line="290" w:lineRule="auto"/>
        <w:rPr>
          <w:sz w:val="20"/>
          <w:szCs w:val="20"/>
          <w:color w:val="auto"/>
        </w:rPr>
      </w:pPr>
      <w:r>
        <w:rPr>
          <w:rFonts w:ascii="Times New Roman" w:cs="Times New Roman" w:eastAsia="Times New Roman" w:hAnsi="Times New Roman"/>
          <w:sz w:val="14"/>
          <w:szCs w:val="14"/>
          <w:color w:val="auto"/>
        </w:rPr>
        <w:t>We are not selling any common stock under this prospectus, and will not receive any proceeds from the sale of the Shares by the selling stockholders; however, we will receive proceeds from the exercise of any Warrants for cash.</w:t>
      </w:r>
    </w:p>
    <w:p>
      <w:pPr>
        <w:spacing w:after="0" w:line="124" w:lineRule="exact"/>
        <w:rPr>
          <w:sz w:val="20"/>
          <w:szCs w:val="20"/>
          <w:color w:val="auto"/>
        </w:rPr>
      </w:pPr>
    </w:p>
    <w:p>
      <w:pPr>
        <w:ind w:right="999" w:firstLine="294"/>
        <w:spacing w:after="0" w:line="262" w:lineRule="auto"/>
        <w:rPr>
          <w:sz w:val="20"/>
          <w:szCs w:val="20"/>
          <w:color w:val="auto"/>
        </w:rPr>
      </w:pPr>
      <w:r>
        <w:rPr>
          <w:rFonts w:ascii="Times New Roman" w:cs="Times New Roman" w:eastAsia="Times New Roman" w:hAnsi="Times New Roman"/>
          <w:sz w:val="14"/>
          <w:szCs w:val="14"/>
          <w:color w:val="auto"/>
        </w:rPr>
        <w:t>The selling stockholders may offer and sell or otherwise dispose of the Shares described in this prospectus from time to time through public or private transactions at prevailing market prices, at prices related to prevailing market prices or at privately negotiated prices. The selling stockholders will bear all underwriting fees, commissions and discounts, if any, attributable to the sales of Shares and any transfer taxes. We will bear all other costs, expenses and fees in connection with the registration of the Shares. See “Plan of Distribution” beginning on page 11 of this prospectus for more information about how the selling stockholders may sell or dispose of their respective Shares.</w:t>
      </w:r>
    </w:p>
    <w:p>
      <w:pPr>
        <w:spacing w:after="0" w:line="143" w:lineRule="exact"/>
        <w:rPr>
          <w:sz w:val="20"/>
          <w:szCs w:val="20"/>
          <w:color w:val="auto"/>
        </w:rPr>
      </w:pPr>
    </w:p>
    <w:p>
      <w:pPr>
        <w:ind w:right="1259" w:firstLine="294"/>
        <w:spacing w:after="0" w:line="290" w:lineRule="auto"/>
        <w:rPr>
          <w:sz w:val="20"/>
          <w:szCs w:val="20"/>
          <w:color w:val="auto"/>
        </w:rPr>
      </w:pPr>
      <w:r>
        <w:rPr>
          <w:rFonts w:ascii="Times New Roman" w:cs="Times New Roman" w:eastAsia="Times New Roman" w:hAnsi="Times New Roman"/>
          <w:sz w:val="14"/>
          <w:szCs w:val="14"/>
          <w:color w:val="auto"/>
        </w:rPr>
        <w:t>Our common stock is listed on The Nasdaq Capital Market under the trading symbol “TPST”. On June 25, 2026, the closing price of our common stock as reported on The Nasdaq Capital Market was $1.05 per share.</w:t>
      </w:r>
    </w:p>
    <w:p>
      <w:pPr>
        <w:spacing w:after="0" w:line="114" w:lineRule="exact"/>
        <w:rPr>
          <w:sz w:val="20"/>
          <w:szCs w:val="20"/>
          <w:color w:val="auto"/>
        </w:rPr>
      </w:pPr>
    </w:p>
    <w:p>
      <w:pPr>
        <w:ind w:right="1099" w:firstLine="294"/>
        <w:spacing w:after="0" w:line="248" w:lineRule="auto"/>
        <w:rPr>
          <w:sz w:val="20"/>
          <w:szCs w:val="20"/>
          <w:color w:val="auto"/>
        </w:rPr>
      </w:pPr>
      <w:r>
        <w:rPr>
          <w:rFonts w:ascii="Times New Roman" w:cs="Times New Roman" w:eastAsia="Times New Roman" w:hAnsi="Times New Roman"/>
          <w:sz w:val="17"/>
          <w:szCs w:val="17"/>
          <w:b w:val="1"/>
          <w:bCs w:val="1"/>
          <w:color w:val="auto"/>
        </w:rPr>
        <w:t>Investing in our common stock involves a high degree of risk. You should carefully read the information under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on page 4 of this prospectus and under similar headings in any amendment or supplement to this prospectus or in any filing with the Securities and Exchange Commission (the “SEC”) that is incorporated by reference herein.</w:t>
      </w:r>
    </w:p>
    <w:p>
      <w:pPr>
        <w:spacing w:after="0" w:line="141" w:lineRule="exact"/>
        <w:rPr>
          <w:sz w:val="20"/>
          <w:szCs w:val="20"/>
          <w:color w:val="auto"/>
        </w:rPr>
      </w:pPr>
    </w:p>
    <w:p>
      <w:pPr>
        <w:ind w:right="1159" w:firstLine="294"/>
        <w:spacing w:after="0" w:line="274" w:lineRule="auto"/>
        <w:rPr>
          <w:sz w:val="20"/>
          <w:szCs w:val="20"/>
          <w:color w:val="auto"/>
        </w:rPr>
      </w:pPr>
      <w:r>
        <w:rPr>
          <w:rFonts w:ascii="Times New Roman" w:cs="Times New Roman" w:eastAsia="Times New Roman" w:hAnsi="Times New Roman"/>
          <w:sz w:val="14"/>
          <w:szCs w:val="14"/>
          <w:b w:val="1"/>
          <w:bCs w:val="1"/>
          <w:color w:val="auto"/>
        </w:rPr>
        <w:t>We are a “smaller reporting company” under applicable SEC rules and a non-accelerated filer</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As such, we are eligible for reduced public company reporting requirements. See “Prospectus Summary— Implications of Being a Smaller Reporting Company and a Non-Accelerated Filer” for more information.</w:t>
      </w:r>
    </w:p>
    <w:p>
      <w:pPr>
        <w:spacing w:after="0" w:line="133" w:lineRule="exact"/>
        <w:rPr>
          <w:sz w:val="20"/>
          <w:szCs w:val="20"/>
          <w:color w:val="auto"/>
        </w:rPr>
      </w:pPr>
    </w:p>
    <w:p>
      <w:pPr>
        <w:ind w:right="859" w:firstLine="294"/>
        <w:spacing w:after="0" w:line="274"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has approved or disapproved of these securities, passed upon the accuracy or adequacy of this prospectus, or determined if this prospectus or any prospectus supplement is truthful or complete. Any representation to the contrary is a criminal offense.</w:t>
      </w:r>
    </w:p>
    <w:p>
      <w:pPr>
        <w:spacing w:after="0" w:line="13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b w:val="1"/>
          <w:bCs w:val="1"/>
          <w:color w:val="auto"/>
        </w:rPr>
        <w:t>The date of this prospectus is             , 2026.</w:t>
      </w:r>
    </w:p>
    <w:p>
      <w:pPr>
        <w:sectPr>
          <w:pgSz w:w="11900" w:h="16838" w:orient="portrait"/>
          <w:cols w:equalWidth="0" w:num="2">
            <w:col w:w="1760" w:space="200"/>
            <w:col w:w="8199"/>
          </w:cols>
          <w:pgMar w:left="300" w:top="39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96" w:lineRule="exact"/>
        <w:rPr>
          <w:sz w:val="20"/>
          <w:szCs w:val="20"/>
          <w:color w:val="auto"/>
        </w:rPr>
      </w:pPr>
    </w:p>
    <w:tbl>
      <w:tblPr>
        <w:tblLayout w:type="fixed"/>
        <w:tblInd w:w="1280" w:type="dxa"/>
        <w:tblCellMar>
          <w:top w:w="0" w:type="dxa"/>
          <w:left w:w="0" w:type="dxa"/>
          <w:bottom w:w="0" w:type="dxa"/>
          <w:right w:w="0" w:type="dxa"/>
        </w:tblCellMar>
      </w:tblPr>
      <w:tr>
        <w:trPr>
          <w:trHeight w:val="126"/>
        </w:trPr>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54"/>
        </w:trPr>
        <w:tc>
          <w:tcPr>
            <w:tcW w:w="1780" w:type="dxa"/>
            <w:vAlign w:val="bottom"/>
            <w:tcBorders>
              <w:bottom w:val="single" w:sz="8" w:color="0000EE"/>
            </w:tcBorders>
            <w:gridSpan w:val="8"/>
          </w:tcPr>
          <w:p>
            <w:pPr>
              <w:spacing w:after="0" w:line="154" w:lineRule="exact"/>
              <w:rPr>
                <w:sz w:val="20"/>
                <w:szCs w:val="20"/>
                <w:color w:val="auto"/>
              </w:rPr>
            </w:pPr>
            <w:r>
              <w:rPr>
                <w:rFonts w:ascii="Times New Roman" w:cs="Times New Roman" w:eastAsia="Times New Roman" w:hAnsi="Times New Roman"/>
                <w:sz w:val="14"/>
                <w:szCs w:val="14"/>
                <w:color w:val="0000EE"/>
              </w:rPr>
              <w:t>ABOUT THIS PROSPECTUS</w:t>
            </w:r>
          </w:p>
        </w:tc>
        <w:tc>
          <w:tcPr>
            <w:tcW w:w="4560" w:type="dxa"/>
            <w:vAlign w:val="bottom"/>
            <w:gridSpan w:val="4"/>
          </w:tcPr>
          <w:p>
            <w:pPr>
              <w:spacing w:after="0"/>
              <w:rPr>
                <w:sz w:val="13"/>
                <w:szCs w:val="13"/>
                <w:color w:val="auto"/>
              </w:rPr>
            </w:pPr>
          </w:p>
        </w:tc>
        <w:tc>
          <w:tcPr>
            <w:tcW w:w="234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ii</w:t>
            </w:r>
          </w:p>
        </w:tc>
      </w:tr>
      <w:tr>
        <w:trPr>
          <w:trHeight w:val="151"/>
        </w:trPr>
        <w:tc>
          <w:tcPr>
            <w:tcW w:w="1660" w:type="dxa"/>
            <w:vAlign w:val="bottom"/>
            <w:tcBorders>
              <w:bottom w:val="single" w:sz="8" w:color="0000EE"/>
            </w:tcBorders>
            <w:gridSpan w:val="6"/>
          </w:tcPr>
          <w:p>
            <w:pPr>
              <w:spacing w:after="0" w:line="151" w:lineRule="exact"/>
              <w:rPr>
                <w:sz w:val="20"/>
                <w:szCs w:val="20"/>
                <w:color w:val="auto"/>
              </w:rPr>
            </w:pPr>
            <w:r>
              <w:rPr>
                <w:rFonts w:ascii="Times New Roman" w:cs="Times New Roman" w:eastAsia="Times New Roman" w:hAnsi="Times New Roman"/>
                <w:sz w:val="14"/>
                <w:szCs w:val="14"/>
                <w:color w:val="0000EE"/>
              </w:rPr>
              <w:t>PROSPECTUS SUMMARY</w:t>
            </w:r>
          </w:p>
        </w:tc>
        <w:tc>
          <w:tcPr>
            <w:tcW w:w="4680" w:type="dxa"/>
            <w:vAlign w:val="bottom"/>
            <w:gridSpan w:val="6"/>
          </w:tcPr>
          <w:p>
            <w:pPr>
              <w:spacing w:after="0"/>
              <w:rPr>
                <w:sz w:val="13"/>
                <w:szCs w:val="13"/>
                <w:color w:val="auto"/>
              </w:rPr>
            </w:pPr>
          </w:p>
        </w:tc>
        <w:tc>
          <w:tcPr>
            <w:tcW w:w="23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w:t>
            </w:r>
          </w:p>
        </w:tc>
      </w:tr>
      <w:tr>
        <w:trPr>
          <w:trHeight w:val="151"/>
        </w:trPr>
        <w:tc>
          <w:tcPr>
            <w:tcW w:w="1000" w:type="dxa"/>
            <w:vAlign w:val="bottom"/>
            <w:tcBorders>
              <w:bottom w:val="single" w:sz="8" w:color="0000EE"/>
            </w:tcBorders>
            <w:gridSpan w:val="2"/>
          </w:tcPr>
          <w:p>
            <w:pPr>
              <w:spacing w:after="0" w:line="151" w:lineRule="exact"/>
              <w:rPr>
                <w:sz w:val="20"/>
                <w:szCs w:val="20"/>
                <w:color w:val="auto"/>
              </w:rPr>
            </w:pPr>
            <w:r>
              <w:rPr>
                <w:rFonts w:ascii="Times New Roman" w:cs="Times New Roman" w:eastAsia="Times New Roman" w:hAnsi="Times New Roman"/>
                <w:sz w:val="14"/>
                <w:szCs w:val="14"/>
                <w:color w:val="0000EE"/>
                <w:w w:val="99"/>
              </w:rPr>
              <w:t>RISK FACTORS</w:t>
            </w:r>
          </w:p>
        </w:tc>
        <w:tc>
          <w:tcPr>
            <w:tcW w:w="5340" w:type="dxa"/>
            <w:vAlign w:val="bottom"/>
            <w:gridSpan w:val="10"/>
          </w:tcPr>
          <w:p>
            <w:pPr>
              <w:spacing w:after="0"/>
              <w:rPr>
                <w:sz w:val="13"/>
                <w:szCs w:val="13"/>
                <w:color w:val="auto"/>
              </w:rPr>
            </w:pPr>
          </w:p>
        </w:tc>
        <w:tc>
          <w:tcPr>
            <w:tcW w:w="23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4</w:t>
            </w:r>
          </w:p>
        </w:tc>
      </w:tr>
      <w:tr>
        <w:trPr>
          <w:trHeight w:val="151"/>
        </w:trPr>
        <w:tc>
          <w:tcPr>
            <w:tcW w:w="6340" w:type="dxa"/>
            <w:vAlign w:val="bottom"/>
            <w:gridSpan w:val="12"/>
          </w:tcPr>
          <w:p>
            <w:pPr>
              <w:spacing w:after="0" w:line="151"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23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5</w:t>
            </w:r>
          </w:p>
        </w:tc>
      </w:tr>
      <w:tr>
        <w:trPr>
          <w:trHeight w:val="151"/>
        </w:trPr>
        <w:tc>
          <w:tcPr>
            <w:tcW w:w="1260" w:type="dxa"/>
            <w:vAlign w:val="bottom"/>
            <w:tcBorders>
              <w:top w:val="single" w:sz="8" w:color="0000EE"/>
              <w:bottom w:val="single" w:sz="8" w:color="0000EE"/>
            </w:tcBorders>
            <w:gridSpan w:val="4"/>
          </w:tcPr>
          <w:p>
            <w:pPr>
              <w:spacing w:after="0" w:line="151" w:lineRule="exact"/>
              <w:rPr>
                <w:sz w:val="20"/>
                <w:szCs w:val="20"/>
                <w:color w:val="auto"/>
              </w:rPr>
            </w:pPr>
            <w:r>
              <w:rPr>
                <w:rFonts w:ascii="Times New Roman" w:cs="Times New Roman" w:eastAsia="Times New Roman" w:hAnsi="Times New Roman"/>
                <w:sz w:val="14"/>
                <w:szCs w:val="14"/>
                <w:color w:val="0000EE"/>
              </w:rPr>
              <w:t>USE OF PROCEEDS</w:t>
            </w:r>
          </w:p>
        </w:tc>
        <w:tc>
          <w:tcPr>
            <w:tcW w:w="2960" w:type="dxa"/>
            <w:vAlign w:val="bottom"/>
            <w:tcBorders>
              <w:top w:val="single" w:sz="8" w:color="0000EE"/>
            </w:tcBorders>
            <w:gridSpan w:val="7"/>
          </w:tcPr>
          <w:p>
            <w:pPr>
              <w:spacing w:after="0"/>
              <w:rPr>
                <w:sz w:val="13"/>
                <w:szCs w:val="13"/>
                <w:color w:val="auto"/>
              </w:rPr>
            </w:pPr>
          </w:p>
        </w:tc>
        <w:tc>
          <w:tcPr>
            <w:tcW w:w="2120" w:type="dxa"/>
            <w:vAlign w:val="bottom"/>
          </w:tcPr>
          <w:p>
            <w:pPr>
              <w:spacing w:after="0"/>
              <w:rPr>
                <w:sz w:val="13"/>
                <w:szCs w:val="13"/>
                <w:color w:val="auto"/>
              </w:rPr>
            </w:pPr>
          </w:p>
        </w:tc>
        <w:tc>
          <w:tcPr>
            <w:tcW w:w="23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7</w:t>
            </w:r>
          </w:p>
        </w:tc>
      </w:tr>
      <w:tr>
        <w:trPr>
          <w:trHeight w:val="151"/>
        </w:trPr>
        <w:tc>
          <w:tcPr>
            <w:tcW w:w="1760" w:type="dxa"/>
            <w:vAlign w:val="bottom"/>
            <w:tcBorders>
              <w:bottom w:val="single" w:sz="8" w:color="0000EE"/>
            </w:tcBorders>
            <w:gridSpan w:val="7"/>
          </w:tcPr>
          <w:p>
            <w:pPr>
              <w:spacing w:after="0" w:line="151" w:lineRule="exact"/>
              <w:rPr>
                <w:sz w:val="20"/>
                <w:szCs w:val="20"/>
                <w:color w:val="auto"/>
              </w:rPr>
            </w:pPr>
            <w:r>
              <w:rPr>
                <w:rFonts w:ascii="Times New Roman" w:cs="Times New Roman" w:eastAsia="Times New Roman" w:hAnsi="Times New Roman"/>
                <w:sz w:val="14"/>
                <w:szCs w:val="14"/>
                <w:color w:val="0000EE"/>
              </w:rPr>
              <w:t>SELLING STOCKHOLDERS</w:t>
            </w:r>
          </w:p>
        </w:tc>
        <w:tc>
          <w:tcPr>
            <w:tcW w:w="4580" w:type="dxa"/>
            <w:vAlign w:val="bottom"/>
            <w:gridSpan w:val="5"/>
          </w:tcPr>
          <w:p>
            <w:pPr>
              <w:spacing w:after="0"/>
              <w:rPr>
                <w:sz w:val="13"/>
                <w:szCs w:val="13"/>
                <w:color w:val="auto"/>
              </w:rPr>
            </w:pPr>
          </w:p>
        </w:tc>
        <w:tc>
          <w:tcPr>
            <w:tcW w:w="23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8</w:t>
            </w:r>
          </w:p>
        </w:tc>
      </w:tr>
      <w:tr>
        <w:trPr>
          <w:trHeight w:val="151"/>
        </w:trPr>
        <w:tc>
          <w:tcPr>
            <w:tcW w:w="6340" w:type="dxa"/>
            <w:vAlign w:val="bottom"/>
            <w:gridSpan w:val="12"/>
          </w:tcPr>
          <w:p>
            <w:pPr>
              <w:spacing w:after="0" w:line="151" w:lineRule="exact"/>
              <w:rPr>
                <w:sz w:val="20"/>
                <w:szCs w:val="20"/>
                <w:color w:val="auto"/>
              </w:rPr>
            </w:pPr>
            <w:r>
              <w:rPr>
                <w:rFonts w:ascii="Times New Roman" w:cs="Times New Roman" w:eastAsia="Times New Roman" w:hAnsi="Times New Roman"/>
                <w:sz w:val="14"/>
                <w:szCs w:val="14"/>
                <w:color w:val="0000EE"/>
              </w:rPr>
              <w:t>PLAN OF DISTRIBUTION</w:t>
            </w:r>
          </w:p>
        </w:tc>
        <w:tc>
          <w:tcPr>
            <w:tcW w:w="23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11</w:t>
            </w:r>
          </w:p>
        </w:tc>
      </w:tr>
      <w:tr>
        <w:trPr>
          <w:trHeight w:val="151"/>
        </w:trPr>
        <w:tc>
          <w:tcPr>
            <w:tcW w:w="1160" w:type="dxa"/>
            <w:vAlign w:val="bottom"/>
            <w:tcBorders>
              <w:top w:val="single" w:sz="8" w:color="0000EE"/>
              <w:bottom w:val="single" w:sz="8" w:color="0000EE"/>
            </w:tcBorders>
            <w:gridSpan w:val="3"/>
          </w:tcPr>
          <w:p>
            <w:pPr>
              <w:spacing w:after="0" w:line="151" w:lineRule="exact"/>
              <w:rPr>
                <w:sz w:val="20"/>
                <w:szCs w:val="20"/>
                <w:color w:val="auto"/>
              </w:rPr>
            </w:pPr>
            <w:r>
              <w:rPr>
                <w:rFonts w:ascii="Times New Roman" w:cs="Times New Roman" w:eastAsia="Times New Roman" w:hAnsi="Times New Roman"/>
                <w:sz w:val="14"/>
                <w:szCs w:val="14"/>
                <w:color w:val="0000EE"/>
                <w:w w:val="99"/>
              </w:rPr>
              <w:t>LEGAL MATTERS</w:t>
            </w:r>
          </w:p>
        </w:tc>
        <w:tc>
          <w:tcPr>
            <w:tcW w:w="460" w:type="dxa"/>
            <w:vAlign w:val="bottom"/>
            <w:tcBorders>
              <w:top w:val="single" w:sz="8" w:color="0000EE"/>
            </w:tcBorders>
            <w:gridSpan w:val="2"/>
          </w:tcPr>
          <w:p>
            <w:pPr>
              <w:spacing w:after="0"/>
              <w:rPr>
                <w:sz w:val="13"/>
                <w:szCs w:val="13"/>
                <w:color w:val="auto"/>
              </w:rPr>
            </w:pPr>
          </w:p>
        </w:tc>
        <w:tc>
          <w:tcPr>
            <w:tcW w:w="4720" w:type="dxa"/>
            <w:vAlign w:val="bottom"/>
            <w:gridSpan w:val="7"/>
          </w:tcPr>
          <w:p>
            <w:pPr>
              <w:spacing w:after="0"/>
              <w:rPr>
                <w:sz w:val="13"/>
                <w:szCs w:val="13"/>
                <w:color w:val="auto"/>
              </w:rPr>
            </w:pPr>
          </w:p>
        </w:tc>
        <w:tc>
          <w:tcPr>
            <w:tcW w:w="23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14</w:t>
            </w:r>
          </w:p>
        </w:tc>
      </w:tr>
      <w:tr>
        <w:trPr>
          <w:trHeight w:val="151"/>
        </w:trPr>
        <w:tc>
          <w:tcPr>
            <w:tcW w:w="620" w:type="dxa"/>
            <w:vAlign w:val="bottom"/>
            <w:tcBorders>
              <w:bottom w:val="single" w:sz="8" w:color="0000EE"/>
            </w:tcBorders>
          </w:tcPr>
          <w:p>
            <w:pPr>
              <w:spacing w:after="0" w:line="151" w:lineRule="exact"/>
              <w:rPr>
                <w:sz w:val="20"/>
                <w:szCs w:val="20"/>
                <w:color w:val="auto"/>
              </w:rPr>
            </w:pPr>
            <w:r>
              <w:rPr>
                <w:rFonts w:ascii="Times New Roman" w:cs="Times New Roman" w:eastAsia="Times New Roman" w:hAnsi="Times New Roman"/>
                <w:sz w:val="14"/>
                <w:szCs w:val="14"/>
                <w:color w:val="0000EE"/>
                <w:w w:val="98"/>
              </w:rPr>
              <w:t>EXPERTS</w:t>
            </w:r>
          </w:p>
        </w:tc>
        <w:tc>
          <w:tcPr>
            <w:tcW w:w="5720" w:type="dxa"/>
            <w:vAlign w:val="bottom"/>
            <w:gridSpan w:val="11"/>
          </w:tcPr>
          <w:p>
            <w:pPr>
              <w:spacing w:after="0"/>
              <w:rPr>
                <w:sz w:val="13"/>
                <w:szCs w:val="13"/>
                <w:color w:val="auto"/>
              </w:rPr>
            </w:pPr>
          </w:p>
        </w:tc>
        <w:tc>
          <w:tcPr>
            <w:tcW w:w="23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14</w:t>
            </w:r>
          </w:p>
        </w:tc>
      </w:tr>
      <w:tr>
        <w:trPr>
          <w:trHeight w:val="151"/>
        </w:trPr>
        <w:tc>
          <w:tcPr>
            <w:tcW w:w="3500" w:type="dxa"/>
            <w:vAlign w:val="bottom"/>
            <w:tcBorders>
              <w:bottom w:val="single" w:sz="8" w:color="0000EE"/>
            </w:tcBorders>
            <w:gridSpan w:val="9"/>
          </w:tcPr>
          <w:p>
            <w:pPr>
              <w:spacing w:after="0" w:line="151" w:lineRule="exact"/>
              <w:rPr>
                <w:sz w:val="20"/>
                <w:szCs w:val="20"/>
                <w:color w:val="auto"/>
              </w:rPr>
            </w:pPr>
            <w:r>
              <w:rPr>
                <w:rFonts w:ascii="Times New Roman" w:cs="Times New Roman" w:eastAsia="Times New Roman" w:hAnsi="Times New Roman"/>
                <w:sz w:val="14"/>
                <w:szCs w:val="14"/>
                <w:color w:val="0000EE"/>
              </w:rPr>
              <w:t>WHERE YOU CAN FIND ADDITIONAL INFORMATION</w:t>
            </w:r>
          </w:p>
        </w:tc>
        <w:tc>
          <w:tcPr>
            <w:tcW w:w="2840" w:type="dxa"/>
            <w:vAlign w:val="bottom"/>
            <w:gridSpan w:val="3"/>
          </w:tcPr>
          <w:p>
            <w:pPr>
              <w:spacing w:after="0"/>
              <w:rPr>
                <w:sz w:val="13"/>
                <w:szCs w:val="13"/>
                <w:color w:val="auto"/>
              </w:rPr>
            </w:pPr>
          </w:p>
        </w:tc>
        <w:tc>
          <w:tcPr>
            <w:tcW w:w="23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14</w:t>
            </w:r>
          </w:p>
        </w:tc>
      </w:tr>
      <w:tr>
        <w:trPr>
          <w:trHeight w:val="151"/>
        </w:trPr>
        <w:tc>
          <w:tcPr>
            <w:tcW w:w="6340" w:type="dxa"/>
            <w:vAlign w:val="bottom"/>
            <w:gridSpan w:val="12"/>
          </w:tcPr>
          <w:p>
            <w:pPr>
              <w:spacing w:after="0" w:line="151"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23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15</w:t>
            </w:r>
          </w:p>
        </w:tc>
      </w:tr>
      <w:tr>
        <w:trPr>
          <w:trHeight w:val="20"/>
        </w:trPr>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1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90"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3" w:lineRule="exact"/>
        <w:rPr>
          <w:sz w:val="20"/>
          <w:szCs w:val="20"/>
          <w:color w:val="auto"/>
        </w:rPr>
      </w:pPr>
    </w:p>
    <w:p>
      <w:pPr>
        <w:ind w:left="1280" w:right="199" w:firstLine="349"/>
        <w:spacing w:after="0" w:line="260"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S-3 that we filed with the SEC. Under this registration statement, the selling stockholders may sell from time to time in one or more offerings the Shares offered pursuant to this prospectus. Information about the selling stockholders may change over time. When the selling stockholders sell Shares under this prospectus, we will, if required by law, provide a prospectus supplement that will contain specific information about the terms of that offering. Any prospectus supplement may also add to, update, modify or replace information contained in this prospectus. If a prospectus supplement is provided and the description of the offering in the prospectus supplement varies from the information in this prospectus, you should rely on the information in the prospectus supplement. You should carefully read this prospectus and any accompanying prospectus supplement along with all of the information incorporated by reference herein and therein, before making an investment decision.</w:t>
      </w:r>
    </w:p>
    <w:p>
      <w:pPr>
        <w:spacing w:after="0" w:line="318" w:lineRule="exact"/>
        <w:rPr>
          <w:sz w:val="20"/>
          <w:szCs w:val="20"/>
          <w:color w:val="auto"/>
        </w:rPr>
      </w:pPr>
    </w:p>
    <w:p>
      <w:pPr>
        <w:ind w:left="1280" w:right="179" w:firstLine="349"/>
        <w:spacing w:after="0" w:line="260" w:lineRule="auto"/>
        <w:rPr>
          <w:sz w:val="20"/>
          <w:szCs w:val="20"/>
          <w:color w:val="auto"/>
        </w:rPr>
      </w:pPr>
      <w:r>
        <w:rPr>
          <w:rFonts w:ascii="Times New Roman" w:cs="Times New Roman" w:eastAsia="Times New Roman" w:hAnsi="Times New Roman"/>
          <w:sz w:val="14"/>
          <w:szCs w:val="14"/>
          <w:color w:val="auto"/>
        </w:rPr>
        <w:t>You should rely only on the information contained or incorporated by reference in this prospectus or any applicable prospectus supplement. Neither we nor the selling stockholders have authorized anyone to provide you with information other than the information contained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common stock. Our business, financial condition and results of operations may have changed since those dates.</w:t>
      </w:r>
    </w:p>
    <w:p>
      <w:pPr>
        <w:spacing w:after="0" w:line="147" w:lineRule="exact"/>
        <w:rPr>
          <w:sz w:val="20"/>
          <w:szCs w:val="20"/>
          <w:color w:val="auto"/>
        </w:rPr>
      </w:pPr>
    </w:p>
    <w:p>
      <w:pPr>
        <w:ind w:left="1280" w:right="259" w:firstLine="349"/>
        <w:spacing w:after="0" w:line="290" w:lineRule="auto"/>
        <w:rPr>
          <w:sz w:val="20"/>
          <w:szCs w:val="20"/>
          <w:color w:val="auto"/>
        </w:rPr>
      </w:pPr>
      <w:r>
        <w:rPr>
          <w:rFonts w:ascii="Times New Roman" w:cs="Times New Roman" w:eastAsia="Times New Roman" w:hAnsi="Times New Roman"/>
          <w:sz w:val="14"/>
          <w:szCs w:val="14"/>
          <w:color w:val="auto"/>
        </w:rPr>
        <w:t>Throughout this prospectus, the terms “we,” “us,” “our,” and our “company” refer to Tempest Therapeutics, Inc., a Delaware corporation, and its subsidiaries. The term “common stock” refers to common stock of Tempest Therapeutics, Inc., par value $0.001 per share.</w:t>
      </w:r>
    </w:p>
    <w:p>
      <w:pPr>
        <w:spacing w:after="0" w:line="7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59"/>
          </w:cols>
          <w:pgMar w:left="300" w:top="390"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170180</wp:posOffset>
            </wp:positionV>
            <wp:extent cx="5544820" cy="4533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44820" cy="4533265"/>
                    </a:xfrm>
                    <a:prstGeom prst="rect">
                      <a:avLst/>
                    </a:prstGeom>
                    <a:noFill/>
                  </pic:spPr>
                </pic:pic>
              </a:graphicData>
            </a:graphic>
          </wp:anchor>
        </w:drawing>
      </w:r>
    </w:p>
    <w:p>
      <w:pPr>
        <w:spacing w:after="0" w:line="3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81" w:lineRule="exact"/>
        <w:rPr>
          <w:sz w:val="20"/>
          <w:szCs w:val="20"/>
          <w:color w:val="auto"/>
        </w:rPr>
      </w:pPr>
    </w:p>
    <w:p>
      <w:pPr>
        <w:jc w:val="both"/>
        <w:ind w:left="1420" w:right="359" w:firstLine="337"/>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This prospectus summary highlights selected information appearing elsewhere in this prospectus and in documents we file with the SEC that are incorporated by reference in this prospectus. This summary may not contain all of the </w:t>
      </w:r>
      <w:r>
        <w:rPr>
          <w:rFonts w:ascii="Times New Roman" w:cs="Times New Roman" w:eastAsia="Times New Roman" w:hAnsi="Times New Roman"/>
          <w:sz w:val="14"/>
          <w:szCs w:val="14"/>
          <w:color w:val="auto"/>
        </w:rPr>
        <w:t>information</w:t>
      </w:r>
      <w:r>
        <w:rPr>
          <w:rFonts w:ascii="Times New Roman" w:cs="Times New Roman" w:eastAsia="Times New Roman" w:hAnsi="Times New Roman"/>
          <w:sz w:val="14"/>
          <w:szCs w:val="14"/>
          <w:i w:val="1"/>
          <w:iCs w:val="1"/>
          <w:color w:val="auto"/>
        </w:rPr>
        <w:t xml:space="preserve"> that may be important to you. To understand this offering fully, you should read this entire prospectus carefully, including the information incorporated by reference herein, the information set forth under the heading “Risk Factors” and our financial statements and the related notes thereto incorporated by reference in this prospectus.</w:t>
      </w:r>
    </w:p>
    <w:p>
      <w:pPr>
        <w:spacing w:after="0" w:line="2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98" w:lineRule="exact"/>
        <w:rPr>
          <w:sz w:val="20"/>
          <w:szCs w:val="20"/>
          <w:color w:val="auto"/>
        </w:rPr>
      </w:pPr>
    </w:p>
    <w:p>
      <w:pPr>
        <w:jc w:val="both"/>
        <w:ind w:left="1420" w:right="399" w:firstLine="337"/>
        <w:spacing w:after="0" w:line="263" w:lineRule="auto"/>
        <w:rPr>
          <w:sz w:val="20"/>
          <w:szCs w:val="20"/>
          <w:color w:val="auto"/>
        </w:rPr>
      </w:pPr>
      <w:r>
        <w:rPr>
          <w:rFonts w:ascii="Times New Roman" w:cs="Times New Roman" w:eastAsia="Times New Roman" w:hAnsi="Times New Roman"/>
          <w:sz w:val="14"/>
          <w:szCs w:val="14"/>
          <w:color w:val="auto"/>
        </w:rPr>
        <w:t>We are a clinical-stage biotechnology company advancing a diversified portfolio of cell therapy and small molecule product candidates. In February 2026, we expanded our pipeline through a strategic transaction under which we acquired rights to a portfolio of dual-targeting chimeric antigen receptor T-cells (“CAR-T”) product candidates with the potential to treat certain blood cancers, solid tumors and immunology indications, including TPST-2003, an autologous CD19/B-cell maturation antigen CAR-T therapy currently in clinical development for relapsed or refractory multiple myeloma.</w:t>
      </w:r>
    </w:p>
    <w:p>
      <w:pPr>
        <w:spacing w:after="0" w:line="144" w:lineRule="exact"/>
        <w:rPr>
          <w:sz w:val="20"/>
          <w:szCs w:val="20"/>
          <w:color w:val="auto"/>
        </w:rPr>
      </w:pPr>
    </w:p>
    <w:p>
      <w:pPr>
        <w:ind w:left="1420" w:right="379" w:firstLine="337"/>
        <w:spacing w:after="0" w:line="262" w:lineRule="auto"/>
        <w:rPr>
          <w:sz w:val="20"/>
          <w:szCs w:val="20"/>
          <w:color w:val="auto"/>
        </w:rPr>
      </w:pPr>
      <w:r>
        <w:rPr>
          <w:rFonts w:ascii="Times New Roman" w:cs="Times New Roman" w:eastAsia="Times New Roman" w:hAnsi="Times New Roman"/>
          <w:sz w:val="14"/>
          <w:szCs w:val="14"/>
          <w:color w:val="auto"/>
        </w:rPr>
        <w:t>Our portfolio also includes two clinical-stage small molecule product candidates with the potential to treat certain cancer indications. One of our small-molecule product candidates, amezalpat (previously known as TPST-1120), has completed a Phase 2 study in first-line hepatocellular carcinoma (“HCC”). Amezalpat remains Phase 3-ready in HCC and we plan to pursue business development discussions to advance pivotal development. Our second small-molecule product candidate is TPST-1495, which we plan to initiate a Phase 2 study for in familial adenomatous polyposis, with first patient enrollment expected in 2026. The study is expected to be funded by the National Cancer Institute and conducted through the Cancer Prevention Clinical Trials Network, enabling advancement with limited internal capital deployment.</w:t>
      </w:r>
    </w:p>
    <w:p>
      <w:pPr>
        <w:spacing w:after="0" w:line="143" w:lineRule="exact"/>
        <w:rPr>
          <w:sz w:val="20"/>
          <w:szCs w:val="20"/>
          <w:color w:val="auto"/>
        </w:rPr>
      </w:pPr>
    </w:p>
    <w:p>
      <w:pPr>
        <w:ind w:left="1420" w:right="319" w:firstLine="337"/>
        <w:spacing w:after="0" w:line="290" w:lineRule="auto"/>
        <w:rPr>
          <w:sz w:val="20"/>
          <w:szCs w:val="20"/>
          <w:color w:val="auto"/>
        </w:rPr>
      </w:pPr>
      <w:r>
        <w:rPr>
          <w:rFonts w:ascii="Times New Roman" w:cs="Times New Roman" w:eastAsia="Times New Roman" w:hAnsi="Times New Roman"/>
          <w:sz w:val="14"/>
          <w:szCs w:val="14"/>
          <w:color w:val="auto"/>
        </w:rPr>
        <w:t>Our mission is to develop therapeutic products with the potential to address high unmet medical needs by identifying promising clinical-stage candidates and advancing their development to create products that will improve patients’ lives.</w:t>
      </w:r>
    </w:p>
    <w:p>
      <w:pPr>
        <w:spacing w:after="0" w:line="20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Warrant Inducement</w:t>
      </w:r>
    </w:p>
    <w:p>
      <w:pPr>
        <w:spacing w:after="0" w:line="98" w:lineRule="exact"/>
        <w:rPr>
          <w:sz w:val="20"/>
          <w:szCs w:val="20"/>
          <w:color w:val="auto"/>
        </w:rPr>
      </w:pPr>
    </w:p>
    <w:p>
      <w:pPr>
        <w:ind w:left="1420" w:right="379" w:firstLine="337"/>
        <w:spacing w:after="0" w:line="266" w:lineRule="auto"/>
        <w:rPr>
          <w:sz w:val="20"/>
          <w:szCs w:val="20"/>
          <w:color w:val="auto"/>
        </w:rPr>
      </w:pPr>
      <w:r>
        <w:rPr>
          <w:rFonts w:ascii="Times New Roman" w:cs="Times New Roman" w:eastAsia="Times New Roman" w:hAnsi="Times New Roman"/>
          <w:sz w:val="14"/>
          <w:szCs w:val="14"/>
          <w:color w:val="auto"/>
        </w:rPr>
        <w:t>On May 28, 2026, we entered into the Inducement Agreement with a holder of certain existing warrants to purchase shares of common stock that we originally issued in November 2025 at an original exercise price of $3.50 per share (the “Existing Warrants”). Pursuant to the Inducement Agreement, the holder agreed to exercise for cash the Existing Warrants to purchase an aggregate of 1,172,414 shares of common stock at a reduced exercise price of $1.73 per share in consideration of our agreement to issue the New Warrants to the holder.</w:t>
      </w:r>
    </w:p>
    <w:p>
      <w:pPr>
        <w:spacing w:after="0" w:line="141" w:lineRule="exact"/>
        <w:rPr>
          <w:sz w:val="20"/>
          <w:szCs w:val="20"/>
          <w:color w:val="auto"/>
        </w:rPr>
      </w:pPr>
    </w:p>
    <w:p>
      <w:pPr>
        <w:ind w:left="1420" w:right="319" w:firstLine="337"/>
        <w:spacing w:after="0" w:line="260" w:lineRule="auto"/>
        <w:rPr>
          <w:sz w:val="20"/>
          <w:szCs w:val="20"/>
          <w:color w:val="auto"/>
        </w:rPr>
      </w:pPr>
      <w:r>
        <w:rPr>
          <w:rFonts w:ascii="Times New Roman" w:cs="Times New Roman" w:eastAsia="Times New Roman" w:hAnsi="Times New Roman"/>
          <w:sz w:val="14"/>
          <w:szCs w:val="14"/>
          <w:color w:val="auto"/>
        </w:rPr>
        <w:t>The New Warrants have an exercise price of $1.73 per share, will become exercisable on the effective date of stockholder approval required under the applicable rules of The Nasdaq Capital Market with respect to the issuance of the Warrant Shares, and will expire on May 29, 2028. The New Warrants contain customary adjustment provisions for stock dividends, stock splits, reorganizations and similar events, customary beneficial ownership limitations of either 4.99% or 9.99% at the holder’s election, and cashless exercise rights if a registration statement covering the resale of the underlying shares is not then effective. We also agreed to file a registration statement covering the resale of the Shares issuable upon exercise of the New Warrants within 30 calendar days following the date of the Inducement Agreement and to use reasonable best efforts to cause that registration statement to become effective within 45 calendar days, or within 75 calendar days in the event of SEC review. We are filing the registration statement of which this prospectus forms a part in satisfaction of such obligations.</w:t>
      </w:r>
    </w:p>
    <w:p>
      <w:pPr>
        <w:spacing w:after="0" w:line="24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90"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170180</wp:posOffset>
            </wp:positionV>
            <wp:extent cx="5544820" cy="4533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44820" cy="4533265"/>
                    </a:xfrm>
                    <a:prstGeom prst="rect">
                      <a:avLst/>
                    </a:prstGeom>
                    <a:noFill/>
                  </pic:spPr>
                </pic:pic>
              </a:graphicData>
            </a:graphic>
          </wp:anchor>
        </w:drawing>
      </w:r>
    </w:p>
    <w:p>
      <w:pPr>
        <w:spacing w:after="0" w:line="377" w:lineRule="exact"/>
        <w:rPr>
          <w:sz w:val="20"/>
          <w:szCs w:val="20"/>
          <w:color w:val="auto"/>
        </w:rPr>
      </w:pPr>
    </w:p>
    <w:p>
      <w:pPr>
        <w:ind w:left="1420" w:right="339" w:firstLine="337"/>
        <w:spacing w:after="0" w:line="260" w:lineRule="auto"/>
        <w:rPr>
          <w:sz w:val="20"/>
          <w:szCs w:val="20"/>
          <w:color w:val="auto"/>
        </w:rPr>
      </w:pPr>
      <w:r>
        <w:rPr>
          <w:rFonts w:ascii="Times New Roman" w:cs="Times New Roman" w:eastAsia="Times New Roman" w:hAnsi="Times New Roman"/>
          <w:sz w:val="14"/>
          <w:szCs w:val="14"/>
          <w:color w:val="auto"/>
        </w:rPr>
        <w:t>Further, pursuant to an engagement letter entered into between us and the Placement Agent, dated May 26, 2026 (the “Engagement Letter”), the Placement Agent acted as the exclusive placement agent in connection with the foregoing transaction, and we issued to the placement agent’s designees the Placement Agent Warrants in substantially the same form as the New Warrants, except that the exercise price thereunder is $2.1625 per share. We also reimbursed certain expenses of the Placement Agent in connection with the transaction. Additionally, upon the exercise for cash of any of the New Warrants, we have agreed to pay to the Placement Agent a cash fee of 7% of the aggregate gross exercise price paid in cash with respect thereto and issue to the Placement Agent or its designees warrants to purchase up to 7% of the aggregate number of the shares of common stock underlying such warrants that have been so exercised, provided that such exercise is effected within the 24 months following the issuance date of the New Warrants.</w:t>
      </w:r>
    </w:p>
    <w:p>
      <w:pPr>
        <w:spacing w:after="0" w:line="144" w:lineRule="exact"/>
        <w:rPr>
          <w:sz w:val="20"/>
          <w:szCs w:val="20"/>
          <w:color w:val="auto"/>
        </w:rPr>
      </w:pPr>
    </w:p>
    <w:p>
      <w:pPr>
        <w:ind w:left="1420" w:right="339" w:firstLine="337"/>
        <w:spacing w:after="0" w:line="272" w:lineRule="auto"/>
        <w:rPr>
          <w:sz w:val="20"/>
          <w:szCs w:val="20"/>
          <w:color w:val="auto"/>
        </w:rPr>
      </w:pPr>
      <w:r>
        <w:rPr>
          <w:rFonts w:ascii="Times New Roman" w:cs="Times New Roman" w:eastAsia="Times New Roman" w:hAnsi="Times New Roman"/>
          <w:sz w:val="14"/>
          <w:szCs w:val="14"/>
          <w:color w:val="auto"/>
        </w:rPr>
        <w:t>The foregoing summary of the Inducement Agreement and Warrants are only summaries and are qualified in their entirety by reference to the full text of the Inducement Agreement, the form of New Warrant and the form of Placement Agent Warrants, which are filed as exhibits to the registration statement of which this prospectus is a part and are incorporated by reference herein.</w:t>
      </w:r>
    </w:p>
    <w:p>
      <w:pPr>
        <w:spacing w:after="0" w:line="22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Implications of Being a Smaller Reporting Company and a Non-Accelerated Filer</w:t>
      </w:r>
    </w:p>
    <w:p>
      <w:pPr>
        <w:spacing w:after="0" w:line="98" w:lineRule="exact"/>
        <w:rPr>
          <w:sz w:val="20"/>
          <w:szCs w:val="20"/>
          <w:color w:val="auto"/>
        </w:rPr>
      </w:pPr>
    </w:p>
    <w:p>
      <w:pPr>
        <w:ind w:left="1420" w:right="319" w:firstLine="337"/>
        <w:spacing w:after="0" w:line="258" w:lineRule="auto"/>
        <w:rPr>
          <w:sz w:val="20"/>
          <w:szCs w:val="20"/>
          <w:color w:val="auto"/>
        </w:rPr>
      </w:pPr>
      <w:r>
        <w:rPr>
          <w:rFonts w:ascii="Times New Roman" w:cs="Times New Roman" w:eastAsia="Times New Roman" w:hAnsi="Times New Roman"/>
          <w:sz w:val="14"/>
          <w:szCs w:val="14"/>
          <w:color w:val="auto"/>
        </w:rPr>
        <w:t>We are a “smaller reporting company,” as defined in Rule 12b-2 of the Securities Exchange Act of 1934 (the “Exchange Act”), meaning that the market value of our common stock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for which audited financial statements are available as of the determination date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If investors consider our common stock less attractive as a result of our election to use the scaled disclosure permitted for smaller reporting companies, then there may be a less active trading market for our common stock and our share price may be more volatile.</w:t>
      </w:r>
    </w:p>
    <w:p>
      <w:pPr>
        <w:spacing w:after="0" w:line="149" w:lineRule="exact"/>
        <w:rPr>
          <w:sz w:val="20"/>
          <w:szCs w:val="20"/>
          <w:color w:val="auto"/>
        </w:rPr>
      </w:pPr>
    </w:p>
    <w:p>
      <w:pPr>
        <w:ind w:left="1420" w:right="599" w:firstLine="337"/>
        <w:spacing w:after="0" w:line="290" w:lineRule="auto"/>
        <w:rPr>
          <w:sz w:val="20"/>
          <w:szCs w:val="20"/>
          <w:color w:val="auto"/>
        </w:rPr>
      </w:pPr>
      <w:r>
        <w:rPr>
          <w:rFonts w:ascii="Times New Roman" w:cs="Times New Roman" w:eastAsia="Times New Roman" w:hAnsi="Times New Roman"/>
          <w:sz w:val="14"/>
          <w:szCs w:val="14"/>
          <w:color w:val="auto"/>
        </w:rPr>
        <w:t>Additionally, as a non-accelerated filer, we may continue to take advantage of the exception from compliance with the auditor attestation requirements of Section 404 of the Sarbanes-Oxley Act of 2002, as amended.</w:t>
      </w:r>
    </w:p>
    <w:p>
      <w:pPr>
        <w:spacing w:after="0" w:line="20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Company Information</w:t>
      </w:r>
    </w:p>
    <w:p>
      <w:pPr>
        <w:spacing w:after="0" w:line="98" w:lineRule="exact"/>
        <w:rPr>
          <w:sz w:val="20"/>
          <w:szCs w:val="20"/>
          <w:color w:val="auto"/>
        </w:rPr>
      </w:pPr>
    </w:p>
    <w:p>
      <w:pPr>
        <w:ind w:left="1420" w:right="399" w:firstLine="337"/>
        <w:spacing w:after="0" w:line="272" w:lineRule="auto"/>
        <w:rPr>
          <w:sz w:val="20"/>
          <w:szCs w:val="20"/>
          <w:color w:val="auto"/>
        </w:rPr>
      </w:pPr>
      <w:r>
        <w:rPr>
          <w:rFonts w:ascii="Times New Roman" w:cs="Times New Roman" w:eastAsia="Times New Roman" w:hAnsi="Times New Roman"/>
          <w:sz w:val="14"/>
          <w:szCs w:val="14"/>
          <w:color w:val="auto"/>
        </w:rPr>
        <w:t>We were incorporated in Delaware in April 2011. Our principal executive offices are located at 2000 Sierra Point Parkway, Suite 400, Brisbane, CA 94005, and our telephone number is (415) 798-8589. Our website is located at http://www.tempesttx.com. We do not incorporate by reference into this prospectus the information on, or accessible through, our website, and you should not consider it as part of this prospectus.</w:t>
      </w:r>
    </w:p>
    <w:p>
      <w:pPr>
        <w:spacing w:after="0" w:line="137" w:lineRule="exact"/>
        <w:rPr>
          <w:sz w:val="20"/>
          <w:szCs w:val="20"/>
          <w:color w:val="auto"/>
        </w:rPr>
      </w:pPr>
    </w:p>
    <w:p>
      <w:pPr>
        <w:ind w:left="1420" w:right="319" w:firstLine="337"/>
        <w:spacing w:after="0" w:line="266" w:lineRule="auto"/>
        <w:rPr>
          <w:sz w:val="20"/>
          <w:szCs w:val="20"/>
          <w:color w:val="auto"/>
        </w:rPr>
      </w:pPr>
      <w:r>
        <w:rPr>
          <w:rFonts w:ascii="Times New Roman" w:cs="Times New Roman" w:eastAsia="Times New Roman" w:hAnsi="Times New Roman"/>
          <w:sz w:val="14"/>
          <w:szCs w:val="14"/>
          <w:color w:val="auto"/>
        </w:rPr>
        <w:t>The Tempest logo and other trademarks or service marks of Tempest Therapeutics, Inc. appearing in this prospectus are the property of Tempest Therapeutics, Inc. Other trademarks, service marks or trade names appearing in this prospectus are the property of their respective owners. We do not intend our use or display of other companies’ trade names, trademarks or service marks to imply a relationship with, or endorsement or sponsorship of us by, these other companies.</w:t>
      </w:r>
    </w:p>
    <w:p>
      <w:pPr>
        <w:spacing w:after="0" w:line="23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90"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170180</wp:posOffset>
            </wp:positionV>
            <wp:extent cx="5544820" cy="4023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44820" cy="4023995"/>
                    </a:xfrm>
                    <a:prstGeom prst="rect">
                      <a:avLst/>
                    </a:prstGeom>
                    <a:noFill/>
                  </pic:spPr>
                </pic:pic>
              </a:graphicData>
            </a:graphic>
          </wp:anchor>
        </w:drawing>
      </w: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202" w:lineRule="exact"/>
        <w:rPr>
          <w:sz w:val="20"/>
          <w:szCs w:val="20"/>
          <w:color w:val="auto"/>
        </w:rPr>
      </w:pPr>
    </w:p>
    <w:p>
      <w:pPr>
        <w:ind w:left="4620" w:right="319" w:hanging="3194"/>
        <w:spacing w:after="0" w:line="272" w:lineRule="auto"/>
        <w:tabs>
          <w:tab w:leader="none" w:pos="4600" w:val="left"/>
        </w:tabs>
        <w:rPr>
          <w:sz w:val="20"/>
          <w:szCs w:val="20"/>
          <w:color w:val="auto"/>
        </w:rPr>
      </w:pPr>
      <w:r>
        <w:rPr>
          <w:rFonts w:ascii="Times New Roman" w:cs="Times New Roman" w:eastAsia="Times New Roman" w:hAnsi="Times New Roman"/>
          <w:sz w:val="14"/>
          <w:szCs w:val="14"/>
          <w:b w:val="1"/>
          <w:bCs w:val="1"/>
          <w:color w:val="auto"/>
        </w:rPr>
        <w:t>Common stock offered by the selling stockholders</w:t>
      </w:r>
      <w:r>
        <w:rPr>
          <w:sz w:val="20"/>
          <w:szCs w:val="20"/>
          <w:color w:val="auto"/>
        </w:rPr>
        <w:tab/>
      </w:r>
      <w:r>
        <w:rPr>
          <w:rFonts w:ascii="Times New Roman" w:cs="Times New Roman" w:eastAsia="Times New Roman" w:hAnsi="Times New Roman"/>
          <w:sz w:val="14"/>
          <w:szCs w:val="14"/>
          <w:color w:val="auto"/>
        </w:rPr>
        <w:t>Up to an aggregate 2,426,897 Shares, consisting of (i) up to 2,344,828 shares of our common stock issuable upon the exercise of the New Warrants, and (ii) up to 82,069 shares of our common stock that are issuable upon the exercise of the Placement Agent Warrants.</w:t>
      </w:r>
    </w:p>
    <w:p>
      <w:pPr>
        <w:spacing w:after="0" w:line="158" w:lineRule="exact"/>
        <w:rPr>
          <w:sz w:val="20"/>
          <w:szCs w:val="20"/>
          <w:color w:val="auto"/>
        </w:rPr>
      </w:pPr>
    </w:p>
    <w:p>
      <w:pPr>
        <w:ind w:left="1420"/>
        <w:spacing w:after="0"/>
        <w:tabs>
          <w:tab w:leader="none" w:pos="4600" w:val="left"/>
        </w:tabs>
        <w:rPr>
          <w:sz w:val="20"/>
          <w:szCs w:val="20"/>
          <w:color w:val="auto"/>
        </w:rPr>
      </w:pPr>
      <w:r>
        <w:rPr>
          <w:rFonts w:ascii="Times New Roman" w:cs="Times New Roman" w:eastAsia="Times New Roman" w:hAnsi="Times New Roman"/>
          <w:sz w:val="14"/>
          <w:szCs w:val="14"/>
          <w:b w:val="1"/>
          <w:bCs w:val="1"/>
          <w:color w:val="auto"/>
        </w:rPr>
        <w:t>Common stock currently outstanding</w:t>
      </w:r>
      <w:r>
        <w:rPr>
          <w:sz w:val="20"/>
          <w:szCs w:val="20"/>
          <w:color w:val="auto"/>
        </w:rPr>
        <w:tab/>
      </w:r>
      <w:r>
        <w:rPr>
          <w:rFonts w:ascii="Times New Roman" w:cs="Times New Roman" w:eastAsia="Times New Roman" w:hAnsi="Times New Roman"/>
          <w:sz w:val="14"/>
          <w:szCs w:val="14"/>
          <w:color w:val="auto"/>
        </w:rPr>
        <w:t>15,979,411 shares of common stock as of June 18, 2026.</w:t>
      </w:r>
    </w:p>
    <w:p>
      <w:pPr>
        <w:spacing w:after="0" w:line="21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 xml:space="preserve">Common Stock to be outstanding assuming exercise </w:t>
      </w:r>
      <w:r>
        <w:rPr>
          <w:rFonts w:ascii="Times New Roman" w:cs="Times New Roman" w:eastAsia="Times New Roman" w:hAnsi="Times New Roman"/>
          <w:sz w:val="14"/>
          <w:szCs w:val="14"/>
          <w:color w:val="auto"/>
        </w:rPr>
        <w:t>18,406,308 shares of common stock.</w:t>
      </w:r>
    </w:p>
    <w:p>
      <w:pPr>
        <w:spacing w:after="0" w:line="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of the Warrants</w:t>
      </w:r>
    </w:p>
    <w:p>
      <w:pPr>
        <w:spacing w:after="0" w:line="197" w:lineRule="exact"/>
        <w:rPr>
          <w:sz w:val="20"/>
          <w:szCs w:val="20"/>
          <w:color w:val="auto"/>
        </w:rPr>
      </w:pPr>
    </w:p>
    <w:p>
      <w:pPr>
        <w:ind w:left="4620" w:right="399" w:hanging="3194"/>
        <w:spacing w:after="0" w:line="263" w:lineRule="auto"/>
        <w:tabs>
          <w:tab w:leader="none" w:pos="4600" w:val="left"/>
        </w:tabs>
        <w:rPr>
          <w:sz w:val="20"/>
          <w:szCs w:val="20"/>
          <w:color w:val="auto"/>
        </w:rPr>
      </w:pPr>
      <w:r>
        <w:rPr>
          <w:rFonts w:ascii="Times New Roman" w:cs="Times New Roman" w:eastAsia="Times New Roman" w:hAnsi="Times New Roman"/>
          <w:sz w:val="14"/>
          <w:szCs w:val="14"/>
          <w:b w:val="1"/>
          <w:bCs w:val="1"/>
          <w:color w:val="auto"/>
        </w:rPr>
        <w:t>The Warrants</w:t>
      </w:r>
      <w:r>
        <w:rPr>
          <w:sz w:val="20"/>
          <w:szCs w:val="20"/>
          <w:color w:val="auto"/>
        </w:rPr>
        <w:tab/>
      </w:r>
      <w:r>
        <w:rPr>
          <w:rFonts w:ascii="Times New Roman" w:cs="Times New Roman" w:eastAsia="Times New Roman" w:hAnsi="Times New Roman"/>
          <w:sz w:val="14"/>
          <w:szCs w:val="14"/>
          <w:color w:val="auto"/>
        </w:rPr>
        <w:t>The New Warrants have an exercise price of $1.73 per share, will become exercisable on the effective date of stockholder approval required under the applicable rules of The Nasdaq Capital Market with respect to the issuance of the Warrant Shares, and will expire on May 29, 2028. The Placement Agent Warrants have substantially the same terms as the New Warrants, except that the exercise price thereunder is $2.1625 per share.</w:t>
      </w:r>
    </w:p>
    <w:p>
      <w:pPr>
        <w:spacing w:after="0" w:line="165" w:lineRule="exact"/>
        <w:rPr>
          <w:sz w:val="20"/>
          <w:szCs w:val="20"/>
          <w:color w:val="auto"/>
        </w:rPr>
      </w:pPr>
    </w:p>
    <w:tbl>
      <w:tblPr>
        <w:tblLayout w:type="fixed"/>
        <w:tblInd w:w="1280" w:type="dxa"/>
        <w:tblCellMar>
          <w:top w:w="0" w:type="dxa"/>
          <w:left w:w="0" w:type="dxa"/>
          <w:bottom w:w="0" w:type="dxa"/>
          <w:right w:w="0" w:type="dxa"/>
        </w:tblCellMar>
      </w:tblPr>
      <w:tr>
        <w:trPr>
          <w:trHeight w:val="173"/>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Selling stockholders</w:t>
            </w:r>
          </w:p>
        </w:tc>
        <w:tc>
          <w:tcPr>
            <w:tcW w:w="60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All of the Shares are being offered by the selling stockholders. See “Selling Stockholders”</w:t>
            </w:r>
          </w:p>
        </w:tc>
      </w:tr>
      <w:tr>
        <w:trPr>
          <w:trHeight w:val="185"/>
        </w:trPr>
        <w:tc>
          <w:tcPr>
            <w:tcW w:w="2700" w:type="dxa"/>
            <w:vAlign w:val="bottom"/>
          </w:tcPr>
          <w:p>
            <w:pPr>
              <w:spacing w:after="0"/>
              <w:rPr>
                <w:sz w:val="16"/>
                <w:szCs w:val="16"/>
                <w:color w:val="auto"/>
              </w:rPr>
            </w:pPr>
          </w:p>
        </w:tc>
        <w:tc>
          <w:tcPr>
            <w:tcW w:w="60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on page 8 of this prospectus for more information on the selling stockholders.</w:t>
            </w:r>
          </w:p>
        </w:tc>
      </w:tr>
      <w:tr>
        <w:trPr>
          <w:trHeight w:val="349"/>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60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We will not receive any of the proceeds from the selling stockholders’ sale or other</w:t>
            </w:r>
          </w:p>
        </w:tc>
      </w:tr>
      <w:tr>
        <w:trPr>
          <w:trHeight w:val="171"/>
        </w:trPr>
        <w:tc>
          <w:tcPr>
            <w:tcW w:w="2700" w:type="dxa"/>
            <w:vAlign w:val="bottom"/>
          </w:tcPr>
          <w:p>
            <w:pPr>
              <w:spacing w:after="0"/>
              <w:rPr>
                <w:sz w:val="14"/>
                <w:szCs w:val="14"/>
                <w:color w:val="auto"/>
              </w:rPr>
            </w:pPr>
          </w:p>
        </w:tc>
        <w:tc>
          <w:tcPr>
            <w:tcW w:w="60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disposition of the Shares offered pursuant to this prospectus. All net proceeds from the sale</w:t>
            </w:r>
          </w:p>
        </w:tc>
      </w:tr>
      <w:tr>
        <w:trPr>
          <w:trHeight w:val="171"/>
        </w:trPr>
        <w:tc>
          <w:tcPr>
            <w:tcW w:w="2700" w:type="dxa"/>
            <w:vAlign w:val="bottom"/>
          </w:tcPr>
          <w:p>
            <w:pPr>
              <w:spacing w:after="0"/>
              <w:rPr>
                <w:sz w:val="14"/>
                <w:szCs w:val="14"/>
                <w:color w:val="auto"/>
              </w:rPr>
            </w:pPr>
          </w:p>
        </w:tc>
        <w:tc>
          <w:tcPr>
            <w:tcW w:w="60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of the Shares covered by this prospectus will go to the selling stockholders. However, we</w:t>
            </w:r>
          </w:p>
        </w:tc>
      </w:tr>
      <w:tr>
        <w:trPr>
          <w:trHeight w:val="171"/>
        </w:trPr>
        <w:tc>
          <w:tcPr>
            <w:tcW w:w="2700" w:type="dxa"/>
            <w:vAlign w:val="bottom"/>
          </w:tcPr>
          <w:p>
            <w:pPr>
              <w:spacing w:after="0"/>
              <w:rPr>
                <w:sz w:val="14"/>
                <w:szCs w:val="14"/>
                <w:color w:val="auto"/>
              </w:rPr>
            </w:pPr>
          </w:p>
        </w:tc>
        <w:tc>
          <w:tcPr>
            <w:tcW w:w="60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will receive proceeds from the exercise of any Warrants for cash. See the section of this</w:t>
            </w:r>
          </w:p>
        </w:tc>
      </w:tr>
      <w:tr>
        <w:trPr>
          <w:trHeight w:val="185"/>
        </w:trPr>
        <w:tc>
          <w:tcPr>
            <w:tcW w:w="2700" w:type="dxa"/>
            <w:vAlign w:val="bottom"/>
          </w:tcPr>
          <w:p>
            <w:pPr>
              <w:spacing w:after="0"/>
              <w:rPr>
                <w:sz w:val="16"/>
                <w:szCs w:val="16"/>
                <w:color w:val="auto"/>
              </w:rPr>
            </w:pPr>
          </w:p>
        </w:tc>
        <w:tc>
          <w:tcPr>
            <w:tcW w:w="60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prospectus titled “Use of Proceeds” on page 7 of this prospectus.</w:t>
            </w:r>
          </w:p>
        </w:tc>
      </w:tr>
      <w:tr>
        <w:trPr>
          <w:trHeight w:val="349"/>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Plan of Distribution</w:t>
            </w:r>
          </w:p>
        </w:tc>
        <w:tc>
          <w:tcPr>
            <w:tcW w:w="60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Each selling stockholder will determine when and how it will sell the common stock</w:t>
            </w:r>
          </w:p>
        </w:tc>
      </w:tr>
      <w:tr>
        <w:trPr>
          <w:trHeight w:val="185"/>
        </w:trPr>
        <w:tc>
          <w:tcPr>
            <w:tcW w:w="2700" w:type="dxa"/>
            <w:vAlign w:val="bottom"/>
          </w:tcPr>
          <w:p>
            <w:pPr>
              <w:spacing w:after="0"/>
              <w:rPr>
                <w:sz w:val="16"/>
                <w:szCs w:val="16"/>
                <w:color w:val="auto"/>
              </w:rPr>
            </w:pPr>
          </w:p>
        </w:tc>
        <w:tc>
          <w:tcPr>
            <w:tcW w:w="60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offered in this prospectus, as described in “Plan of Distribution.”</w:t>
            </w:r>
          </w:p>
        </w:tc>
      </w:tr>
      <w:tr>
        <w:trPr>
          <w:trHeight w:val="349"/>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Risk Factors</w:t>
            </w:r>
          </w:p>
        </w:tc>
        <w:tc>
          <w:tcPr>
            <w:tcW w:w="60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Any investment in the Shares offered hereby is speculative and involves a high degree of</w:t>
            </w:r>
          </w:p>
        </w:tc>
      </w:tr>
      <w:tr>
        <w:trPr>
          <w:trHeight w:val="171"/>
        </w:trPr>
        <w:tc>
          <w:tcPr>
            <w:tcW w:w="2700" w:type="dxa"/>
            <w:vAlign w:val="bottom"/>
          </w:tcPr>
          <w:p>
            <w:pPr>
              <w:spacing w:after="0"/>
              <w:rPr>
                <w:sz w:val="14"/>
                <w:szCs w:val="14"/>
                <w:color w:val="auto"/>
              </w:rPr>
            </w:pPr>
          </w:p>
        </w:tc>
        <w:tc>
          <w:tcPr>
            <w:tcW w:w="60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risk. You should carefully consider the information set forth under “Risk Factors” on page</w:t>
            </w:r>
          </w:p>
        </w:tc>
      </w:tr>
      <w:tr>
        <w:trPr>
          <w:trHeight w:val="185"/>
        </w:trPr>
        <w:tc>
          <w:tcPr>
            <w:tcW w:w="2700" w:type="dxa"/>
            <w:vAlign w:val="bottom"/>
          </w:tcPr>
          <w:p>
            <w:pPr>
              <w:spacing w:after="0"/>
              <w:rPr>
                <w:sz w:val="16"/>
                <w:szCs w:val="16"/>
                <w:color w:val="auto"/>
              </w:rPr>
            </w:pPr>
          </w:p>
        </w:tc>
        <w:tc>
          <w:tcPr>
            <w:tcW w:w="60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4 and elsewhere in this prospectus.</w:t>
            </w:r>
          </w:p>
        </w:tc>
      </w:tr>
      <w:tr>
        <w:trPr>
          <w:trHeight w:val="363"/>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Nasdaq Capital Market symbol</w:t>
            </w:r>
          </w:p>
        </w:tc>
        <w:tc>
          <w:tcPr>
            <w:tcW w:w="60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Our common stock is listed on The Nasdaq Capital Market under the symbol “TPST”.</w:t>
            </w:r>
          </w:p>
        </w:tc>
      </w:tr>
      <w:tr>
        <w:trPr>
          <w:trHeight w:val="146"/>
        </w:trPr>
        <w:tc>
          <w:tcPr>
            <w:tcW w:w="2700" w:type="dxa"/>
            <w:vAlign w:val="bottom"/>
            <w:tcBorders>
              <w:bottom w:val="single" w:sz="8" w:color="auto"/>
            </w:tcBorders>
          </w:tcPr>
          <w:p>
            <w:pPr>
              <w:spacing w:after="0"/>
              <w:rPr>
                <w:sz w:val="12"/>
                <w:szCs w:val="12"/>
                <w:color w:val="auto"/>
              </w:rPr>
            </w:pPr>
          </w:p>
        </w:tc>
        <w:tc>
          <w:tcPr>
            <w:tcW w:w="6040" w:type="dxa"/>
            <w:vAlign w:val="bottom"/>
            <w:tcBorders>
              <w:bottom w:val="single" w:sz="8" w:color="auto"/>
            </w:tcBorders>
          </w:tcPr>
          <w:p>
            <w:pPr>
              <w:spacing w:after="0"/>
              <w:rPr>
                <w:sz w:val="12"/>
                <w:szCs w:val="12"/>
                <w:color w:val="auto"/>
              </w:rPr>
            </w:pPr>
          </w:p>
        </w:tc>
      </w:tr>
      <w:tr>
        <w:trPr>
          <w:trHeight w:val="283"/>
        </w:trPr>
        <w:tc>
          <w:tcPr>
            <w:tcW w:w="2700" w:type="dxa"/>
            <w:vAlign w:val="bottom"/>
          </w:tcPr>
          <w:p>
            <w:pPr>
              <w:spacing w:after="0"/>
              <w:rPr>
                <w:sz w:val="24"/>
                <w:szCs w:val="24"/>
                <w:color w:val="auto"/>
              </w:rPr>
            </w:pPr>
          </w:p>
        </w:tc>
        <w:tc>
          <w:tcPr>
            <w:tcW w:w="604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3</w:t>
            </w:r>
          </w:p>
        </w:tc>
      </w:tr>
    </w:tbl>
    <w:p>
      <w:pPr>
        <w:sectPr>
          <w:pgSz w:w="11900" w:h="16838" w:orient="portrait"/>
          <w:cols w:equalWidth="0" w:num="1">
            <w:col w:w="10159"/>
          </w:cols>
          <w:pgMar w:left="300" w:top="390"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3" w:lineRule="exact"/>
        <w:rPr>
          <w:sz w:val="20"/>
          <w:szCs w:val="20"/>
          <w:color w:val="auto"/>
        </w:rPr>
      </w:pPr>
    </w:p>
    <w:p>
      <w:pPr>
        <w:ind w:left="1280" w:right="479" w:firstLine="349"/>
        <w:spacing w:after="0" w:line="265" w:lineRule="auto"/>
        <w:rPr>
          <w:sz w:val="20"/>
          <w:szCs w:val="20"/>
          <w:color w:val="auto"/>
        </w:rPr>
      </w:pPr>
      <w:r>
        <w:rPr>
          <w:rFonts w:ascii="Times New Roman" w:cs="Times New Roman" w:eastAsia="Times New Roman" w:hAnsi="Times New Roman"/>
          <w:sz w:val="14"/>
          <w:szCs w:val="14"/>
          <w:color w:val="auto"/>
        </w:rPr>
        <w:t>Investing in our common stock involves a high degree of risk. Before making an investment decision, you should carefully consider the risks described in the sections entitled “Risk Factors” in our most recent Annual Report on Form 10-K and in our subsequent Quarterly Reports on Form</w:t>
      </w:r>
    </w:p>
    <w:p>
      <w:pPr>
        <w:ind w:left="1280" w:right="159"/>
        <w:spacing w:after="0" w:line="257" w:lineRule="auto"/>
        <w:rPr>
          <w:sz w:val="20"/>
          <w:szCs w:val="20"/>
          <w:color w:val="auto"/>
        </w:rPr>
      </w:pPr>
      <w:r>
        <w:rPr>
          <w:rFonts w:ascii="Times New Roman" w:cs="Times New Roman" w:eastAsia="Times New Roman" w:hAnsi="Times New Roman"/>
          <w:sz w:val="14"/>
          <w:szCs w:val="14"/>
          <w:color w:val="auto"/>
        </w:rPr>
        <w:t>10-Q, as filed with the SEC, which are incorporated herein by reference in their entirety, as well any amendment or updates to our risk factors reflected in subsequent filings with the SEC, including any applicable prospectus supplement. The risks so described are not the only risks facing our company. Additional risks not presently known to us or that we currently deem immaterial may also impair our business operations. Our business, financial condition, results of operations or prospects could be materially adversely affected by any of these risks. The trading price of our securities could decline due to any of these risks, and you may lose all or part of your investment. This prospectus and the documents incorporated herein by reference also contain forward-looking statements that involve risks and uncertainties. Our actual results could differ materially from those anticipated in these forward-looking statements as a result of certain factors, including the risks mentioned elsewhere in this prospectus. For more information, see the section entitled “Where You Can Find Additional Information.” Please also read carefully the section entitled “Special Note Regarding Forward-Looking Statements.”</w:t>
      </w:r>
    </w:p>
    <w:p>
      <w:pPr>
        <w:spacing w:after="0" w:line="399" w:lineRule="exact"/>
        <w:rPr>
          <w:sz w:val="20"/>
          <w:szCs w:val="20"/>
          <w:color w:val="auto"/>
        </w:rPr>
      </w:pPr>
    </w:p>
    <w:p>
      <w:pPr>
        <w:ind w:left="1280" w:right="279"/>
        <w:spacing w:after="0" w:line="296" w:lineRule="auto"/>
        <w:rPr>
          <w:sz w:val="20"/>
          <w:szCs w:val="20"/>
          <w:color w:val="auto"/>
        </w:rPr>
      </w:pPr>
      <w:r>
        <w:rPr>
          <w:rFonts w:ascii="Times New Roman" w:cs="Times New Roman" w:eastAsia="Times New Roman" w:hAnsi="Times New Roman"/>
          <w:sz w:val="14"/>
          <w:szCs w:val="14"/>
          <w:b w:val="1"/>
          <w:bCs w:val="1"/>
          <w:i w:val="1"/>
          <w:iCs w:val="1"/>
          <w:color w:val="auto"/>
        </w:rPr>
        <w:t>The sale of a substantial number of shares of our common stock in the public market, including the resale of the Shares, could adversely affect the prevailing market price for our common stock.</w:t>
      </w:r>
    </w:p>
    <w:p>
      <w:pPr>
        <w:spacing w:after="0" w:line="34" w:lineRule="exact"/>
        <w:rPr>
          <w:sz w:val="20"/>
          <w:szCs w:val="20"/>
          <w:color w:val="auto"/>
        </w:rPr>
      </w:pPr>
    </w:p>
    <w:p>
      <w:pPr>
        <w:ind w:left="1280" w:right="159" w:firstLine="349"/>
        <w:spacing w:after="0" w:line="263" w:lineRule="auto"/>
        <w:rPr>
          <w:sz w:val="20"/>
          <w:szCs w:val="20"/>
          <w:color w:val="auto"/>
        </w:rPr>
      </w:pPr>
      <w:r>
        <w:rPr>
          <w:rFonts w:ascii="Times New Roman" w:cs="Times New Roman" w:eastAsia="Times New Roman" w:hAnsi="Times New Roman"/>
          <w:sz w:val="14"/>
          <w:szCs w:val="14"/>
          <w:color w:val="auto"/>
        </w:rPr>
        <w:t>We are registering for resale up to 2,426,897 shares of our common stock, consisting of the Shares issuable to the selling stockholders upon exercise of the Warrants. Sales of substantial amounts of shares of our common stock in the public market, or the perception that such sales might occur, could adversely affect the market price of our common stock. We cannot predict if and when the selling stockholders may sell the Shares in the public markets. Furthermore, in the future, we may issue additional shares of our common stock or other equity or debt securities exercisable for, or convertible into, shares of our common stock. Any such issuances could result in substantial dilution to our existing stockholders and could cause our stock price to decline.</w:t>
      </w:r>
    </w:p>
    <w:p>
      <w:pPr>
        <w:spacing w:after="0" w:line="26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90"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3" w:lineRule="exact"/>
        <w:rPr>
          <w:sz w:val="20"/>
          <w:szCs w:val="20"/>
          <w:color w:val="auto"/>
        </w:rPr>
      </w:pPr>
    </w:p>
    <w:p>
      <w:pPr>
        <w:ind w:left="1280" w:right="179" w:firstLine="349"/>
        <w:spacing w:after="0" w:line="263" w:lineRule="auto"/>
        <w:rPr>
          <w:sz w:val="20"/>
          <w:szCs w:val="20"/>
          <w:color w:val="auto"/>
        </w:rPr>
      </w:pPr>
      <w:r>
        <w:rPr>
          <w:rFonts w:ascii="Times New Roman" w:cs="Times New Roman" w:eastAsia="Times New Roman" w:hAnsi="Times New Roman"/>
          <w:sz w:val="14"/>
          <w:szCs w:val="14"/>
          <w:color w:val="auto"/>
        </w:rPr>
        <w:t>This prospectus and any applicable prospectus supplement or free writing prospectus, including the documents that we incorporate by reference herein and therein, contain “forward-looking statements” within the meaning of Section 27A of the Securities Act and Section 21E of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 or achievements expressed or implied by the forward-looking statements.</w:t>
      </w:r>
    </w:p>
    <w:p>
      <w:pPr>
        <w:spacing w:after="0" w:line="144" w:lineRule="exact"/>
        <w:rPr>
          <w:sz w:val="20"/>
          <w:szCs w:val="20"/>
          <w:color w:val="auto"/>
        </w:rPr>
      </w:pPr>
    </w:p>
    <w:p>
      <w:pPr>
        <w:ind w:left="1280" w:right="199" w:firstLine="349"/>
        <w:spacing w:after="0" w:line="259"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As such, our actual results may differ significantly from those expressed in any forward-looking statements. Given these uncertainties, you should not place undue reliance on these forward-looking statements. In addition, statements indicating that “we believe” and similar statements reflect our beliefs and opinions on the relevant subject. These statements are based upon information available to us as of the date they were made, and while we believe such information formed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47" w:lineRule="exact"/>
        <w:rPr>
          <w:sz w:val="20"/>
          <w:szCs w:val="20"/>
          <w:color w:val="auto"/>
        </w:rPr>
      </w:pPr>
    </w:p>
    <w:p>
      <w:pPr>
        <w:ind w:left="1280" w:right="419" w:firstLine="349"/>
        <w:spacing w:after="0" w:line="266" w:lineRule="auto"/>
        <w:rPr>
          <w:sz w:val="20"/>
          <w:szCs w:val="20"/>
          <w:color w:val="auto"/>
        </w:rPr>
      </w:pPr>
      <w:r>
        <w:rPr>
          <w:rFonts w:ascii="Times New Roman" w:cs="Times New Roman" w:eastAsia="Times New Roman" w:hAnsi="Times New Roman"/>
          <w:sz w:val="14"/>
          <w:szCs w:val="14"/>
          <w:color w:val="auto"/>
        </w:rPr>
        <w:t>These and other risks are described in greater detail under “Risk Factors” in this prospectus and in the “Risk Factors,” “Business” and “Management’s Discussion and Analysis of Financial Condition and Results of Operations” sections incorporated by reference from our most recent Annual Report on Form 10-K and in our Quarterly Reports on Form 10-Q for the quarterly periods ended subsequent to our filing of such Annual Report on Form 10-K, as well as any amendments thereto reflected in subsequent filings with the SEC.</w:t>
      </w:r>
    </w:p>
    <w:p>
      <w:pPr>
        <w:spacing w:after="0" w:line="141" w:lineRule="exact"/>
        <w:rPr>
          <w:sz w:val="20"/>
          <w:szCs w:val="20"/>
          <w:color w:val="auto"/>
        </w:rPr>
      </w:pPr>
    </w:p>
    <w:p>
      <w:pPr>
        <w:ind w:left="1280" w:right="159" w:firstLine="349"/>
        <w:spacing w:after="0" w:line="266" w:lineRule="auto"/>
        <w:rPr>
          <w:sz w:val="20"/>
          <w:szCs w:val="20"/>
          <w:color w:val="auto"/>
        </w:rPr>
      </w:pPr>
      <w:r>
        <w:rPr>
          <w:rFonts w:ascii="Times New Roman" w:cs="Times New Roman" w:eastAsia="Times New Roman" w:hAnsi="Times New Roman"/>
          <w:sz w:val="14"/>
          <w:szCs w:val="14"/>
          <w:color w:val="auto"/>
        </w:rPr>
        <w:t>Also,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w:t>
      </w:r>
    </w:p>
    <w:p>
      <w:pPr>
        <w:spacing w:after="0" w:line="141" w:lineRule="exact"/>
        <w:rPr>
          <w:sz w:val="20"/>
          <w:szCs w:val="20"/>
          <w:color w:val="auto"/>
        </w:rPr>
      </w:pPr>
    </w:p>
    <w:p>
      <w:pPr>
        <w:ind w:left="1280" w:right="399" w:firstLine="349"/>
        <w:spacing w:after="0" w:line="290" w:lineRule="auto"/>
        <w:rPr>
          <w:sz w:val="20"/>
          <w:szCs w:val="20"/>
          <w:color w:val="auto"/>
        </w:rPr>
      </w:pPr>
      <w:r>
        <w:rPr>
          <w:rFonts w:ascii="Times New Roman" w:cs="Times New Roman" w:eastAsia="Times New Roman" w:hAnsi="Times New Roman"/>
          <w:sz w:val="14"/>
          <w:szCs w:val="14"/>
          <w:color w:val="auto"/>
        </w:rPr>
        <w:t>Forward-looking statements contained in this prospectus, including the documents that we incorporate by reference herein, include, but are not limited to, statements about:</w:t>
      </w:r>
    </w:p>
    <w:p>
      <w:pPr>
        <w:spacing w:after="0" w:line="49" w:lineRule="exact"/>
        <w:rPr>
          <w:sz w:val="20"/>
          <w:szCs w:val="20"/>
          <w:color w:val="auto"/>
        </w:rPr>
      </w:pPr>
    </w:p>
    <w:p>
      <w:pPr>
        <w:ind w:left="2060" w:right="259" w:hanging="350"/>
        <w:spacing w:after="0" w:line="272" w:lineRule="auto"/>
        <w:tabs>
          <w:tab w:leader="none" w:pos="20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as a going concern absent access to sources of liquidity, as well as our history of recurring losses and negative cash flows from operating activities, significant future commitments and the uncertainty regarding the adequacy of our liquidity to pursue our complete business objectives;</w:t>
      </w:r>
    </w:p>
    <w:p>
      <w:pPr>
        <w:spacing w:after="0" w:line="61"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compliance with the Nasdaq listing standards;</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potential of the markets for our product candidates, and our ability to serve those markets;</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regulatory approval, efficacy and commercialization of competing products;</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plans, regulatory approvals, and timing for TPST-2003 and other product candidates;</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stockholder approval for the issuance of the Warrant Shares upon exercise of the Warrants;</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proceeds from cash exercises of Warrants, if any;</w:t>
      </w:r>
    </w:p>
    <w:p>
      <w:pPr>
        <w:spacing w:after="0" w:line="12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90"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8" w:lineRule="exact"/>
        <w:rPr>
          <w:sz w:val="20"/>
          <w:szCs w:val="20"/>
          <w:color w:val="auto"/>
        </w:rPr>
      </w:pPr>
    </w:p>
    <w:p>
      <w:pPr>
        <w:ind w:left="2060" w:right="819" w:hanging="350"/>
        <w:spacing w:after="0" w:line="290" w:lineRule="auto"/>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sales and marketing capabilities or enter into agreements with third parties to market and sell our product candidates;</w:t>
      </w:r>
    </w:p>
    <w:p>
      <w:pPr>
        <w:spacing w:after="0" w:line="49" w:lineRule="exact"/>
        <w:rPr>
          <w:rFonts w:ascii="Times New Roman" w:cs="Times New Roman" w:eastAsia="Times New Roman" w:hAnsi="Times New Roman"/>
          <w:sz w:val="14"/>
          <w:szCs w:val="14"/>
          <w:color w:val="auto"/>
        </w:rPr>
      </w:pPr>
    </w:p>
    <w:p>
      <w:pPr>
        <w:ind w:left="2060" w:right="459" w:hanging="350"/>
        <w:spacing w:after="0" w:line="290" w:lineRule="auto"/>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regulatory approval for our product candidates or future product candidates in the United States and in any foreign countries in which we may seek to do business;</w:t>
      </w:r>
    </w:p>
    <w:p>
      <w:pPr>
        <w:spacing w:after="0" w:line="49"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and hire our board of directors, senior management, or operational personnel;</w:t>
      </w:r>
    </w:p>
    <w:p>
      <w:pPr>
        <w:spacing w:after="0" w:line="106" w:lineRule="exact"/>
        <w:rPr>
          <w:rFonts w:ascii="Times New Roman" w:cs="Times New Roman" w:eastAsia="Times New Roman" w:hAnsi="Times New Roman"/>
          <w:sz w:val="14"/>
          <w:szCs w:val="14"/>
          <w:color w:val="auto"/>
        </w:rPr>
      </w:pPr>
    </w:p>
    <w:p>
      <w:pPr>
        <w:ind w:left="2060" w:right="179" w:hanging="350"/>
        <w:spacing w:after="0" w:line="290" w:lineRule="auto"/>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maintain our corporate infrastructure, including our ability to design and maintain an effective system of internal controls;</w:t>
      </w:r>
    </w:p>
    <w:p>
      <w:pPr>
        <w:spacing w:after="0" w:line="49" w:lineRule="exact"/>
        <w:rPr>
          <w:rFonts w:ascii="Times New Roman" w:cs="Times New Roman" w:eastAsia="Times New Roman" w:hAnsi="Times New Roman"/>
          <w:sz w:val="14"/>
          <w:szCs w:val="14"/>
          <w:color w:val="auto"/>
        </w:rPr>
      </w:pPr>
    </w:p>
    <w:p>
      <w:pPr>
        <w:ind w:left="2060" w:right="399" w:hanging="350"/>
        <w:spacing w:after="0" w:line="290" w:lineRule="auto"/>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general economic, political, and market conditions and overall fluctuations in the financial markets in the United States and abroad, including as a result of bank failures, public health crises or geopolitical tensions;</w:t>
      </w:r>
    </w:p>
    <w:p>
      <w:pPr>
        <w:spacing w:after="0" w:line="49"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 regarding the period during which we will qualify as a smaller reporting company under the federal securities laws; and</w:t>
      </w:r>
    </w:p>
    <w:p>
      <w:pPr>
        <w:spacing w:after="0" w:line="106" w:lineRule="exact"/>
        <w:rPr>
          <w:rFonts w:ascii="Times New Roman" w:cs="Times New Roman" w:eastAsia="Times New Roman" w:hAnsi="Times New Roman"/>
          <w:sz w:val="14"/>
          <w:szCs w:val="14"/>
          <w:color w:val="auto"/>
        </w:rPr>
      </w:pPr>
    </w:p>
    <w:p>
      <w:pPr>
        <w:ind w:left="2060" w:right="299" w:hanging="350"/>
        <w:spacing w:after="0" w:line="272" w:lineRule="auto"/>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spacing w:after="0" w:line="137" w:lineRule="exact"/>
        <w:rPr>
          <w:sz w:val="20"/>
          <w:szCs w:val="20"/>
          <w:color w:val="auto"/>
        </w:rPr>
      </w:pPr>
    </w:p>
    <w:p>
      <w:pPr>
        <w:ind w:left="1280" w:right="239" w:firstLine="349"/>
        <w:spacing w:after="0" w:line="266" w:lineRule="auto"/>
        <w:rPr>
          <w:sz w:val="20"/>
          <w:szCs w:val="20"/>
          <w:color w:val="auto"/>
        </w:rPr>
      </w:pPr>
      <w:r>
        <w:rPr>
          <w:rFonts w:ascii="Times New Roman" w:cs="Times New Roman" w:eastAsia="Times New Roman" w:hAnsi="Times New Roman"/>
          <w:sz w:val="14"/>
          <w:szCs w:val="14"/>
          <w:color w:val="auto"/>
        </w:rPr>
        <w:t>You should read this prospectus, any applicable prospectus supplement, together with the documents that we have filed with the SEC that are incorporated by reference, and any free writing prospectus we have authorized for use in connection with this offering, completely and with the understanding that our actual future results may be materially different from what we expect. We qualify all of our forward-looking statements by these cautionary statements.</w:t>
      </w:r>
    </w:p>
    <w:p>
      <w:pPr>
        <w:spacing w:after="0" w:line="8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90"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3" w:lineRule="exact"/>
        <w:rPr>
          <w:sz w:val="20"/>
          <w:szCs w:val="20"/>
          <w:color w:val="auto"/>
        </w:rPr>
      </w:pPr>
    </w:p>
    <w:p>
      <w:pPr>
        <w:jc w:val="both"/>
        <w:ind w:left="1280" w:right="279" w:firstLine="349"/>
        <w:spacing w:after="0" w:line="272" w:lineRule="auto"/>
        <w:rPr>
          <w:sz w:val="20"/>
          <w:szCs w:val="20"/>
          <w:color w:val="auto"/>
        </w:rPr>
      </w:pPr>
      <w:r>
        <w:rPr>
          <w:rFonts w:ascii="Times New Roman" w:cs="Times New Roman" w:eastAsia="Times New Roman" w:hAnsi="Times New Roman"/>
          <w:sz w:val="14"/>
          <w:szCs w:val="14"/>
          <w:color w:val="auto"/>
        </w:rPr>
        <w:t>We will not receive any of the proceeds from the selling stockholders’ sale or other disposition of the Shares offered pursuant to this prospectus. All net proceeds from the sale of the Shares covered by this prospectus will go to the selling stockholders. However, we will receive proceeds from the exercise of any Warrants for cash.</w:t>
      </w:r>
    </w:p>
    <w:p>
      <w:pPr>
        <w:spacing w:after="0" w:line="137" w:lineRule="exact"/>
        <w:rPr>
          <w:sz w:val="20"/>
          <w:szCs w:val="20"/>
          <w:color w:val="auto"/>
        </w:rPr>
      </w:pPr>
    </w:p>
    <w:p>
      <w:pPr>
        <w:ind w:left="1280" w:right="279" w:firstLine="349"/>
        <w:spacing w:after="0" w:line="266" w:lineRule="auto"/>
        <w:rPr>
          <w:sz w:val="20"/>
          <w:szCs w:val="20"/>
          <w:color w:val="auto"/>
        </w:rPr>
      </w:pPr>
      <w:r>
        <w:rPr>
          <w:rFonts w:ascii="Times New Roman" w:cs="Times New Roman" w:eastAsia="Times New Roman" w:hAnsi="Times New Roman"/>
          <w:sz w:val="14"/>
          <w:szCs w:val="14"/>
          <w:color w:val="auto"/>
        </w:rPr>
        <w:t>If all of the Warrants were exercised for cash in full, the gross proceeds to the Company would be approximately $4.23 million. We intend to use the net proceeds of such Warrant exercises, if any, for working capital and general corporate purposes. We can make no assurances that any of the Warrants will be exercised, or if exercised, that they will be exercised for cash, the quantity which will be exercised or in the period in which they will be exercised.</w:t>
      </w:r>
    </w:p>
    <w:p>
      <w:pPr>
        <w:spacing w:after="0" w:line="141" w:lineRule="exact"/>
        <w:rPr>
          <w:sz w:val="20"/>
          <w:szCs w:val="20"/>
          <w:color w:val="auto"/>
        </w:rPr>
      </w:pPr>
    </w:p>
    <w:p>
      <w:pPr>
        <w:ind w:left="1280" w:right="339" w:firstLine="349"/>
        <w:spacing w:after="0" w:line="272" w:lineRule="auto"/>
        <w:rPr>
          <w:sz w:val="20"/>
          <w:szCs w:val="20"/>
          <w:color w:val="auto"/>
        </w:rPr>
      </w:pPr>
      <w:r>
        <w:rPr>
          <w:rFonts w:ascii="Times New Roman" w:cs="Times New Roman" w:eastAsia="Times New Roman" w:hAnsi="Times New Roman"/>
          <w:sz w:val="14"/>
          <w:szCs w:val="14"/>
          <w:color w:val="auto"/>
        </w:rPr>
        <w:t>We will bear the out-of-pocket costs, expenses and fees incurred in connection with the registration of the Shares being offered for resale by the selling stockholders pursuant to this prospectus. Other than registration expenses, the selling stockholders will bear underwriting discounts, commissions, or other similar expenses payable with respect to sales of the Shares offered hereby.</w:t>
      </w:r>
    </w:p>
    <w:p>
      <w:pPr>
        <w:spacing w:after="0" w:line="8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90"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83" w:lineRule="exact"/>
        <w:rPr>
          <w:sz w:val="20"/>
          <w:szCs w:val="20"/>
          <w:color w:val="auto"/>
        </w:rPr>
      </w:pPr>
    </w:p>
    <w:p>
      <w:pPr>
        <w:ind w:left="1280" w:right="239" w:firstLine="349"/>
        <w:spacing w:after="0" w:line="259" w:lineRule="auto"/>
        <w:rPr>
          <w:sz w:val="20"/>
          <w:szCs w:val="20"/>
          <w:color w:val="auto"/>
        </w:rPr>
      </w:pPr>
      <w:r>
        <w:rPr>
          <w:rFonts w:ascii="Times New Roman" w:cs="Times New Roman" w:eastAsia="Times New Roman" w:hAnsi="Times New Roman"/>
          <w:sz w:val="14"/>
          <w:szCs w:val="14"/>
          <w:color w:val="auto"/>
        </w:rPr>
        <w:t>The Shares being offered by the selling stockholders are those shares of common stock issuable upon exercise of the Warrants issued pursuant to the Inducement Agreement and Engagement Letter in connection with the warrant inducement (the “Warrant Inducement”). For additional information regarding the issuance of the Shares, see “Prospectus Summary—Warrant Inducement.” We are registering the Shares in order to permit the selling stockholders to offer the Shares for resale from time to time. Other than with respect to the Placement Agent, which acted as our placement agent in the Warrant Inducement and in our March 2026 private placement (the “March PIPE”), as more fully described in our Annual Report on Form 10-K for the fiscal year ended December 31, 2025 as filed with the SEC on March 30, 2026, and except for the ownership of the Warrants issued to the selling stockholders in the Warrant Inducement, and the shares of common stock issued pursuant to prior financings, the selling stockholders have not had any material relationship with us within the past three years. No selling stockholder currently holds, nor has any selling stockholder held within the past three years, any position or office with us or any of our predecessors or affiliates.</w:t>
      </w:r>
    </w:p>
    <w:p>
      <w:pPr>
        <w:spacing w:after="0" w:line="147" w:lineRule="exact"/>
        <w:rPr>
          <w:sz w:val="20"/>
          <w:szCs w:val="20"/>
          <w:color w:val="auto"/>
        </w:rPr>
      </w:pPr>
    </w:p>
    <w:p>
      <w:pPr>
        <w:ind w:left="1280" w:right="219" w:firstLine="349"/>
        <w:spacing w:after="0" w:line="260" w:lineRule="auto"/>
        <w:rPr>
          <w:sz w:val="20"/>
          <w:szCs w:val="20"/>
          <w:color w:val="auto"/>
        </w:rPr>
      </w:pPr>
      <w:r>
        <w:rPr>
          <w:rFonts w:ascii="Times New Roman" w:cs="Times New Roman" w:eastAsia="Times New Roman" w:hAnsi="Times New Roman"/>
          <w:sz w:val="14"/>
          <w:szCs w:val="14"/>
          <w:color w:val="auto"/>
        </w:rPr>
        <w:t>The selling stockholders may sell some, all or none of their Shares. See “Plan of Distribution.” We do not know whether the selling stockholders will exercise any of their respective Warrants and acquire any Shares, nor if they do, how long the selling stockholders will hold the Shares before selling them, and we currently have no agreements, arrangements or understandings with the selling stockholders regarding the sale or other disposition of any of the Shares. The Shares covered hereby may be offered from time to time by the selling stockholders. As a result, we cannot estimate the number of shares of common stock each of the selling stockholders will beneficially own after termination of sales under this prospectus. In addition, the selling stockholders may have sold, transferred or otherwise disposed of all or a portion of their Shares since the date on which they provided information for the table below.</w:t>
      </w:r>
    </w:p>
    <w:p>
      <w:pPr>
        <w:spacing w:after="0" w:line="147" w:lineRule="exact"/>
        <w:rPr>
          <w:sz w:val="20"/>
          <w:szCs w:val="20"/>
          <w:color w:val="auto"/>
        </w:rPr>
      </w:pPr>
    </w:p>
    <w:p>
      <w:pPr>
        <w:ind w:left="1280" w:right="219" w:firstLine="349"/>
        <w:spacing w:after="0" w:line="272" w:lineRule="auto"/>
        <w:rPr>
          <w:sz w:val="20"/>
          <w:szCs w:val="20"/>
          <w:color w:val="auto"/>
        </w:rPr>
      </w:pPr>
      <w:r>
        <w:rPr>
          <w:rFonts w:ascii="Times New Roman" w:cs="Times New Roman" w:eastAsia="Times New Roman" w:hAnsi="Times New Roman"/>
          <w:sz w:val="14"/>
          <w:szCs w:val="14"/>
          <w:color w:val="auto"/>
        </w:rPr>
        <w:t>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w:t>
      </w:r>
    </w:p>
    <w:p>
      <w:pPr>
        <w:spacing w:after="0" w:line="137" w:lineRule="exact"/>
        <w:rPr>
          <w:sz w:val="20"/>
          <w:szCs w:val="20"/>
          <w:color w:val="auto"/>
        </w:rPr>
      </w:pPr>
    </w:p>
    <w:p>
      <w:pPr>
        <w:ind w:left="1280" w:right="239" w:firstLine="349"/>
        <w:spacing w:after="0" w:line="259" w:lineRule="auto"/>
        <w:rPr>
          <w:sz w:val="20"/>
          <w:szCs w:val="20"/>
          <w:color w:val="auto"/>
        </w:rPr>
      </w:pPr>
      <w:r>
        <w:rPr>
          <w:rFonts w:ascii="Times New Roman" w:cs="Times New Roman" w:eastAsia="Times New Roman" w:hAnsi="Times New Roman"/>
          <w:sz w:val="14"/>
          <w:szCs w:val="14"/>
          <w:color w:val="auto"/>
        </w:rPr>
        <w:t>The table below lists the selling stockholders and other information regarding the beneficial ownership of the shares of common stock by each of the selling stockholders. The second column lists the number of shares of common stock beneficially owned by each selling stockholder, based on such selling stockholder’s ownership of our common stock, including shares underlying the Warrants, as of June 18, 2026, assuming the full exercise of the Warrants held by the selling stockholders without regard to any limitations on exercise of the Warrants contained therein. The third column lists the maximum number of the shares of common stock being offered in this prospectus by the selling stockholders. The fourth and fifth columns list the amount of shares of common stock owned after this offering, by number of the shares of common stock and percentage of outstanding shares of common stock, assuming the full exercise of the Warrants without regard to any limitations on exercise of the Warrants contained therein. The percentage of shares of our common stock owned prior to and after the offering under this prospectus is based on 15,979,411 shares of our common stock outstanding as of June 18, 2026.</w:t>
      </w:r>
    </w:p>
    <w:p>
      <w:pPr>
        <w:spacing w:after="0" w:line="147" w:lineRule="exact"/>
        <w:rPr>
          <w:sz w:val="20"/>
          <w:szCs w:val="20"/>
          <w:color w:val="auto"/>
        </w:rPr>
      </w:pPr>
    </w:p>
    <w:p>
      <w:pPr>
        <w:ind w:left="1280" w:right="299" w:firstLine="349"/>
        <w:spacing w:after="0" w:line="266" w:lineRule="auto"/>
        <w:rPr>
          <w:sz w:val="20"/>
          <w:szCs w:val="20"/>
          <w:color w:val="auto"/>
        </w:rPr>
      </w:pPr>
      <w:r>
        <w:rPr>
          <w:rFonts w:ascii="Times New Roman" w:cs="Times New Roman" w:eastAsia="Times New Roman" w:hAnsi="Times New Roman"/>
          <w:sz w:val="14"/>
          <w:szCs w:val="14"/>
          <w:color w:val="auto"/>
        </w:rPr>
        <w:t>Under the terms of the Warrants, a selling stockholder may not exercise the Warrants to the extent such exercise would cause such selling stockholder, together with its affiliates, to beneficially own a number of shares of common stock which would exceed 4.99% of our then outstanding shares of common stock following such exercise, excluding for purposes of such determination shares of common stock not yet issuable upon exercise of the Warrants which have not been exercised. As described above, the number of shares in the table below does not reflect this limitation.</w:t>
      </w:r>
    </w:p>
    <w:p>
      <w:pPr>
        <w:spacing w:after="0" w:line="8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90"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1640" w:type="dxa"/>
        <w:tblCellMar>
          <w:top w:w="0" w:type="dxa"/>
          <w:left w:w="0" w:type="dxa"/>
          <w:bottom w:w="0" w:type="dxa"/>
          <w:right w:w="0" w:type="dxa"/>
        </w:tblCellMar>
      </w:tblPr>
      <w:tr>
        <w:trPr>
          <w:trHeight w:val="137"/>
        </w:trPr>
        <w:tc>
          <w:tcPr>
            <w:tcW w:w="1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 of Common</w:t>
            </w: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5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Beneficial Ownership After this Offering</w:t>
            </w:r>
            <w:r>
              <w:rPr>
                <w:rFonts w:ascii="Times New Roman" w:cs="Times New Roman" w:eastAsia="Times New Roman" w:hAnsi="Times New Roman"/>
                <w:sz w:val="8"/>
                <w:szCs w:val="8"/>
                <w:b w:val="1"/>
                <w:bCs w:val="1"/>
                <w:color w:val="auto"/>
              </w:rPr>
              <w:t>(1)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4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Stock</w:t>
            </w:r>
          </w:p>
        </w:tc>
        <w:tc>
          <w:tcPr>
            <w:tcW w:w="480" w:type="dxa"/>
            <w:vAlign w:val="bottom"/>
          </w:tcPr>
          <w:p>
            <w:pPr>
              <w:spacing w:after="0"/>
              <w:rPr>
                <w:sz w:val="7"/>
                <w:szCs w:val="7"/>
                <w:color w:val="auto"/>
              </w:rPr>
            </w:pPr>
          </w:p>
        </w:tc>
        <w:tc>
          <w:tcPr>
            <w:tcW w:w="1140" w:type="dxa"/>
            <w:vAlign w:val="bottom"/>
            <w:gridSpan w:val="2"/>
          </w:tcPr>
          <w:p>
            <w:pPr>
              <w:jc w:val="center"/>
              <w:ind w:right="500"/>
              <w:spacing w:after="0" w:line="88" w:lineRule="exact"/>
              <w:rPr>
                <w:sz w:val="20"/>
                <w:szCs w:val="20"/>
                <w:color w:val="auto"/>
              </w:rPr>
            </w:pPr>
            <w:r>
              <w:rPr>
                <w:rFonts w:ascii="Times New Roman" w:cs="Times New Roman" w:eastAsia="Times New Roman" w:hAnsi="Times New Roman"/>
                <w:sz w:val="10"/>
                <w:szCs w:val="10"/>
                <w:b w:val="1"/>
                <w:bCs w:val="1"/>
                <w:color w:val="auto"/>
              </w:rPr>
              <w:t>Maximum</w:t>
            </w:r>
          </w:p>
        </w:tc>
        <w:tc>
          <w:tcPr>
            <w:tcW w:w="10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Percent of</w:t>
            </w:r>
          </w:p>
        </w:tc>
        <w:tc>
          <w:tcPr>
            <w:tcW w:w="0" w:type="dxa"/>
            <w:vAlign w:val="bottom"/>
          </w:tcPr>
          <w:p>
            <w:pPr>
              <w:spacing w:after="0"/>
              <w:rPr>
                <w:sz w:val="1"/>
                <w:szCs w:val="1"/>
                <w:color w:val="auto"/>
              </w:rPr>
            </w:pPr>
          </w:p>
        </w:tc>
      </w:tr>
      <w:tr>
        <w:trPr>
          <w:trHeight w:val="118"/>
        </w:trPr>
        <w:tc>
          <w:tcPr>
            <w:tcW w:w="14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60" w:type="dxa"/>
            <w:vAlign w:val="bottom"/>
            <w:gridSpan w:val="2"/>
          </w:tcPr>
          <w:p>
            <w:pPr>
              <w:jc w:val="center"/>
              <w:ind w:left="211"/>
              <w:spacing w:after="0" w:line="118" w:lineRule="exact"/>
              <w:rPr>
                <w:sz w:val="20"/>
                <w:szCs w:val="20"/>
                <w:color w:val="auto"/>
              </w:rPr>
            </w:pPr>
            <w:r>
              <w:rPr>
                <w:rFonts w:ascii="Times New Roman" w:cs="Times New Roman" w:eastAsia="Times New Roman" w:hAnsi="Times New Roman"/>
                <w:sz w:val="11"/>
                <w:szCs w:val="11"/>
                <w:b w:val="1"/>
                <w:bCs w:val="1"/>
                <w:color w:val="auto"/>
              </w:rPr>
              <w:t>Beneficially Owned</w:t>
            </w:r>
          </w:p>
        </w:tc>
        <w:tc>
          <w:tcPr>
            <w:tcW w:w="480" w:type="dxa"/>
            <w:vAlign w:val="bottom"/>
          </w:tcPr>
          <w:p>
            <w:pPr>
              <w:spacing w:after="0"/>
              <w:rPr>
                <w:sz w:val="10"/>
                <w:szCs w:val="10"/>
                <w:color w:val="auto"/>
              </w:rPr>
            </w:pPr>
          </w:p>
        </w:tc>
        <w:tc>
          <w:tcPr>
            <w:tcW w:w="114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4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Selling Stockholder</w:t>
            </w:r>
          </w:p>
        </w:tc>
        <w:tc>
          <w:tcPr>
            <w:tcW w:w="108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prior to this</w:t>
            </w:r>
          </w:p>
        </w:tc>
        <w:tc>
          <w:tcPr>
            <w:tcW w:w="1620" w:type="dxa"/>
            <w:vAlign w:val="bottom"/>
            <w:gridSpan w:val="3"/>
          </w:tcPr>
          <w:p>
            <w:pPr>
              <w:jc w:val="center"/>
              <w:ind w:right="20"/>
              <w:spacing w:after="0" w:line="118" w:lineRule="exact"/>
              <w:rPr>
                <w:sz w:val="20"/>
                <w:szCs w:val="20"/>
                <w:color w:val="auto"/>
              </w:rPr>
            </w:pPr>
            <w:r>
              <w:rPr>
                <w:rFonts w:ascii="Times New Roman" w:cs="Times New Roman" w:eastAsia="Times New Roman" w:hAnsi="Times New Roman"/>
                <w:sz w:val="11"/>
                <w:szCs w:val="11"/>
                <w:b w:val="1"/>
                <w:bCs w:val="1"/>
                <w:color w:val="auto"/>
              </w:rPr>
              <w:t>Shares Being</w:t>
            </w:r>
          </w:p>
        </w:tc>
        <w:tc>
          <w:tcPr>
            <w:tcW w:w="1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110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146"/>
        </w:trPr>
        <w:tc>
          <w:tcPr>
            <w:tcW w:w="1400" w:type="dxa"/>
            <w:vAlign w:val="bottom"/>
            <w:tcBorders>
              <w:bottom w:val="single" w:sz="8" w:color="auto"/>
            </w:tcBorders>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Offering</w:t>
            </w:r>
          </w:p>
        </w:tc>
        <w:tc>
          <w:tcPr>
            <w:tcW w:w="480" w:type="dxa"/>
            <w:vAlign w:val="bottom"/>
          </w:tcPr>
          <w:p>
            <w:pPr>
              <w:spacing w:after="0"/>
              <w:rPr>
                <w:sz w:val="12"/>
                <w:szCs w:val="12"/>
                <w:color w:val="auto"/>
              </w:rPr>
            </w:pPr>
          </w:p>
        </w:tc>
        <w:tc>
          <w:tcPr>
            <w:tcW w:w="1140" w:type="dxa"/>
            <w:vAlign w:val="bottom"/>
            <w:gridSpan w:val="2"/>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Offered</w:t>
            </w:r>
          </w:p>
        </w:tc>
        <w:tc>
          <w:tcPr>
            <w:tcW w:w="1560" w:type="dxa"/>
            <w:vAlign w:val="bottom"/>
            <w:gridSpan w:val="2"/>
            <w:vMerge w:val="continue"/>
          </w:tcPr>
          <w:p>
            <w:pPr>
              <w:spacing w:after="0"/>
              <w:rPr>
                <w:sz w:val="12"/>
                <w:szCs w:val="12"/>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0" w:type="dxa"/>
            <w:vAlign w:val="bottom"/>
          </w:tcPr>
          <w:p>
            <w:pPr>
              <w:spacing w:after="0"/>
              <w:rPr>
                <w:sz w:val="1"/>
                <w:szCs w:val="1"/>
                <w:color w:val="auto"/>
              </w:rPr>
            </w:pPr>
          </w:p>
        </w:tc>
      </w:tr>
      <w:tr>
        <w:trPr>
          <w:trHeight w:val="127"/>
        </w:trPr>
        <w:tc>
          <w:tcPr>
            <w:tcW w:w="2480" w:type="dxa"/>
            <w:vAlign w:val="bottom"/>
            <w:tcBorders>
              <w:top w:val="single" w:sz="8" w:color="CCEEFF"/>
            </w:tcBorders>
            <w:gridSpan w:val="2"/>
            <w:shd w:val="clear" w:color="auto" w:fill="CCEEFF"/>
          </w:tcPr>
          <w:p>
            <w:pPr>
              <w:spacing w:after="0" w:line="127" w:lineRule="exact"/>
              <w:rPr>
                <w:sz w:val="20"/>
                <w:szCs w:val="20"/>
                <w:color w:val="auto"/>
              </w:rPr>
            </w:pPr>
            <w:r>
              <w:rPr>
                <w:rFonts w:ascii="Times New Roman" w:cs="Times New Roman" w:eastAsia="Times New Roman" w:hAnsi="Times New Roman"/>
                <w:sz w:val="14"/>
                <w:szCs w:val="14"/>
                <w:color w:val="auto"/>
              </w:rPr>
              <w:t>Sabby Volatility Warrant Master Fund,</w:t>
            </w:r>
          </w:p>
        </w:tc>
        <w:tc>
          <w:tcPr>
            <w:tcW w:w="3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480" w:type="dxa"/>
            <w:vAlign w:val="bottom"/>
            <w:gridSpan w:val="2"/>
            <w:shd w:val="clear" w:color="auto" w:fill="CCEEFF"/>
          </w:tcPr>
          <w:p>
            <w:pPr>
              <w:ind w:left="140"/>
              <w:spacing w:after="0" w:line="186" w:lineRule="exact"/>
              <w:rPr>
                <w:sz w:val="20"/>
                <w:szCs w:val="20"/>
                <w:color w:val="auto"/>
              </w:rPr>
            </w:pPr>
            <w:r>
              <w:rPr>
                <w:rFonts w:ascii="Times New Roman" w:cs="Times New Roman" w:eastAsia="Times New Roman" w:hAnsi="Times New Roman"/>
                <w:sz w:val="14"/>
                <w:szCs w:val="14"/>
                <w:color w:val="auto"/>
              </w:rPr>
              <w:t>Ltd.</w:t>
            </w:r>
            <w:r>
              <w:rPr>
                <w:rFonts w:ascii="Times New Roman" w:cs="Times New Roman" w:eastAsia="Times New Roman" w:hAnsi="Times New Roman"/>
                <w:sz w:val="21"/>
                <w:szCs w:val="21"/>
                <w:color w:val="auto"/>
                <w:vertAlign w:val="superscript"/>
              </w:rPr>
              <w:t>(2)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5,002,213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2,344,828</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2,657,385</w:t>
            </w:r>
          </w:p>
        </w:tc>
        <w:tc>
          <w:tcPr>
            <w:tcW w:w="5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71"/>
        </w:trPr>
        <w:tc>
          <w:tcPr>
            <w:tcW w:w="2480" w:type="dxa"/>
            <w:vAlign w:val="bottom"/>
            <w:gridSpan w:val="2"/>
          </w:tcPr>
          <w:p>
            <w:pPr>
              <w:spacing w:after="0" w:line="171" w:lineRule="exact"/>
              <w:rPr>
                <w:sz w:val="20"/>
                <w:szCs w:val="20"/>
                <w:color w:val="auto"/>
              </w:rPr>
            </w:pPr>
            <w:r>
              <w:rPr>
                <w:rFonts w:ascii="Times New Roman" w:cs="Times New Roman" w:eastAsia="Times New Roman" w:hAnsi="Times New Roman"/>
                <w:sz w:val="13"/>
                <w:szCs w:val="13"/>
                <w:color w:val="auto"/>
              </w:rPr>
              <w:t>Augustus Trading LLC</w:t>
            </w:r>
            <w:r>
              <w:rPr>
                <w:rFonts w:ascii="Times New Roman" w:cs="Times New Roman" w:eastAsia="Times New Roman" w:hAnsi="Times New Roman"/>
                <w:sz w:val="19"/>
                <w:szCs w:val="19"/>
                <w:color w:val="auto"/>
                <w:vertAlign w:val="superscript"/>
              </w:rPr>
              <w:t>(3)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52,626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52,626</w:t>
            </w:r>
          </w:p>
        </w:tc>
        <w:tc>
          <w:tcPr>
            <w:tcW w:w="500" w:type="dxa"/>
            <w:vAlign w:val="bottom"/>
          </w:tcPr>
          <w:p>
            <w:pPr>
              <w:spacing w:after="0"/>
              <w:rPr>
                <w:sz w:val="14"/>
                <w:szCs w:val="14"/>
                <w:color w:val="auto"/>
              </w:rPr>
            </w:pPr>
          </w:p>
        </w:tc>
        <w:tc>
          <w:tcPr>
            <w:tcW w:w="15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48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3"/>
                <w:szCs w:val="13"/>
                <w:color w:val="auto"/>
              </w:rPr>
              <w:t>Noam Rubinstein</w:t>
            </w:r>
            <w:r>
              <w:rPr>
                <w:rFonts w:ascii="Times New Roman" w:cs="Times New Roman" w:eastAsia="Times New Roman" w:hAnsi="Times New Roman"/>
                <w:sz w:val="19"/>
                <w:szCs w:val="19"/>
                <w:color w:val="auto"/>
                <w:vertAlign w:val="superscript"/>
              </w:rPr>
              <w:t>(4)(5)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25,852</w:t>
            </w:r>
          </w:p>
        </w:tc>
        <w:tc>
          <w:tcPr>
            <w:tcW w:w="5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480" w:type="dxa"/>
            <w:vAlign w:val="bottom"/>
            <w:gridSpan w:val="2"/>
          </w:tcPr>
          <w:p>
            <w:pPr>
              <w:spacing w:after="0" w:line="171" w:lineRule="exact"/>
              <w:rPr>
                <w:sz w:val="20"/>
                <w:szCs w:val="20"/>
                <w:color w:val="auto"/>
              </w:rPr>
            </w:pPr>
            <w:r>
              <w:rPr>
                <w:rFonts w:ascii="Times New Roman" w:cs="Times New Roman" w:eastAsia="Times New Roman" w:hAnsi="Times New Roman"/>
                <w:sz w:val="13"/>
                <w:szCs w:val="13"/>
                <w:color w:val="auto"/>
              </w:rPr>
              <w:t>Wilson Drive Holdings LLC</w:t>
            </w:r>
            <w:r>
              <w:rPr>
                <w:rFonts w:ascii="Times New Roman" w:cs="Times New Roman" w:eastAsia="Times New Roman" w:hAnsi="Times New Roman"/>
                <w:sz w:val="19"/>
                <w:szCs w:val="19"/>
                <w:color w:val="auto"/>
                <w:vertAlign w:val="superscript"/>
              </w:rPr>
              <w:t>(6)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2,770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2,770</w:t>
            </w:r>
          </w:p>
        </w:tc>
        <w:tc>
          <w:tcPr>
            <w:tcW w:w="500" w:type="dxa"/>
            <w:vAlign w:val="bottom"/>
          </w:tcPr>
          <w:p>
            <w:pPr>
              <w:spacing w:after="0"/>
              <w:rPr>
                <w:sz w:val="14"/>
                <w:szCs w:val="14"/>
                <w:color w:val="auto"/>
              </w:rPr>
            </w:pPr>
          </w:p>
        </w:tc>
        <w:tc>
          <w:tcPr>
            <w:tcW w:w="15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48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3"/>
                <w:szCs w:val="13"/>
                <w:color w:val="auto"/>
              </w:rPr>
              <w:t>Charles Worthman</w:t>
            </w:r>
            <w:r>
              <w:rPr>
                <w:rFonts w:ascii="Times New Roman" w:cs="Times New Roman" w:eastAsia="Times New Roman" w:hAnsi="Times New Roman"/>
                <w:sz w:val="19"/>
                <w:szCs w:val="19"/>
                <w:color w:val="auto"/>
                <w:vertAlign w:val="superscript"/>
              </w:rPr>
              <w:t>(4)(7)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5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1620" w:right="259" w:hanging="337"/>
        <w:spacing w:after="0" w:line="265" w:lineRule="auto"/>
        <w:tabs>
          <w:tab w:leader="none" w:pos="1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that the selling stockholders exercise all Warrants and sell all Shares offered under this prospectus, but that such selling stockholders do not sell or otherwise dispose of any of the other shares of common stock that it beneficially owns as of the date hereof.</w:t>
      </w:r>
    </w:p>
    <w:p>
      <w:pPr>
        <w:ind w:left="1620" w:right="179" w:hanging="337"/>
        <w:spacing w:after="0" w:line="254" w:lineRule="auto"/>
        <w:tabs>
          <w:tab w:leader="none" w:pos="1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768,858 shares of common stock, (ii) 2,344,828 shares of common stock issuable upon the exercise of the New Warrants, and (iii) 1,888,527 shares of common stock issuable upon the exercise of warrants to purchase shares of common stock issued in February 2026 at an exercise price of $18.48 per share. The securities are held by Sabby Volatility Warrant Master Fund, Ltd. (“SVWM”). SVWM is managed by Sabby Management, LLC. Sabby Management, LLC, in its capacity as the investment manager of SVWM, has the power to vote and the power to direct the disposition of all securities held by SVWM. Hal Mintz is the Managing Member of Sabby Management, LLC. Each of SVWM, Sabby Management, LLC and Mr. Mintz disclaim beneficial ownership of these securities, except to the extent of any pecuniary interest therein.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SVWM is c/o Captiva (Cayman) Ltd Governors Square, Bldg 4, 2nd Floor 23 Lime Tree Bay Avenue P.O. Box 32315 Grand Cayman KY1-1209 Cayman Islands.</w:t>
      </w:r>
    </w:p>
    <w:p>
      <w:pPr>
        <w:spacing w:after="0" w:line="6" w:lineRule="exact"/>
        <w:rPr>
          <w:rFonts w:ascii="Times New Roman" w:cs="Times New Roman" w:eastAsia="Times New Roman" w:hAnsi="Times New Roman"/>
          <w:sz w:val="14"/>
          <w:szCs w:val="14"/>
          <w:color w:val="auto"/>
        </w:rPr>
      </w:pPr>
    </w:p>
    <w:p>
      <w:pPr>
        <w:ind w:left="1620" w:right="199" w:hanging="337"/>
        <w:spacing w:after="0" w:line="254" w:lineRule="auto"/>
        <w:tabs>
          <w:tab w:leader="none" w:pos="1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beneficially owned prior to this offering consist of 52,626 shares of common stock issuable upon exercise of the Placement Agent Warrants. Orsium Capital LLC, the authorized agent to Augustus Trading LLC, has discretionary authority to vote and dispose of the securities held by Augustus Trading LLC and may be deemed to be the beneficial owner of these securities (as determined under Section 13(d) of the Securities Exchange Act of 1934, as amended). Olivier Morali, in his capacity as managing member of Orsium Capital LLC, may also be deemed to have investment discretion and voting power over the shares held by Augustus Trading LLC. Orsium Capital LLC and Mr. Morali each disclaims any beneficial ownership of these securities. The address of Augustus Trading LLC is 600 Lexington Avenue, 32nd Floor, New York, New York 10022.</w:t>
      </w:r>
    </w:p>
    <w:p>
      <w:pPr>
        <w:spacing w:after="0" w:line="4" w:lineRule="exact"/>
        <w:rPr>
          <w:rFonts w:ascii="Times New Roman" w:cs="Times New Roman" w:eastAsia="Times New Roman" w:hAnsi="Times New Roman"/>
          <w:sz w:val="14"/>
          <w:szCs w:val="14"/>
          <w:color w:val="auto"/>
        </w:rPr>
      </w:pPr>
    </w:p>
    <w:p>
      <w:pPr>
        <w:ind w:left="1620" w:right="239" w:hanging="337"/>
        <w:spacing w:after="0" w:line="254" w:lineRule="auto"/>
        <w:tabs>
          <w:tab w:leader="none" w:pos="1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these selling stockholders is affiliated with H.C. Wainwright &amp; Co., LLC, a registered broker-dealer with a business address of 430 Park Ave, 3rd Floor, New York, New York 10022, and has the voting and dispositive power over the securities held. H.C. Wainwright &amp; Co., LLC served as our exclusive placement agent in connection with the Warrant Inducement and the March 2026 PIPE, for which it received compensation. The selling stockholders acquired the securities in the ordinary course of business and, at the time the securities were acquired, the selling stockholders had no agreement or understanding, directly or indirectly, with any person to distribute such securities.</w:t>
      </w:r>
    </w:p>
    <w:p>
      <w:pPr>
        <w:spacing w:after="0" w:line="3" w:lineRule="exact"/>
        <w:rPr>
          <w:rFonts w:ascii="Times New Roman" w:cs="Times New Roman" w:eastAsia="Times New Roman" w:hAnsi="Times New Roman"/>
          <w:sz w:val="14"/>
          <w:szCs w:val="14"/>
          <w:color w:val="auto"/>
        </w:rPr>
      </w:pPr>
    </w:p>
    <w:p>
      <w:pPr>
        <w:ind w:left="1620" w:right="579" w:hanging="337"/>
        <w:spacing w:after="0" w:line="254" w:lineRule="auto"/>
        <w:tabs>
          <w:tab w:leader="none" w:pos="1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25,852 shares of common stock issuable upon exercise of the Placement Agent Warrants, which were issued as compensation in connection with the Warrant Inducement.</w:t>
      </w:r>
    </w:p>
    <w:p>
      <w:pPr>
        <w:spacing w:after="0" w:line="1" w:lineRule="exact"/>
        <w:rPr>
          <w:rFonts w:ascii="Times New Roman" w:cs="Times New Roman" w:eastAsia="Times New Roman" w:hAnsi="Times New Roman"/>
          <w:sz w:val="14"/>
          <w:szCs w:val="14"/>
          <w:color w:val="auto"/>
        </w:rPr>
      </w:pPr>
    </w:p>
    <w:p>
      <w:pPr>
        <w:ind w:left="1620" w:right="219" w:hanging="337"/>
        <w:spacing w:after="0" w:line="258" w:lineRule="auto"/>
        <w:tabs>
          <w:tab w:leader="none" w:pos="1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2,770 shares of common stock issuable upon exercise of the Placement Agent Warrants, which were issued as compensation in connection with the Warrant Inducement, and are held by Wilson Drive Holdings LLC. Craig Schwabe is the managing member of Wilson Drive Holdings LLC and has the power to vote and dispose the securities held. Neither Wilson Drive Holdings LLC nor Mr. Schwabe is a broker-dealer. Mr. Schwabe is affiliated with the following registered broker-dealers: H.C. Wainwright &amp; Co., LLC, Rodman &amp; Renshaw LLC and Stockblock Securities LLC. The business address of Wilson Drive</w:t>
      </w:r>
    </w:p>
    <w:p>
      <w:pPr>
        <w:spacing w:after="0" w:line="9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90"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8" w:lineRule="exact"/>
        <w:rPr>
          <w:sz w:val="20"/>
          <w:szCs w:val="20"/>
          <w:color w:val="auto"/>
        </w:rPr>
      </w:pPr>
    </w:p>
    <w:p>
      <w:pPr>
        <w:ind w:left="1620" w:right="279"/>
        <w:spacing w:after="0" w:line="261" w:lineRule="auto"/>
        <w:rPr>
          <w:sz w:val="20"/>
          <w:szCs w:val="20"/>
          <w:color w:val="auto"/>
        </w:rPr>
      </w:pPr>
      <w:r>
        <w:rPr>
          <w:rFonts w:ascii="Times New Roman" w:cs="Times New Roman" w:eastAsia="Times New Roman" w:hAnsi="Times New Roman"/>
          <w:sz w:val="14"/>
          <w:szCs w:val="14"/>
          <w:color w:val="auto"/>
        </w:rPr>
        <w:t>Holdings LLC is 600 Lexington Avenue, 32nd Floor, New York, NY 10022. The securities were acquired in the ordinary course of business and, at the time the securities were acquired, the selling stockholder had no agreement or understanding, directly or indirectly, with any person to distribute such securities.</w:t>
      </w:r>
    </w:p>
    <w:p>
      <w:pPr>
        <w:spacing w:after="0" w:line="2" w:lineRule="exact"/>
        <w:rPr>
          <w:sz w:val="20"/>
          <w:szCs w:val="20"/>
          <w:color w:val="auto"/>
        </w:rPr>
      </w:pPr>
    </w:p>
    <w:p>
      <w:pPr>
        <w:ind w:left="1620" w:right="759" w:hanging="337"/>
        <w:spacing w:after="0" w:line="269" w:lineRule="auto"/>
        <w:tabs>
          <w:tab w:leader="none" w:pos="16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821 shares of common stock issuable upon exercise of the Placement Agent Warrants, which were issued as compensation in connection with the Warrant Inducement.</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90"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3" w:lineRule="exact"/>
        <w:rPr>
          <w:sz w:val="20"/>
          <w:szCs w:val="20"/>
          <w:color w:val="auto"/>
        </w:rPr>
      </w:pPr>
    </w:p>
    <w:p>
      <w:pPr>
        <w:ind w:left="1280" w:right="179" w:firstLine="349"/>
        <w:spacing w:after="0" w:line="259" w:lineRule="auto"/>
        <w:rPr>
          <w:sz w:val="20"/>
          <w:szCs w:val="20"/>
          <w:color w:val="auto"/>
        </w:rPr>
      </w:pPr>
      <w:r>
        <w:rPr>
          <w:rFonts w:ascii="Times New Roman" w:cs="Times New Roman" w:eastAsia="Times New Roman" w:hAnsi="Times New Roman"/>
          <w:sz w:val="14"/>
          <w:szCs w:val="14"/>
          <w:color w:val="auto"/>
        </w:rPr>
        <w:t>The selling stockholders will act independently of us in making decisions with respect to the timing, manner and size of each and any sale of Shares. Each selling stockholder and any of such selling stockholder’s pledgees, donees, transferees, assignees and other successors-in-interest may, from time to time, sell any or all of the Shares beneficially owned by them and offered hereby directly to investors, through one or more broker-dealers or agents, or through any other manner permitted by law, on a continuous or delayed basis. The selling stockholders will be responsible for commissions charged by any such broker-dealers or agents. The Shares may be sold in one or more transactions at fixed prices, at prevailing market prices at the time of the sale, at varying prices determined at the time of sale, or at negotiated prices. The offering price of the Shares from time to time will be determined by the selling stockholders and, at the time of the determination, may be higher or lower than the market price of our common stock on The Nasdaq Capital Market or any other exchange or market. Each selling stockholder may use any one or more of the following methods when selling the Shares covered by this registration statement:</w:t>
      </w:r>
    </w:p>
    <w:p>
      <w:pPr>
        <w:spacing w:after="0" w:line="72" w:lineRule="exact"/>
        <w:rPr>
          <w:sz w:val="20"/>
          <w:szCs w:val="20"/>
          <w:color w:val="auto"/>
        </w:rPr>
      </w:pPr>
    </w:p>
    <w:p>
      <w:pPr>
        <w:ind w:left="2060" w:right="159" w:hanging="350"/>
        <w:spacing w:after="0" w:line="266" w:lineRule="auto"/>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brokers or dealers (who may act as agent or principal and who may receive compensation in the form of discounts, concessions or commissions from such selling stockholder, the purchaser or such other persons who may be effecting such sales, which discounts, concessions or commissions as to any particular broker or dealer may be in excess of those customary to the types of transactions involved) for resale to the public or to institutional investors at various times;</w:t>
      </w:r>
    </w:p>
    <w:p>
      <w:pPr>
        <w:spacing w:after="0" w:line="66" w:lineRule="exact"/>
        <w:rPr>
          <w:rFonts w:ascii="Times New Roman" w:cs="Times New Roman" w:eastAsia="Times New Roman" w:hAnsi="Times New Roman"/>
          <w:sz w:val="14"/>
          <w:szCs w:val="14"/>
          <w:color w:val="auto"/>
        </w:rPr>
      </w:pPr>
    </w:p>
    <w:p>
      <w:pPr>
        <w:ind w:left="2060" w:right="219" w:hanging="350"/>
        <w:spacing w:after="0" w:line="290" w:lineRule="auto"/>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negotiated transactions, including, but not limited to, block trades in which the broker or dealer so engaged will attempt to sell the Shares as agent but may position and resell a portion of the block as principal to facilitate the transaction;</w:t>
      </w:r>
    </w:p>
    <w:p>
      <w:pPr>
        <w:spacing w:after="0" w:line="49"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purchases by a broker or dealer as principal and resale by that broker or dealer for its account;</w:t>
      </w:r>
    </w:p>
    <w:p>
      <w:pPr>
        <w:spacing w:after="0" w:line="106" w:lineRule="exact"/>
        <w:rPr>
          <w:rFonts w:ascii="Times New Roman" w:cs="Times New Roman" w:eastAsia="Times New Roman" w:hAnsi="Times New Roman"/>
          <w:sz w:val="14"/>
          <w:szCs w:val="14"/>
          <w:color w:val="auto"/>
        </w:rPr>
      </w:pPr>
    </w:p>
    <w:p>
      <w:pPr>
        <w:ind w:left="2060" w:right="379" w:hanging="350"/>
        <w:spacing w:after="0" w:line="290" w:lineRule="auto"/>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any national securities exchange or quotation service on which the shares may be listed or quoted at the time of sale at market prices prevailing at the time of sale, at prices related to such prevailing market prices, or at negotiated prices;</w:t>
      </w:r>
    </w:p>
    <w:p>
      <w:pPr>
        <w:spacing w:after="0" w:line="49"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privately negotiated transactions other than exchange or quotation service transactions;</w:t>
      </w:r>
    </w:p>
    <w:p>
      <w:pPr>
        <w:spacing w:after="0" w:line="106" w:lineRule="exact"/>
        <w:rPr>
          <w:rFonts w:ascii="Times New Roman" w:cs="Times New Roman" w:eastAsia="Times New Roman" w:hAnsi="Times New Roman"/>
          <w:sz w:val="14"/>
          <w:szCs w:val="14"/>
          <w:color w:val="auto"/>
        </w:rPr>
      </w:pPr>
    </w:p>
    <w:p>
      <w:pPr>
        <w:ind w:left="2060" w:right="199" w:hanging="350"/>
        <w:spacing w:after="0" w:line="290" w:lineRule="auto"/>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 purchases or sales of put, call or other types of options, forward delivery contracts, swaps, offerings of structured equity-linked securities or other derivative transactions or securities;</w:t>
      </w:r>
    </w:p>
    <w:p>
      <w:pPr>
        <w:spacing w:after="0" w:line="49"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hedging transactions, including, but not limited to:</w:t>
      </w:r>
    </w:p>
    <w:p>
      <w:pPr>
        <w:spacing w:after="0" w:line="106" w:lineRule="exact"/>
        <w:rPr>
          <w:rFonts w:ascii="Times New Roman" w:cs="Times New Roman" w:eastAsia="Times New Roman" w:hAnsi="Times New Roman"/>
          <w:sz w:val="14"/>
          <w:szCs w:val="14"/>
          <w:color w:val="auto"/>
        </w:rPr>
      </w:pPr>
    </w:p>
    <w:p>
      <w:pPr>
        <w:ind w:left="2400" w:right="179" w:hanging="251"/>
        <w:spacing w:after="0" w:line="290" w:lineRule="auto"/>
        <w:tabs>
          <w:tab w:leader="none" w:pos="240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with a broker-dealer or its affiliate, whereby the broker-dealer or its affiliate will engage in short sales of shares and may use Shares held by such selling stockholder to close out its short position;</w:t>
      </w:r>
    </w:p>
    <w:p>
      <w:pPr>
        <w:spacing w:after="0" w:line="49" w:lineRule="exact"/>
        <w:rPr>
          <w:rFonts w:ascii="Times New Roman" w:cs="Times New Roman" w:eastAsia="Times New Roman" w:hAnsi="Times New Roman"/>
          <w:sz w:val="14"/>
          <w:szCs w:val="14"/>
          <w:color w:val="auto"/>
        </w:rPr>
      </w:pPr>
    </w:p>
    <w:p>
      <w:pPr>
        <w:ind w:left="2400" w:right="199" w:hanging="251"/>
        <w:spacing w:after="0" w:line="290" w:lineRule="auto"/>
        <w:tabs>
          <w:tab w:leader="none" w:pos="240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options or other types of transactions that require the delivery of Shares to a broker-dealer or an affiliate thereof, who will then resell or transfer the Shares; or</w:t>
      </w:r>
    </w:p>
    <w:p>
      <w:pPr>
        <w:spacing w:after="0" w:line="49" w:lineRule="exact"/>
        <w:rPr>
          <w:rFonts w:ascii="Times New Roman" w:cs="Times New Roman" w:eastAsia="Times New Roman" w:hAnsi="Times New Roman"/>
          <w:sz w:val="14"/>
          <w:szCs w:val="14"/>
          <w:color w:val="auto"/>
        </w:rPr>
      </w:pPr>
    </w:p>
    <w:p>
      <w:pPr>
        <w:ind w:left="2400" w:right="219" w:hanging="251"/>
        <w:spacing w:after="0" w:line="290" w:lineRule="auto"/>
        <w:tabs>
          <w:tab w:leader="none" w:pos="240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or pledges of Shares to a broker-dealer or an affiliate, who may sell the loaned Shares or, in an event of default in the case of a pledge, sell the pledged Shares;</w:t>
      </w:r>
    </w:p>
    <w:p>
      <w:pPr>
        <w:spacing w:after="0" w:line="49" w:lineRule="exact"/>
        <w:rPr>
          <w:rFonts w:ascii="Times New Roman" w:cs="Times New Roman" w:eastAsia="Times New Roman" w:hAnsi="Times New Roman"/>
          <w:sz w:val="14"/>
          <w:szCs w:val="14"/>
          <w:color w:val="auto"/>
        </w:rPr>
      </w:pPr>
    </w:p>
    <w:p>
      <w:pPr>
        <w:ind w:left="2060" w:right="179" w:hanging="350"/>
        <w:spacing w:after="0" w:line="290" w:lineRule="auto"/>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offerings of securities exercisable, convertible or exchangeable for shares, including, without limitation, securities issued by trusts, investment companies or other entities;</w:t>
      </w:r>
    </w:p>
    <w:p>
      <w:pPr>
        <w:spacing w:after="0" w:line="49"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offerings directly to one or more purchasers, including institutional investors;</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ordinary brokerage transactions and transactions in which a broker solicits purchasers;</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distribution to the security holders of the selling stockholder;</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pledge to secure debts and other obligations;</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such methods of sale; or</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any other method permitted under applicable law.</w:t>
      </w:r>
    </w:p>
    <w:p>
      <w:pPr>
        <w:spacing w:after="0" w:line="1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90"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8" w:lineRule="exact"/>
        <w:rPr>
          <w:sz w:val="20"/>
          <w:szCs w:val="20"/>
          <w:color w:val="auto"/>
        </w:rPr>
      </w:pPr>
    </w:p>
    <w:p>
      <w:pPr>
        <w:ind w:left="1280" w:right="259" w:firstLine="349"/>
        <w:spacing w:after="0" w:line="290" w:lineRule="auto"/>
        <w:rPr>
          <w:sz w:val="20"/>
          <w:szCs w:val="20"/>
          <w:color w:val="auto"/>
        </w:rPr>
      </w:pPr>
      <w:r>
        <w:rPr>
          <w:rFonts w:ascii="Times New Roman" w:cs="Times New Roman" w:eastAsia="Times New Roman" w:hAnsi="Times New Roman"/>
          <w:sz w:val="14"/>
          <w:szCs w:val="14"/>
          <w:color w:val="auto"/>
        </w:rPr>
        <w:t>There can be no assurance that the selling stockholders will sell any or all of the Shares registered pursuant to the registration statement of which this prospectus forms a part.</w:t>
      </w:r>
    </w:p>
    <w:p>
      <w:pPr>
        <w:spacing w:after="0" w:line="124" w:lineRule="exact"/>
        <w:rPr>
          <w:sz w:val="20"/>
          <w:szCs w:val="20"/>
          <w:color w:val="auto"/>
        </w:rPr>
      </w:pPr>
    </w:p>
    <w:p>
      <w:pPr>
        <w:ind w:left="1280" w:right="239" w:firstLine="349"/>
        <w:spacing w:after="0" w:line="263" w:lineRule="auto"/>
        <w:rPr>
          <w:sz w:val="20"/>
          <w:szCs w:val="20"/>
          <w:color w:val="auto"/>
        </w:rPr>
      </w:pPr>
      <w:r>
        <w:rPr>
          <w:rFonts w:ascii="Times New Roman" w:cs="Times New Roman" w:eastAsia="Times New Roman" w:hAnsi="Times New Roman"/>
          <w:sz w:val="14"/>
          <w:szCs w:val="14"/>
          <w:color w:val="auto"/>
        </w:rPr>
        <w:t>In addition, a selling stockholder may elect to make an in-kind distribution of securities to its members, partners or stockholders pursuant to the registration statement of which this prospectus forms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supplement to this prospectus in order to permit the distributees to use the prospectus to resell the securities acquired in the distribution.</w:t>
      </w:r>
    </w:p>
    <w:p>
      <w:pPr>
        <w:spacing w:after="0" w:line="144" w:lineRule="exact"/>
        <w:rPr>
          <w:sz w:val="20"/>
          <w:szCs w:val="20"/>
          <w:color w:val="auto"/>
        </w:rPr>
      </w:pPr>
    </w:p>
    <w:p>
      <w:pPr>
        <w:ind w:left="1280" w:right="179" w:firstLine="349"/>
        <w:spacing w:after="0" w:line="263" w:lineRule="auto"/>
        <w:rPr>
          <w:sz w:val="20"/>
          <w:szCs w:val="20"/>
          <w:color w:val="auto"/>
        </w:rPr>
      </w:pPr>
      <w:r>
        <w:rPr>
          <w:rFonts w:ascii="Times New Roman" w:cs="Times New Roman" w:eastAsia="Times New Roman" w:hAnsi="Times New Roman"/>
          <w:sz w:val="14"/>
          <w:szCs w:val="14"/>
          <w:color w:val="auto"/>
        </w:rPr>
        <w:t>The selling stockholder also may transfer the securities in other circumstances, in which case the transferees, pledgees or other successors-in-interest will be the selling beneficial owners for purposes of this prospectus. Upon being notified by a selling stockholder that a donee, pledgee, transferee, other successor-in-interest intends to sell our securities, we will, to the extent required, promptly file a supplement to this prospectus under Rule 424(b)(3) or other applicable provision of the Securities Act, amending the list of selling stockholders to include the donee, pledgee, transferee or other successors-in-interest as a selling stockholder under this prospectus.</w:t>
      </w:r>
    </w:p>
    <w:p>
      <w:pPr>
        <w:spacing w:after="0" w:line="144" w:lineRule="exact"/>
        <w:rPr>
          <w:sz w:val="20"/>
          <w:szCs w:val="20"/>
          <w:color w:val="auto"/>
        </w:rPr>
      </w:pPr>
    </w:p>
    <w:p>
      <w:pPr>
        <w:ind w:left="1280" w:right="379" w:firstLine="349"/>
        <w:spacing w:after="0" w:line="263" w:lineRule="auto"/>
        <w:rPr>
          <w:sz w:val="20"/>
          <w:szCs w:val="20"/>
          <w:color w:val="auto"/>
        </w:rPr>
      </w:pPr>
      <w:r>
        <w:rPr>
          <w:rFonts w:ascii="Times New Roman" w:cs="Times New Roman" w:eastAsia="Times New Roman" w:hAnsi="Times New Roman"/>
          <w:sz w:val="14"/>
          <w:szCs w:val="14"/>
          <w:color w:val="auto"/>
        </w:rPr>
        <w:t>Broker-dealers engaged by the selling stockholders may arrange for other broker-dealers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44" w:lineRule="exact"/>
        <w:rPr>
          <w:sz w:val="20"/>
          <w:szCs w:val="20"/>
          <w:color w:val="auto"/>
        </w:rPr>
      </w:pPr>
    </w:p>
    <w:p>
      <w:pPr>
        <w:ind w:left="1280" w:right="239" w:firstLine="349"/>
        <w:spacing w:after="0" w:line="260" w:lineRule="auto"/>
        <w:rPr>
          <w:sz w:val="20"/>
          <w:szCs w:val="20"/>
          <w:color w:val="auto"/>
        </w:rPr>
      </w:pPr>
      <w:r>
        <w:rPr>
          <w:rFonts w:ascii="Times New Roman" w:cs="Times New Roman" w:eastAsia="Times New Roman" w:hAnsi="Times New Roman"/>
          <w:sz w:val="14"/>
          <w:szCs w:val="14"/>
          <w:color w:val="auto"/>
        </w:rPr>
        <w:t>In connection with the sale of the Shares offered hereby, the selling stockholders may enter into hedging transactions with broker-dealers or other financial institutions, which may in turn engage in short sales of the securities in the course of hedging the positions they assume. The selling stockholders may also sell common stock short and deliver these Shares of common stock to close out their respective short positions, or loan or pledge the Shares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the Shares offered by this prospectus, which securities such broker-dealer or other financial institution may resell pursuant to this registration statement (as supplemented or amended to reflect such transaction).</w:t>
      </w:r>
    </w:p>
    <w:p>
      <w:pPr>
        <w:spacing w:after="0" w:line="147" w:lineRule="exact"/>
        <w:rPr>
          <w:sz w:val="20"/>
          <w:szCs w:val="20"/>
          <w:color w:val="auto"/>
        </w:rPr>
      </w:pPr>
    </w:p>
    <w:p>
      <w:pPr>
        <w:ind w:left="1280" w:right="259" w:firstLine="349"/>
        <w:spacing w:after="0" w:line="263" w:lineRule="auto"/>
        <w:rPr>
          <w:sz w:val="20"/>
          <w:szCs w:val="20"/>
          <w:color w:val="auto"/>
        </w:rPr>
      </w:pPr>
      <w:r>
        <w:rPr>
          <w:rFonts w:ascii="Times New Roman" w:cs="Times New Roman" w:eastAsia="Times New Roman" w:hAnsi="Times New Roman"/>
          <w:sz w:val="14"/>
          <w:szCs w:val="14"/>
          <w:color w:val="auto"/>
        </w:rPr>
        <w:t>The selling stockholders and any broker-dealers or agents that are involved in selling the Shares covered hereby may be deemed to be “underwriters” within the meaning of the Securities Act in connection with such sales. In such event, any commissions received by such broker-dealers or agents and any profit on the resale of the common stock purchased by them may be deemed to be underwriting commissions or discounts under the Securities Act. The selling stockholders have informed us that they do not have any written or oral agreement or understanding, directly or indirectly, with any person to distribute the Shares offered hereby.</w:t>
      </w:r>
    </w:p>
    <w:p>
      <w:pPr>
        <w:spacing w:after="0" w:line="144" w:lineRule="exact"/>
        <w:rPr>
          <w:sz w:val="20"/>
          <w:szCs w:val="20"/>
          <w:color w:val="auto"/>
        </w:rPr>
      </w:pPr>
    </w:p>
    <w:p>
      <w:pPr>
        <w:ind w:left="1280" w:right="179" w:firstLine="349"/>
        <w:spacing w:after="0" w:line="272" w:lineRule="auto"/>
        <w:rPr>
          <w:sz w:val="20"/>
          <w:szCs w:val="20"/>
          <w:color w:val="auto"/>
        </w:rPr>
      </w:pPr>
      <w:r>
        <w:rPr>
          <w:rFonts w:ascii="Times New Roman" w:cs="Times New Roman" w:eastAsia="Times New Roman" w:hAnsi="Times New Roman"/>
          <w:sz w:val="14"/>
          <w:szCs w:val="14"/>
          <w:color w:val="auto"/>
        </w:rPr>
        <w:t>We are required to pay certain fees and expenses incurred by us incident to the registration of the common stock covered hereby. We have agreed to indemnify the selling stockholders against certain losses, claims, damages and liabilities, including liabilities under the Securities Act. We shall not be responsible for any of the selling stockholders’ selling costs incurred pursuant to any available method provided hereunder for selling securities.</w:t>
      </w:r>
    </w:p>
    <w:p>
      <w:pPr>
        <w:spacing w:after="0" w:line="137" w:lineRule="exact"/>
        <w:rPr>
          <w:sz w:val="20"/>
          <w:szCs w:val="20"/>
          <w:color w:val="auto"/>
        </w:rPr>
      </w:pPr>
    </w:p>
    <w:p>
      <w:pPr>
        <w:ind w:left="1280" w:right="179" w:firstLine="349"/>
        <w:spacing w:after="0" w:line="266" w:lineRule="auto"/>
        <w:rPr>
          <w:sz w:val="20"/>
          <w:szCs w:val="20"/>
          <w:color w:val="auto"/>
        </w:rPr>
      </w:pPr>
      <w:r>
        <w:rPr>
          <w:rFonts w:ascii="Times New Roman" w:cs="Times New Roman" w:eastAsia="Times New Roman" w:hAnsi="Times New Roman"/>
          <w:sz w:val="14"/>
          <w:szCs w:val="14"/>
          <w:color w:val="auto"/>
        </w:rPr>
        <w:t>We are obligated to maintain the effectiveness of this registration statement until no holder of New Warrants owns any New Warrants or Shares issuable upon exercise thereof. The Shares offered hereby will be sold only through registered or licensed brokers or dealers if required under applicable state securities laws. In addition, in certain states, the Shares offered hereby may not be sold unless they have been registered or qualified for sale in the applicable state or an exemption from the registration or qualification requirement is available and is complied with.</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90"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8" w:lineRule="exact"/>
        <w:rPr>
          <w:sz w:val="20"/>
          <w:szCs w:val="20"/>
          <w:color w:val="auto"/>
        </w:rPr>
      </w:pPr>
    </w:p>
    <w:p>
      <w:pPr>
        <w:ind w:left="1280" w:right="219" w:firstLine="349"/>
        <w:spacing w:after="0" w:line="262" w:lineRule="auto"/>
        <w:rPr>
          <w:sz w:val="20"/>
          <w:szCs w:val="20"/>
          <w:color w:val="auto"/>
        </w:rPr>
      </w:pPr>
      <w:r>
        <w:rPr>
          <w:rFonts w:ascii="Times New Roman" w:cs="Times New Roman" w:eastAsia="Times New Roman" w:hAnsi="Times New Roman"/>
          <w:sz w:val="14"/>
          <w:szCs w:val="14"/>
          <w:color w:val="auto"/>
        </w:rPr>
        <w:t>Under applicable rules and regulations under the Exchange Act, any person engaged in the distribution of the Shares offered hereby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90"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Certain legal matters, including the validity of the shares of common stock offered by this prospectus, will be passed upon by Greenberg Traurig</w:t>
      </w:r>
    </w:p>
    <w:p>
      <w:pPr>
        <w:spacing w:after="0" w:line="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LLP.</w:t>
      </w:r>
    </w:p>
    <w:p>
      <w:pPr>
        <w:spacing w:after="0" w:line="3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3" w:lineRule="exact"/>
        <w:rPr>
          <w:sz w:val="20"/>
          <w:szCs w:val="20"/>
          <w:color w:val="auto"/>
        </w:rPr>
      </w:pPr>
    </w:p>
    <w:p>
      <w:pPr>
        <w:ind w:left="1280" w:right="179" w:firstLine="349"/>
        <w:spacing w:after="0" w:line="262" w:lineRule="auto"/>
        <w:rPr>
          <w:sz w:val="20"/>
          <w:szCs w:val="20"/>
          <w:color w:val="auto"/>
        </w:rPr>
      </w:pPr>
      <w:r>
        <w:rPr>
          <w:rFonts w:ascii="Times New Roman" w:cs="Times New Roman" w:eastAsia="Times New Roman" w:hAnsi="Times New Roman"/>
          <w:sz w:val="14"/>
          <w:szCs w:val="14"/>
          <w:color w:val="auto"/>
        </w:rPr>
        <w:t>The consolidated financial statements of Tempest Therapeutics, Inc. appearing in Tempest Therapeutics, Inc.’s Annual Report (Form 10-K) for the year ended December 31, 2025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3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ADDITIONAL INFORMATION</w:t>
      </w:r>
    </w:p>
    <w:p>
      <w:pPr>
        <w:spacing w:after="0" w:line="183" w:lineRule="exact"/>
        <w:rPr>
          <w:sz w:val="20"/>
          <w:szCs w:val="20"/>
          <w:color w:val="auto"/>
        </w:rPr>
      </w:pPr>
    </w:p>
    <w:p>
      <w:pPr>
        <w:ind w:left="1280" w:right="439" w:firstLine="349"/>
        <w:spacing w:after="0" w:line="262" w:lineRule="auto"/>
        <w:rPr>
          <w:sz w:val="20"/>
          <w:szCs w:val="20"/>
          <w:color w:val="auto"/>
        </w:rPr>
      </w:pPr>
      <w:r>
        <w:rPr>
          <w:rFonts w:ascii="Times New Roman" w:cs="Times New Roman" w:eastAsia="Times New Roman" w:hAnsi="Times New Roman"/>
          <w:sz w:val="14"/>
          <w:szCs w:val="14"/>
          <w:color w:val="auto"/>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w:t>
      </w:r>
    </w:p>
    <w:p>
      <w:pPr>
        <w:spacing w:after="0" w:line="143" w:lineRule="exact"/>
        <w:rPr>
          <w:sz w:val="20"/>
          <w:szCs w:val="20"/>
          <w:color w:val="auto"/>
        </w:rPr>
      </w:pPr>
    </w:p>
    <w:p>
      <w:pPr>
        <w:ind w:left="1280" w:right="599" w:firstLine="349"/>
        <w:spacing w:after="0" w:line="290" w:lineRule="auto"/>
        <w:rPr>
          <w:sz w:val="20"/>
          <w:szCs w:val="20"/>
          <w:color w:val="auto"/>
        </w:rPr>
      </w:pPr>
      <w:r>
        <w:rPr>
          <w:rFonts w:ascii="Times New Roman" w:cs="Times New Roman" w:eastAsia="Times New Roman" w:hAnsi="Times New Roman"/>
          <w:sz w:val="14"/>
          <w:szCs w:val="14"/>
          <w:color w:val="auto"/>
        </w:rPr>
        <w:t>We maintain a website at www.tempesttx.com. Information contained in or accessible through our website does not constitute a part of this prospectus.</w:t>
      </w:r>
    </w:p>
    <w:p>
      <w:pPr>
        <w:spacing w:after="0" w:line="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90"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83" w:lineRule="exact"/>
        <w:rPr>
          <w:sz w:val="20"/>
          <w:szCs w:val="20"/>
          <w:color w:val="auto"/>
        </w:rPr>
      </w:pPr>
    </w:p>
    <w:p>
      <w:pPr>
        <w:ind w:left="1280" w:right="199" w:firstLine="349"/>
        <w:spacing w:after="0" w:line="266"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which means that we can disclose important information to you by referring you to another document filed separately with the SEC. The information incorporated by reference is considered to be part of this prospectus. Information in this prospectus supersedes information incorporated by reference that we filed with the SEC prior to the date of this prospectus. We incorporate by reference into this prospectus the information or documents listed below that we have filed with the SEC:</w:t>
      </w:r>
    </w:p>
    <w:p>
      <w:pPr>
        <w:spacing w:after="0" w:line="67" w:lineRule="exact"/>
        <w:rPr>
          <w:sz w:val="20"/>
          <w:szCs w:val="20"/>
          <w:color w:val="auto"/>
        </w:rPr>
      </w:pPr>
    </w:p>
    <w:p>
      <w:pPr>
        <w:ind w:left="2060" w:hanging="350"/>
        <w:spacing w:after="0"/>
        <w:tabs>
          <w:tab w:leader="none" w:pos="20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40">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with the SEC on March 30, 2026;</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41">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 ended March 31, 2026, filed with the SEC on May 14, 2026;</w:t>
      </w:r>
    </w:p>
    <w:p>
      <w:pPr>
        <w:spacing w:after="0" w:line="106" w:lineRule="exact"/>
        <w:rPr>
          <w:rFonts w:ascii="Times New Roman" w:cs="Times New Roman" w:eastAsia="Times New Roman" w:hAnsi="Times New Roman"/>
          <w:sz w:val="14"/>
          <w:szCs w:val="14"/>
          <w:color w:val="auto"/>
        </w:rPr>
      </w:pPr>
    </w:p>
    <w:p>
      <w:pPr>
        <w:ind w:left="2060" w:right="159" w:hanging="350"/>
        <w:spacing w:after="0" w:line="265" w:lineRule="auto"/>
        <w:tabs>
          <w:tab w:leader="none" w:pos="20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Current Reports on Form 8-K (not including any information furnished under Item 2.02, 7.01 or 9.01 of such Form 8-K or any other information that is identified as “furnished” rather than filed, which information is not incorporated by reference herein) filed with the SEC</w:t>
      </w:r>
    </w:p>
    <w:p>
      <w:pPr>
        <w:ind w:left="20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w:t>
      </w:r>
      <w:hyperlink r:id="rId42">
        <w:r>
          <w:rPr>
            <w:rFonts w:ascii="Times New Roman" w:cs="Times New Roman" w:eastAsia="Times New Roman" w:hAnsi="Times New Roman"/>
            <w:sz w:val="14"/>
            <w:szCs w:val="14"/>
            <w:u w:val="single" w:color="auto"/>
            <w:color w:val="0000EE"/>
          </w:rPr>
          <w:t>May 6, 2026</w:t>
        </w:r>
      </w:hyperlink>
      <w:r>
        <w:rPr>
          <w:rFonts w:ascii="Times New Roman" w:cs="Times New Roman" w:eastAsia="Times New Roman" w:hAnsi="Times New Roman"/>
          <w:sz w:val="14"/>
          <w:szCs w:val="14"/>
          <w:color w:val="auto"/>
        </w:rPr>
        <w:t xml:space="preserve">, </w:t>
      </w:r>
      <w:hyperlink r:id="rId43">
        <w:r>
          <w:rPr>
            <w:rFonts w:ascii="Times New Roman" w:cs="Times New Roman" w:eastAsia="Times New Roman" w:hAnsi="Times New Roman"/>
            <w:sz w:val="14"/>
            <w:szCs w:val="14"/>
            <w:u w:val="single" w:color="auto"/>
            <w:color w:val="0000EE"/>
          </w:rPr>
          <w:t>May 22, 2026</w:t>
        </w:r>
      </w:hyperlink>
      <w:r>
        <w:rPr>
          <w:rFonts w:ascii="Times New Roman" w:cs="Times New Roman" w:eastAsia="Times New Roman" w:hAnsi="Times New Roman"/>
          <w:sz w:val="14"/>
          <w:szCs w:val="14"/>
          <w:color w:val="auto"/>
        </w:rPr>
        <w:t xml:space="preserve">, </w:t>
      </w:r>
      <w:hyperlink r:id="rId44">
        <w:r>
          <w:rPr>
            <w:rFonts w:ascii="Times New Roman" w:cs="Times New Roman" w:eastAsia="Times New Roman" w:hAnsi="Times New Roman"/>
            <w:sz w:val="14"/>
            <w:szCs w:val="14"/>
            <w:u w:val="single" w:color="auto"/>
            <w:color w:val="0000EE"/>
          </w:rPr>
          <w:t>May 22, 2026</w:t>
        </w:r>
      </w:hyperlink>
      <w:r>
        <w:rPr>
          <w:rFonts w:ascii="Times New Roman" w:cs="Times New Roman" w:eastAsia="Times New Roman" w:hAnsi="Times New Roman"/>
          <w:sz w:val="14"/>
          <w:szCs w:val="14"/>
          <w:color w:val="auto"/>
        </w:rPr>
        <w:t xml:space="preserve">, </w:t>
      </w:r>
      <w:hyperlink r:id="rId45">
        <w:r>
          <w:rPr>
            <w:rFonts w:ascii="Times New Roman" w:cs="Times New Roman" w:eastAsia="Times New Roman" w:hAnsi="Times New Roman"/>
            <w:sz w:val="14"/>
            <w:szCs w:val="14"/>
            <w:u w:val="single" w:color="auto"/>
            <w:color w:val="0000EE"/>
          </w:rPr>
          <w:t>May 29, 2026</w:t>
        </w:r>
      </w:hyperlink>
      <w:r>
        <w:rPr>
          <w:rFonts w:ascii="Times New Roman" w:cs="Times New Roman" w:eastAsia="Times New Roman" w:hAnsi="Times New Roman"/>
          <w:sz w:val="14"/>
          <w:szCs w:val="14"/>
          <w:color w:val="auto"/>
        </w:rPr>
        <w:t xml:space="preserve">, </w:t>
      </w:r>
      <w:hyperlink r:id="rId46">
        <w:r>
          <w:rPr>
            <w:rFonts w:ascii="Times New Roman" w:cs="Times New Roman" w:eastAsia="Times New Roman" w:hAnsi="Times New Roman"/>
            <w:sz w:val="14"/>
            <w:szCs w:val="14"/>
            <w:u w:val="single" w:color="auto"/>
            <w:color w:val="0000EE"/>
          </w:rPr>
          <w:t>June 2,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47">
        <w:r>
          <w:rPr>
            <w:rFonts w:ascii="Times New Roman" w:cs="Times New Roman" w:eastAsia="Times New Roman" w:hAnsi="Times New Roman"/>
            <w:sz w:val="14"/>
            <w:szCs w:val="14"/>
            <w:u w:val="single" w:color="auto"/>
            <w:color w:val="0000EE"/>
          </w:rPr>
          <w:t>June 4, 2026</w:t>
        </w:r>
      </w:hyperlink>
      <w:r>
        <w:rPr>
          <w:rFonts w:ascii="Times New Roman" w:cs="Times New Roman" w:eastAsia="Times New Roman" w:hAnsi="Times New Roman"/>
          <w:sz w:val="14"/>
          <w:szCs w:val="14"/>
          <w:color w:val="auto"/>
        </w:rPr>
        <w:t xml:space="preserve">, </w:t>
      </w:r>
      <w:hyperlink r:id="rId48">
        <w:r>
          <w:rPr>
            <w:rFonts w:ascii="Times New Roman" w:cs="Times New Roman" w:eastAsia="Times New Roman" w:hAnsi="Times New Roman"/>
            <w:sz w:val="14"/>
            <w:szCs w:val="14"/>
            <w:u w:val="single" w:color="auto"/>
            <w:color w:val="0000EE"/>
          </w:rPr>
          <w:t>June 23, 2026</w:t>
        </w:r>
      </w:hyperlink>
      <w:r>
        <w:rPr>
          <w:rFonts w:ascii="Times New Roman" w:cs="Times New Roman" w:eastAsia="Times New Roman" w:hAnsi="Times New Roman"/>
          <w:sz w:val="14"/>
          <w:szCs w:val="14"/>
          <w:color w:val="auto"/>
        </w:rPr>
        <w:t>; and</w:t>
      </w:r>
    </w:p>
    <w:p>
      <w:pPr>
        <w:spacing w:after="0" w:line="92" w:lineRule="exact"/>
        <w:rPr>
          <w:rFonts w:ascii="Times New Roman" w:cs="Times New Roman" w:eastAsia="Times New Roman" w:hAnsi="Times New Roman"/>
          <w:sz w:val="14"/>
          <w:szCs w:val="14"/>
          <w:color w:val="auto"/>
        </w:rPr>
      </w:pPr>
    </w:p>
    <w:p>
      <w:pPr>
        <w:ind w:left="2060" w:right="379" w:hanging="350"/>
        <w:spacing w:after="0" w:line="272" w:lineRule="auto"/>
        <w:tabs>
          <w:tab w:leader="none" w:pos="20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set forth in our registration statement on </w:t>
      </w:r>
      <w:hyperlink r:id="rId49">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 No. 001-35890), filed with the SEC on April 25, 2013, including any amendments thereto or reports filed for the purposes of updating this description, including </w:t>
      </w:r>
      <w:hyperlink r:id="rId50">
        <w:r>
          <w:rPr>
            <w:rFonts w:ascii="Times New Roman" w:cs="Times New Roman" w:eastAsia="Times New Roman" w:hAnsi="Times New Roman"/>
            <w:sz w:val="14"/>
            <w:szCs w:val="14"/>
            <w:u w:val="single" w:color="auto"/>
            <w:color w:val="0000EE"/>
          </w:rPr>
          <w:t>Exhibit 4.1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fiscal year ended December 31, 2025 filed with the SEC on March 30, 2026.</w:t>
      </w:r>
    </w:p>
    <w:p>
      <w:pPr>
        <w:spacing w:after="0" w:line="137" w:lineRule="exact"/>
        <w:rPr>
          <w:rFonts w:ascii="Times New Roman" w:cs="Times New Roman" w:eastAsia="Times New Roman" w:hAnsi="Times New Roman"/>
          <w:sz w:val="14"/>
          <w:szCs w:val="14"/>
          <w:color w:val="auto"/>
        </w:rPr>
      </w:pPr>
    </w:p>
    <w:p>
      <w:pPr>
        <w:ind w:left="1280" w:right="539" w:firstLine="349"/>
        <w:spacing w:after="0" w:line="290" w:lineRule="auto"/>
        <w:rPr>
          <w:sz w:val="20"/>
          <w:szCs w:val="20"/>
          <w:color w:val="auto"/>
        </w:rPr>
      </w:pPr>
      <w:r>
        <w:rPr>
          <w:rFonts w:ascii="Times New Roman" w:cs="Times New Roman" w:eastAsia="Times New Roman" w:hAnsi="Times New Roman"/>
          <w:sz w:val="14"/>
          <w:szCs w:val="14"/>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spacing w:after="0" w:line="124" w:lineRule="exact"/>
        <w:rPr>
          <w:rFonts w:ascii="Times New Roman" w:cs="Times New Roman" w:eastAsia="Times New Roman" w:hAnsi="Times New Roman"/>
          <w:sz w:val="14"/>
          <w:szCs w:val="14"/>
          <w:color w:val="auto"/>
        </w:rPr>
      </w:pPr>
    </w:p>
    <w:p>
      <w:pPr>
        <w:ind w:left="1280" w:right="319" w:firstLine="349"/>
        <w:spacing w:after="0" w:line="266" w:lineRule="auto"/>
        <w:rPr>
          <w:sz w:val="20"/>
          <w:szCs w:val="20"/>
          <w:color w:val="auto"/>
        </w:rPr>
      </w:pPr>
      <w:r>
        <w:rPr>
          <w:rFonts w:ascii="Times New Roman" w:cs="Times New Roman" w:eastAsia="Times New Roman" w:hAnsi="Times New Roman"/>
          <w:sz w:val="14"/>
          <w:szCs w:val="14"/>
          <w:color w:val="auto"/>
        </w:rPr>
        <w:t>We also incorporate by reference into this prospectus all documents (excluding information furnished pursuant to Items 2.02, 7.01 and 9.01 of Form 8-K or any other information that is identified as or is deemed “furnished” rather than filed or is otherwise not incorporated into registration statements pursuant to applicable SEC rules) that are filed by us with the SEC pursuant to Sections 13(a), 13(c), 14 or 15(d) of the Exchange Act after the date of the initial fling of the registration statement of which this prospectus forms a part and prior to the termination of this offering.</w:t>
      </w:r>
    </w:p>
    <w:p>
      <w:pPr>
        <w:spacing w:after="0" w:line="141" w:lineRule="exact"/>
        <w:rPr>
          <w:rFonts w:ascii="Times New Roman" w:cs="Times New Roman" w:eastAsia="Times New Roman" w:hAnsi="Times New Roman"/>
          <w:sz w:val="14"/>
          <w:szCs w:val="14"/>
          <w:color w:val="auto"/>
        </w:rPr>
      </w:pPr>
    </w:p>
    <w:p>
      <w:pPr>
        <w:jc w:val="both"/>
        <w:ind w:left="1280" w:right="239" w:firstLine="349"/>
        <w:spacing w:after="0" w:line="266" w:lineRule="auto"/>
        <w:rPr>
          <w:sz w:val="20"/>
          <w:szCs w:val="20"/>
          <w:color w:val="auto"/>
        </w:rPr>
      </w:pPr>
      <w:r>
        <w:rPr>
          <w:rFonts w:ascii="Times New Roman" w:cs="Times New Roman" w:eastAsia="Times New Roman" w:hAnsi="Times New Roman"/>
          <w:sz w:val="14"/>
          <w:szCs w:val="14"/>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Tempest Therapeutics, Inc., Attn: Investor Relations, 2000 Sierra Point Parkway, Suite 400, Brisbane, California 94005; telephone: (415) 798-8589.</w:t>
      </w:r>
    </w:p>
    <w:p>
      <w:pPr>
        <w:spacing w:after="0" w:line="88"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90"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193675</wp:posOffset>
            </wp:positionV>
            <wp:extent cx="5538470"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5538470" cy="1333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234315</wp:posOffset>
            </wp:positionV>
            <wp:extent cx="553847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55384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3"/>
          <w:szCs w:val="23"/>
          <w:b w:val="1"/>
          <w:bCs w:val="1"/>
          <w:color w:val="auto"/>
        </w:rPr>
        <w:t>Tempest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2976245</wp:posOffset>
            </wp:positionH>
            <wp:positionV relativeFrom="paragraph">
              <wp:posOffset>271780</wp:posOffset>
            </wp:positionV>
            <wp:extent cx="1214755" cy="298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214755" cy="29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ind w:right="2759"/>
        <w:spacing w:after="0"/>
        <w:rPr>
          <w:sz w:val="20"/>
          <w:szCs w:val="20"/>
          <w:color w:val="auto"/>
        </w:rPr>
      </w:pPr>
      <w:r>
        <w:rPr>
          <w:rFonts w:ascii="Times New Roman" w:cs="Times New Roman" w:eastAsia="Times New Roman" w:hAnsi="Times New Roman"/>
          <w:sz w:val="20"/>
          <w:szCs w:val="20"/>
          <w:b w:val="1"/>
          <w:bCs w:val="1"/>
          <w:color w:val="auto"/>
        </w:rPr>
        <w:t>Up to 2,426,897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2583180</wp:posOffset>
            </wp:positionV>
            <wp:extent cx="116078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196850</wp:posOffset>
            </wp:positionV>
            <wp:extent cx="116078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349250</wp:posOffset>
            </wp:positionV>
            <wp:extent cx="553847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5538470" cy="698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396875</wp:posOffset>
            </wp:positionV>
            <wp:extent cx="5538470" cy="1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5538470" cy="13335"/>
                    </a:xfrm>
                    <a:prstGeom prst="rect">
                      <a:avLst/>
                    </a:prstGeom>
                    <a:noFill/>
                  </pic:spPr>
                </pic:pic>
              </a:graphicData>
            </a:graphic>
          </wp:anchor>
        </w:drawing>
      </w:r>
    </w:p>
    <w:p>
      <w:pPr>
        <w:sectPr>
          <w:pgSz w:w="11900" w:h="16838" w:orient="portrait"/>
          <w:cols w:equalWidth="0" w:num="1">
            <w:col w:w="10159"/>
          </w:cols>
          <w:pgMar w:left="300" w:top="390"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INFORMATION NOT REQUIRED IN THE PROSPECTUS</w:t>
      </w:r>
    </w:p>
    <w:p>
      <w:pPr>
        <w:spacing w:after="0" w:line="187" w:lineRule="exact"/>
        <w:rPr>
          <w:sz w:val="20"/>
          <w:szCs w:val="20"/>
          <w:color w:val="auto"/>
        </w:rPr>
      </w:pPr>
    </w:p>
    <w:p>
      <w:pPr>
        <w:ind w:left="1280"/>
        <w:spacing w:after="0"/>
        <w:tabs>
          <w:tab w:leader="none" w:pos="212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Other Expenses of Issuance and Distribution</w:t>
      </w:r>
    </w:p>
    <w:p>
      <w:pPr>
        <w:spacing w:after="0" w:line="98"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The following table sets forth an estimate of the fees and expenses payable by us in connection with the sale of the securities being registered.</w:t>
      </w:r>
    </w:p>
    <w:p>
      <w:pPr>
        <w:sectPr>
          <w:pgSz w:w="11900" w:h="16838" w:orient="portrait"/>
          <w:cols w:equalWidth="0" w:num="1">
            <w:col w:w="10159"/>
          </w:cols>
          <w:pgMar w:left="300" w:top="390" w:right="1440" w:bottom="1440" w:gutter="0" w:footer="0" w:header="0"/>
        </w:sectPr>
      </w:pPr>
    </w:p>
    <w:p>
      <w:pPr>
        <w:spacing w:after="0" w:line="3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SEC registration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1706880</wp:posOffset>
            </wp:positionH>
            <wp:positionV relativeFrom="paragraph">
              <wp:posOffset>-92075</wp:posOffset>
            </wp:positionV>
            <wp:extent cx="3760470" cy="1155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3760470" cy="115570"/>
                    </a:xfrm>
                    <a:prstGeom prst="rect">
                      <a:avLst/>
                    </a:prstGeom>
                    <a:noFill/>
                  </pic:spPr>
                </pic:pic>
              </a:graphicData>
            </a:graphic>
          </wp:anchor>
        </w:drawing>
      </w:r>
    </w:p>
    <w:p>
      <w:pPr>
        <w:spacing w:after="0" w:line="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2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1706880</wp:posOffset>
            </wp:positionH>
            <wp:positionV relativeFrom="paragraph">
              <wp:posOffset>-100965</wp:posOffset>
            </wp:positionV>
            <wp:extent cx="3760470" cy="1085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3760470" cy="108585"/>
                    </a:xfrm>
                    <a:prstGeom prst="rect">
                      <a:avLst/>
                    </a:prstGeom>
                    <a:noFill/>
                  </pic:spPr>
                </pic:pic>
              </a:graphicData>
            </a:graphic>
          </wp:anchor>
        </w:drawing>
      </w:r>
    </w:p>
    <w:p>
      <w:pPr>
        <w:ind w:left="2680"/>
        <w:spacing w:after="0"/>
        <w:rPr>
          <w:sz w:val="20"/>
          <w:szCs w:val="20"/>
          <w:color w:val="auto"/>
        </w:rPr>
      </w:pPr>
      <w:r>
        <w:rPr>
          <w:rFonts w:ascii="Times New Roman" w:cs="Times New Roman" w:eastAsia="Times New Roman" w:hAnsi="Times New Roman"/>
          <w:sz w:val="14"/>
          <w:szCs w:val="14"/>
          <w:color w:val="auto"/>
        </w:rPr>
        <w:t>Miscellaneous fees and expenses</w:t>
      </w:r>
    </w:p>
    <w:p>
      <w:pPr>
        <w:spacing w:after="0" w:line="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1706880</wp:posOffset>
            </wp:positionH>
            <wp:positionV relativeFrom="paragraph">
              <wp:posOffset>-92075</wp:posOffset>
            </wp:positionV>
            <wp:extent cx="3760470" cy="1085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3760470" cy="1085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Amount</w:t>
      </w:r>
    </w:p>
    <w:p>
      <w:pPr>
        <w:spacing w:after="0" w:line="22" w:lineRule="exact"/>
        <w:rPr>
          <w:sz w:val="20"/>
          <w:szCs w:val="20"/>
          <w:color w:val="auto"/>
        </w:rPr>
      </w:pPr>
    </w:p>
    <w:p>
      <w:pPr>
        <w:ind w:left="340" w:hanging="335"/>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415.59</w:t>
      </w:r>
    </w:p>
    <w:p>
      <w:pPr>
        <w:spacing w:after="0" w:line="7"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15,000</w:t>
      </w:r>
    </w:p>
    <w:p>
      <w:pPr>
        <w:spacing w:after="0" w:line="10"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35,000</w:t>
      </w:r>
    </w:p>
    <w:p>
      <w:pPr>
        <w:spacing w:after="0" w:line="10" w:lineRule="exact"/>
        <w:rPr>
          <w:rFonts w:ascii="Times New Roman" w:cs="Times New Roman" w:eastAsia="Times New Roman" w:hAnsi="Times New Roman"/>
          <w:sz w:val="14"/>
          <w:szCs w:val="14"/>
          <w:color w:val="auto"/>
        </w:rPr>
      </w:pPr>
    </w:p>
    <w:p>
      <w:pPr>
        <w:ind w:left="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46164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46164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u w:val="single" w:color="auto"/>
          <w:color w:val="auto"/>
        </w:rPr>
        <w:t>$ 55,415.59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29210</wp:posOffset>
            </wp:positionV>
            <wp:extent cx="46164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46164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00" w:space="720"/>
            <w:col w:w="2339"/>
          </w:cols>
          <w:pgMar w:left="300" w:top="390" w:right="1440" w:bottom="1440" w:gutter="0" w:footer="0" w:header="0"/>
          <w:type w:val="continuous"/>
        </w:sectPr>
      </w:pPr>
    </w:p>
    <w:p>
      <w:pPr>
        <w:spacing w:after="0" w:line="139" w:lineRule="exact"/>
        <w:rPr>
          <w:sz w:val="20"/>
          <w:szCs w:val="20"/>
          <w:color w:val="auto"/>
        </w:rPr>
      </w:pPr>
    </w:p>
    <w:p>
      <w:pPr>
        <w:ind w:left="1280"/>
        <w:spacing w:after="0"/>
        <w:tabs>
          <w:tab w:leader="none" w:pos="212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color w:val="auto"/>
        </w:rPr>
        <w:t>Indemnification of Directors and Officers</w:t>
      </w:r>
    </w:p>
    <w:p>
      <w:pPr>
        <w:spacing w:after="0" w:line="98" w:lineRule="exact"/>
        <w:rPr>
          <w:sz w:val="20"/>
          <w:szCs w:val="20"/>
          <w:color w:val="auto"/>
        </w:rPr>
      </w:pPr>
    </w:p>
    <w:p>
      <w:pPr>
        <w:ind w:left="1280" w:right="179" w:firstLine="349"/>
        <w:spacing w:after="0" w:line="260" w:lineRule="auto"/>
        <w:rPr>
          <w:sz w:val="20"/>
          <w:szCs w:val="20"/>
          <w:color w:val="auto"/>
        </w:rPr>
      </w:pPr>
      <w:r>
        <w:rPr>
          <w:rFonts w:ascii="Times New Roman" w:cs="Times New Roman" w:eastAsia="Times New Roman" w:hAnsi="Times New Roman"/>
          <w:sz w:val="14"/>
          <w:szCs w:val="14"/>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47" w:lineRule="exact"/>
        <w:rPr>
          <w:sz w:val="20"/>
          <w:szCs w:val="20"/>
          <w:color w:val="auto"/>
        </w:rPr>
      </w:pPr>
    </w:p>
    <w:p>
      <w:pPr>
        <w:ind w:left="1280" w:right="179" w:firstLine="349"/>
        <w:spacing w:after="0" w:line="259" w:lineRule="auto"/>
        <w:rPr>
          <w:sz w:val="20"/>
          <w:szCs w:val="20"/>
          <w:color w:val="auto"/>
        </w:rPr>
      </w:pPr>
      <w:r>
        <w:rPr>
          <w:rFonts w:ascii="Times New Roman" w:cs="Times New Roman" w:eastAsia="Times New Roman" w:hAnsi="Times New Roman"/>
          <w:sz w:val="14"/>
          <w:szCs w:val="14"/>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147" w:lineRule="exact"/>
        <w:rPr>
          <w:sz w:val="20"/>
          <w:szCs w:val="20"/>
          <w:color w:val="auto"/>
        </w:rPr>
      </w:pPr>
    </w:p>
    <w:p>
      <w:pPr>
        <w:ind w:left="1280" w:right="179" w:firstLine="349"/>
        <w:spacing w:after="0" w:line="263" w:lineRule="auto"/>
        <w:rPr>
          <w:sz w:val="20"/>
          <w:szCs w:val="20"/>
          <w:color w:val="auto"/>
        </w:rPr>
      </w:pPr>
      <w:r>
        <w:rPr>
          <w:rFonts w:ascii="Times New Roman" w:cs="Times New Roman" w:eastAsia="Times New Roman" w:hAnsi="Times New Roman"/>
          <w:sz w:val="14"/>
          <w:szCs w:val="14"/>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44" w:lineRule="exact"/>
        <w:rPr>
          <w:sz w:val="20"/>
          <w:szCs w:val="20"/>
          <w:color w:val="auto"/>
        </w:rPr>
      </w:pPr>
    </w:p>
    <w:p>
      <w:pPr>
        <w:ind w:left="1280" w:right="379" w:firstLine="349"/>
        <w:spacing w:after="0" w:line="290"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for indemnification of our directors, officers, employees and other agents to the fullest extent permitted by the Delaware General Corporation Law.</w:t>
      </w:r>
    </w:p>
    <w:p>
      <w:pPr>
        <w:spacing w:after="0" w:line="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90" w:right="1440"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8" w:lineRule="exact"/>
        <w:rPr>
          <w:sz w:val="20"/>
          <w:szCs w:val="20"/>
          <w:color w:val="auto"/>
        </w:rPr>
      </w:pPr>
    </w:p>
    <w:p>
      <w:pPr>
        <w:ind w:left="1280" w:right="199" w:firstLine="349"/>
        <w:spacing w:after="0" w:line="263"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current directors and officers. These agreements provide for the indemnification of such persons for all reasonable expenses and liabilities incurred in connection with any action or proceeding brought against them by reason of the fact that they are or were serving in such capacity. We believe that these indemnification agreements are necessary to attract and retain qualified persons as directors and officers. Furthermore, we have obtained director and officer liability insurance to cover liabilities our directors and officers may incur in connection with their services to us.</w:t>
      </w:r>
    </w:p>
    <w:p>
      <w:pPr>
        <w:spacing w:after="0" w:line="260" w:lineRule="exact"/>
        <w:rPr>
          <w:sz w:val="20"/>
          <w:szCs w:val="20"/>
          <w:color w:val="auto"/>
        </w:rPr>
      </w:pPr>
    </w:p>
    <w:tbl>
      <w:tblPr>
        <w:tblLayout w:type="fixed"/>
        <w:tblInd w:w="1280" w:type="dxa"/>
        <w:tblCellMar>
          <w:top w:w="0" w:type="dxa"/>
          <w:left w:w="0" w:type="dxa"/>
          <w:bottom w:w="0" w:type="dxa"/>
          <w:right w:w="0" w:type="dxa"/>
        </w:tblCellMar>
      </w:tblPr>
      <w:tr>
        <w:trPr>
          <w:trHeight w:val="187"/>
        </w:trPr>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16.</w:t>
            </w:r>
          </w:p>
        </w:tc>
        <w:tc>
          <w:tcPr>
            <w:tcW w:w="42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980" w:type="dxa"/>
            <w:vAlign w:val="bottom"/>
          </w:tcPr>
          <w:p>
            <w:pPr>
              <w:spacing w:after="0"/>
              <w:rPr>
                <w:sz w:val="17"/>
                <w:szCs w:val="17"/>
                <w:color w:val="auto"/>
              </w:rPr>
            </w:pPr>
          </w:p>
        </w:tc>
        <w:tc>
          <w:tcPr>
            <w:tcW w:w="3300" w:type="dxa"/>
            <w:vAlign w:val="bottom"/>
            <w:gridSpan w:val="4"/>
            <w:vMerge w:val="restart"/>
          </w:tcPr>
          <w:p>
            <w:pPr>
              <w:ind w:left="68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Schedule /</w:t>
            </w:r>
          </w:p>
        </w:tc>
        <w:tc>
          <w:tcPr>
            <w:tcW w:w="100" w:type="dxa"/>
            <w:vAlign w:val="bottom"/>
          </w:tcPr>
          <w:p>
            <w:pPr>
              <w:spacing w:after="0"/>
              <w:rPr>
                <w:sz w:val="17"/>
                <w:szCs w:val="17"/>
                <w:color w:val="auto"/>
              </w:rPr>
            </w:pPr>
          </w:p>
        </w:tc>
        <w:tc>
          <w:tcPr>
            <w:tcW w:w="78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80" w:type="dxa"/>
            <w:vAlign w:val="bottom"/>
          </w:tcPr>
          <w:p>
            <w:pPr>
              <w:spacing w:after="0"/>
              <w:rPr>
                <w:sz w:val="17"/>
                <w:szCs w:val="17"/>
                <w:color w:val="auto"/>
              </w:rPr>
            </w:pPr>
          </w:p>
        </w:tc>
        <w:tc>
          <w:tcPr>
            <w:tcW w:w="4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 w:type="dxa"/>
            <w:vAlign w:val="bottom"/>
          </w:tcPr>
          <w:p>
            <w:pPr>
              <w:spacing w:after="0"/>
              <w:rPr>
                <w:sz w:val="17"/>
                <w:szCs w:val="17"/>
                <w:color w:val="auto"/>
              </w:rPr>
            </w:pPr>
          </w:p>
        </w:tc>
        <w:tc>
          <w:tcPr>
            <w:tcW w:w="1480" w:type="dxa"/>
            <w:vAlign w:val="bottom"/>
            <w:vMerge w:val="restart"/>
          </w:tcPr>
          <w:p>
            <w:pPr>
              <w:ind w:left="520"/>
              <w:spacing w:after="0"/>
              <w:rPr>
                <w:sz w:val="20"/>
                <w:szCs w:val="20"/>
                <w:color w:val="auto"/>
              </w:rPr>
            </w:pPr>
            <w:r>
              <w:rPr>
                <w:rFonts w:ascii="Times New Roman" w:cs="Times New Roman" w:eastAsia="Times New Roman" w:hAnsi="Times New Roman"/>
                <w:sz w:val="11"/>
                <w:szCs w:val="11"/>
                <w:b w:val="1"/>
                <w:bCs w:val="1"/>
                <w:color w:val="auto"/>
              </w:rPr>
              <w:t>File Date</w:t>
            </w:r>
          </w:p>
        </w:tc>
        <w:tc>
          <w:tcPr>
            <w:tcW w:w="0" w:type="dxa"/>
            <w:vAlign w:val="bottom"/>
          </w:tcPr>
          <w:p>
            <w:pPr>
              <w:spacing w:after="0"/>
              <w:rPr>
                <w:sz w:val="1"/>
                <w:szCs w:val="1"/>
                <w:color w:val="auto"/>
              </w:rPr>
            </w:pPr>
          </w:p>
        </w:tc>
      </w:tr>
      <w:tr>
        <w:trPr>
          <w:trHeight w:val="130"/>
        </w:trPr>
        <w:tc>
          <w:tcPr>
            <w:tcW w:w="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980" w:type="dxa"/>
            <w:vAlign w:val="bottom"/>
            <w:tcBorders>
              <w:bottom w:val="single" w:sz="8" w:color="auto"/>
            </w:tcBorders>
          </w:tcPr>
          <w:p>
            <w:pPr>
              <w:spacing w:after="0"/>
              <w:rPr>
                <w:sz w:val="11"/>
                <w:szCs w:val="11"/>
                <w:color w:val="auto"/>
              </w:rPr>
            </w:pPr>
          </w:p>
        </w:tc>
        <w:tc>
          <w:tcPr>
            <w:tcW w:w="3300" w:type="dxa"/>
            <w:vAlign w:val="bottom"/>
            <w:tcBorders>
              <w:bottom w:val="single" w:sz="8" w:color="auto"/>
            </w:tcBorders>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Form</w:t>
            </w:r>
          </w:p>
        </w:tc>
        <w:tc>
          <w:tcPr>
            <w:tcW w:w="100" w:type="dxa"/>
            <w:vAlign w:val="bottom"/>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3.1</w:t>
            </w:r>
          </w:p>
        </w:tc>
        <w:tc>
          <w:tcPr>
            <w:tcW w:w="3820" w:type="dxa"/>
            <w:vAlign w:val="bottom"/>
            <w:tcBorders>
              <w:bottom w:val="single" w:sz="8" w:color="0000EE"/>
            </w:tcBorders>
            <w:gridSpan w:val="2"/>
          </w:tcPr>
          <w:p>
            <w:pPr>
              <w:spacing w:after="0"/>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Restated Certificate of Incorporation of the Registrant, as amended</w:t>
              </w:r>
            </w:hyperlink>
          </w:p>
        </w:tc>
        <w:tc>
          <w:tcPr>
            <w:tcW w:w="460" w:type="dxa"/>
            <w:vAlign w:val="bottom"/>
            <w:gridSpan w:val="3"/>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Form 10-Q</w:t>
            </w:r>
          </w:p>
        </w:tc>
        <w:tc>
          <w:tcPr>
            <w:tcW w:w="88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color w:val="auto"/>
              </w:rPr>
              <w:t>001-35890</w:t>
            </w:r>
          </w:p>
        </w:tc>
        <w:tc>
          <w:tcPr>
            <w:tcW w:w="540" w:type="dxa"/>
            <w:vAlign w:val="bottom"/>
            <w:gridSpan w:val="2"/>
          </w:tcPr>
          <w:p>
            <w:pPr>
              <w:jc w:val="right"/>
              <w:ind w:right="223"/>
              <w:spacing w:after="0"/>
              <w:rPr>
                <w:sz w:val="20"/>
                <w:szCs w:val="20"/>
                <w:color w:val="auto"/>
              </w:rPr>
            </w:pPr>
            <w:r>
              <w:rPr>
                <w:rFonts w:ascii="Times New Roman" w:cs="Times New Roman" w:eastAsia="Times New Roman" w:hAnsi="Times New Roman"/>
                <w:sz w:val="14"/>
                <w:szCs w:val="14"/>
                <w:color w:val="auto"/>
              </w:rPr>
              <w:t>3.1</w:t>
            </w: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May 15, 2019</w:t>
            </w:r>
          </w:p>
        </w:tc>
        <w:tc>
          <w:tcPr>
            <w:tcW w:w="0" w:type="dxa"/>
            <w:vAlign w:val="bottom"/>
          </w:tcPr>
          <w:p>
            <w:pPr>
              <w:spacing w:after="0"/>
              <w:rPr>
                <w:sz w:val="1"/>
                <w:szCs w:val="1"/>
                <w:color w:val="auto"/>
              </w:rPr>
            </w:pPr>
          </w:p>
        </w:tc>
      </w:tr>
      <w:tr>
        <w:trPr>
          <w:trHeight w:val="237"/>
        </w:trPr>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3.2</w:t>
            </w:r>
          </w:p>
        </w:tc>
        <w:tc>
          <w:tcPr>
            <w:tcW w:w="4140" w:type="dxa"/>
            <w:vAlign w:val="bottom"/>
            <w:tcBorders>
              <w:bottom w:val="single" w:sz="8" w:color="0000EE"/>
            </w:tcBorders>
            <w:gridSpan w:val="3"/>
          </w:tcPr>
          <w:p>
            <w:pPr>
              <w:spacing w:after="0"/>
              <w:rPr>
                <w:rFonts w:ascii="Times New Roman" w:cs="Times New Roman" w:eastAsia="Times New Roman" w:hAnsi="Times New Roman"/>
                <w:sz w:val="14"/>
                <w:szCs w:val="14"/>
                <w:color w:val="0000EE"/>
              </w:rPr>
            </w:pPr>
            <w:hyperlink r:id="rId67">
              <w:r>
                <w:rPr>
                  <w:rFonts w:ascii="Times New Roman" w:cs="Times New Roman" w:eastAsia="Times New Roman" w:hAnsi="Times New Roman"/>
                  <w:sz w:val="14"/>
                  <w:szCs w:val="14"/>
                  <w:color w:val="0000EE"/>
                </w:rPr>
                <w:t>Certificate of Amendment to the Restated Certificate of Incorporation of</w:t>
              </w:r>
            </w:hyperlink>
          </w:p>
        </w:tc>
        <w:tc>
          <w:tcPr>
            <w:tcW w:w="1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80" w:type="dxa"/>
            <w:vAlign w:val="bottom"/>
            <w:gridSpan w:val="5"/>
          </w:tcPr>
          <w:p>
            <w:pPr>
              <w:spacing w:after="0" w:line="151" w:lineRule="exact"/>
              <w:rPr>
                <w:rFonts w:ascii="Times New Roman" w:cs="Times New Roman" w:eastAsia="Times New Roman" w:hAnsi="Times New Roman"/>
                <w:sz w:val="14"/>
                <w:szCs w:val="14"/>
                <w:color w:val="0000EE"/>
              </w:rPr>
            </w:pPr>
            <w:hyperlink r:id="rId67">
              <w:r>
                <w:rPr>
                  <w:rFonts w:ascii="Times New Roman" w:cs="Times New Roman" w:eastAsia="Times New Roman" w:hAnsi="Times New Roman"/>
                  <w:sz w:val="14"/>
                  <w:szCs w:val="14"/>
                  <w:color w:val="0000EE"/>
                </w:rPr>
                <w:t>the Company, as filed with the Secretary of State of the State of Delaware</w:t>
              </w:r>
            </w:hyperlink>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Borders>
              <w:top w:val="single" w:sz="8" w:color="0000EE"/>
              <w:bottom w:val="single" w:sz="8" w:color="0000EE"/>
            </w:tcBorders>
          </w:tcPr>
          <w:p>
            <w:pPr>
              <w:spacing w:after="0" w:line="151" w:lineRule="exact"/>
              <w:rPr>
                <w:rFonts w:ascii="Times New Roman" w:cs="Times New Roman" w:eastAsia="Times New Roman" w:hAnsi="Times New Roman"/>
                <w:sz w:val="14"/>
                <w:szCs w:val="14"/>
                <w:color w:val="0000EE"/>
              </w:rPr>
            </w:pPr>
            <w:hyperlink r:id="rId67">
              <w:r>
                <w:rPr>
                  <w:rFonts w:ascii="Times New Roman" w:cs="Times New Roman" w:eastAsia="Times New Roman" w:hAnsi="Times New Roman"/>
                  <w:sz w:val="14"/>
                  <w:szCs w:val="14"/>
                  <w:color w:val="0000EE"/>
                </w:rPr>
                <w:t>on June 24, 2021</w:t>
              </w:r>
            </w:hyperlink>
          </w:p>
        </w:tc>
        <w:tc>
          <w:tcPr>
            <w:tcW w:w="3220" w:type="dxa"/>
            <w:vAlign w:val="bottom"/>
            <w:tcBorders>
              <w:top w:val="single" w:sz="8" w:color="0000EE"/>
            </w:tcBorders>
            <w:gridSpan w:val="3"/>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ind w:left="80"/>
              <w:spacing w:after="0" w:line="151" w:lineRule="exact"/>
              <w:rPr>
                <w:sz w:val="20"/>
                <w:szCs w:val="20"/>
                <w:color w:val="auto"/>
              </w:rPr>
            </w:pPr>
            <w:r>
              <w:rPr>
                <w:rFonts w:ascii="Times New Roman" w:cs="Times New Roman" w:eastAsia="Times New Roman" w:hAnsi="Times New Roman"/>
                <w:sz w:val="14"/>
                <w:szCs w:val="14"/>
                <w:color w:val="auto"/>
              </w:rPr>
              <w:t>Form 8-K</w:t>
            </w:r>
          </w:p>
        </w:tc>
        <w:tc>
          <w:tcPr>
            <w:tcW w:w="880" w:type="dxa"/>
            <w:vAlign w:val="bottom"/>
            <w:gridSpan w:val="2"/>
          </w:tcPr>
          <w:p>
            <w:pPr>
              <w:jc w:val="right"/>
              <w:ind w:right="123"/>
              <w:spacing w:after="0" w:line="151" w:lineRule="exact"/>
              <w:rPr>
                <w:sz w:val="20"/>
                <w:szCs w:val="20"/>
                <w:color w:val="auto"/>
              </w:rPr>
            </w:pPr>
            <w:r>
              <w:rPr>
                <w:rFonts w:ascii="Times New Roman" w:cs="Times New Roman" w:eastAsia="Times New Roman" w:hAnsi="Times New Roman"/>
                <w:sz w:val="14"/>
                <w:szCs w:val="14"/>
                <w:color w:val="auto"/>
              </w:rPr>
              <w:t>001-35890</w:t>
            </w:r>
          </w:p>
        </w:tc>
        <w:tc>
          <w:tcPr>
            <w:tcW w:w="540" w:type="dxa"/>
            <w:vAlign w:val="bottom"/>
            <w:gridSpan w:val="2"/>
          </w:tcPr>
          <w:p>
            <w:pPr>
              <w:jc w:val="right"/>
              <w:ind w:right="223"/>
              <w:spacing w:after="0" w:line="151" w:lineRule="exact"/>
              <w:rPr>
                <w:sz w:val="20"/>
                <w:szCs w:val="20"/>
                <w:color w:val="auto"/>
              </w:rPr>
            </w:pPr>
            <w:r>
              <w:rPr>
                <w:rFonts w:ascii="Times New Roman" w:cs="Times New Roman" w:eastAsia="Times New Roman" w:hAnsi="Times New Roman"/>
                <w:sz w:val="14"/>
                <w:szCs w:val="14"/>
                <w:color w:val="auto"/>
              </w:rPr>
              <w:t>3.1</w:t>
            </w:r>
          </w:p>
        </w:tc>
        <w:tc>
          <w:tcPr>
            <w:tcW w:w="1560" w:type="dxa"/>
            <w:vAlign w:val="bottom"/>
            <w:gridSpan w:val="2"/>
          </w:tcPr>
          <w:p>
            <w:pPr>
              <w:ind w:left="80"/>
              <w:spacing w:after="0" w:line="151" w:lineRule="exact"/>
              <w:rPr>
                <w:sz w:val="20"/>
                <w:szCs w:val="20"/>
                <w:color w:val="auto"/>
              </w:rPr>
            </w:pPr>
            <w:r>
              <w:rPr>
                <w:rFonts w:ascii="Times New Roman" w:cs="Times New Roman" w:eastAsia="Times New Roman" w:hAnsi="Times New Roman"/>
                <w:sz w:val="14"/>
                <w:szCs w:val="14"/>
                <w:color w:val="auto"/>
              </w:rPr>
              <w:t>June 28, 2021</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1360" w:hanging="77"/>
        <w:spacing w:after="0"/>
        <w:tabs>
          <w:tab w:leader="none" w:pos="1360" w:val="left"/>
        </w:tabs>
        <w:numPr>
          <w:ilvl w:val="0"/>
          <w:numId w:val="9"/>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3.3</w:t>
      </w:r>
      <w:hyperlink r:id="rId68">
        <w:r>
          <w:rPr>
            <w:rFonts w:ascii="Times New Roman" w:cs="Times New Roman" w:eastAsia="Times New Roman" w:hAnsi="Times New Roman"/>
            <w:sz w:val="14"/>
            <w:szCs w:val="14"/>
            <w:u w:val="single" w:color="auto"/>
            <w:color w:val="0000EE"/>
          </w:rPr>
          <w:t>Certificate of Amendment to the Restated Certificate of Incorporation of</w:t>
        </w:r>
      </w:hyperlink>
    </w:p>
    <w:p>
      <w:pPr>
        <w:spacing w:after="0" w:line="3"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4300" w:type="dxa"/>
            <w:vAlign w:val="bottom"/>
            <w:gridSpan w:val="6"/>
          </w:tcPr>
          <w:p>
            <w:pPr>
              <w:spacing w:after="0"/>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0000EE"/>
                </w:rPr>
                <w:t>the Company, as filed with the Secretary of State of the State of Delaware</w:t>
              </w:r>
            </w:hyperlink>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1"/>
        </w:trPr>
        <w:tc>
          <w:tcPr>
            <w:tcW w:w="600" w:type="dxa"/>
            <w:vAlign w:val="bottom"/>
          </w:tcPr>
          <w:p>
            <w:pPr>
              <w:spacing w:after="0"/>
              <w:rPr>
                <w:sz w:val="13"/>
                <w:szCs w:val="13"/>
                <w:color w:val="auto"/>
              </w:rPr>
            </w:pPr>
          </w:p>
        </w:tc>
        <w:tc>
          <w:tcPr>
            <w:tcW w:w="980" w:type="dxa"/>
            <w:vAlign w:val="bottom"/>
            <w:tcBorders>
              <w:top w:val="single" w:sz="8" w:color="0000EE"/>
              <w:bottom w:val="single" w:sz="8" w:color="0000EE"/>
            </w:tcBorders>
            <w:gridSpan w:val="2"/>
          </w:tcPr>
          <w:p>
            <w:pPr>
              <w:spacing w:after="0" w:line="151" w:lineRule="exact"/>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0000EE"/>
                </w:rPr>
                <w:t>on June 25, 2021</w:t>
              </w:r>
            </w:hyperlink>
          </w:p>
        </w:tc>
        <w:tc>
          <w:tcPr>
            <w:tcW w:w="3220" w:type="dxa"/>
            <w:vAlign w:val="bottom"/>
            <w:tcBorders>
              <w:top w:val="single" w:sz="8" w:color="0000EE"/>
            </w:tcBorders>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780" w:type="dxa"/>
            <w:vAlign w:val="bottom"/>
          </w:tcPr>
          <w:p>
            <w:pPr>
              <w:ind w:left="60"/>
              <w:spacing w:after="0" w:line="151" w:lineRule="exact"/>
              <w:rPr>
                <w:sz w:val="20"/>
                <w:szCs w:val="20"/>
                <w:color w:val="auto"/>
              </w:rPr>
            </w:pPr>
            <w:r>
              <w:rPr>
                <w:rFonts w:ascii="Times New Roman" w:cs="Times New Roman" w:eastAsia="Times New Roman" w:hAnsi="Times New Roman"/>
                <w:sz w:val="14"/>
                <w:szCs w:val="14"/>
                <w:color w:val="auto"/>
              </w:rPr>
              <w:t>Form 8-K</w:t>
            </w:r>
          </w:p>
        </w:tc>
        <w:tc>
          <w:tcPr>
            <w:tcW w:w="920" w:type="dxa"/>
            <w:vAlign w:val="bottom"/>
          </w:tcPr>
          <w:p>
            <w:pPr>
              <w:jc w:val="right"/>
              <w:ind w:right="69"/>
              <w:spacing w:after="0" w:line="151" w:lineRule="exact"/>
              <w:rPr>
                <w:sz w:val="20"/>
                <w:szCs w:val="20"/>
                <w:color w:val="auto"/>
              </w:rPr>
            </w:pPr>
            <w:r>
              <w:rPr>
                <w:rFonts w:ascii="Times New Roman" w:cs="Times New Roman" w:eastAsia="Times New Roman" w:hAnsi="Times New Roman"/>
                <w:sz w:val="14"/>
                <w:szCs w:val="14"/>
                <w:color w:val="auto"/>
              </w:rPr>
              <w:t>001-35890</w:t>
            </w:r>
          </w:p>
        </w:tc>
        <w:tc>
          <w:tcPr>
            <w:tcW w:w="480" w:type="dxa"/>
            <w:vAlign w:val="bottom"/>
          </w:tcPr>
          <w:p>
            <w:pPr>
              <w:jc w:val="right"/>
              <w:ind w:right="109"/>
              <w:spacing w:after="0" w:line="151" w:lineRule="exact"/>
              <w:rPr>
                <w:sz w:val="20"/>
                <w:szCs w:val="20"/>
                <w:color w:val="auto"/>
              </w:rPr>
            </w:pPr>
            <w:r>
              <w:rPr>
                <w:rFonts w:ascii="Times New Roman" w:cs="Times New Roman" w:eastAsia="Times New Roman" w:hAnsi="Times New Roman"/>
                <w:sz w:val="14"/>
                <w:szCs w:val="14"/>
                <w:color w:val="auto"/>
              </w:rPr>
              <w:t>3.2</w:t>
            </w:r>
          </w:p>
        </w:tc>
        <w:tc>
          <w:tcPr>
            <w:tcW w:w="1160" w:type="dxa"/>
            <w:vAlign w:val="bottom"/>
          </w:tcPr>
          <w:p>
            <w:pPr>
              <w:ind w:left="180"/>
              <w:spacing w:after="0" w:line="151" w:lineRule="exact"/>
              <w:rPr>
                <w:sz w:val="20"/>
                <w:szCs w:val="20"/>
                <w:color w:val="auto"/>
              </w:rPr>
            </w:pPr>
            <w:r>
              <w:rPr>
                <w:rFonts w:ascii="Times New Roman" w:cs="Times New Roman" w:eastAsia="Times New Roman" w:hAnsi="Times New Roman"/>
                <w:sz w:val="14"/>
                <w:szCs w:val="14"/>
                <w:color w:val="auto"/>
              </w:rPr>
              <w:t>June 28, 2021</w:t>
            </w:r>
          </w:p>
        </w:tc>
      </w:tr>
      <w:tr>
        <w:trPr>
          <w:trHeight w:val="237"/>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  3.4</w:t>
            </w:r>
          </w:p>
        </w:tc>
        <w:tc>
          <w:tcPr>
            <w:tcW w:w="424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Certificate of Designation of Series A Junior Participating Preferred Stock</w:t>
              </w:r>
            </w:hyperlink>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151"/>
        </w:trPr>
        <w:tc>
          <w:tcPr>
            <w:tcW w:w="600" w:type="dxa"/>
            <w:vAlign w:val="bottom"/>
          </w:tcPr>
          <w:p>
            <w:pPr>
              <w:spacing w:after="0"/>
              <w:rPr>
                <w:sz w:val="13"/>
                <w:szCs w:val="13"/>
                <w:color w:val="auto"/>
              </w:rPr>
            </w:pPr>
          </w:p>
        </w:tc>
        <w:tc>
          <w:tcPr>
            <w:tcW w:w="4300" w:type="dxa"/>
            <w:vAlign w:val="bottom"/>
            <w:gridSpan w:val="6"/>
          </w:tcPr>
          <w:p>
            <w:pPr>
              <w:spacing w:after="0" w:line="151" w:lineRule="exact"/>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filed with the Secretary of State of the State of Delaware on October 10,</w:t>
              </w:r>
            </w:hyperlink>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1"/>
        </w:trPr>
        <w:tc>
          <w:tcPr>
            <w:tcW w:w="600" w:type="dxa"/>
            <w:vAlign w:val="bottom"/>
          </w:tcPr>
          <w:p>
            <w:pPr>
              <w:spacing w:after="0"/>
              <w:rPr>
                <w:sz w:val="13"/>
                <w:szCs w:val="13"/>
                <w:color w:val="auto"/>
              </w:rPr>
            </w:pPr>
          </w:p>
        </w:tc>
        <w:tc>
          <w:tcPr>
            <w:tcW w:w="280" w:type="dxa"/>
            <w:vAlign w:val="bottom"/>
            <w:tcBorders>
              <w:top w:val="single" w:sz="8" w:color="0000EE"/>
              <w:bottom w:val="single" w:sz="8" w:color="0000EE"/>
            </w:tcBorders>
          </w:tcPr>
          <w:p>
            <w:pPr>
              <w:spacing w:after="0" w:line="151" w:lineRule="exact"/>
              <w:rPr>
                <w:rFonts w:ascii="Times New Roman" w:cs="Times New Roman" w:eastAsia="Times New Roman" w:hAnsi="Times New Roman"/>
                <w:sz w:val="14"/>
                <w:szCs w:val="14"/>
                <w:color w:val="0000EE"/>
                <w:w w:val="92"/>
              </w:rPr>
            </w:pPr>
            <w:hyperlink r:id="rId69">
              <w:r>
                <w:rPr>
                  <w:rFonts w:ascii="Times New Roman" w:cs="Times New Roman" w:eastAsia="Times New Roman" w:hAnsi="Times New Roman"/>
                  <w:sz w:val="14"/>
                  <w:szCs w:val="14"/>
                  <w:color w:val="0000EE"/>
                  <w:w w:val="92"/>
                </w:rPr>
                <w:t>2023</w:t>
              </w:r>
            </w:hyperlink>
          </w:p>
        </w:tc>
        <w:tc>
          <w:tcPr>
            <w:tcW w:w="700" w:type="dxa"/>
            <w:vAlign w:val="bottom"/>
            <w:tcBorders>
              <w:top w:val="single" w:sz="8" w:color="0000EE"/>
            </w:tcBorders>
          </w:tcPr>
          <w:p>
            <w:pPr>
              <w:spacing w:after="0"/>
              <w:rPr>
                <w:sz w:val="13"/>
                <w:szCs w:val="13"/>
                <w:color w:val="auto"/>
              </w:rPr>
            </w:pPr>
          </w:p>
        </w:tc>
        <w:tc>
          <w:tcPr>
            <w:tcW w:w="314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ind w:left="60"/>
              <w:spacing w:after="0" w:line="151" w:lineRule="exact"/>
              <w:rPr>
                <w:sz w:val="20"/>
                <w:szCs w:val="20"/>
                <w:color w:val="auto"/>
              </w:rPr>
            </w:pPr>
            <w:r>
              <w:rPr>
                <w:rFonts w:ascii="Times New Roman" w:cs="Times New Roman" w:eastAsia="Times New Roman" w:hAnsi="Times New Roman"/>
                <w:sz w:val="14"/>
                <w:szCs w:val="14"/>
                <w:color w:val="auto"/>
              </w:rPr>
              <w:t>Form 8-K</w:t>
            </w:r>
          </w:p>
        </w:tc>
        <w:tc>
          <w:tcPr>
            <w:tcW w:w="920" w:type="dxa"/>
            <w:vAlign w:val="bottom"/>
          </w:tcPr>
          <w:p>
            <w:pPr>
              <w:jc w:val="right"/>
              <w:ind w:right="69"/>
              <w:spacing w:after="0" w:line="151" w:lineRule="exact"/>
              <w:rPr>
                <w:sz w:val="20"/>
                <w:szCs w:val="20"/>
                <w:color w:val="auto"/>
              </w:rPr>
            </w:pPr>
            <w:r>
              <w:rPr>
                <w:rFonts w:ascii="Times New Roman" w:cs="Times New Roman" w:eastAsia="Times New Roman" w:hAnsi="Times New Roman"/>
                <w:sz w:val="14"/>
                <w:szCs w:val="14"/>
                <w:color w:val="auto"/>
              </w:rPr>
              <w:t>001-35890</w:t>
            </w:r>
          </w:p>
        </w:tc>
        <w:tc>
          <w:tcPr>
            <w:tcW w:w="480" w:type="dxa"/>
            <w:vAlign w:val="bottom"/>
          </w:tcPr>
          <w:p>
            <w:pPr>
              <w:jc w:val="right"/>
              <w:ind w:right="109"/>
              <w:spacing w:after="0" w:line="151" w:lineRule="exact"/>
              <w:rPr>
                <w:sz w:val="20"/>
                <w:szCs w:val="20"/>
                <w:color w:val="auto"/>
              </w:rPr>
            </w:pPr>
            <w:r>
              <w:rPr>
                <w:rFonts w:ascii="Times New Roman" w:cs="Times New Roman" w:eastAsia="Times New Roman" w:hAnsi="Times New Roman"/>
                <w:sz w:val="14"/>
                <w:szCs w:val="14"/>
                <w:color w:val="auto"/>
              </w:rPr>
              <w:t>3.1</w:t>
            </w:r>
          </w:p>
        </w:tc>
        <w:tc>
          <w:tcPr>
            <w:tcW w:w="1160" w:type="dxa"/>
            <w:vAlign w:val="bottom"/>
          </w:tcPr>
          <w:p>
            <w:pPr>
              <w:ind w:left="180"/>
              <w:spacing w:after="0" w:line="151" w:lineRule="exact"/>
              <w:rPr>
                <w:sz w:val="20"/>
                <w:szCs w:val="20"/>
                <w:color w:val="auto"/>
              </w:rPr>
            </w:pPr>
            <w:r>
              <w:rPr>
                <w:rFonts w:ascii="Times New Roman" w:cs="Times New Roman" w:eastAsia="Times New Roman" w:hAnsi="Times New Roman"/>
                <w:sz w:val="14"/>
                <w:szCs w:val="14"/>
                <w:color w:val="auto"/>
                <w:w w:val="98"/>
              </w:rPr>
              <w:t>October 11, 2023</w:t>
            </w:r>
          </w:p>
        </w:tc>
      </w:tr>
    </w:tbl>
    <w:p>
      <w:pPr>
        <w:spacing w:after="0" w:line="92" w:lineRule="exact"/>
        <w:rPr>
          <w:sz w:val="20"/>
          <w:szCs w:val="20"/>
          <w:color w:val="auto"/>
        </w:rPr>
      </w:pPr>
    </w:p>
    <w:p>
      <w:pPr>
        <w:ind w:left="1360" w:hanging="77"/>
        <w:spacing w:after="0"/>
        <w:tabs>
          <w:tab w:leader="none" w:pos="1360" w:val="left"/>
        </w:tabs>
        <w:numPr>
          <w:ilvl w:val="0"/>
          <w:numId w:val="10"/>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3.5</w:t>
      </w:r>
      <w:hyperlink r:id="rId70">
        <w:r>
          <w:rPr>
            <w:rFonts w:ascii="Times New Roman" w:cs="Times New Roman" w:eastAsia="Times New Roman" w:hAnsi="Times New Roman"/>
            <w:sz w:val="14"/>
            <w:szCs w:val="14"/>
            <w:u w:val="single" w:color="auto"/>
            <w:color w:val="0000EE"/>
          </w:rPr>
          <w:t>Certificate of Amendment to the Restated Certificate of Incorporation of</w:t>
        </w:r>
      </w:hyperlink>
    </w:p>
    <w:p>
      <w:pPr>
        <w:spacing w:after="0" w:line="3"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422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the Company, as filed with the Secretary of State of the State of Delaware</w:t>
              </w:r>
            </w:hyperlink>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51"/>
        </w:trPr>
        <w:tc>
          <w:tcPr>
            <w:tcW w:w="600" w:type="dxa"/>
            <w:vAlign w:val="bottom"/>
          </w:tcPr>
          <w:p>
            <w:pPr>
              <w:spacing w:after="0"/>
              <w:rPr>
                <w:sz w:val="13"/>
                <w:szCs w:val="13"/>
                <w:color w:val="auto"/>
              </w:rPr>
            </w:pPr>
          </w:p>
        </w:tc>
        <w:tc>
          <w:tcPr>
            <w:tcW w:w="4280" w:type="dxa"/>
            <w:vAlign w:val="bottom"/>
            <w:gridSpan w:val="13"/>
          </w:tcPr>
          <w:p>
            <w:pPr>
              <w:spacing w:after="0" w:line="151" w:lineRule="exact"/>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on April 4, 2025</w:t>
              </w:r>
            </w:hyperlink>
          </w:p>
        </w:tc>
        <w:tc>
          <w:tcPr>
            <w:tcW w:w="800" w:type="dxa"/>
            <w:vAlign w:val="bottom"/>
          </w:tcPr>
          <w:p>
            <w:pPr>
              <w:ind w:left="80"/>
              <w:spacing w:after="0" w:line="151" w:lineRule="exact"/>
              <w:rPr>
                <w:sz w:val="20"/>
                <w:szCs w:val="20"/>
                <w:color w:val="auto"/>
              </w:rPr>
            </w:pPr>
            <w:r>
              <w:rPr>
                <w:rFonts w:ascii="Times New Roman" w:cs="Times New Roman" w:eastAsia="Times New Roman" w:hAnsi="Times New Roman"/>
                <w:sz w:val="14"/>
                <w:szCs w:val="14"/>
                <w:color w:val="auto"/>
              </w:rPr>
              <w:t>Form 8-K</w:t>
            </w:r>
          </w:p>
        </w:tc>
        <w:tc>
          <w:tcPr>
            <w:tcW w:w="920" w:type="dxa"/>
            <w:vAlign w:val="bottom"/>
          </w:tcPr>
          <w:p>
            <w:pPr>
              <w:jc w:val="right"/>
              <w:ind w:right="69"/>
              <w:spacing w:after="0" w:line="151" w:lineRule="exact"/>
              <w:rPr>
                <w:sz w:val="20"/>
                <w:szCs w:val="20"/>
                <w:color w:val="auto"/>
              </w:rPr>
            </w:pPr>
            <w:r>
              <w:rPr>
                <w:rFonts w:ascii="Times New Roman" w:cs="Times New Roman" w:eastAsia="Times New Roman" w:hAnsi="Times New Roman"/>
                <w:sz w:val="14"/>
                <w:szCs w:val="14"/>
                <w:color w:val="auto"/>
              </w:rPr>
              <w:t>001-35890</w:t>
            </w:r>
          </w:p>
        </w:tc>
        <w:tc>
          <w:tcPr>
            <w:tcW w:w="520" w:type="dxa"/>
            <w:vAlign w:val="bottom"/>
          </w:tcPr>
          <w:p>
            <w:pPr>
              <w:ind w:left="120"/>
              <w:spacing w:after="0" w:line="151" w:lineRule="exact"/>
              <w:rPr>
                <w:sz w:val="20"/>
                <w:szCs w:val="20"/>
                <w:color w:val="auto"/>
              </w:rPr>
            </w:pPr>
            <w:r>
              <w:rPr>
                <w:rFonts w:ascii="Times New Roman" w:cs="Times New Roman" w:eastAsia="Times New Roman" w:hAnsi="Times New Roman"/>
                <w:sz w:val="14"/>
                <w:szCs w:val="14"/>
                <w:color w:val="auto"/>
              </w:rPr>
              <w:t>3.1</w:t>
            </w:r>
          </w:p>
        </w:tc>
        <w:tc>
          <w:tcPr>
            <w:tcW w:w="1280" w:type="dxa"/>
            <w:vAlign w:val="bottom"/>
          </w:tcPr>
          <w:p>
            <w:pPr>
              <w:ind w:left="140"/>
              <w:spacing w:after="0" w:line="151" w:lineRule="exact"/>
              <w:rPr>
                <w:sz w:val="20"/>
                <w:szCs w:val="20"/>
                <w:color w:val="auto"/>
              </w:rPr>
            </w:pPr>
            <w:r>
              <w:rPr>
                <w:rFonts w:ascii="Times New Roman" w:cs="Times New Roman" w:eastAsia="Times New Roman" w:hAnsi="Times New Roman"/>
                <w:sz w:val="14"/>
                <w:szCs w:val="14"/>
                <w:color w:val="auto"/>
              </w:rPr>
              <w:t>April 7, 2025</w:t>
            </w:r>
          </w:p>
        </w:tc>
      </w:tr>
      <w:tr>
        <w:trPr>
          <w:trHeight w:val="20"/>
        </w:trPr>
        <w:tc>
          <w:tcPr>
            <w:tcW w:w="6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  3.6</w:t>
            </w:r>
          </w:p>
        </w:tc>
        <w:tc>
          <w:tcPr>
            <w:tcW w:w="4280" w:type="dxa"/>
            <w:vAlign w:val="bottom"/>
            <w:gridSpan w:val="13"/>
          </w:tcPr>
          <w:p>
            <w:pPr>
              <w:spacing w:after="0"/>
              <w:rPr>
                <w:rFonts w:ascii="Times New Roman" w:cs="Times New Roman" w:eastAsia="Times New Roman" w:hAnsi="Times New Roman"/>
                <w:sz w:val="14"/>
                <w:szCs w:val="14"/>
                <w:color w:val="0000EE"/>
              </w:rPr>
            </w:pPr>
            <w:hyperlink r:id="rId71">
              <w:r>
                <w:rPr>
                  <w:rFonts w:ascii="Times New Roman" w:cs="Times New Roman" w:eastAsia="Times New Roman" w:hAnsi="Times New Roman"/>
                  <w:sz w:val="14"/>
                  <w:szCs w:val="14"/>
                  <w:color w:val="0000EE"/>
                </w:rPr>
                <w:t>Amended and Restated Bylaws</w:t>
              </w:r>
            </w:hyperlink>
          </w:p>
        </w:tc>
        <w:tc>
          <w:tcPr>
            <w:tcW w:w="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Form 8-K</w:t>
            </w: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001-35890</w:t>
            </w:r>
          </w:p>
        </w:tc>
        <w:tc>
          <w:tcPr>
            <w:tcW w:w="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3.1</w:t>
            </w:r>
          </w:p>
        </w:tc>
        <w:tc>
          <w:tcPr>
            <w:tcW w:w="128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99"/>
              </w:rPr>
              <w:t>September 24, 2021</w:t>
            </w:r>
          </w:p>
        </w:tc>
      </w:tr>
      <w:tr>
        <w:trPr>
          <w:trHeight w:val="237"/>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126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4"/>
                <w:szCs w:val="14"/>
                <w:color w:val="0000EE"/>
                <w:w w:val="99"/>
              </w:rPr>
            </w:pPr>
            <w:hyperlink r:id="rId72">
              <w:r>
                <w:rPr>
                  <w:rFonts w:ascii="Times New Roman" w:cs="Times New Roman" w:eastAsia="Times New Roman" w:hAnsi="Times New Roman"/>
                  <w:sz w:val="14"/>
                  <w:szCs w:val="14"/>
                  <w:color w:val="0000EE"/>
                  <w:w w:val="99"/>
                </w:rPr>
                <w:t>Form of New Warrant</w:t>
              </w:r>
            </w:hyperlink>
          </w:p>
        </w:tc>
        <w:tc>
          <w:tcPr>
            <w:tcW w:w="520" w:type="dxa"/>
            <w:vAlign w:val="bottom"/>
            <w:tcBorders>
              <w:top w:val="single" w:sz="8" w:color="0000EE"/>
            </w:tcBorders>
          </w:tcPr>
          <w:p>
            <w:pPr>
              <w:spacing w:after="0"/>
              <w:rPr>
                <w:sz w:val="20"/>
                <w:szCs w:val="20"/>
                <w:color w:val="auto"/>
              </w:rPr>
            </w:pPr>
          </w:p>
        </w:tc>
        <w:tc>
          <w:tcPr>
            <w:tcW w:w="2500" w:type="dxa"/>
            <w:vAlign w:val="bottom"/>
            <w:gridSpan w:val="8"/>
          </w:tcPr>
          <w:p>
            <w:pPr>
              <w:spacing w:after="0"/>
              <w:rPr>
                <w:sz w:val="20"/>
                <w:szCs w:val="20"/>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Form 8-K</w:t>
            </w: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001-35890</w:t>
            </w:r>
          </w:p>
        </w:tc>
        <w:tc>
          <w:tcPr>
            <w:tcW w:w="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10.2</w:t>
            </w:r>
          </w:p>
        </w:tc>
        <w:tc>
          <w:tcPr>
            <w:tcW w:w="1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June 2, 2026</w:t>
            </w:r>
          </w:p>
        </w:tc>
      </w:tr>
      <w:tr>
        <w:trPr>
          <w:trHeight w:val="237"/>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  4.2</w:t>
            </w:r>
          </w:p>
        </w:tc>
        <w:tc>
          <w:tcPr>
            <w:tcW w:w="4280" w:type="dxa"/>
            <w:vAlign w:val="bottom"/>
            <w:gridSpan w:val="13"/>
          </w:tcPr>
          <w:p>
            <w:pPr>
              <w:spacing w:after="0"/>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Form of Placement Agent Warrant</w:t>
              </w:r>
            </w:hyperlink>
          </w:p>
        </w:tc>
        <w:tc>
          <w:tcPr>
            <w:tcW w:w="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Form 8-K</w:t>
            </w: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001-35890</w:t>
            </w:r>
          </w:p>
        </w:tc>
        <w:tc>
          <w:tcPr>
            <w:tcW w:w="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10.3</w:t>
            </w:r>
          </w:p>
        </w:tc>
        <w:tc>
          <w:tcPr>
            <w:tcW w:w="1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June 2, 2026</w:t>
            </w:r>
          </w:p>
        </w:tc>
      </w:tr>
      <w:tr>
        <w:trPr>
          <w:trHeight w:val="20"/>
        </w:trPr>
        <w:tc>
          <w:tcPr>
            <w:tcW w:w="6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  5.1*</w:t>
            </w:r>
          </w:p>
        </w:tc>
        <w:tc>
          <w:tcPr>
            <w:tcW w:w="428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Opinion of Greenberg Traurig LLP</w:t>
            </w: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6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4280" w:type="dxa"/>
            <w:vAlign w:val="bottom"/>
            <w:gridSpan w:val="13"/>
          </w:tcPr>
          <w:p>
            <w:pPr>
              <w:spacing w:after="0"/>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Form of Warrant Exercise and Inducement Offer Letter</w:t>
              </w:r>
            </w:hyperlink>
          </w:p>
        </w:tc>
        <w:tc>
          <w:tcPr>
            <w:tcW w:w="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Form 8-K</w:t>
            </w: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001-35890</w:t>
            </w:r>
          </w:p>
        </w:tc>
        <w:tc>
          <w:tcPr>
            <w:tcW w:w="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10.1</w:t>
            </w:r>
          </w:p>
        </w:tc>
        <w:tc>
          <w:tcPr>
            <w:tcW w:w="1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June 2, 2026</w:t>
            </w:r>
          </w:p>
        </w:tc>
      </w:tr>
      <w:tr>
        <w:trPr>
          <w:trHeight w:val="20"/>
        </w:trPr>
        <w:tc>
          <w:tcPr>
            <w:tcW w:w="6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428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Consent of Ernst &amp; Young LLP, independent registered public accounting</w:t>
            </w: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51"/>
        </w:trPr>
        <w:tc>
          <w:tcPr>
            <w:tcW w:w="600" w:type="dxa"/>
            <w:vAlign w:val="bottom"/>
          </w:tcPr>
          <w:p>
            <w:pPr>
              <w:spacing w:after="0"/>
              <w:rPr>
                <w:sz w:val="13"/>
                <w:szCs w:val="13"/>
                <w:color w:val="auto"/>
              </w:rPr>
            </w:pPr>
          </w:p>
        </w:tc>
        <w:tc>
          <w:tcPr>
            <w:tcW w:w="4200" w:type="dxa"/>
            <w:vAlign w:val="bottom"/>
            <w:tcBorders>
              <w:top w:val="single" w:sz="8" w:color="0000EE"/>
            </w:tcBorders>
            <w:gridSpan w:val="11"/>
          </w:tcPr>
          <w:p>
            <w:pPr>
              <w:spacing w:after="0" w:line="151" w:lineRule="exact"/>
              <w:rPr>
                <w:sz w:val="20"/>
                <w:szCs w:val="20"/>
                <w:color w:val="auto"/>
              </w:rPr>
            </w:pPr>
            <w:r>
              <w:rPr>
                <w:rFonts w:ascii="Times New Roman" w:cs="Times New Roman" w:eastAsia="Times New Roman" w:hAnsi="Times New Roman"/>
                <w:sz w:val="14"/>
                <w:szCs w:val="14"/>
                <w:color w:val="0000EE"/>
              </w:rPr>
              <w:t>firm</w:t>
            </w:r>
          </w:p>
        </w:tc>
        <w:tc>
          <w:tcPr>
            <w:tcW w:w="8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tcPr>
          <w:p>
            <w:pPr>
              <w:ind w:left="140"/>
              <w:spacing w:after="0" w:line="151"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6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39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rPr>
              <w:t>Consent of Greenberg Traurig LLP (included in legal opinion filed as</w:t>
            </w:r>
          </w:p>
        </w:tc>
        <w:tc>
          <w:tcPr>
            <w:tcW w:w="320" w:type="dxa"/>
            <w:vAlign w:val="bottom"/>
            <w:gridSpan w:val="3"/>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51"/>
        </w:trPr>
        <w:tc>
          <w:tcPr>
            <w:tcW w:w="600" w:type="dxa"/>
            <w:vAlign w:val="bottom"/>
          </w:tcPr>
          <w:p>
            <w:pPr>
              <w:spacing w:after="0"/>
              <w:rPr>
                <w:sz w:val="13"/>
                <w:szCs w:val="13"/>
                <w:color w:val="auto"/>
              </w:rPr>
            </w:pPr>
          </w:p>
        </w:tc>
        <w:tc>
          <w:tcPr>
            <w:tcW w:w="4280" w:type="dxa"/>
            <w:vAlign w:val="bottom"/>
            <w:gridSpan w:val="13"/>
          </w:tcPr>
          <w:p>
            <w:pPr>
              <w:spacing w:after="0" w:line="151" w:lineRule="exact"/>
              <w:rPr>
                <w:sz w:val="20"/>
                <w:szCs w:val="20"/>
                <w:color w:val="auto"/>
              </w:rPr>
            </w:pPr>
            <w:r>
              <w:rPr>
                <w:rFonts w:ascii="Times New Roman" w:cs="Times New Roman" w:eastAsia="Times New Roman" w:hAnsi="Times New Roman"/>
                <w:sz w:val="14"/>
                <w:szCs w:val="14"/>
                <w:color w:val="0000EE"/>
              </w:rPr>
              <w:t>Exhibit 5.1)</w:t>
            </w: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tcPr>
          <w:p>
            <w:pPr>
              <w:ind w:left="140"/>
              <w:spacing w:after="0" w:line="151"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6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39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EE"/>
              </w:rPr>
              <w:t>Power of Attorney (see signature page to this registration statement)</w:t>
            </w:r>
          </w:p>
        </w:tc>
        <w:tc>
          <w:tcPr>
            <w:tcW w:w="380" w:type="dxa"/>
            <w:vAlign w:val="bottom"/>
            <w:gridSpan w:val="4"/>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r>
      <w:tr>
        <w:trPr>
          <w:trHeight w:val="237"/>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9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9"/>
              </w:rPr>
              <w:t>Filing Fee Table</w:t>
            </w:r>
          </w:p>
        </w:tc>
        <w:tc>
          <w:tcPr>
            <w:tcW w:w="3340" w:type="dxa"/>
            <w:vAlign w:val="bottom"/>
            <w:gridSpan w:val="10"/>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r>
    </w:tbl>
    <w:p>
      <w:pPr>
        <w:spacing w:after="0" w:line="1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  Filed herewith</w:t>
      </w:r>
    </w:p>
    <w:p>
      <w:pPr>
        <w:spacing w:after="0" w:line="1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90"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ind w:left="1280"/>
        <w:spacing w:after="0"/>
        <w:tabs>
          <w:tab w:leader="none" w:pos="212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4"/>
          <w:szCs w:val="14"/>
          <w:b w:val="1"/>
          <w:bCs w:val="1"/>
          <w:color w:val="auto"/>
        </w:rPr>
        <w:t>Undertakings</w:t>
      </w:r>
    </w:p>
    <w:p>
      <w:pPr>
        <w:spacing w:after="0" w:line="98" w:lineRule="exact"/>
        <w:rPr>
          <w:sz w:val="20"/>
          <w:szCs w:val="20"/>
          <w:color w:val="auto"/>
        </w:rPr>
      </w:pPr>
    </w:p>
    <w:p>
      <w:pPr>
        <w:ind w:left="1480" w:hanging="197"/>
        <w:spacing w:after="0"/>
        <w:tabs>
          <w:tab w:leader="none" w:pos="1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81" w:lineRule="exact"/>
        <w:rPr>
          <w:rFonts w:ascii="Times New Roman" w:cs="Times New Roman" w:eastAsia="Times New Roman" w:hAnsi="Times New Roman"/>
          <w:sz w:val="14"/>
          <w:szCs w:val="14"/>
          <w:color w:val="auto"/>
        </w:rPr>
      </w:pPr>
    </w:p>
    <w:p>
      <w:pPr>
        <w:ind w:left="1840" w:hanging="208"/>
        <w:spacing w:after="0"/>
        <w:tabs>
          <w:tab w:leader="none" w:pos="18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81" w:lineRule="exact"/>
        <w:rPr>
          <w:rFonts w:ascii="Times New Roman" w:cs="Times New Roman" w:eastAsia="Times New Roman" w:hAnsi="Times New Roman"/>
          <w:sz w:val="14"/>
          <w:szCs w:val="14"/>
          <w:color w:val="auto"/>
        </w:rPr>
      </w:pPr>
    </w:p>
    <w:p>
      <w:pPr>
        <w:ind w:left="1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to include any prospectus required by Section 10(a)(3) of the Securities Act of 1933;</w:t>
      </w:r>
    </w:p>
    <w:p>
      <w:pPr>
        <w:spacing w:after="0" w:line="181" w:lineRule="exact"/>
        <w:rPr>
          <w:sz w:val="20"/>
          <w:szCs w:val="20"/>
          <w:color w:val="auto"/>
        </w:rPr>
      </w:pPr>
    </w:p>
    <w:p>
      <w:pPr>
        <w:ind w:left="1280" w:right="299" w:firstLine="352"/>
        <w:spacing w:after="0" w:line="260" w:lineRule="auto"/>
        <w:tabs>
          <w:tab w:leader="none" w:pos="183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p>
    <w:p>
      <w:pPr>
        <w:spacing w:after="0" w:line="147" w:lineRule="exact"/>
        <w:rPr>
          <w:rFonts w:ascii="Times New Roman" w:cs="Times New Roman" w:eastAsia="Times New Roman" w:hAnsi="Times New Roman"/>
          <w:sz w:val="14"/>
          <w:szCs w:val="14"/>
          <w:color w:val="auto"/>
        </w:rPr>
      </w:pPr>
    </w:p>
    <w:p>
      <w:pPr>
        <w:ind w:left="1280" w:right="619" w:firstLine="352"/>
        <w:spacing w:after="0" w:line="290" w:lineRule="auto"/>
        <w:tabs>
          <w:tab w:leader="none" w:pos="187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2" w:lineRule="exact"/>
        <w:rPr>
          <w:sz w:val="20"/>
          <w:szCs w:val="20"/>
          <w:color w:val="auto"/>
        </w:rPr>
      </w:pPr>
    </w:p>
    <w:p>
      <w:pPr>
        <w:ind w:left="1280" w:right="219" w:firstLine="349"/>
        <w:spacing w:after="0" w:line="267"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paragraphs (1)(i), (1)(ii) and (1)(iii) do not apply if the registration statement is on Form S-3 and the information required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41" w:lineRule="exact"/>
        <w:rPr>
          <w:sz w:val="20"/>
          <w:szCs w:val="20"/>
          <w:color w:val="auto"/>
        </w:rPr>
      </w:pPr>
    </w:p>
    <w:p>
      <w:pPr>
        <w:ind w:left="1280" w:right="159" w:firstLine="352"/>
        <w:spacing w:after="0" w:line="272" w:lineRule="auto"/>
        <w:tabs>
          <w:tab w:leader="none" w:pos="1831"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36" w:lineRule="exact"/>
        <w:rPr>
          <w:rFonts w:ascii="Times New Roman" w:cs="Times New Roman" w:eastAsia="Times New Roman" w:hAnsi="Times New Roman"/>
          <w:sz w:val="14"/>
          <w:szCs w:val="14"/>
          <w:color w:val="auto"/>
        </w:rPr>
      </w:pPr>
    </w:p>
    <w:p>
      <w:pPr>
        <w:ind w:left="1280" w:right="659" w:firstLine="352"/>
        <w:spacing w:after="0" w:line="290" w:lineRule="auto"/>
        <w:tabs>
          <w:tab w:leader="none" w:pos="1831"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24" w:lineRule="exact"/>
        <w:rPr>
          <w:rFonts w:ascii="Times New Roman" w:cs="Times New Roman" w:eastAsia="Times New Roman" w:hAnsi="Times New Roman"/>
          <w:sz w:val="14"/>
          <w:szCs w:val="14"/>
          <w:color w:val="auto"/>
        </w:rPr>
      </w:pPr>
    </w:p>
    <w:p>
      <w:pPr>
        <w:ind w:left="1840" w:hanging="208"/>
        <w:spacing w:after="0"/>
        <w:tabs>
          <w:tab w:leader="none" w:pos="18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181" w:lineRule="exact"/>
        <w:rPr>
          <w:sz w:val="20"/>
          <w:szCs w:val="20"/>
          <w:color w:val="auto"/>
        </w:rPr>
      </w:pPr>
    </w:p>
    <w:p>
      <w:pPr>
        <w:ind w:left="1280" w:right="159" w:firstLine="352"/>
        <w:spacing w:after="0" w:line="290" w:lineRule="auto"/>
        <w:tabs>
          <w:tab w:leader="none" w:pos="179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4" w:lineRule="exact"/>
        <w:rPr>
          <w:rFonts w:ascii="Times New Roman" w:cs="Times New Roman" w:eastAsia="Times New Roman" w:hAnsi="Times New Roman"/>
          <w:sz w:val="14"/>
          <w:szCs w:val="14"/>
          <w:color w:val="auto"/>
        </w:rPr>
      </w:pPr>
    </w:p>
    <w:p>
      <w:pPr>
        <w:ind w:left="1280" w:right="159" w:firstLine="352"/>
        <w:spacing w:after="0" w:line="258" w:lineRule="auto"/>
        <w:tabs>
          <w:tab w:leader="none" w:pos="1838"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90"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8" w:lineRule="exact"/>
        <w:rPr>
          <w:sz w:val="20"/>
          <w:szCs w:val="20"/>
          <w:color w:val="auto"/>
        </w:rPr>
      </w:pPr>
    </w:p>
    <w:p>
      <w:pPr>
        <w:ind w:left="1280" w:right="319" w:firstLine="3"/>
        <w:spacing w:after="0" w:line="263" w:lineRule="auto"/>
        <w:tabs>
          <w:tab w:leader="none" w:pos="148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4" w:lineRule="exact"/>
        <w:rPr>
          <w:rFonts w:ascii="Times New Roman" w:cs="Times New Roman" w:eastAsia="Times New Roman" w:hAnsi="Times New Roman"/>
          <w:sz w:val="14"/>
          <w:szCs w:val="14"/>
          <w:color w:val="auto"/>
        </w:rPr>
      </w:pPr>
    </w:p>
    <w:p>
      <w:pPr>
        <w:ind w:left="1280" w:right="159" w:firstLine="3"/>
        <w:spacing w:after="0" w:line="260" w:lineRule="auto"/>
        <w:tabs>
          <w:tab w:leader="none" w:pos="147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90"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3" w:lineRule="exact"/>
        <w:rPr>
          <w:sz w:val="20"/>
          <w:szCs w:val="20"/>
          <w:color w:val="auto"/>
        </w:rPr>
      </w:pPr>
    </w:p>
    <w:p>
      <w:pPr>
        <w:ind w:left="1280" w:right="299" w:firstLine="349"/>
        <w:spacing w:after="0" w:line="27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Brisbane, State of California, on June 26, 2026.</w:t>
      </w:r>
    </w:p>
    <w:p>
      <w:pPr>
        <w:spacing w:after="0" w:line="1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TEMPEST THERAPEUTICS, INC.</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By: /s/ Matthew Angel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1001395</wp:posOffset>
            </wp:positionH>
            <wp:positionV relativeFrom="paragraph">
              <wp:posOffset>15875</wp:posOffset>
            </wp:positionV>
            <wp:extent cx="202946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8">
                      <a:extLst>
                        <a:ext uri="{28A0092B-C50C-407E-A947-70E740481C1C}"/>
                      </a:extLst>
                    </a:blip>
                    <a:srcRect/>
                    <a:stretch>
                      <a:fillRect/>
                    </a:stretch>
                  </pic:blipFill>
                  <pic:spPr bwMode="auto">
                    <a:xfrm>
                      <a:off x="0" y="0"/>
                      <a:ext cx="2029460" cy="6985"/>
                    </a:xfrm>
                    <a:prstGeom prst="rect">
                      <a:avLst/>
                    </a:prstGeom>
                    <a:noFill/>
                  </pic:spPr>
                </pic:pic>
              </a:graphicData>
            </a:graphic>
          </wp:anchor>
        </w:drawing>
      </w:r>
    </w:p>
    <w:p>
      <w:pPr>
        <w:spacing w:after="0" w:line="1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Matthew Angel</w:t>
      </w:r>
    </w:p>
    <w:p>
      <w:pPr>
        <w:spacing w:after="0" w:line="2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3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3" w:lineRule="exact"/>
        <w:rPr>
          <w:sz w:val="20"/>
          <w:szCs w:val="20"/>
          <w:color w:val="auto"/>
        </w:rPr>
      </w:pPr>
    </w:p>
    <w:p>
      <w:pPr>
        <w:ind w:left="1280" w:right="219" w:firstLine="349"/>
        <w:spacing w:after="0" w:line="258"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Matthew Angel and Nicholas Maestas, and each of them, as true and lawful attorneys-in-fact and agents, with full powers of substitution and resubstitution, for them and in their name, place and stead, in any and all capacities, to sign any and all amendments (including pre-effective and post-effective amendments) to this registration statement, and to sign any registration statement for the same offering covered by this registration statement that is to be effective upon filing pursuant to Rule 462 under the Securities Act of 1933, as amended, and to file the same, with all exhibits thereto, and other documents in connection therewith, with the Securities and Exchange Commission, and generally to do all such things in their names and behalf in their capacities as officers and directors to enable Tempest Therapeutics, Inc. to comply with the provisions of the Securities Act of 1933, as amended, and all requirements of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all that said attorneys-in-fact and agents, or any of them, or their or his substitutes or substitute, may lawfully do or cause to be done by virtue hereof.</w:t>
      </w:r>
    </w:p>
    <w:p>
      <w:pPr>
        <w:spacing w:after="0" w:line="149" w:lineRule="exact"/>
        <w:rPr>
          <w:sz w:val="20"/>
          <w:szCs w:val="20"/>
          <w:color w:val="auto"/>
        </w:rPr>
      </w:pPr>
    </w:p>
    <w:p>
      <w:pPr>
        <w:ind w:left="1280" w:right="539" w:firstLine="349"/>
        <w:spacing w:after="0" w:line="290"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below by the following persons in the capacities and on the dates indicated.</w:t>
      </w:r>
    </w:p>
    <w:p>
      <w:pPr>
        <w:spacing w:after="0" w:line="141" w:lineRule="exact"/>
        <w:rPr>
          <w:sz w:val="20"/>
          <w:szCs w:val="20"/>
          <w:color w:val="auto"/>
        </w:rPr>
      </w:pPr>
    </w:p>
    <w:tbl>
      <w:tblPr>
        <w:tblLayout w:type="fixed"/>
        <w:tblInd w:w="1280" w:type="dxa"/>
        <w:tblCellMar>
          <w:top w:w="0" w:type="dxa"/>
          <w:left w:w="0" w:type="dxa"/>
          <w:bottom w:w="0" w:type="dxa"/>
          <w:right w:w="0" w:type="dxa"/>
        </w:tblCellMar>
      </w:tblPr>
      <w:tr>
        <w:trPr>
          <w:trHeight w:val="148"/>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Signatures</w:t>
            </w:r>
          </w:p>
        </w:tc>
        <w:tc>
          <w:tcPr>
            <w:tcW w:w="80" w:type="dxa"/>
            <w:vAlign w:val="bottom"/>
          </w:tcPr>
          <w:p>
            <w:pPr>
              <w:spacing w:after="0"/>
              <w:rPr>
                <w:sz w:val="12"/>
                <w:szCs w:val="12"/>
                <w:color w:val="auto"/>
              </w:rPr>
            </w:pPr>
          </w:p>
        </w:tc>
        <w:tc>
          <w:tcPr>
            <w:tcW w:w="344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80" w:type="dxa"/>
            <w:vAlign w:val="bottom"/>
          </w:tcPr>
          <w:p>
            <w:pPr>
              <w:spacing w:after="0"/>
              <w:rPr>
                <w:sz w:val="12"/>
                <w:szCs w:val="12"/>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21"/>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/s/ Matthew Angel</w:t>
            </w: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June 26, 2026</w:t>
            </w:r>
          </w:p>
        </w:tc>
      </w:tr>
      <w:tr>
        <w:trPr>
          <w:trHeight w:val="176"/>
        </w:trPr>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Matthew Angel</w:t>
            </w: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1600" w:type="dxa"/>
            <w:vAlign w:val="bottom"/>
          </w:tcPr>
          <w:p>
            <w:pPr>
              <w:spacing w:after="0"/>
              <w:rPr>
                <w:sz w:val="15"/>
                <w:szCs w:val="15"/>
                <w:color w:val="auto"/>
              </w:rPr>
            </w:pPr>
          </w:p>
        </w:tc>
      </w:tr>
      <w:tr>
        <w:trPr>
          <w:trHeight w:val="338"/>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/s/ Justin Trojanowski</w:t>
            </w: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VP Finance, Corporate Secretary, Corporate Controller and</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June 26, 2026</w:t>
            </w:r>
          </w:p>
        </w:tc>
      </w:tr>
      <w:tr>
        <w:trPr>
          <w:trHeight w:val="135"/>
        </w:trPr>
        <w:tc>
          <w:tcPr>
            <w:tcW w:w="3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Justin Trojanowski</w:t>
            </w:r>
          </w:p>
        </w:tc>
        <w:tc>
          <w:tcPr>
            <w:tcW w:w="370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4"/>
                <w:szCs w:val="14"/>
                <w:color w:val="auto"/>
              </w:rPr>
              <w:t>Treasurer</w:t>
            </w:r>
          </w:p>
        </w:tc>
        <w:tc>
          <w:tcPr>
            <w:tcW w:w="1600" w:type="dxa"/>
            <w:vAlign w:val="bottom"/>
          </w:tcPr>
          <w:p>
            <w:pPr>
              <w:spacing w:after="0"/>
              <w:rPr>
                <w:sz w:val="11"/>
                <w:szCs w:val="11"/>
                <w:color w:val="auto"/>
              </w:rPr>
            </w:pPr>
          </w:p>
        </w:tc>
      </w:tr>
      <w:tr>
        <w:trPr>
          <w:trHeight w:val="171"/>
        </w:trPr>
        <w:tc>
          <w:tcPr>
            <w:tcW w:w="3440" w:type="dxa"/>
            <w:vAlign w:val="bottom"/>
          </w:tcPr>
          <w:p>
            <w:pPr>
              <w:spacing w:after="0"/>
              <w:rPr>
                <w:sz w:val="14"/>
                <w:szCs w:val="14"/>
                <w:color w:val="auto"/>
              </w:rPr>
            </w:pP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 and Principal Accounting</w:t>
            </w:r>
          </w:p>
        </w:tc>
        <w:tc>
          <w:tcPr>
            <w:tcW w:w="1600" w:type="dxa"/>
            <w:vAlign w:val="bottom"/>
          </w:tcPr>
          <w:p>
            <w:pPr>
              <w:spacing w:after="0"/>
              <w:rPr>
                <w:sz w:val="14"/>
                <w:szCs w:val="14"/>
                <w:color w:val="auto"/>
              </w:rPr>
            </w:pPr>
          </w:p>
        </w:tc>
      </w:tr>
      <w:tr>
        <w:trPr>
          <w:trHeight w:val="187"/>
        </w:trPr>
        <w:tc>
          <w:tcPr>
            <w:tcW w:w="3440" w:type="dxa"/>
            <w:vAlign w:val="bottom"/>
          </w:tcPr>
          <w:p>
            <w:pPr>
              <w:spacing w:after="0"/>
              <w:rPr>
                <w:sz w:val="16"/>
                <w:szCs w:val="16"/>
                <w:color w:val="auto"/>
              </w:rPr>
            </w:pP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4"/>
                <w:szCs w:val="14"/>
                <w:i w:val="1"/>
                <w:iCs w:val="1"/>
                <w:color w:val="auto"/>
              </w:rPr>
              <w:t>Officer</w:t>
            </w:r>
            <w:r>
              <w:rPr>
                <w:rFonts w:ascii="Times New Roman" w:cs="Times New Roman" w:eastAsia="Times New Roman" w:hAnsi="Times New Roman"/>
                <w:sz w:val="14"/>
                <w:szCs w:val="14"/>
                <w:color w:val="auto"/>
              </w:rPr>
              <w:t>)</w:t>
            </w:r>
          </w:p>
        </w:tc>
        <w:tc>
          <w:tcPr>
            <w:tcW w:w="1600" w:type="dxa"/>
            <w:vAlign w:val="bottom"/>
          </w:tcPr>
          <w:p>
            <w:pPr>
              <w:spacing w:after="0"/>
              <w:rPr>
                <w:sz w:val="16"/>
                <w:szCs w:val="16"/>
                <w:color w:val="auto"/>
              </w:rPr>
            </w:pPr>
          </w:p>
        </w:tc>
      </w:tr>
      <w:tr>
        <w:trPr>
          <w:trHeight w:val="353"/>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/s/ William Drake Richey</w:t>
            </w: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June 26, 2026</w:t>
            </w:r>
          </w:p>
        </w:tc>
      </w:tr>
      <w:tr>
        <w:trPr>
          <w:trHeight w:val="176"/>
        </w:trPr>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William Drake Richey</w:t>
            </w:r>
          </w:p>
        </w:tc>
        <w:tc>
          <w:tcPr>
            <w:tcW w:w="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338"/>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/s/ John David Yee</w:t>
            </w: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June 26, 2026</w:t>
            </w:r>
          </w:p>
        </w:tc>
      </w:tr>
      <w:tr>
        <w:trPr>
          <w:trHeight w:val="176"/>
        </w:trPr>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John David Yee</w:t>
            </w:r>
          </w:p>
        </w:tc>
        <w:tc>
          <w:tcPr>
            <w:tcW w:w="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85"/>
        </w:trPr>
        <w:tc>
          <w:tcPr>
            <w:tcW w:w="3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II-5</w:t>
            </w:r>
          </w:p>
        </w:tc>
        <w:tc>
          <w:tcPr>
            <w:tcW w:w="1600" w:type="dxa"/>
            <w:vAlign w:val="bottom"/>
          </w:tcPr>
          <w:p>
            <w:pPr>
              <w:spacing w:after="0"/>
              <w:rPr>
                <w:sz w:val="24"/>
                <w:szCs w:val="24"/>
                <w:color w:val="auto"/>
              </w:rPr>
            </w:pPr>
          </w:p>
        </w:tc>
      </w:tr>
    </w:tbl>
    <w:p>
      <w:pPr>
        <w:sectPr>
          <w:pgSz w:w="11900" w:h="16838" w:orient="portrait"/>
          <w:cols w:equalWidth="0" w:num="1">
            <w:col w:w="10159"/>
          </w:cols>
          <w:pgMar w:left="300" w:top="390" w:right="1440" w:bottom="1440" w:gutter="0" w:footer="0" w:header="0"/>
        </w:sectPr>
      </w:pPr>
    </w:p>
    <w:bookmarkStart w:id="25" w:name="page26"/>
    <w:bookmarkEnd w:id="25"/>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139065</wp:posOffset>
            </wp:positionV>
            <wp:extent cx="2321560" cy="5022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9">
                      <a:extLst>
                        <a:ext uri="{28A0092B-C50C-407E-A947-70E740481C1C}"/>
                      </a:extLst>
                    </a:blip>
                    <a:srcRect/>
                    <a:stretch>
                      <a:fillRect/>
                    </a:stretch>
                  </pic:blipFill>
                  <pic:spPr bwMode="auto">
                    <a:xfrm>
                      <a:off x="0" y="0"/>
                      <a:ext cx="2321560" cy="50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June 26, 2026</w:t>
      </w:r>
    </w:p>
    <w:p>
      <w:pPr>
        <w:spacing w:after="0" w:line="1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Tempest Therapeutics, Inc.</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200 Sierra Point Parkway, Suite 400</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Brisbane, CA 94005</w:t>
      </w:r>
    </w:p>
    <w:p>
      <w:pPr>
        <w:spacing w:after="0" w:line="189" w:lineRule="exact"/>
        <w:rPr>
          <w:sz w:val="20"/>
          <w:szCs w:val="20"/>
          <w:color w:val="auto"/>
        </w:rPr>
      </w:pPr>
    </w:p>
    <w:p>
      <w:pPr>
        <w:ind w:left="140"/>
        <w:spacing w:after="0"/>
        <w:tabs>
          <w:tab w:leader="none" w:pos="460" w:val="left"/>
        </w:tabs>
        <w:rPr>
          <w:sz w:val="20"/>
          <w:szCs w:val="20"/>
          <w:color w:val="auto"/>
        </w:rPr>
      </w:pPr>
      <w:r>
        <w:rPr>
          <w:rFonts w:ascii="Times New Roman" w:cs="Times New Roman" w:eastAsia="Times New Roman" w:hAnsi="Times New Roman"/>
          <w:sz w:val="14"/>
          <w:szCs w:val="14"/>
          <w:color w:val="auto"/>
        </w:rPr>
        <w:t>Re:</w:t>
        <w:tab/>
        <w:t>Registration Statement on Form S-3</w:t>
      </w:r>
    </w:p>
    <w:p>
      <w:pPr>
        <w:spacing w:after="0" w:line="1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96" w:lineRule="exact"/>
        <w:rPr>
          <w:sz w:val="20"/>
          <w:szCs w:val="20"/>
          <w:color w:val="auto"/>
        </w:rPr>
      </w:pPr>
    </w:p>
    <w:p>
      <w:pPr>
        <w:ind w:left="140" w:right="199"/>
        <w:spacing w:after="0" w:line="258" w:lineRule="auto"/>
        <w:rPr>
          <w:sz w:val="20"/>
          <w:szCs w:val="20"/>
          <w:color w:val="auto"/>
        </w:rPr>
      </w:pPr>
      <w:r>
        <w:rPr>
          <w:rFonts w:ascii="Times New Roman" w:cs="Times New Roman" w:eastAsia="Times New Roman" w:hAnsi="Times New Roman"/>
          <w:sz w:val="14"/>
          <w:szCs w:val="14"/>
          <w:color w:val="auto"/>
        </w:rPr>
        <w:t>We have acted as counsel to Tempest Therapeutics, Inc., a Delaware corporation (the “Company”), in connection with the preparation of the Company’s Registration Statement on Form S-3 under the Securities Act of 1933, as amended (the “Securities Act”), filed by the Company with the Securities and Exchange Commission (the “Commission”) on June 26, 2026 (the “Registration Statement”). This opinion letter is being furnished to you in connection with your filing of the Registration Statement. The Registration Statement relates to the resale from time to time by the selling stockholders named in the Registration Statement of up to 2,426,897 shares of common stock, par value $0.001 per share, of the Company (the “Common Stock”), consisting of (i) up to 2,344,828 shares of Common Stock issuable upon the exercise of outstanding common stock purchase warrants (the “New Warrants”), and</w:t>
      </w:r>
    </w:p>
    <w:p>
      <w:pPr>
        <w:spacing w:after="0" w:line="2" w:lineRule="exact"/>
        <w:rPr>
          <w:sz w:val="20"/>
          <w:szCs w:val="20"/>
          <w:color w:val="auto"/>
        </w:rPr>
      </w:pPr>
    </w:p>
    <w:p>
      <w:pPr>
        <w:ind w:left="140" w:right="199" w:firstLine="3"/>
        <w:spacing w:after="0" w:line="258" w:lineRule="auto"/>
        <w:tabs>
          <w:tab w:leader="none" w:pos="35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82,069 shares of Common Stock that are issuable upon the exercise of certain placement agent warrants (the “Placement Agent Warrants”, and together with the New Warrants, the “Warrants”). The foregoing shares of Common Stock being registered for resale under the Registration Statement are referred to as the “</w:t>
      </w:r>
      <w:r>
        <w:rPr>
          <w:rFonts w:ascii="Times New Roman" w:cs="Times New Roman" w:eastAsia="Times New Roman" w:hAnsi="Times New Roman"/>
          <w:sz w:val="14"/>
          <w:szCs w:val="14"/>
          <w:u w:val="single" w:color="auto"/>
          <w:color w:val="auto"/>
        </w:rPr>
        <w:t>Warrant Shares</w:t>
      </w:r>
      <w:r>
        <w:rPr>
          <w:rFonts w:ascii="Times New Roman" w:cs="Times New Roman" w:eastAsia="Times New Roman" w:hAnsi="Times New Roman"/>
          <w:sz w:val="14"/>
          <w:szCs w:val="14"/>
          <w:color w:val="auto"/>
        </w:rPr>
        <w:t>”. The New Warrants were issued pursuant to a warrant exercise and inducement offer letter agreement, dated May 28, 2026, by and between the Company and the investor named thereto (the “Inducement Agreement”), and the Placement Agent Warrants were issued pursuant to an engagement letter, dated as of May 26, 2026, entered into between the Company and the placement agent (the “Engagement Letter”).</w:t>
      </w:r>
    </w:p>
    <w:p>
      <w:pPr>
        <w:spacing w:after="0" w:line="318" w:lineRule="exact"/>
        <w:rPr>
          <w:sz w:val="20"/>
          <w:szCs w:val="20"/>
          <w:color w:val="auto"/>
        </w:rPr>
      </w:pPr>
    </w:p>
    <w:p>
      <w:pPr>
        <w:ind w:left="140" w:right="199"/>
        <w:spacing w:after="0" w:line="263" w:lineRule="auto"/>
        <w:rPr>
          <w:sz w:val="20"/>
          <w:szCs w:val="20"/>
          <w:color w:val="auto"/>
        </w:rPr>
      </w:pPr>
      <w:r>
        <w:rPr>
          <w:rFonts w:ascii="Times New Roman" w:cs="Times New Roman" w:eastAsia="Times New Roman" w:hAnsi="Times New Roman"/>
          <w:sz w:val="14"/>
          <w:szCs w:val="14"/>
          <w:color w:val="auto"/>
        </w:rPr>
        <w:t>In rendering the opinion set forth herein, we have examined the originals, or photostatic or certified copies, of (i) the Company’s Restated Certificate of Incorporation, as amended to the date hereof, (ii) the Third Amended and Restated Bylaws of the Company, (iii) resolutions of the Board of Directors of the Company, approving, among other things, the authorization and issuance of the Warrants and Warrant Shares and related matters, (iv) the Registration Statement and all exhibits thereto, (v) the Inducement Agreement, (vi) the Engagement Letter (vii) the Warrants, and (viii) such other records, documents and instruments as we deemed relevant and necessary for purposes of the opinion stated herein.</w:t>
      </w:r>
    </w:p>
    <w:p>
      <w:pPr>
        <w:spacing w:after="0" w:line="144" w:lineRule="exact"/>
        <w:rPr>
          <w:sz w:val="20"/>
          <w:szCs w:val="20"/>
          <w:color w:val="auto"/>
        </w:rPr>
      </w:pPr>
    </w:p>
    <w:p>
      <w:pPr>
        <w:ind w:left="140" w:right="159"/>
        <w:spacing w:after="0" w:line="263" w:lineRule="auto"/>
        <w:rPr>
          <w:sz w:val="20"/>
          <w:szCs w:val="20"/>
          <w:color w:val="auto"/>
        </w:rPr>
      </w:pPr>
      <w:r>
        <w:rPr>
          <w:rFonts w:ascii="Times New Roman" w:cs="Times New Roman" w:eastAsia="Times New Roman" w:hAnsi="Times New Roman"/>
          <w:sz w:val="14"/>
          <w:szCs w:val="14"/>
          <w:color w:val="auto"/>
        </w:rPr>
        <w:t>In making the foregoing examination, we have assumed the genuineness of all signatures, the legal capacity of all natural persons, the authenticity of all documents submitted to us as originals, the conformity to original documents of all documents submitted to us as photostatic or certified copies, and the authenticity of the originals of such copies. As to all questions of fact material to this opinion, where such facts have not been independently established, we have relied, to the extent we have deemed reasonably appropriate, upon representations or certificates of officers of the Company or governmental officials.</w:t>
      </w:r>
    </w:p>
    <w:p>
      <w:pPr>
        <w:spacing w:after="0" w:line="1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We do not express any opinion herein concerning any law other than the General Corporation Law of the State of Delaware.</w:t>
      </w:r>
    </w:p>
    <w:p>
      <w:pPr>
        <w:spacing w:after="0" w:line="181" w:lineRule="exact"/>
        <w:rPr>
          <w:sz w:val="20"/>
          <w:szCs w:val="20"/>
          <w:color w:val="auto"/>
        </w:rPr>
      </w:pPr>
    </w:p>
    <w:p>
      <w:pPr>
        <w:ind w:left="140" w:right="339"/>
        <w:spacing w:after="0" w:line="266" w:lineRule="auto"/>
        <w:rPr>
          <w:sz w:val="20"/>
          <w:szCs w:val="20"/>
          <w:color w:val="auto"/>
        </w:rPr>
      </w:pPr>
      <w:r>
        <w:rPr>
          <w:rFonts w:ascii="Times New Roman" w:cs="Times New Roman" w:eastAsia="Times New Roman" w:hAnsi="Times New Roman"/>
          <w:sz w:val="14"/>
          <w:szCs w:val="14"/>
          <w:color w:val="auto"/>
        </w:rPr>
        <w:t>With respect to the Warrant Shares, we express no opinion to the extent that future issuances of securities of the Company, antidilution adjustments to outstanding securities of the Company or other matters cause the Warrants to be exercisable for more shares of Common Stock than the number that remain available for issuance. Further, we have assumed the exercise price of the Warrants will not be adjusted to an amount below the par value per share of the Common Stock.</w:t>
      </w:r>
    </w:p>
    <w:p>
      <w:pPr>
        <w:sectPr>
          <w:pgSz w:w="11900" w:h="16838" w:orient="portrait"/>
          <w:cols w:equalWidth="0" w:num="1">
            <w:col w:w="9019"/>
          </w:cols>
          <w:pgMar w:left="1440" w:top="123" w:right="1440" w:bottom="1440" w:gutter="0" w:footer="0" w:header="0"/>
        </w:sectPr>
      </w:pPr>
    </w:p>
    <w:bookmarkStart w:id="26" w:name="page27"/>
    <w:bookmarkEnd w:id="26"/>
    <w:p>
      <w:pPr>
        <w:ind w:left="140" w:right="199"/>
        <w:spacing w:after="0" w:line="29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Based upon the foregoing, and subject to the qualifications, assumptions, limitations and exceptions stated herein, we are of the opinion that the Warrant Shares, when issued against payment therefor in accordance with the terms of the Warrants, will be validly issued, fully paid and nonassessable.</w:t>
      </w:r>
    </w:p>
    <w:p>
      <w:pPr>
        <w:spacing w:after="0" w:line="124" w:lineRule="exact"/>
        <w:rPr>
          <w:sz w:val="20"/>
          <w:szCs w:val="20"/>
          <w:color w:val="auto"/>
        </w:rPr>
      </w:pPr>
    </w:p>
    <w:p>
      <w:pPr>
        <w:ind w:left="140" w:right="239"/>
        <w:spacing w:after="0" w:line="290" w:lineRule="auto"/>
        <w:rPr>
          <w:sz w:val="20"/>
          <w:szCs w:val="20"/>
          <w:color w:val="auto"/>
        </w:rPr>
      </w:pPr>
      <w:r>
        <w:rPr>
          <w:rFonts w:ascii="Times New Roman" w:cs="Times New Roman" w:eastAsia="Times New Roman" w:hAnsi="Times New Roman"/>
          <w:sz w:val="14"/>
          <w:szCs w:val="14"/>
          <w:color w:val="auto"/>
        </w:rPr>
        <w:t>This opinion speaks only as of the date hereof. We expressly disclaim any responsibility to advise you of any development or circumstance of any kind, including any change of law or fact, that may occur after the date of this opinion that might affect the opinions expressed therein.</w:t>
      </w:r>
    </w:p>
    <w:p>
      <w:pPr>
        <w:spacing w:after="0" w:line="124" w:lineRule="exact"/>
        <w:rPr>
          <w:sz w:val="20"/>
          <w:szCs w:val="20"/>
          <w:color w:val="auto"/>
        </w:rPr>
      </w:pPr>
    </w:p>
    <w:p>
      <w:pPr>
        <w:ind w:left="140" w:right="319"/>
        <w:spacing w:after="0" w:line="266" w:lineRule="auto"/>
        <w:rPr>
          <w:sz w:val="20"/>
          <w:szCs w:val="20"/>
          <w:color w:val="auto"/>
        </w:rPr>
      </w:pPr>
      <w:r>
        <w:rPr>
          <w:rFonts w:ascii="Times New Roman" w:cs="Times New Roman" w:eastAsia="Times New Roman" w:hAnsi="Times New Roman"/>
          <w:sz w:val="14"/>
          <w:szCs w:val="14"/>
          <w:color w:val="auto"/>
        </w:rPr>
        <w:t>We hereby consent to the submission of this opinion to the Commission as an exhibit to the Registration Statement. We hereby also consent to the reference to our firm under the caption “Legal Matters” in the Registration Statement. We do not admit in providing such consent that we are included within the category of persons whose consent is required under Section 7 of the Securities Act and the rules and regulations of the Commission thereunder.</w:t>
      </w:r>
    </w:p>
    <w:p>
      <w:pPr>
        <w:spacing w:after="0" w:line="1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/s/ Greenberg Traurig,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17145</wp:posOffset>
            </wp:positionV>
            <wp:extent cx="221297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1">
                      <a:extLst>
                        <a:ext uri="{28A0092B-C50C-407E-A947-70E740481C1C}"/>
                      </a:extLst>
                    </a:blip>
                    <a:srcRect/>
                    <a:stretch>
                      <a:fillRect/>
                    </a:stretch>
                  </pic:blipFill>
                  <pic:spPr bwMode="auto">
                    <a:xfrm>
                      <a:off x="0" y="0"/>
                      <a:ext cx="2212975" cy="6985"/>
                    </a:xfrm>
                    <a:prstGeom prst="rect">
                      <a:avLst/>
                    </a:prstGeom>
                    <a:noFill/>
                  </pic:spPr>
                </pic:pic>
              </a:graphicData>
            </a:graphic>
          </wp:anchor>
        </w:drawing>
      </w:r>
    </w:p>
    <w:p>
      <w:pPr>
        <w:spacing w:after="0" w:line="1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Greenberg Traurig, LLP | Attorneys at Law</w:t>
      </w:r>
    </w:p>
    <w:p>
      <w:pPr>
        <w:spacing w:after="0" w:line="183" w:lineRule="exact"/>
        <w:rPr>
          <w:sz w:val="20"/>
          <w:szCs w:val="20"/>
          <w:color w:val="auto"/>
        </w:rPr>
      </w:pPr>
    </w:p>
    <w:p>
      <w:pPr>
        <w:jc w:val="right"/>
        <w:ind w:right="159"/>
        <w:spacing w:after="0"/>
        <w:rPr>
          <w:sz w:val="20"/>
          <w:szCs w:val="20"/>
          <w:color w:val="auto"/>
        </w:rPr>
      </w:pPr>
      <w:r>
        <w:rPr>
          <w:rFonts w:ascii="Times New Roman" w:cs="Times New Roman" w:eastAsia="Times New Roman" w:hAnsi="Times New Roman"/>
          <w:sz w:val="14"/>
          <w:szCs w:val="14"/>
          <w:color w:val="auto"/>
        </w:rPr>
        <w:t>www.gtlaw.com</w:t>
      </w:r>
    </w:p>
    <w:p>
      <w:pPr>
        <w:sectPr>
          <w:pgSz w:w="11900" w:h="16838" w:orient="portrait"/>
          <w:cols w:equalWidth="0" w:num="1">
            <w:col w:w="9019"/>
          </w:cols>
          <w:pgMar w:left="1440" w:top="242" w:right="1440" w:bottom="1440" w:gutter="0" w:footer="0" w:header="0"/>
        </w:sectPr>
      </w:pPr>
    </w:p>
    <w:bookmarkStart w:id="27" w:name="page28"/>
    <w:bookmarkEnd w:id="27"/>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81" w:lineRule="exact"/>
        <w:rPr>
          <w:sz w:val="20"/>
          <w:szCs w:val="20"/>
          <w:color w:val="auto"/>
        </w:rPr>
      </w:pPr>
    </w:p>
    <w:p>
      <w:pPr>
        <w:ind w:left="140" w:right="299"/>
        <w:spacing w:after="0" w:line="266"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the Registration Statement (Form S-3) and related Prospectus of Tempest Therapeutics, Inc. for the registration of 2,426,897 shares of its common stock and to the incorporation by reference therein of our report dated March 30, 2026, with respect to the consolidated financial statements of Tempest Therapeutics, Inc. included in its Annual Report (Form 10-K) for the year ended December 31, 2025, filed with the Securities and Exchange Commission.</w:t>
      </w:r>
    </w:p>
    <w:p>
      <w:pPr>
        <w:spacing w:after="0" w:line="1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Chicago, Illinois</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June 26, 2026</w:t>
      </w:r>
    </w:p>
    <w:p>
      <w:pPr>
        <w:sectPr>
          <w:pgSz w:w="11900" w:h="16838" w:orient="portrait"/>
          <w:cols w:equalWidth="0" w:num="1">
            <w:col w:w="9019"/>
          </w:cols>
          <w:pgMar w:left="1440" w:top="123" w:right="1440" w:bottom="1440" w:gutter="0" w:footer="0" w:header="0"/>
        </w:sectPr>
      </w:pPr>
    </w:p>
    <w:bookmarkStart w:id="28" w:name="page29"/>
    <w:bookmarkEnd w:id="28"/>
    <w:p>
      <w:pPr>
        <w:ind w:left="3460"/>
        <w:spacing w:after="0"/>
        <w:rPr>
          <w:sz w:val="20"/>
          <w:szCs w:val="20"/>
          <w:color w:val="auto"/>
        </w:rPr>
      </w:pPr>
      <w:r>
        <w:rPr>
          <w:rFonts w:ascii="Arial" w:cs="Arial" w:eastAsia="Arial" w:hAnsi="Arial"/>
          <w:sz w:val="28"/>
          <w:szCs w:val="28"/>
          <w:b w:val="1"/>
          <w:bCs w:val="1"/>
          <w:color w:val="auto"/>
        </w:rPr>
        <w:t>Calculation of Filing Fee Tables</w:t>
      </w:r>
    </w:p>
    <w:p>
      <w:pPr>
        <w:spacing w:after="0" w:line="180"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106" w:lineRule="exact"/>
        <w:rPr>
          <w:sz w:val="20"/>
          <w:szCs w:val="20"/>
          <w:color w:val="auto"/>
        </w:rPr>
      </w:pPr>
    </w:p>
    <w:p>
      <w:pPr>
        <w:jc w:val="center"/>
        <w:ind w:right="220"/>
        <w:spacing w:after="0"/>
        <w:rPr>
          <w:sz w:val="20"/>
          <w:szCs w:val="20"/>
          <w:color w:val="auto"/>
        </w:rPr>
      </w:pPr>
      <w:r>
        <w:rPr>
          <w:rFonts w:ascii="Arial" w:cs="Arial" w:eastAsia="Arial" w:hAnsi="Arial"/>
          <w:sz w:val="28"/>
          <w:szCs w:val="28"/>
          <w:b w:val="1"/>
          <w:bCs w:val="1"/>
          <w:color w:val="auto"/>
        </w:rPr>
        <w:t>Tempest Therapeutics, Inc.</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4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line="193"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20"/>
              <w:spacing w:after="0" w:line="193"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20" w:type="dxa"/>
            <w:vAlign w:val="bottom"/>
            <w:shd w:val="clear" w:color="auto" w:fill="9ADAF6"/>
          </w:tcPr>
          <w:p>
            <w:pPr>
              <w:jc w:val="right"/>
              <w:ind w:right="54"/>
              <w:spacing w:after="0" w:line="193"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Maximum</w:t>
            </w:r>
          </w:p>
        </w:tc>
        <w:tc>
          <w:tcPr>
            <w:tcW w:w="40" w:type="dxa"/>
            <w:vAlign w:val="bottom"/>
          </w:tcPr>
          <w:p>
            <w:pPr>
              <w:spacing w:after="0"/>
              <w:rPr>
                <w:sz w:val="16"/>
                <w:szCs w:val="16"/>
                <w:color w:val="auto"/>
              </w:rPr>
            </w:pPr>
          </w:p>
        </w:tc>
        <w:tc>
          <w:tcPr>
            <w:tcW w:w="10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shd w:val="clear" w:color="auto" w:fill="9ADAF6"/>
          </w:tcPr>
          <w:p>
            <w:pPr>
              <w:ind w:left="140"/>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0"/>
                <w:szCs w:val="10"/>
                <w:color w:val="auto"/>
              </w:rPr>
            </w:pPr>
          </w:p>
        </w:tc>
        <w:tc>
          <w:tcPr>
            <w:tcW w:w="720" w:type="dxa"/>
            <w:vAlign w:val="bottom"/>
            <w:shd w:val="clear" w:color="auto" w:fill="9ADAF6"/>
          </w:tcPr>
          <w:p>
            <w:pPr>
              <w:ind w:left="120"/>
              <w:spacing w:after="0" w:line="118" w:lineRule="exact"/>
              <w:rPr>
                <w:sz w:val="20"/>
                <w:szCs w:val="20"/>
                <w:color w:val="auto"/>
              </w:rPr>
            </w:pPr>
            <w:r>
              <w:rPr>
                <w:rFonts w:ascii="Arial" w:cs="Arial" w:eastAsia="Arial" w:hAnsi="Arial"/>
                <w:sz w:val="13"/>
                <w:szCs w:val="13"/>
                <w:b w:val="1"/>
                <w:bCs w:val="1"/>
                <w:color w:val="auto"/>
              </w:rPr>
              <w:t>Class</w:t>
            </w: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or Carry</w:t>
            </w:r>
          </w:p>
        </w:tc>
        <w:tc>
          <w:tcPr>
            <w:tcW w:w="20" w:type="dxa"/>
            <w:vAlign w:val="bottom"/>
          </w:tcPr>
          <w:p>
            <w:pPr>
              <w:spacing w:after="0"/>
              <w:rPr>
                <w:sz w:val="10"/>
                <w:szCs w:val="10"/>
                <w:color w:val="auto"/>
              </w:rPr>
            </w:pPr>
          </w:p>
        </w:tc>
        <w:tc>
          <w:tcPr>
            <w:tcW w:w="920" w:type="dxa"/>
            <w:vAlign w:val="bottom"/>
            <w:vMerge w:val="restart"/>
            <w:shd w:val="clear" w:color="auto" w:fill="9ADAF6"/>
          </w:tcPr>
          <w:p>
            <w:pPr>
              <w:jc w:val="right"/>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0"/>
                <w:szCs w:val="10"/>
                <w:color w:val="auto"/>
              </w:rPr>
            </w:pPr>
          </w:p>
        </w:tc>
        <w:tc>
          <w:tcPr>
            <w:tcW w:w="80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Offering</w:t>
            </w:r>
          </w:p>
        </w:tc>
        <w:tc>
          <w:tcPr>
            <w:tcW w:w="4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0"/>
                <w:szCs w:val="10"/>
                <w:color w:val="auto"/>
              </w:rPr>
            </w:pPr>
          </w:p>
        </w:tc>
        <w:tc>
          <w:tcPr>
            <w:tcW w:w="84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Registration</w:t>
            </w: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0"/>
                <w:szCs w:val="10"/>
                <w:color w:val="auto"/>
              </w:rPr>
            </w:pPr>
          </w:p>
        </w:tc>
        <w:tc>
          <w:tcPr>
            <w:tcW w:w="7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Initial</w:t>
            </w:r>
          </w:p>
        </w:tc>
        <w:tc>
          <w:tcPr>
            <w:tcW w:w="20" w:type="dxa"/>
            <w:vAlign w:val="bottom"/>
          </w:tcPr>
          <w:p>
            <w:pPr>
              <w:spacing w:after="0"/>
              <w:rPr>
                <w:sz w:val="10"/>
                <w:szCs w:val="10"/>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ind w:left="180"/>
              <w:spacing w:after="0" w:line="171"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Price Per</w:t>
            </w:r>
          </w:p>
        </w:tc>
        <w:tc>
          <w:tcPr>
            <w:tcW w:w="4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4"/>
                <w:szCs w:val="14"/>
                <w:color w:val="auto"/>
              </w:rPr>
            </w:pPr>
          </w:p>
        </w:tc>
        <w:tc>
          <w:tcPr>
            <w:tcW w:w="98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0"/>
                <w:szCs w:val="10"/>
                <w:color w:val="auto"/>
              </w:rPr>
            </w:pPr>
          </w:p>
        </w:tc>
        <w:tc>
          <w:tcPr>
            <w:tcW w:w="9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40" w:type="dxa"/>
            <w:vAlign w:val="bottom"/>
          </w:tcPr>
          <w:p>
            <w:pPr>
              <w:spacing w:after="0"/>
              <w:rPr>
                <w:sz w:val="10"/>
                <w:szCs w:val="10"/>
                <w:color w:val="auto"/>
              </w:rPr>
            </w:pPr>
          </w:p>
        </w:tc>
        <w:tc>
          <w:tcPr>
            <w:tcW w:w="10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Price</w:t>
            </w:r>
          </w:p>
        </w:tc>
        <w:tc>
          <w:tcPr>
            <w:tcW w:w="2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right w:val="single" w:sz="8" w:color="auto"/>
            </w:tcBorders>
            <w:vMerge w:val="restart"/>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54"/>
        </w:trPr>
        <w:tc>
          <w:tcPr>
            <w:tcW w:w="40" w:type="dxa"/>
            <w:vAlign w:val="bottom"/>
            <w:tcBorders>
              <w:left w:val="single" w:sz="8" w:color="auto"/>
            </w:tcBorders>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5"/>
          </w:tcPr>
          <w:p>
            <w:pPr>
              <w:jc w:val="center"/>
              <w:ind w:right="14"/>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40" w:type="dxa"/>
            <w:vAlign w:val="bottom"/>
          </w:tcPr>
          <w:p>
            <w:pPr>
              <w:spacing w:after="0"/>
              <w:rPr>
                <w:sz w:val="8"/>
                <w:szCs w:val="8"/>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par</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2,426,897</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$ 1.24</w:t>
            </w:r>
          </w:p>
        </w:tc>
        <w:tc>
          <w:tcPr>
            <w:tcW w:w="40" w:type="dxa"/>
            <w:vAlign w:val="bottom"/>
          </w:tcPr>
          <w:p>
            <w:pPr>
              <w:spacing w:after="0"/>
              <w:rPr>
                <w:sz w:val="8"/>
                <w:szCs w:val="8"/>
                <w:color w:val="auto"/>
              </w:rPr>
            </w:pPr>
          </w:p>
        </w:tc>
        <w:tc>
          <w:tcPr>
            <w:tcW w:w="10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$ 415.59</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71" w:lineRule="exact"/>
              <w:rPr>
                <w:sz w:val="20"/>
                <w:szCs w:val="20"/>
                <w:color w:val="auto"/>
              </w:rPr>
            </w:pPr>
            <w:r>
              <w:rPr>
                <w:rFonts w:ascii="Arial" w:cs="Arial" w:eastAsia="Arial" w:hAnsi="Arial"/>
                <w:sz w:val="17"/>
                <w:szCs w:val="17"/>
                <w:color w:val="auto"/>
              </w:rPr>
              <w:t>be Paid</w:t>
            </w:r>
          </w:p>
        </w:tc>
        <w:tc>
          <w:tcPr>
            <w:tcW w:w="4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w w:val="98"/>
              </w:rPr>
              <w:t>3,009,352.28</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line="118" w:lineRule="exact"/>
              <w:rPr>
                <w:sz w:val="20"/>
                <w:szCs w:val="20"/>
                <w:color w:val="auto"/>
              </w:rPr>
            </w:pPr>
            <w:r>
              <w:rPr>
                <w:rFonts w:ascii="Arial" w:cs="Arial" w:eastAsia="Arial" w:hAnsi="Arial"/>
                <w:sz w:val="13"/>
                <w:szCs w:val="13"/>
                <w:color w:val="auto"/>
              </w:rPr>
              <w:t>value of</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7"/>
                <w:szCs w:val="17"/>
                <w:color w:val="auto"/>
              </w:rPr>
              <w:t>$0.001</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Fees</w:t>
            </w: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w w:val="99"/>
              </w:rPr>
              <w:t>Previously</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5"/>
          </w:tcPr>
          <w:p>
            <w:pPr>
              <w:jc w:val="center"/>
              <w:ind w:right="34"/>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Carry</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Forward</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$ 415.59</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3,009,352.28</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$ 415.59</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5" w:lineRule="exact"/>
        <w:rPr>
          <w:sz w:val="20"/>
          <w:szCs w:val="20"/>
          <w:color w:val="auto"/>
        </w:rPr>
      </w:pPr>
    </w:p>
    <w:p>
      <w:pPr>
        <w:ind w:left="220" w:right="160" w:hanging="182"/>
        <w:spacing w:after="0" w:line="233" w:lineRule="auto"/>
        <w:tabs>
          <w:tab w:leader="none" w:pos="220" w:val="left"/>
        </w:tabs>
        <w:numPr>
          <w:ilvl w:val="0"/>
          <w:numId w:val="17"/>
        </w:numPr>
        <w:rPr>
          <w:rFonts w:ascii="Arial" w:cs="Arial" w:eastAsia="Arial" w:hAnsi="Arial"/>
          <w:sz w:val="21"/>
          <w:szCs w:val="21"/>
          <w:color w:val="auto"/>
          <w:vertAlign w:val="superscript"/>
        </w:rPr>
      </w:pPr>
      <w:r>
        <w:rPr>
          <w:rFonts w:ascii="Arial" w:cs="Arial" w:eastAsia="Arial" w:hAnsi="Arial"/>
          <w:sz w:val="17"/>
          <w:szCs w:val="17"/>
          <w:color w:val="auto"/>
        </w:rPr>
        <w:t>(A) Pursuant to Rule 416(a) promulgated under the Securities Act of 1933, as amended (the "Securities Act"), this registration statement shall also cover any additional shares of common stock, par value $0.001 per share, of Tempest Therapeutics, Inc. (the "Common Stock"), that may be offered or become issuable by reason of any share dividend, share split, recapitalization or other similar transaction effected without the receipt of consideration which results in an increase in the number of outstanding Common Stock. (B) Estimated solely for purposes of calculating the registration fee in accordance with Rule 457(c) under the Securities Act and based upon the average of the high and low sales prices of a Common Stock as reported on the Nasdaq Capital Market on 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4565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2">
                      <a:extLst>
                        <a:ext uri="{28A0092B-C50C-407E-A947-70E740481C1C}"/>
                      </a:extLst>
                    </a:blip>
                    <a:srcRect/>
                    <a:stretch>
                      <a:fillRect/>
                    </a:stretch>
                  </pic:blipFill>
                  <pic:spPr bwMode="auto">
                    <a:xfrm>
                      <a:off x="0" y="0"/>
                      <a:ext cx="7145655" cy="3873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1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0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0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Security</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Title</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tcBorders>
              <w:right w:val="single" w:sz="8" w:color="9ADAF6"/>
            </w:tcBorders>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40" w:type="dxa"/>
            <w:vAlign w:val="bottom"/>
          </w:tcPr>
          <w:p>
            <w:pPr>
              <w:spacing w:after="0"/>
              <w:rPr>
                <w:sz w:val="8"/>
                <w:szCs w:val="8"/>
                <w:color w:val="auto"/>
              </w:rPr>
            </w:pPr>
          </w:p>
        </w:tc>
        <w:tc>
          <w:tcPr>
            <w:tcW w:w="680" w:type="dxa"/>
            <w:vAlign w:val="bottom"/>
            <w:tcBorders>
              <w:right w:val="single" w:sz="8" w:color="9ADAF6"/>
            </w:tcBorders>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tcBorders>
              <w:right w:val="single" w:sz="8" w:color="9ADAF6"/>
            </w:tcBorders>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4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right w:val="single" w:sz="8" w:color="9ADAF6"/>
            </w:tcBorders>
            <w:gridSpan w:val="3"/>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right w:val="single" w:sz="8" w:color="9ADAF6"/>
            </w:tcBorders>
            <w:gridSpan w:val="3"/>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9ADAF6"/>
            </w:tcBorders>
            <w:gridSpan w:val="2"/>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jc w:val="center"/>
              <w:ind w:right="274"/>
              <w:spacing w:after="0" w:line="193"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6"/>
                <w:szCs w:val="16"/>
                <w:color w:val="auto"/>
              </w:rPr>
            </w:pPr>
          </w:p>
        </w:tc>
        <w:tc>
          <w:tcPr>
            <w:tcW w:w="620" w:type="dxa"/>
            <w:vAlign w:val="bottom"/>
            <w:tcBorders>
              <w:right w:val="single" w:sz="8" w:color="9ADAF6"/>
            </w:tcBorders>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680" w:type="dxa"/>
            <w:vAlign w:val="bottom"/>
            <w:tcBorders>
              <w:right w:val="single" w:sz="8" w:color="9ADAF6"/>
            </w:tcBorders>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 Fee</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0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8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tcBorders>
              <w:right w:val="single" w:sz="8" w:color="9ADAF6"/>
            </w:tcBorders>
            <w:gridSpan w:val="2"/>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40" w:type="dxa"/>
            <w:vAlign w:val="bottom"/>
          </w:tcPr>
          <w:p>
            <w:pPr>
              <w:spacing w:after="0"/>
              <w:rPr>
                <w:sz w:val="10"/>
                <w:szCs w:val="10"/>
                <w:color w:val="auto"/>
              </w:rPr>
            </w:pPr>
          </w:p>
        </w:tc>
        <w:tc>
          <w:tcPr>
            <w:tcW w:w="94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0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Claimed</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0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8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80" w:type="dxa"/>
            <w:vAlign w:val="bottom"/>
            <w:tcBorders>
              <w:right w:val="single" w:sz="8" w:color="9ADAF6"/>
            </w:tcBorders>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gridSpan w:val="13"/>
          </w:tcPr>
          <w:p>
            <w:pPr>
              <w:jc w:val="center"/>
              <w:ind w:right="177"/>
              <w:spacing w:after="0"/>
              <w:rPr>
                <w:sz w:val="20"/>
                <w:szCs w:val="20"/>
                <w:color w:val="auto"/>
              </w:rPr>
            </w:pPr>
            <w:r>
              <w:rPr>
                <w:rFonts w:ascii="Arial" w:cs="Arial" w:eastAsia="Arial" w:hAnsi="Arial"/>
                <w:sz w:val="17"/>
                <w:szCs w:val="17"/>
                <w:b w:val="1"/>
                <w:bCs w:val="1"/>
                <w:color w:val="auto"/>
                <w:w w:val="99"/>
              </w:rPr>
              <w:t>Rules 457(b) and 0-11(a)(2)</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0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0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80" w:type="dxa"/>
            <w:vAlign w:val="bottom"/>
            <w:tcBorders>
              <w:right w:val="single" w:sz="8" w:color="E7E7E2"/>
            </w:tcBorders>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gridSpan w:val="7"/>
          </w:tcPr>
          <w:p>
            <w:pPr>
              <w:jc w:val="center"/>
              <w:ind w:right="280"/>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0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0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80" w:type="dxa"/>
            <w:vAlign w:val="bottom"/>
            <w:tcBorders>
              <w:right w:val="single" w:sz="8" w:color="E7E7E2"/>
            </w:tcBorders>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right w:val="single" w:sz="8" w:color="9ADAF6"/>
            </w:tcBorders>
            <w:shd w:val="clear" w:color="auto" w:fill="9ADAF6"/>
          </w:tcPr>
          <w:p>
            <w:pPr>
              <w:spacing w:after="0"/>
              <w:rPr>
                <w:sz w:val="17"/>
                <w:szCs w:val="17"/>
                <w:color w:val="auto"/>
              </w:rPr>
            </w:pPr>
          </w:p>
        </w:tc>
        <w:tc>
          <w:tcPr>
            <w:tcW w:w="1160" w:type="dxa"/>
            <w:vAlign w:val="bottom"/>
            <w:gridSpan w:val="4"/>
            <w:shd w:val="clear" w:color="auto" w:fill="9ADAF6"/>
          </w:tcPr>
          <w:p>
            <w:pPr>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180" w:type="dxa"/>
            <w:vAlign w:val="bottom"/>
            <w:tcBorders>
              <w:right w:val="single" w:sz="8" w:color="9ADAF6"/>
            </w:tcBorders>
            <w:shd w:val="clear" w:color="auto" w:fill="9ADAF6"/>
          </w:tcPr>
          <w:p>
            <w:pPr>
              <w:spacing w:after="0"/>
              <w:rPr>
                <w:sz w:val="17"/>
                <w:szCs w:val="17"/>
                <w:color w:val="auto"/>
              </w:rPr>
            </w:pPr>
          </w:p>
        </w:tc>
        <w:tc>
          <w:tcPr>
            <w:tcW w:w="1840" w:type="dxa"/>
            <w:vAlign w:val="bottom"/>
            <w:gridSpan w:val="4"/>
            <w:shd w:val="clear" w:color="auto" w:fill="9ADAF6"/>
          </w:tcPr>
          <w:p>
            <w:pPr>
              <w:jc w:val="center"/>
              <w:ind w:right="78"/>
              <w:spacing w:after="0"/>
              <w:rPr>
                <w:sz w:val="20"/>
                <w:szCs w:val="20"/>
                <w:color w:val="auto"/>
              </w:rPr>
            </w:pPr>
            <w:r>
              <w:rPr>
                <w:rFonts w:ascii="Arial" w:cs="Arial" w:eastAsia="Arial" w:hAnsi="Arial"/>
                <w:sz w:val="17"/>
                <w:szCs w:val="17"/>
                <w:b w:val="1"/>
                <w:bCs w:val="1"/>
                <w:color w:val="auto"/>
              </w:rPr>
              <w:t>Maximum Aggregate</w:t>
            </w:r>
          </w:p>
        </w:tc>
        <w:tc>
          <w:tcPr>
            <w:tcW w:w="80" w:type="dxa"/>
            <w:vAlign w:val="bottom"/>
            <w:tcBorders>
              <w:right w:val="single" w:sz="8" w:color="9ADAF6"/>
            </w:tcBorders>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right w:val="single" w:sz="8" w:color="9ADAF6"/>
            </w:tcBorders>
            <w:shd w:val="clear" w:color="auto" w:fill="9ADAF6"/>
          </w:tcPr>
          <w:p>
            <w:pPr>
              <w:spacing w:after="0"/>
              <w:rPr>
                <w:sz w:val="8"/>
                <w:szCs w:val="8"/>
                <w:color w:val="auto"/>
              </w:rPr>
            </w:pPr>
          </w:p>
        </w:tc>
        <w:tc>
          <w:tcPr>
            <w:tcW w:w="1160" w:type="dxa"/>
            <w:vAlign w:val="bottom"/>
            <w:gridSpan w:val="4"/>
            <w:vMerge w:val="restart"/>
            <w:shd w:val="clear" w:color="auto" w:fill="9ADAF6"/>
          </w:tcPr>
          <w:p>
            <w:pPr>
              <w:spacing w:after="0" w:line="193"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1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20" w:type="dxa"/>
            <w:vAlign w:val="bottom"/>
            <w:gridSpan w:val="3"/>
            <w:vMerge w:val="restart"/>
            <w:shd w:val="clear" w:color="auto" w:fill="9ADAF6"/>
          </w:tcPr>
          <w:p>
            <w:pPr>
              <w:jc w:val="center"/>
              <w:ind w:right="118"/>
              <w:spacing w:after="0" w:line="193" w:lineRule="exact"/>
              <w:rPr>
                <w:sz w:val="20"/>
                <w:szCs w:val="20"/>
                <w:color w:val="auto"/>
              </w:rPr>
            </w:pPr>
            <w:r>
              <w:rPr>
                <w:rFonts w:ascii="Arial" w:cs="Arial" w:eastAsia="Arial" w:hAnsi="Arial"/>
                <w:sz w:val="17"/>
                <w:szCs w:val="17"/>
                <w:b w:val="1"/>
                <w:bCs w:val="1"/>
                <w:color w:val="auto"/>
              </w:rPr>
              <w:t>Offering Price of</w:t>
            </w:r>
          </w:p>
        </w:tc>
        <w:tc>
          <w:tcPr>
            <w:tcW w:w="80" w:type="dxa"/>
            <w:vAlign w:val="bottom"/>
            <w:tcBorders>
              <w:right w:val="single" w:sz="8" w:color="9ADAF6"/>
            </w:tcBorders>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ind w:left="20"/>
              <w:spacing w:after="0" w:line="193"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3"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580" w:type="dxa"/>
            <w:vAlign w:val="bottom"/>
            <w:gridSpan w:val="5"/>
            <w:vMerge w:val="restart"/>
            <w:shd w:val="clear" w:color="auto" w:fill="9ADAF6"/>
          </w:tcPr>
          <w:p>
            <w:pPr>
              <w:ind w:left="620"/>
              <w:spacing w:after="0" w:line="193"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right w:val="single" w:sz="8" w:color="9ADAF6"/>
            </w:tcBorders>
            <w:shd w:val="clear" w:color="auto" w:fill="9ADAF6"/>
          </w:tcPr>
          <w:p>
            <w:pPr>
              <w:spacing w:after="0"/>
              <w:rPr>
                <w:sz w:val="8"/>
                <w:szCs w:val="8"/>
                <w:color w:val="auto"/>
              </w:rPr>
            </w:pPr>
          </w:p>
        </w:tc>
        <w:tc>
          <w:tcPr>
            <w:tcW w:w="1160" w:type="dxa"/>
            <w:vAlign w:val="bottom"/>
            <w:gridSpan w:val="4"/>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20" w:type="dxa"/>
            <w:vAlign w:val="bottom"/>
            <w:gridSpan w:val="3"/>
            <w:vMerge w:val="continue"/>
            <w:shd w:val="clear" w:color="auto" w:fill="9ADAF6"/>
          </w:tcPr>
          <w:p>
            <w:pPr>
              <w:spacing w:after="0"/>
              <w:rPr>
                <w:sz w:val="8"/>
                <w:szCs w:val="8"/>
                <w:color w:val="auto"/>
              </w:rPr>
            </w:pPr>
          </w:p>
        </w:tc>
        <w:tc>
          <w:tcPr>
            <w:tcW w:w="80" w:type="dxa"/>
            <w:vAlign w:val="bottom"/>
            <w:tcBorders>
              <w:right w:val="single" w:sz="8" w:color="9ADAF6"/>
            </w:tcBorders>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60"/>
              <w:spacing w:after="0" w:line="193"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40"/>
              <w:spacing w:after="0" w:line="193"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58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right w:val="single" w:sz="8" w:color="9ADAF6"/>
            </w:tcBorders>
            <w:shd w:val="clear" w:color="auto" w:fill="9ADAF6"/>
          </w:tcPr>
          <w:p>
            <w:pPr>
              <w:spacing w:after="0"/>
              <w:rPr>
                <w:sz w:val="8"/>
                <w:szCs w:val="8"/>
                <w:color w:val="auto"/>
              </w:rPr>
            </w:pPr>
          </w:p>
        </w:tc>
        <w:tc>
          <w:tcPr>
            <w:tcW w:w="1160" w:type="dxa"/>
            <w:vAlign w:val="bottom"/>
            <w:gridSpan w:val="4"/>
            <w:vMerge w:val="restart"/>
            <w:shd w:val="clear" w:color="auto" w:fill="9ADAF6"/>
          </w:tcPr>
          <w:p>
            <w:pPr>
              <w:spacing w:after="0" w:line="193"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180" w:type="dxa"/>
            <w:vAlign w:val="bottom"/>
            <w:tcBorders>
              <w:right w:val="single" w:sz="8" w:color="9ADAF6"/>
            </w:tcBorders>
            <w:shd w:val="clear" w:color="auto" w:fill="9ADAF6"/>
          </w:tcPr>
          <w:p>
            <w:pPr>
              <w:spacing w:after="0"/>
              <w:rPr>
                <w:sz w:val="8"/>
                <w:szCs w:val="8"/>
                <w:color w:val="auto"/>
              </w:rPr>
            </w:pPr>
          </w:p>
        </w:tc>
        <w:tc>
          <w:tcPr>
            <w:tcW w:w="1840" w:type="dxa"/>
            <w:vAlign w:val="bottom"/>
            <w:gridSpan w:val="4"/>
            <w:vMerge w:val="restart"/>
            <w:shd w:val="clear" w:color="auto" w:fill="9ADAF6"/>
          </w:tcPr>
          <w:p>
            <w:pPr>
              <w:jc w:val="center"/>
              <w:ind w:right="58"/>
              <w:spacing w:after="0" w:line="193" w:lineRule="exact"/>
              <w:rPr>
                <w:sz w:val="20"/>
                <w:szCs w:val="20"/>
                <w:color w:val="auto"/>
              </w:rPr>
            </w:pPr>
            <w:r>
              <w:rPr>
                <w:rFonts w:ascii="Arial" w:cs="Arial" w:eastAsia="Arial" w:hAnsi="Arial"/>
                <w:sz w:val="17"/>
                <w:szCs w:val="17"/>
                <w:b w:val="1"/>
                <w:bCs w:val="1"/>
                <w:color w:val="auto"/>
                <w:w w:val="98"/>
              </w:rPr>
              <w:t>Securities Previously</w:t>
            </w:r>
          </w:p>
        </w:tc>
        <w:tc>
          <w:tcPr>
            <w:tcW w:w="80" w:type="dxa"/>
            <w:vAlign w:val="bottom"/>
            <w:tcBorders>
              <w:right w:val="single" w:sz="8" w:color="9ADAF6"/>
            </w:tcBorders>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ind w:left="40"/>
              <w:spacing w:after="0" w:line="193"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right w:val="single" w:sz="8" w:color="9ADAF6"/>
            </w:tcBorders>
            <w:shd w:val="clear" w:color="auto" w:fill="9ADAF6"/>
          </w:tcPr>
          <w:p>
            <w:pPr>
              <w:spacing w:after="0"/>
              <w:rPr>
                <w:sz w:val="8"/>
                <w:szCs w:val="8"/>
                <w:color w:val="auto"/>
              </w:rPr>
            </w:pPr>
          </w:p>
        </w:tc>
        <w:tc>
          <w:tcPr>
            <w:tcW w:w="1160" w:type="dxa"/>
            <w:vAlign w:val="bottom"/>
            <w:gridSpan w:val="4"/>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right w:val="single" w:sz="8" w:color="9ADAF6"/>
            </w:tcBorders>
            <w:shd w:val="clear" w:color="auto" w:fill="9ADAF6"/>
          </w:tcPr>
          <w:p>
            <w:pPr>
              <w:spacing w:after="0"/>
              <w:rPr>
                <w:sz w:val="8"/>
                <w:szCs w:val="8"/>
                <w:color w:val="auto"/>
              </w:rPr>
            </w:pPr>
          </w:p>
        </w:tc>
        <w:tc>
          <w:tcPr>
            <w:tcW w:w="1840" w:type="dxa"/>
            <w:vAlign w:val="bottom"/>
            <w:gridSpan w:val="4"/>
            <w:vMerge w:val="continue"/>
            <w:shd w:val="clear" w:color="auto" w:fill="9ADAF6"/>
          </w:tcPr>
          <w:p>
            <w:pPr>
              <w:spacing w:after="0"/>
              <w:rPr>
                <w:sz w:val="8"/>
                <w:szCs w:val="8"/>
                <w:color w:val="auto"/>
              </w:rPr>
            </w:pPr>
          </w:p>
        </w:tc>
        <w:tc>
          <w:tcPr>
            <w:tcW w:w="80" w:type="dxa"/>
            <w:vAlign w:val="bottom"/>
            <w:tcBorders>
              <w:right w:val="single" w:sz="8" w:color="9ADAF6"/>
            </w:tcBorders>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4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6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2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right w:val="single" w:sz="8" w:color="9ADAF6"/>
            </w:tcBorders>
            <w:shd w:val="clear" w:color="auto" w:fill="9ADAF6"/>
          </w:tcPr>
          <w:p>
            <w:pPr>
              <w:spacing w:after="0"/>
              <w:rPr>
                <w:sz w:val="12"/>
                <w:szCs w:val="12"/>
                <w:color w:val="auto"/>
              </w:rPr>
            </w:pPr>
          </w:p>
        </w:tc>
        <w:tc>
          <w:tcPr>
            <w:tcW w:w="1160" w:type="dxa"/>
            <w:vAlign w:val="bottom"/>
            <w:gridSpan w:val="4"/>
            <w:vMerge w:val="restart"/>
            <w:shd w:val="clear" w:color="auto" w:fill="9ADAF6"/>
          </w:tcPr>
          <w:p>
            <w:pP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180" w:type="dxa"/>
            <w:vAlign w:val="bottom"/>
            <w:tcBorders>
              <w:right w:val="single" w:sz="8" w:color="9ADAF6"/>
            </w:tcBorders>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1820" w:type="dxa"/>
            <w:vAlign w:val="bottom"/>
            <w:gridSpan w:val="3"/>
            <w:vMerge w:val="restart"/>
            <w:shd w:val="clear" w:color="auto" w:fill="9ADAF6"/>
          </w:tcPr>
          <w:p>
            <w:pPr>
              <w:jc w:val="center"/>
              <w:ind w:right="98"/>
              <w:spacing w:after="0"/>
              <w:rPr>
                <w:sz w:val="20"/>
                <w:szCs w:val="20"/>
                <w:color w:val="auto"/>
              </w:rPr>
            </w:pPr>
            <w:r>
              <w:rPr>
                <w:rFonts w:ascii="Arial" w:cs="Arial" w:eastAsia="Arial" w:hAnsi="Arial"/>
                <w:sz w:val="17"/>
                <w:szCs w:val="17"/>
                <w:b w:val="1"/>
                <w:bCs w:val="1"/>
                <w:color w:val="auto"/>
              </w:rPr>
              <w:t>Registered</w:t>
            </w:r>
          </w:p>
        </w:tc>
        <w:tc>
          <w:tcPr>
            <w:tcW w:w="80" w:type="dxa"/>
            <w:vAlign w:val="bottom"/>
            <w:tcBorders>
              <w:right w:val="single" w:sz="8" w:color="9ADAF6"/>
            </w:tcBorders>
          </w:tcPr>
          <w:p>
            <w:pPr>
              <w:spacing w:after="0"/>
              <w:rPr>
                <w:sz w:val="12"/>
                <w:szCs w:val="12"/>
                <w:color w:val="auto"/>
              </w:rPr>
            </w:pPr>
          </w:p>
        </w:tc>
        <w:tc>
          <w:tcPr>
            <w:tcW w:w="40" w:type="dxa"/>
            <w:vAlign w:val="bottom"/>
            <w:shd w:val="clear" w:color="auto" w:fill="9ADAF6"/>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00" w:type="dxa"/>
            <w:vAlign w:val="bottom"/>
            <w:tcBorders>
              <w:right w:val="single" w:sz="8" w:color="auto"/>
            </w:tcBorders>
            <w:gridSpan w:val="2"/>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Borders>
              <w:right w:val="single" w:sz="8" w:color="9ADAF6"/>
            </w:tcBorders>
            <w:shd w:val="clear" w:color="auto" w:fill="9ADAF6"/>
          </w:tcPr>
          <w:p>
            <w:pPr>
              <w:spacing w:after="0"/>
              <w:rPr>
                <w:sz w:val="7"/>
                <w:szCs w:val="7"/>
                <w:color w:val="auto"/>
              </w:rPr>
            </w:pPr>
          </w:p>
        </w:tc>
        <w:tc>
          <w:tcPr>
            <w:tcW w:w="1160" w:type="dxa"/>
            <w:vAlign w:val="bottom"/>
            <w:gridSpan w:val="4"/>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right w:val="single" w:sz="8" w:color="9ADAF6"/>
            </w:tcBorders>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820" w:type="dxa"/>
            <w:vAlign w:val="bottom"/>
            <w:gridSpan w:val="3"/>
            <w:vMerge w:val="continue"/>
            <w:shd w:val="clear" w:color="auto" w:fill="9ADAF6"/>
          </w:tcPr>
          <w:p>
            <w:pPr>
              <w:spacing w:after="0"/>
              <w:rPr>
                <w:sz w:val="7"/>
                <w:szCs w:val="7"/>
                <w:color w:val="auto"/>
              </w:rPr>
            </w:pPr>
          </w:p>
        </w:tc>
        <w:tc>
          <w:tcPr>
            <w:tcW w:w="80" w:type="dxa"/>
            <w:vAlign w:val="bottom"/>
            <w:tcBorders>
              <w:right w:val="single" w:sz="8" w:color="9ADAF6"/>
            </w:tcBorders>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60" w:type="dxa"/>
            <w:vAlign w:val="bottom"/>
            <w:tcBorders>
              <w:bottom w:val="single" w:sz="8" w:color="E7E7E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5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98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7"/>
    </w:lvl>
  </w:abstractNum>
  <w:abstractNum w:abstractNumId="4">
    <w:nsid w:val="1F16E9E8"/>
    <w:multiLevelType w:val="hybridMultilevel"/>
    <w:lvl w:ilvl="0">
      <w:lvlJc w:val="left"/>
      <w:lvlText w:val="•"/>
      <w:numFmt w:val="bullet"/>
      <w:start w:val="1"/>
    </w:lvl>
    <w:lvl w:ilvl="1">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
      <w:numFmt w:val="bullet"/>
      <w:start w:val="1"/>
    </w:lvl>
  </w:abstractNum>
  <w:abstractNum w:abstractNumId="9">
    <w:nsid w:val="109CF92E"/>
    <w:multiLevelType w:val="hybridMultilevel"/>
    <w:lvl w:ilvl="0">
      <w:lvlJc w:val="left"/>
      <w:lvlText w:val=" "/>
      <w:numFmt w:val="bullet"/>
      <w:start w:val="1"/>
    </w:lvl>
  </w:abstractNum>
  <w:abstractNum w:abstractNumId="10">
    <w:nsid w:val="DED7263"/>
    <w:multiLevelType w:val="hybridMultilevel"/>
    <w:lvl w:ilvl="0">
      <w:lvlJc w:val="left"/>
      <w:lvlText w:val="(%1)"/>
      <w:numFmt w:val="lowerLetter"/>
      <w:start w:val="1"/>
    </w:lvl>
    <w:lvl w:ilvl="1">
      <w:lvlJc w:val="left"/>
      <w:lvlText w:val="(%2)"/>
      <w:numFmt w:val="decimal"/>
      <w:start w:val="1"/>
    </w:lvl>
  </w:abstractNum>
  <w:abstractNum w:abstractNumId="11">
    <w:nsid w:val="7FDCC233"/>
    <w:multiLevelType w:val="hybridMultilevel"/>
    <w:lvl w:ilvl="0">
      <w:lvlJc w:val="left"/>
      <w:lvlText w:val="(%1)"/>
      <w:numFmt w:val="lowerRoman"/>
      <w:start w:val="2"/>
    </w:lvl>
  </w:abstractNum>
  <w:abstractNum w:abstractNumId="12">
    <w:nsid w:val="1BEFD79F"/>
    <w:multiLevelType w:val="hybridMultilevel"/>
    <w:lvl w:ilvl="0">
      <w:lvlJc w:val="left"/>
      <w:lvlText w:val="(%1)"/>
      <w:numFmt w:val="decimal"/>
      <w:start w:val="2"/>
    </w:lvl>
  </w:abstractNum>
  <w:abstractNum w:abstractNumId="13">
    <w:nsid w:val="41A7C4C9"/>
    <w:multiLevelType w:val="hybridMultilevel"/>
    <w:lvl w:ilvl="0">
      <w:lvlJc w:val="left"/>
      <w:lvlText w:val="(%1)"/>
      <w:numFmt w:val="lowerRoman"/>
      <w:start w:val="1"/>
    </w:lvl>
  </w:abstractNum>
  <w:abstractNum w:abstractNumId="14">
    <w:nsid w:val="6B68079A"/>
    <w:multiLevelType w:val="hybridMultilevel"/>
    <w:lvl w:ilvl="0">
      <w:lvlJc w:val="left"/>
      <w:lvlText w:val="(%1)"/>
      <w:numFmt w:val="lowerLetter"/>
      <w:start w:val="2"/>
    </w:lvl>
  </w:abstractNum>
  <w:abstractNum w:abstractNumId="15">
    <w:nsid w:val="4E6AFB66"/>
    <w:multiLevelType w:val="hybridMultilevel"/>
    <w:lvl w:ilvl="0">
      <w:lvlJc w:val="left"/>
      <w:lvlText w:val="(%1)"/>
      <w:numFmt w:val="lowerRoman"/>
      <w:start w:val="2"/>
    </w:lvl>
  </w:abstractNum>
  <w:abstractNum w:abstractNumId="16">
    <w:nsid w:val="25E45D3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jpe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75" Type="http://schemas.openxmlformats.org/officeDocument/2006/relationships/image" Target="media/image48.png"/><Relationship Id="rId76" Type="http://schemas.openxmlformats.org/officeDocument/2006/relationships/image" Target="media/image49.png"/><Relationship Id="rId77" Type="http://schemas.openxmlformats.org/officeDocument/2006/relationships/image" Target="media/image50.png"/><Relationship Id="rId78" Type="http://schemas.openxmlformats.org/officeDocument/2006/relationships/image" Target="media/image51.png"/><Relationship Id="rId79" Type="http://schemas.openxmlformats.org/officeDocument/2006/relationships/image" Target="media/image52.jpeg"/><Relationship Id="rId80" Type="http://schemas.openxmlformats.org/officeDocument/2006/relationships/image" Target="media/image53.png"/><Relationship Id="rId81" Type="http://schemas.openxmlformats.org/officeDocument/2006/relationships/image" Target="media/image54.png"/><Relationship Id="rId82" Type="http://schemas.openxmlformats.org/officeDocument/2006/relationships/image" Target="media/image55.png"/><Relationship Id="rId40" Type="http://schemas.openxmlformats.org/officeDocument/2006/relationships/hyperlink" Target="http://www.sec.gov/ix?doc=/Archives/edgar/data/1544227/000119312526130490/tpst-20251231.htm" TargetMode="External"/><Relationship Id="rId41" Type="http://schemas.openxmlformats.org/officeDocument/2006/relationships/hyperlink" Target="http://www.sec.gov/ix?doc=/Archives/edgar/data/1544227/000119312526224289/tpst-20260331.htm" TargetMode="External"/><Relationship Id="rId42" Type="http://schemas.openxmlformats.org/officeDocument/2006/relationships/hyperlink" Target="http://www.sec.gov/ix?doc=/Archives/edgar/data/1544227/000119312526207601/d93617d8k.htm" TargetMode="External"/><Relationship Id="rId43" Type="http://schemas.openxmlformats.org/officeDocument/2006/relationships/hyperlink" Target="http://www.sec.gov/ix?doc=/Archives/edgar/data/1544227/000119312526237207/d131489d8k.htm" TargetMode="External"/><Relationship Id="rId44" Type="http://schemas.openxmlformats.org/officeDocument/2006/relationships/hyperlink" Target="http://www.sec.gov/ix?doc=/Archives/edgar/data/1544227/000119312526237150/d29824d8k.htm" TargetMode="External"/><Relationship Id="rId45" Type="http://schemas.openxmlformats.org/officeDocument/2006/relationships/hyperlink" Target="http://www.sec.gov/ix?doc=/Archives/edgar/data/1544227/000119312526248648/d220128d8k.htm" TargetMode="External"/><Relationship Id="rId46" Type="http://schemas.openxmlformats.org/officeDocument/2006/relationships/hyperlink" Target="http://www.sec.gov/ix?doc=/Archives/edgar/data/1544227/000119312526251994/d105562d8k.htm" TargetMode="External"/><Relationship Id="rId47" Type="http://schemas.openxmlformats.org/officeDocument/2006/relationships/hyperlink" Target="http://www.sec.gov/ix?doc=/Archives/edgar/data/1544227/000119312526257684/d91703d8k.htm" TargetMode="External"/><Relationship Id="rId48" Type="http://schemas.openxmlformats.org/officeDocument/2006/relationships/hyperlink" Target="http://www.sec.gov/ix?doc=/Archives/edgar/data/1544227/000119312526278068/d158247d8k.htm" TargetMode="External"/><Relationship Id="rId49" Type="http://schemas.openxmlformats.org/officeDocument/2006/relationships/hyperlink" Target="http://www.sec.gov/Archives/edgar/data/1544227/000110465913033085/a13-9660_28a12b.htm" TargetMode="External"/><Relationship Id="rId50" Type="http://schemas.openxmlformats.org/officeDocument/2006/relationships/hyperlink" Target="http://www.sec.gov/Archives/edgar/data/1544227/000119312526130490/tpst-ex4_1.htm" TargetMode="External"/><Relationship Id="rId66" Type="http://schemas.openxmlformats.org/officeDocument/2006/relationships/hyperlink" Target="http://www.sec.gov/Archives/edgar/data/1544227/000155837019005038/mlnd-20190331ex31b53fa83.htm" TargetMode="External"/><Relationship Id="rId67" Type="http://schemas.openxmlformats.org/officeDocument/2006/relationships/hyperlink" Target="http://www.sec.gov/Archives/edgar/data/1544227/000119312521201157/d196630dex31.htm" TargetMode="External"/><Relationship Id="rId68" Type="http://schemas.openxmlformats.org/officeDocument/2006/relationships/hyperlink" Target="http://www.sec.gov/Archives/edgar/data/1544227/000119312521201157/d196630dex32.htm" TargetMode="External"/><Relationship Id="rId69" Type="http://schemas.openxmlformats.org/officeDocument/2006/relationships/hyperlink" Target="http://www.sec.gov/Archives/edgar/data/1544227/000119312523253882/d547808dex31.htm" TargetMode="External"/><Relationship Id="rId70" Type="http://schemas.openxmlformats.org/officeDocument/2006/relationships/hyperlink" Target="http://www.sec.gov/Archives/edgar/data/1544227/000119312525073987/d905141dex31.htm" TargetMode="External"/><Relationship Id="rId71" Type="http://schemas.openxmlformats.org/officeDocument/2006/relationships/hyperlink" Target="http://www.sec.gov/Archives/edgar/data/1544227/000119312521281694/d222030dex31.htm" TargetMode="External"/><Relationship Id="rId72" Type="http://schemas.openxmlformats.org/officeDocument/2006/relationships/hyperlink" Target="http://www.sec.gov/Archives/edgar/data/1544227/000119312526251994/d105562dex102.htm" TargetMode="External"/><Relationship Id="rId73" Type="http://schemas.openxmlformats.org/officeDocument/2006/relationships/hyperlink" Target="http://www.sec.gov/Archives/edgar/data/1544227/000119312526251994/d105562dex103.htm" TargetMode="External"/><Relationship Id="rId74" Type="http://schemas.openxmlformats.org/officeDocument/2006/relationships/hyperlink" Target="http://www.sec.gov/Archives/edgar/data/1544227/000119312526251994/d10556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2026-06-26T16:28:50Z</dcterms:created>
  <dcterms:modified xsi:type="dcterms:W3CDTF">2026-06-26T16:28:50Z</dcterms:modified>
</cp:coreProperties>
</file>