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914400</wp:posOffset>
                </wp:positionH>
                <wp:positionV relativeFrom="page">
                  <wp:posOffset>1214755</wp:posOffset>
                </wp:positionV>
                <wp:extent cx="594423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95.65pt" to="540.05pt,95.65pt" o:allowincell="f" strokecolor="#000000" strokeweight="0.96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1238885</wp:posOffset>
                </wp:positionV>
                <wp:extent cx="59442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97.55pt" to="540.05pt,97.55pt" o:allowincell="f" strokecolor="#000000" strokeweight="0.96pt">
                <w10:wrap anchorx="page" anchory="page"/>
              </v:line>
            </w:pict>
          </mc:Fallback>
        </mc:AlternateContent>
      </w: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6"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7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2" w:lineRule="exact"/>
        <w:rPr>
          <w:sz w:val="24"/>
          <w:szCs w:val="24"/>
          <w:color w:val="auto"/>
        </w:rPr>
      </w:pPr>
    </w:p>
    <w:p>
      <w:pPr>
        <w:ind w:left="380" w:hanging="327"/>
        <w:spacing w:after="0"/>
        <w:tabs>
          <w:tab w:leader="none" w:pos="380" w:val="left"/>
        </w:tabs>
        <w:numPr>
          <w:ilvl w:val="0"/>
          <w:numId w:val="1"/>
        </w:numPr>
        <w:rPr>
          <w:rFonts w:ascii="Segoe UI Emoji" w:cs="Segoe UI Emoji" w:eastAsia="Segoe UI Emoji" w:hAnsi="Segoe UI Emoji"/>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ind w:left="2980"/>
        <w:spacing w:after="0"/>
        <w:rPr>
          <w:rFonts w:ascii="Segoe UI Emoji" w:cs="Segoe UI Emoji" w:eastAsia="Segoe UI Emoji" w:hAnsi="Segoe UI Emoji"/>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001-35890</w:t>
      </w:r>
    </w:p>
    <w:p>
      <w:pPr>
        <w:spacing w:after="0" w:line="18"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Tempest Therapeutics,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___________________________________________________________________________________________________________________</w:t>
      </w:r>
    </w:p>
    <w:p>
      <w:pPr>
        <w:sectPr>
          <w:pgSz w:w="12240" w:h="15840" w:orient="portrait"/>
          <w:cols w:equalWidth="0" w:num="1">
            <w:col w:w="9360"/>
          </w:cols>
          <w:pgMar w:left="1440" w:top="1440" w:right="1440" w:bottom="1440" w:gutter="0" w:footer="0" w:header="0"/>
        </w:sectPr>
      </w:pPr>
    </w:p>
    <w:p>
      <w:pPr>
        <w:spacing w:after="0" w:line="70"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45-1472564</w:t>
      </w:r>
    </w:p>
    <w:p>
      <w:pPr>
        <w:spacing w:after="0" w:line="106" w:lineRule="exact"/>
        <w:rPr>
          <w:sz w:val="24"/>
          <w:szCs w:val="24"/>
          <w:color w:val="auto"/>
        </w:rPr>
      </w:pPr>
    </w:p>
    <w:p>
      <w:pPr>
        <w:sectPr>
          <w:pgSz w:w="12240" w:h="15840" w:orient="portrait"/>
          <w:cols w:equalWidth="0" w:num="2">
            <w:col w:w="6700" w:space="720"/>
            <w:col w:w="1940"/>
          </w:cols>
          <w:pgMar w:left="1440" w:top="1440" w:right="1440" w:bottom="1440" w:gutter="0" w:footer="0" w:header="0"/>
          <w:type w:val="continuous"/>
        </w:sectPr>
      </w:pPr>
    </w:p>
    <w:p>
      <w:pPr>
        <w:ind w:left="214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24"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80" w:lineRule="exact"/>
        <w:rPr>
          <w:sz w:val="24"/>
          <w:szCs w:val="24"/>
          <w:color w:val="auto"/>
        </w:rPr>
      </w:pPr>
    </w:p>
    <w:p>
      <w:pPr>
        <w:sectPr>
          <w:pgSz w:w="12240" w:h="15840" w:orient="portrait"/>
          <w:cols w:equalWidth="0" w:num="2">
            <w:col w:w="6460" w:space="720"/>
            <w:col w:w="2180"/>
          </w:cols>
          <w:pgMar w:left="1440" w:top="1440" w:right="1440"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5"/>
          <w:szCs w:val="15"/>
          <w:b w:val="1"/>
          <w:bCs w:val="1"/>
          <w:color w:val="auto"/>
        </w:rPr>
        <w:t>2000 Sierra Point Parkway, Suite 400</w:t>
      </w:r>
    </w:p>
    <w:p>
      <w:pPr>
        <w:spacing w:after="0" w:line="3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Brisbane, California</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94005</w:t>
      </w:r>
    </w:p>
    <w:p>
      <w:pPr>
        <w:spacing w:after="0" w:line="103" w:lineRule="exact"/>
        <w:rPr>
          <w:sz w:val="24"/>
          <w:szCs w:val="24"/>
          <w:color w:val="auto"/>
        </w:rPr>
      </w:pPr>
    </w:p>
    <w:p>
      <w:pPr>
        <w:sectPr>
          <w:pgSz w:w="12240" w:h="15840" w:orient="portrait"/>
          <w:cols w:equalWidth="0" w:num="2">
            <w:col w:w="6900" w:space="720"/>
            <w:col w:w="1740"/>
          </w:cols>
          <w:pgMar w:left="1440" w:top="1440" w:right="1440"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04" w:lineRule="exact"/>
        <w:rPr>
          <w:sz w:val="24"/>
          <w:szCs w:val="24"/>
          <w:color w:val="auto"/>
        </w:rPr>
      </w:pPr>
    </w:p>
    <w:p>
      <w:pPr>
        <w:sectPr>
          <w:pgSz w:w="12240" w:h="15840" w:orient="portrait"/>
          <w:cols w:equalWidth="0" w:num="2">
            <w:col w:w="6720" w:space="720"/>
            <w:col w:w="1920"/>
          </w:cols>
          <w:pgMar w:left="1440" w:top="144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798-8589</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2240" w:h="15840" w:orient="portrait"/>
          <w:cols w:equalWidth="0" w:num="1">
            <w:col w:w="9360"/>
          </w:cols>
          <w:pgMar w:left="1440" w:top="1440" w:right="1440" w:bottom="1440" w:gutter="0" w:footer="0" w:header="0"/>
          <w:type w:val="continuous"/>
        </w:sectPr>
      </w:pPr>
    </w:p>
    <w:p>
      <w:pPr>
        <w:spacing w:after="0" w:line="73"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108" w:lineRule="exact"/>
        <w:rPr>
          <w:sz w:val="24"/>
          <w:szCs w:val="24"/>
          <w:color w:val="auto"/>
        </w:rPr>
      </w:pPr>
    </w:p>
    <w:p>
      <w:pPr>
        <w:sectPr>
          <w:pgSz w:w="12240" w:h="15840" w:orient="portrait"/>
          <w:cols w:equalWidth="0" w:num="3">
            <w:col w:w="3580" w:space="720"/>
            <w:col w:w="1280" w:space="420"/>
            <w:col w:w="3360"/>
          </w:cols>
          <w:pgMar w:left="1440" w:top="1440"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6"/>
          <w:szCs w:val="16"/>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TPST</w:t>
      </w:r>
    </w:p>
    <w:p>
      <w:pPr>
        <w:spacing w:after="0" w:line="6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78" w:lineRule="exact"/>
        <w:rPr>
          <w:sz w:val="24"/>
          <w:szCs w:val="24"/>
          <w:color w:val="auto"/>
        </w:rPr>
      </w:pPr>
    </w:p>
    <w:p>
      <w:pPr>
        <w:sectPr>
          <w:pgSz w:w="12240" w:h="15840" w:orient="portrait"/>
          <w:cols w:equalWidth="0" w:num="3">
            <w:col w:w="4020" w:space="720"/>
            <w:col w:w="1080" w:space="720"/>
            <w:col w:w="2820"/>
          </w:cols>
          <w:pgMar w:left="1440" w:top="1440" w:right="1440"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6"/>
          <w:szCs w:val="16"/>
          <w:color w:val="auto"/>
        </w:rPr>
        <w:t>Series A Junior Participating Preferred Purchase Rights</w:t>
      </w:r>
    </w:p>
    <w:p>
      <w:pPr>
        <w:spacing w:after="0" w:line="102"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22"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_________________________________________________________________________________________________________________</w:t>
      </w:r>
    </w:p>
    <w:p>
      <w:pPr>
        <w:spacing w:after="0" w:line="82" w:lineRule="exact"/>
        <w:rPr>
          <w:sz w:val="24"/>
          <w:szCs w:val="24"/>
          <w:color w:val="auto"/>
        </w:rPr>
      </w:pPr>
    </w:p>
    <w:p>
      <w:pPr>
        <w:ind w:right="840"/>
        <w:spacing w:after="0" w:line="318"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Segoe UI Emoji" w:cs="Segoe UI Emoji" w:eastAsia="Segoe UI Emoji" w:hAnsi="Segoe UI Emoji"/>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Segoe UI Emoji" w:cs="Segoe UI Emoji" w:eastAsia="Segoe UI Emoji" w:hAnsi="Segoe UI Emoji"/>
          <w:sz w:val="16"/>
          <w:szCs w:val="16"/>
          <w:color w:val="auto"/>
        </w:rPr>
        <w:t>☐</w:t>
      </w:r>
      <w:r>
        <w:rPr>
          <w:rFonts w:ascii="Times New Roman" w:cs="Times New Roman" w:eastAsia="Times New Roman" w:hAnsi="Times New Roman"/>
          <w:sz w:val="16"/>
          <w:szCs w:val="16"/>
          <w:color w:val="auto"/>
        </w:rPr>
        <w:t xml:space="preserve"> No </w:t>
      </w:r>
      <w:r>
        <w:rPr>
          <w:rFonts w:ascii="Segoe UI Emoji" w:cs="Segoe UI Emoji" w:eastAsia="Segoe UI Emoji" w:hAnsi="Segoe UI Emoji"/>
          <w:sz w:val="16"/>
          <w:szCs w:val="16"/>
          <w:color w:val="auto"/>
        </w:rPr>
        <w:t>☒</w:t>
      </w: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Emoji" w:cs="Segoe UI Emoji" w:eastAsia="Segoe UI Emoji" w:hAnsi="Segoe UI Emoji"/>
          <w:sz w:val="16"/>
          <w:szCs w:val="16"/>
          <w:color w:val="auto"/>
        </w:rPr>
        <w:t>☒</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51"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w:t>
      </w:r>
    </w:p>
    <w:p>
      <w:pPr>
        <w:spacing w:after="0" w:line="230" w:lineRule="auto"/>
        <w:tabs>
          <w:tab w:leader="none" w:pos="1320" w:val="left"/>
        </w:tabs>
        <w:rPr>
          <w:sz w:val="20"/>
          <w:szCs w:val="20"/>
          <w:color w:val="auto"/>
        </w:rPr>
      </w:pPr>
      <w:r>
        <w:rPr>
          <w:rFonts w:ascii="Times New Roman" w:cs="Times New Roman" w:eastAsia="Times New Roman" w:hAnsi="Times New Roman"/>
          <w:sz w:val="16"/>
          <w:szCs w:val="16"/>
          <w:color w:val="auto"/>
        </w:rPr>
        <w:t>submit such files).</w:t>
        <w:tab/>
        <w:t xml:space="preserve">Yes </w:t>
      </w:r>
      <w:r>
        <w:rPr>
          <w:rFonts w:ascii="Segoe UI Emoji" w:cs="Segoe UI Emoji" w:eastAsia="Segoe UI Emoji" w:hAnsi="Segoe UI Emoji"/>
          <w:sz w:val="16"/>
          <w:szCs w:val="16"/>
          <w:color w:val="auto"/>
        </w:rPr>
        <w:t>☒</w:t>
      </w:r>
    </w:p>
    <w:p>
      <w:pPr>
        <w:spacing w:after="0" w:line="238" w:lineRule="auto"/>
        <w:rPr>
          <w:sz w:val="20"/>
          <w:szCs w:val="20"/>
          <w:color w:val="auto"/>
        </w:rPr>
      </w:pPr>
      <w:r>
        <w:rPr>
          <w:rFonts w:ascii="Times New Roman" w:cs="Times New Roman" w:eastAsia="Times New Roman" w:hAnsi="Times New Roman"/>
          <w:sz w:val="16"/>
          <w:szCs w:val="16"/>
          <w:color w:val="auto"/>
        </w:rPr>
        <w:t xml:space="preserve">No </w:t>
      </w:r>
      <w:r>
        <w:rPr>
          <w:rFonts w:ascii="PMingLiU" w:cs="PMingLiU" w:eastAsia="PMingLiU" w:hAnsi="PMingLiU"/>
          <w:sz w:val="16"/>
          <w:szCs w:val="16"/>
          <w:color w:val="auto"/>
        </w:rPr>
        <w:t></w:t>
      </w:r>
    </w:p>
    <w:p>
      <w:pPr>
        <w:spacing w:after="0" w:line="51" w:lineRule="exact"/>
        <w:rPr>
          <w:sz w:val="24"/>
          <w:szCs w:val="24"/>
          <w:color w:val="auto"/>
        </w:rPr>
      </w:pPr>
    </w:p>
    <w:p>
      <w:pPr>
        <w:jc w:val="both"/>
        <w:ind w:right="4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360"/>
          </w:cols>
          <w:pgMar w:left="1440" w:top="1440" w:right="1440" w:bottom="1440" w:gutter="0" w:footer="0" w:header="0"/>
          <w:type w:val="continuous"/>
        </w:sectPr>
      </w:pPr>
    </w:p>
    <w:p>
      <w:pPr>
        <w:spacing w:after="0" w:line="12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104" w:lineRule="exact"/>
        <w:rPr>
          <w:sz w:val="24"/>
          <w:szCs w:val="24"/>
          <w:color w:val="auto"/>
        </w:rPr>
      </w:pPr>
    </w:p>
    <w:p>
      <w:pPr>
        <w:sectPr>
          <w:pgSz w:w="12240" w:h="15840" w:orient="portrait"/>
          <w:cols w:equalWidth="0" w:num="2">
            <w:col w:w="3740" w:space="720"/>
            <w:col w:w="4900"/>
          </w:cols>
          <w:pgMar w:left="1440" w:top="1440"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Segoe UI Emoji" w:cs="Segoe UI Emoji" w:eastAsia="Segoe UI Emoji" w:hAnsi="Segoe UI Emoji"/>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Segoe UI Emoji" w:cs="Segoe UI Emoji" w:eastAsia="Segoe UI Emoji" w:hAnsi="Segoe UI Emoji"/>
          <w:sz w:val="16"/>
          <w:szCs w:val="16"/>
          <w:color w:val="auto"/>
        </w:rPr>
        <w:t>☒</w:t>
      </w:r>
    </w:p>
    <w:p>
      <w:pPr>
        <w:spacing w:after="0" w:line="92" w:lineRule="exact"/>
        <w:rPr>
          <w:sz w:val="24"/>
          <w:szCs w:val="24"/>
          <w:color w:val="auto"/>
        </w:rPr>
      </w:pPr>
    </w:p>
    <w:p>
      <w:pPr>
        <w:sectPr>
          <w:pgSz w:w="12240" w:h="15840" w:orient="portrait"/>
          <w:cols w:equalWidth="0" w:num="4">
            <w:col w:w="2980" w:space="720"/>
            <w:col w:w="140" w:space="620"/>
            <w:col w:w="3660" w:space="720"/>
            <w:col w:w="520"/>
          </w:cols>
          <w:pgMar w:left="1440" w:top="1440" w:right="1440" w:bottom="1440" w:gutter="0" w:footer="0" w:header="0"/>
          <w:type w:val="continuous"/>
        </w:sectPr>
      </w:pPr>
    </w:p>
    <w:p>
      <w:pPr>
        <w:ind w:left="4460"/>
        <w:spacing w:after="0"/>
        <w:rPr>
          <w:sz w:val="20"/>
          <w:szCs w:val="20"/>
          <w:color w:val="auto"/>
        </w:rPr>
      </w:pPr>
      <w:r>
        <w:rPr>
          <w:rFonts w:ascii="Times New Roman" w:cs="Times New Roman" w:eastAsia="Times New Roman" w:hAnsi="Times New Roman"/>
          <w:sz w:val="16"/>
          <w:szCs w:val="16"/>
          <w:color w:val="auto"/>
        </w:rPr>
        <w:t>Emerging growth company</w:t>
      </w:r>
    </w:p>
    <w:p>
      <w:pPr>
        <w:sectPr>
          <w:pgSz w:w="12240" w:h="15840" w:orient="portrait"/>
          <w:cols w:equalWidth="0" w:num="1">
            <w:col w:w="9360"/>
          </w:cols>
          <w:pgMar w:left="1440" w:top="1440" w:right="1440" w:bottom="1440" w:gutter="0" w:footer="0" w:header="0"/>
          <w:type w:val="continuous"/>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259715</wp:posOffset>
                </wp:positionV>
                <wp:extent cx="5943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45pt" to="468pt,20.4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253365</wp:posOffset>
                </wp:positionV>
                <wp:extent cx="0" cy="1651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9.95pt" to="467.95pt,21.2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245110</wp:posOffset>
                </wp:positionV>
                <wp:extent cx="5944870" cy="1333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5" o:spid="_x0000_s1030" style="position:absolute;margin-left:0pt;margin-top:19.3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250190</wp:posOffset>
                </wp:positionV>
                <wp:extent cx="0" cy="1968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9.7pt" to="0.1pt,21.2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268605</wp:posOffset>
                </wp:positionV>
                <wp:extent cx="594487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15pt" to="468.1pt,21.1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6"/>
          <w:szCs w:val="16"/>
          <w:color w:val="auto"/>
        </w:rPr>
        <w:t></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t>
      </w:r>
    </w:p>
    <w:p>
      <w:pPr>
        <w:spacing w:after="0" w:line="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PMingLiU" w:cs="PMingLiU" w:eastAsia="PMingLiU" w:hAnsi="PMingLiU"/>
          <w:sz w:val="16"/>
          <w:szCs w:val="16"/>
          <w:color w:val="auto"/>
        </w:rPr>
        <w:t></w:t>
      </w:r>
    </w:p>
    <w:p>
      <w:pPr>
        <w:spacing w:after="0" w:line="54" w:lineRule="exact"/>
        <w:rPr>
          <w:sz w:val="20"/>
          <w:szCs w:val="20"/>
          <w:color w:val="auto"/>
        </w:rPr>
      </w:pPr>
    </w:p>
    <w:p>
      <w:pPr>
        <w:spacing w:after="0"/>
        <w:tabs>
          <w:tab w:leader="none" w:pos="6740" w:val="left"/>
          <w:tab w:leader="none" w:pos="73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ab/>
        <w:t xml:space="preserve">No </w:t>
      </w:r>
      <w:r>
        <w:rPr>
          <w:rFonts w:ascii="Segoe UI Emoji" w:cs="Segoe UI Emoji" w:eastAsia="Segoe UI Emoji" w:hAnsi="Segoe UI Emoji"/>
          <w:sz w:val="16"/>
          <w:szCs w:val="16"/>
          <w:color w:val="auto"/>
        </w:rPr>
        <w:t>☒</w:t>
      </w:r>
    </w:p>
    <w:p>
      <w:pPr>
        <w:spacing w:after="0" w:line="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of the registrant held by non-affiliates as of June 30, 2025 (the last business day of the registrant’s most recently completed second fiscal quarter), based on a closing price of $6.80 per share of the registrant’s common stock as reported on The Nasdaq Stock Market LLC on June 30, 2025, was approximately $30.1 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25, 2026, the registrant had 14,344,034 shares of common stock, $0.001 par value per share, outstanding.</w:t>
      </w:r>
    </w:p>
    <w:p>
      <w:pPr>
        <w:spacing w:after="0" w:line="18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94423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68.05pt,5.3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91440</wp:posOffset>
                </wp:positionV>
                <wp:extent cx="594423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pt" to="468.05pt,7.2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568325</wp:posOffset>
                </wp:positionV>
                <wp:extent cx="59436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75pt" to="468pt,44.7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562610</wp:posOffset>
                </wp:positionV>
                <wp:extent cx="0" cy="1651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44.3pt" to="467.95pt,45.6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554355</wp:posOffset>
                </wp:positionV>
                <wp:extent cx="5944870" cy="1333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12" o:spid="_x0000_s1037" style="position:absolute;margin-left:0pt;margin-top:43.6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559435</wp:posOffset>
                </wp:positionV>
                <wp:extent cx="0" cy="1968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44.05pt" to="0.1pt,45.6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577850</wp:posOffset>
                </wp:positionV>
                <wp:extent cx="594487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5pt" to="468.1pt,45.5pt" o:allowincell="f" strokecolor="#E3E3E3" strokeweight="0.24pt"/>
            </w:pict>
          </mc:Fallback>
        </mc:AlternateContent>
      </w:r>
    </w:p>
    <w:p>
      <w:pPr>
        <w:sectPr>
          <w:pgSz w:w="12240" w:h="15840" w:orient="portrait"/>
          <w:cols w:equalWidth="0" w:num="1">
            <w:col w:w="9360"/>
          </w:cols>
          <w:pgMar w:left="1440" w:top="1426" w:right="1440" w:bottom="1440" w:gutter="0" w:footer="0" w:header="0"/>
        </w:sectPr>
      </w:pPr>
    </w:p>
    <w:bookmarkStart w:id="2" w:name="page3"/>
    <w:bookmarkEnd w:id="2"/>
    <w:p>
      <w:pPr>
        <w:spacing w:after="0" w:line="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7"/>
        </w:trPr>
        <w:tc>
          <w:tcPr>
            <w:tcW w:w="8680" w:type="dxa"/>
            <w:vAlign w:val="bottom"/>
            <w:gridSpan w:val="37"/>
            <w:vMerge w:val="restart"/>
          </w:tcPr>
          <w:p>
            <w:pPr>
              <w:spacing w:after="0"/>
              <w:rPr>
                <w:sz w:val="20"/>
                <w:szCs w:val="20"/>
                <w:color w:val="auto"/>
              </w:rPr>
            </w:pPr>
            <w:r>
              <w:rPr>
                <w:rFonts w:ascii="Times New Roman" w:cs="Times New Roman" w:eastAsia="Times New Roman" w:hAnsi="Times New Roman"/>
                <w:sz w:val="20"/>
                <w:szCs w:val="20"/>
                <w:b w:val="1"/>
                <w:bCs w:val="1"/>
                <w:color w:val="1C2790"/>
              </w:rPr>
              <w:t>SPECIAL NOTE REGARDING FORWARD-LOOKING STATEMENTS</w:t>
            </w: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8680" w:type="dxa"/>
            <w:vAlign w:val="bottom"/>
            <w:gridSpan w:val="37"/>
            <w:vMerge w:val="continue"/>
          </w:tcPr>
          <w:p>
            <w:pPr>
              <w:spacing w:after="0"/>
              <w:rPr>
                <w:sz w:val="18"/>
                <w:szCs w:val="18"/>
                <w:color w:val="auto"/>
              </w:rPr>
            </w:pPr>
          </w:p>
        </w:tc>
        <w:tc>
          <w:tcPr>
            <w:tcW w:w="560" w:type="dxa"/>
            <w:vAlign w:val="bottom"/>
          </w:tcPr>
          <w:p>
            <w:pPr>
              <w:jc w:val="right"/>
              <w:ind w:right="21"/>
              <w:spacing w:after="0" w:line="208"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80" w:type="dxa"/>
            <w:vAlign w:val="bottom"/>
            <w:tcBorders>
              <w:right w:val="single" w:sz="8" w:color="19228E"/>
            </w:tcBorders>
            <w:shd w:val="clear" w:color="auto" w:fill="19228E"/>
          </w:tcPr>
          <w:p>
            <w:pPr>
              <w:spacing w:after="0" w:line="20" w:lineRule="exact"/>
              <w:rPr>
                <w:sz w:val="1"/>
                <w:szCs w:val="1"/>
                <w:color w:val="auto"/>
              </w:rPr>
            </w:pPr>
          </w:p>
        </w:tc>
        <w:tc>
          <w:tcPr>
            <w:tcW w:w="40" w:type="dxa"/>
            <w:vAlign w:val="bottom"/>
            <w:tcBorders>
              <w:left w:val="single" w:sz="8" w:color="19228E"/>
            </w:tcBorders>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6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240" w:type="dxa"/>
            <w:vAlign w:val="bottom"/>
            <w:shd w:val="clear" w:color="auto" w:fill="19228E"/>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100" w:type="dxa"/>
            <w:vAlign w:val="bottom"/>
            <w:shd w:val="clear" w:color="auto" w:fill="19228E"/>
          </w:tcPr>
          <w:p>
            <w:pPr>
              <w:spacing w:after="0" w:line="20" w:lineRule="exact"/>
              <w:rPr>
                <w:sz w:val="1"/>
                <w:szCs w:val="1"/>
                <w:color w:val="auto"/>
              </w:rPr>
            </w:pPr>
          </w:p>
        </w:tc>
        <w:tc>
          <w:tcPr>
            <w:tcW w:w="100" w:type="dxa"/>
            <w:vAlign w:val="bottom"/>
            <w:shd w:val="clear" w:color="auto" w:fill="19228E"/>
          </w:tcPr>
          <w:p>
            <w:pPr>
              <w:spacing w:after="0" w:line="20" w:lineRule="exact"/>
              <w:rPr>
                <w:sz w:val="1"/>
                <w:szCs w:val="1"/>
                <w:color w:val="auto"/>
              </w:rPr>
            </w:pPr>
          </w:p>
        </w:tc>
        <w:tc>
          <w:tcPr>
            <w:tcW w:w="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34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10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40" w:type="dxa"/>
            <w:vAlign w:val="bottom"/>
            <w:shd w:val="clear" w:color="auto" w:fill="19228E"/>
          </w:tcPr>
          <w:p>
            <w:pPr>
              <w:spacing w:after="0" w:line="20" w:lineRule="exact"/>
              <w:rPr>
                <w:sz w:val="1"/>
                <w:szCs w:val="1"/>
                <w:color w:val="auto"/>
              </w:rPr>
            </w:pPr>
          </w:p>
        </w:tc>
        <w:tc>
          <w:tcPr>
            <w:tcW w:w="40" w:type="dxa"/>
            <w:vAlign w:val="bottom"/>
            <w:shd w:val="clear" w:color="auto" w:fill="19228E"/>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900" w:type="dxa"/>
            <w:vAlign w:val="bottom"/>
            <w:shd w:val="clear" w:color="auto" w:fill="19228E"/>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8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420" w:type="dxa"/>
            <w:vAlign w:val="bottom"/>
            <w:shd w:val="clear" w:color="auto" w:fill="19228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700" w:type="dxa"/>
            <w:vAlign w:val="bottom"/>
            <w:tcBorders>
              <w:bottom w:val="single" w:sz="8" w:color="19228E"/>
            </w:tcBorders>
            <w:gridSpan w:val="5"/>
          </w:tcPr>
          <w:p>
            <w:pPr>
              <w:spacing w:after="0"/>
              <w:rPr>
                <w:sz w:val="20"/>
                <w:szCs w:val="20"/>
                <w:color w:val="auto"/>
              </w:rPr>
            </w:pPr>
            <w:r>
              <w:rPr>
                <w:rFonts w:ascii="Times New Roman" w:cs="Times New Roman" w:eastAsia="Times New Roman" w:hAnsi="Times New Roman"/>
                <w:sz w:val="20"/>
                <w:szCs w:val="20"/>
                <w:b w:val="1"/>
                <w:bCs w:val="1"/>
                <w:color w:val="1C2790"/>
              </w:rPr>
              <w:t>PART I</w:t>
            </w:r>
          </w:p>
        </w:tc>
        <w:tc>
          <w:tcPr>
            <w:tcW w:w="38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56"/>
        </w:trPr>
        <w:tc>
          <w:tcPr>
            <w:tcW w:w="580" w:type="dxa"/>
            <w:vAlign w:val="bottom"/>
            <w:tcBorders>
              <w:bottom w:val="single" w:sz="8" w:color="19228E"/>
            </w:tcBorders>
            <w:gridSpan w:val="3"/>
          </w:tcPr>
          <w:p>
            <w:pPr>
              <w:spacing w:after="0"/>
              <w:rPr>
                <w:sz w:val="20"/>
                <w:szCs w:val="20"/>
                <w:color w:val="auto"/>
              </w:rPr>
            </w:pPr>
            <w:r>
              <w:rPr>
                <w:rFonts w:ascii="Times New Roman" w:cs="Times New Roman" w:eastAsia="Times New Roman" w:hAnsi="Times New Roman"/>
                <w:sz w:val="20"/>
                <w:szCs w:val="20"/>
                <w:color w:val="1C2790"/>
                <w:w w:val="98"/>
              </w:rPr>
              <w:t>Item 1.</w:t>
            </w:r>
          </w:p>
        </w:tc>
        <w:tc>
          <w:tcPr>
            <w:tcW w:w="500" w:type="dxa"/>
            <w:vAlign w:val="bottom"/>
            <w:gridSpan w:val="8"/>
          </w:tcPr>
          <w:p>
            <w:pPr>
              <w:spacing w:after="0"/>
              <w:rPr>
                <w:sz w:val="22"/>
                <w:szCs w:val="22"/>
                <w:color w:val="auto"/>
              </w:rPr>
            </w:pPr>
          </w:p>
        </w:tc>
        <w:tc>
          <w:tcPr>
            <w:tcW w:w="700" w:type="dxa"/>
            <w:vAlign w:val="bottom"/>
            <w:tcBorders>
              <w:bottom w:val="single" w:sz="8" w:color="19228E"/>
            </w:tcBorders>
            <w:gridSpan w:val="2"/>
          </w:tcPr>
          <w:p>
            <w:pPr>
              <w:spacing w:after="0"/>
              <w:rPr>
                <w:sz w:val="20"/>
                <w:szCs w:val="20"/>
                <w:color w:val="auto"/>
              </w:rPr>
            </w:pPr>
            <w:r>
              <w:rPr>
                <w:rFonts w:ascii="Times New Roman" w:cs="Times New Roman" w:eastAsia="Times New Roman" w:hAnsi="Times New Roman"/>
                <w:sz w:val="20"/>
                <w:szCs w:val="20"/>
                <w:color w:val="1C2790"/>
                <w:w w:val="95"/>
              </w:rPr>
              <w:t>Business</w:t>
            </w:r>
          </w:p>
        </w:tc>
        <w:tc>
          <w:tcPr>
            <w:tcW w:w="6900" w:type="dxa"/>
            <w:vAlign w:val="bottom"/>
            <w:gridSpan w:val="24"/>
          </w:tcPr>
          <w:p>
            <w:pPr>
              <w:spacing w:after="0"/>
              <w:rPr>
                <w:sz w:val="22"/>
                <w:szCs w:val="22"/>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10"/>
        </w:trPr>
        <w:tc>
          <w:tcPr>
            <w:tcW w:w="1080" w:type="dxa"/>
            <w:vAlign w:val="bottom"/>
            <w:gridSpan w:val="11"/>
          </w:tcPr>
          <w:p>
            <w:pPr>
              <w:spacing w:after="0" w:line="210" w:lineRule="exact"/>
              <w:rPr>
                <w:sz w:val="20"/>
                <w:szCs w:val="20"/>
                <w:color w:val="auto"/>
              </w:rPr>
            </w:pPr>
            <w:r>
              <w:rPr>
                <w:rFonts w:ascii="Times New Roman" w:cs="Times New Roman" w:eastAsia="Times New Roman" w:hAnsi="Times New Roman"/>
                <w:sz w:val="20"/>
                <w:szCs w:val="20"/>
                <w:color w:val="1C2790"/>
              </w:rPr>
              <w:t>Item 1A.</w:t>
            </w:r>
          </w:p>
        </w:tc>
        <w:tc>
          <w:tcPr>
            <w:tcW w:w="7600" w:type="dxa"/>
            <w:vAlign w:val="bottom"/>
            <w:gridSpan w:val="26"/>
          </w:tcPr>
          <w:p>
            <w:pPr>
              <w:spacing w:after="0" w:line="210" w:lineRule="exact"/>
              <w:rPr>
                <w:sz w:val="20"/>
                <w:szCs w:val="20"/>
                <w:color w:val="auto"/>
              </w:rPr>
            </w:pPr>
            <w:r>
              <w:rPr>
                <w:rFonts w:ascii="Times New Roman" w:cs="Times New Roman" w:eastAsia="Times New Roman" w:hAnsi="Times New Roman"/>
                <w:sz w:val="20"/>
                <w:szCs w:val="20"/>
                <w:color w:val="1C2790"/>
              </w:rPr>
              <w:t>Risk Factors</w:t>
            </w: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10"/>
        </w:trPr>
        <w:tc>
          <w:tcPr>
            <w:tcW w:w="720" w:type="dxa"/>
            <w:vAlign w:val="bottom"/>
            <w:tcBorders>
              <w:top w:val="single" w:sz="8" w:color="19228E"/>
            </w:tcBorders>
            <w:gridSpan w:val="6"/>
          </w:tcPr>
          <w:p>
            <w:pPr>
              <w:spacing w:after="0" w:line="210" w:lineRule="exact"/>
              <w:rPr>
                <w:sz w:val="20"/>
                <w:szCs w:val="20"/>
                <w:color w:val="auto"/>
              </w:rPr>
            </w:pPr>
            <w:r>
              <w:rPr>
                <w:rFonts w:ascii="Times New Roman" w:cs="Times New Roman" w:eastAsia="Times New Roman" w:hAnsi="Times New Roman"/>
                <w:sz w:val="20"/>
                <w:szCs w:val="20"/>
                <w:color w:val="1C2790"/>
                <w:w w:val="99"/>
              </w:rPr>
              <w:t>Item 1B.</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19228E"/>
            </w:tcBorders>
            <w:gridSpan w:val="5"/>
          </w:tcPr>
          <w:p>
            <w:pPr>
              <w:spacing w:after="0" w:line="210" w:lineRule="exact"/>
              <w:rPr>
                <w:sz w:val="20"/>
                <w:szCs w:val="20"/>
                <w:color w:val="auto"/>
              </w:rPr>
            </w:pPr>
            <w:r>
              <w:rPr>
                <w:rFonts w:ascii="Times New Roman" w:cs="Times New Roman" w:eastAsia="Times New Roman" w:hAnsi="Times New Roman"/>
                <w:sz w:val="20"/>
                <w:szCs w:val="20"/>
                <w:color w:val="1C2790"/>
              </w:rPr>
              <w:t>Unresolved</w:t>
            </w:r>
          </w:p>
        </w:tc>
        <w:tc>
          <w:tcPr>
            <w:tcW w:w="6600" w:type="dxa"/>
            <w:vAlign w:val="bottom"/>
            <w:gridSpan w:val="21"/>
          </w:tcPr>
          <w:p>
            <w:pPr>
              <w:spacing w:after="0" w:line="210" w:lineRule="exact"/>
              <w:rPr>
                <w:sz w:val="20"/>
                <w:szCs w:val="20"/>
                <w:color w:val="auto"/>
              </w:rPr>
            </w:pPr>
            <w:r>
              <w:rPr>
                <w:rFonts w:ascii="Times New Roman" w:cs="Times New Roman" w:eastAsia="Times New Roman" w:hAnsi="Times New Roman"/>
                <w:sz w:val="20"/>
                <w:szCs w:val="20"/>
                <w:color w:val="1C2790"/>
              </w:rPr>
              <w:t>Staff Comments</w:t>
            </w: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08"/>
        </w:trPr>
        <w:tc>
          <w:tcPr>
            <w:tcW w:w="700" w:type="dxa"/>
            <w:vAlign w:val="bottom"/>
            <w:tcBorders>
              <w:top w:val="single" w:sz="8" w:color="19228E"/>
            </w:tcBorders>
            <w:gridSpan w:val="5"/>
          </w:tcPr>
          <w:p>
            <w:pPr>
              <w:spacing w:after="0" w:line="208" w:lineRule="exact"/>
              <w:rPr>
                <w:sz w:val="20"/>
                <w:szCs w:val="20"/>
                <w:color w:val="auto"/>
              </w:rPr>
            </w:pPr>
            <w:r>
              <w:rPr>
                <w:rFonts w:ascii="Times New Roman" w:cs="Times New Roman" w:eastAsia="Times New Roman" w:hAnsi="Times New Roman"/>
                <w:sz w:val="20"/>
                <w:szCs w:val="20"/>
                <w:color w:val="1C2790"/>
                <w:w w:val="97"/>
              </w:rPr>
              <w:t>Item 1C.</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Borders>
              <w:top w:val="single" w:sz="8" w:color="19228E"/>
            </w:tcBorders>
            <w:gridSpan w:val="13"/>
          </w:tcPr>
          <w:p>
            <w:pPr>
              <w:spacing w:after="0" w:line="208" w:lineRule="exact"/>
              <w:rPr>
                <w:sz w:val="20"/>
                <w:szCs w:val="20"/>
                <w:color w:val="auto"/>
              </w:rPr>
            </w:pPr>
            <w:r>
              <w:rPr>
                <w:rFonts w:ascii="Times New Roman" w:cs="Times New Roman" w:eastAsia="Times New Roman" w:hAnsi="Times New Roman"/>
                <w:sz w:val="20"/>
                <w:szCs w:val="20"/>
                <w:color w:val="1C2790"/>
              </w:rPr>
              <w:t>Cybersecurity</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1"/>
              <w:spacing w:after="0" w:line="208" w:lineRule="exact"/>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10"/>
        </w:trPr>
        <w:tc>
          <w:tcPr>
            <w:tcW w:w="580" w:type="dxa"/>
            <w:vAlign w:val="bottom"/>
            <w:tcBorders>
              <w:top w:val="single" w:sz="8" w:color="19228E"/>
            </w:tcBorders>
            <w:gridSpan w:val="3"/>
          </w:tcPr>
          <w:p>
            <w:pPr>
              <w:spacing w:after="0" w:line="210" w:lineRule="exact"/>
              <w:rPr>
                <w:sz w:val="20"/>
                <w:szCs w:val="20"/>
                <w:color w:val="auto"/>
              </w:rPr>
            </w:pPr>
            <w:r>
              <w:rPr>
                <w:rFonts w:ascii="Times New Roman" w:cs="Times New Roman" w:eastAsia="Times New Roman" w:hAnsi="Times New Roman"/>
                <w:sz w:val="20"/>
                <w:szCs w:val="20"/>
                <w:color w:val="1C2790"/>
                <w:w w:val="98"/>
              </w:rPr>
              <w:t>Item 2.</w:t>
            </w:r>
          </w:p>
        </w:tc>
        <w:tc>
          <w:tcPr>
            <w:tcW w:w="120" w:type="dxa"/>
            <w:vAlign w:val="bottom"/>
            <w:tcBorders>
              <w:top w:val="single" w:sz="8" w:color="19228E"/>
            </w:tcBorders>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19228E"/>
            </w:tcBorders>
            <w:gridSpan w:val="6"/>
          </w:tcPr>
          <w:p>
            <w:pPr>
              <w:spacing w:after="0" w:line="210" w:lineRule="exact"/>
              <w:rPr>
                <w:sz w:val="20"/>
                <w:szCs w:val="20"/>
                <w:color w:val="auto"/>
              </w:rPr>
            </w:pPr>
            <w:r>
              <w:rPr>
                <w:rFonts w:ascii="Times New Roman" w:cs="Times New Roman" w:eastAsia="Times New Roman" w:hAnsi="Times New Roman"/>
                <w:sz w:val="20"/>
                <w:szCs w:val="20"/>
                <w:color w:val="1C2790"/>
              </w:rPr>
              <w:t>Properties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200" w:type="dxa"/>
            <w:vAlign w:val="bottom"/>
            <w:gridSpan w:val="2"/>
            <w:shd w:val="clear" w:color="auto" w:fill="1922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line="20" w:lineRule="exact"/>
              <w:rPr>
                <w:sz w:val="1"/>
                <w:szCs w:val="1"/>
                <w:color w:val="auto"/>
              </w:rPr>
            </w:pPr>
          </w:p>
        </w:tc>
      </w:tr>
      <w:tr>
        <w:trPr>
          <w:trHeight w:val="210"/>
        </w:trPr>
        <w:tc>
          <w:tcPr>
            <w:tcW w:w="580" w:type="dxa"/>
            <w:vAlign w:val="bottom"/>
            <w:tcBorders>
              <w:bottom w:val="single" w:sz="8" w:color="19228E"/>
            </w:tcBorders>
            <w:gridSpan w:val="3"/>
          </w:tcPr>
          <w:p>
            <w:pPr>
              <w:spacing w:after="0" w:line="210" w:lineRule="exact"/>
              <w:rPr>
                <w:sz w:val="20"/>
                <w:szCs w:val="20"/>
                <w:color w:val="auto"/>
              </w:rPr>
            </w:pPr>
            <w:r>
              <w:rPr>
                <w:rFonts w:ascii="Times New Roman" w:cs="Times New Roman" w:eastAsia="Times New Roman" w:hAnsi="Times New Roman"/>
                <w:sz w:val="20"/>
                <w:szCs w:val="20"/>
                <w:color w:val="1C2790"/>
                <w:w w:val="98"/>
              </w:rPr>
              <w:t>Item 3.</w:t>
            </w:r>
          </w:p>
        </w:tc>
        <w:tc>
          <w:tcPr>
            <w:tcW w:w="80" w:type="dxa"/>
            <w:vAlign w:val="bottom"/>
            <w:vMerge w:val="continue"/>
          </w:tcPr>
          <w:p>
            <w:pPr>
              <w:spacing w:after="0"/>
              <w:rPr>
                <w:sz w:val="18"/>
                <w:szCs w:val="18"/>
                <w:color w:val="auto"/>
              </w:rPr>
            </w:pPr>
          </w:p>
        </w:tc>
        <w:tc>
          <w:tcPr>
            <w:tcW w:w="80" w:type="dxa"/>
            <w:vAlign w:val="bottom"/>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80" w:type="dxa"/>
            <w:vAlign w:val="bottom"/>
            <w:tcBorders>
              <w:bottom w:val="single" w:sz="8" w:color="19228E"/>
            </w:tcBorders>
            <w:gridSpan w:val="8"/>
          </w:tcPr>
          <w:p>
            <w:pPr>
              <w:spacing w:after="0" w:line="210" w:lineRule="exact"/>
              <w:rPr>
                <w:sz w:val="20"/>
                <w:szCs w:val="20"/>
                <w:color w:val="auto"/>
              </w:rPr>
            </w:pPr>
            <w:r>
              <w:rPr>
                <w:rFonts w:ascii="Times New Roman" w:cs="Times New Roman" w:eastAsia="Times New Roman" w:hAnsi="Times New Roman"/>
                <w:sz w:val="20"/>
                <w:szCs w:val="20"/>
                <w:color w:val="1C2790"/>
                <w:w w:val="98"/>
              </w:rPr>
              <w:t>Legal Proceedings</w:t>
            </w:r>
          </w:p>
        </w:tc>
        <w:tc>
          <w:tcPr>
            <w:tcW w:w="6120" w:type="dxa"/>
            <w:vAlign w:val="bottom"/>
            <w:gridSpan w:val="18"/>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19228E"/>
            </w:tcBorders>
            <w:gridSpan w:val="2"/>
          </w:tcPr>
          <w:p>
            <w:pPr>
              <w:spacing w:after="0" w:line="210" w:lineRule="exact"/>
              <w:rPr>
                <w:sz w:val="20"/>
                <w:szCs w:val="20"/>
                <w:color w:val="auto"/>
              </w:rPr>
            </w:pPr>
            <w:r>
              <w:rPr>
                <w:rFonts w:ascii="Times New Roman" w:cs="Times New Roman" w:eastAsia="Times New Roman" w:hAnsi="Times New Roman"/>
                <w:sz w:val="20"/>
                <w:szCs w:val="20"/>
                <w:color w:val="1C2790"/>
                <w:w w:val="95"/>
              </w:rPr>
              <w:t>Item 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Borders>
              <w:bottom w:val="single" w:sz="8" w:color="19228E"/>
            </w:tcBorders>
            <w:gridSpan w:val="11"/>
          </w:tcPr>
          <w:p>
            <w:pPr>
              <w:spacing w:after="0" w:line="210" w:lineRule="exact"/>
              <w:rPr>
                <w:sz w:val="20"/>
                <w:szCs w:val="20"/>
                <w:color w:val="auto"/>
              </w:rPr>
            </w:pPr>
            <w:r>
              <w:rPr>
                <w:rFonts w:ascii="Times New Roman" w:cs="Times New Roman" w:eastAsia="Times New Roman" w:hAnsi="Times New Roman"/>
                <w:sz w:val="20"/>
                <w:szCs w:val="20"/>
                <w:color w:val="1C2790"/>
                <w:w w:val="98"/>
              </w:rPr>
              <w:t>Mine Safety Disclosures</w:t>
            </w:r>
          </w:p>
        </w:tc>
        <w:tc>
          <w:tcPr>
            <w:tcW w:w="5640" w:type="dxa"/>
            <w:vAlign w:val="bottom"/>
            <w:gridSpan w:val="15"/>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486"/>
        </w:trPr>
        <w:tc>
          <w:tcPr>
            <w:tcW w:w="1080" w:type="dxa"/>
            <w:vAlign w:val="bottom"/>
            <w:gridSpan w:val="11"/>
          </w:tcPr>
          <w:p>
            <w:pPr>
              <w:spacing w:after="0"/>
              <w:rPr>
                <w:sz w:val="20"/>
                <w:szCs w:val="20"/>
                <w:color w:val="auto"/>
              </w:rPr>
            </w:pPr>
            <w:r>
              <w:rPr>
                <w:rFonts w:ascii="Times New Roman" w:cs="Times New Roman" w:eastAsia="Times New Roman" w:hAnsi="Times New Roman"/>
                <w:sz w:val="20"/>
                <w:szCs w:val="20"/>
                <w:b w:val="1"/>
                <w:bCs w:val="1"/>
                <w:color w:val="1D2690"/>
              </w:rPr>
              <w:t>PART II</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57"/>
        </w:trPr>
        <w:tc>
          <w:tcPr>
            <w:tcW w:w="740" w:type="dxa"/>
            <w:vAlign w:val="bottom"/>
            <w:tcBorders>
              <w:top w:val="single" w:sz="8" w:color="19228E"/>
            </w:tcBorders>
            <w:gridSpan w:val="7"/>
          </w:tcPr>
          <w:p>
            <w:pPr>
              <w:spacing w:after="0"/>
              <w:rPr>
                <w:sz w:val="20"/>
                <w:szCs w:val="20"/>
                <w:color w:val="auto"/>
              </w:rPr>
            </w:pPr>
            <w:r>
              <w:rPr>
                <w:rFonts w:ascii="Times New Roman" w:cs="Times New Roman" w:eastAsia="Times New Roman" w:hAnsi="Times New Roman"/>
                <w:sz w:val="20"/>
                <w:szCs w:val="20"/>
                <w:color w:val="1C2790"/>
              </w:rPr>
              <w:t>Item 5.</w:t>
            </w:r>
          </w:p>
        </w:tc>
        <w:tc>
          <w:tcPr>
            <w:tcW w:w="340" w:type="dxa"/>
            <w:vAlign w:val="bottom"/>
            <w:gridSpan w:val="4"/>
          </w:tcPr>
          <w:p>
            <w:pPr>
              <w:spacing w:after="0"/>
              <w:rPr>
                <w:sz w:val="22"/>
                <w:szCs w:val="22"/>
                <w:color w:val="auto"/>
              </w:rPr>
            </w:pP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1C2790"/>
              </w:rPr>
              <w:t>Market for Registrant’s Common Equity, Related Stockholder Matters and Issuer Purchases</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260" w:type="dxa"/>
            <w:vAlign w:val="bottom"/>
            <w:gridSpan w:val="3"/>
            <w:shd w:val="clear" w:color="auto" w:fill="19228E"/>
          </w:tcPr>
          <w:p>
            <w:pPr>
              <w:spacing w:after="0" w:line="20" w:lineRule="exact"/>
              <w:rPr>
                <w:sz w:val="1"/>
                <w:szCs w:val="1"/>
                <w:color w:val="auto"/>
              </w:rPr>
            </w:pPr>
          </w:p>
        </w:tc>
        <w:tc>
          <w:tcPr>
            <w:tcW w:w="600" w:type="dxa"/>
            <w:vAlign w:val="bottom"/>
            <w:gridSpan w:val="3"/>
            <w:shd w:val="clear" w:color="auto" w:fill="19228E"/>
          </w:tcPr>
          <w:p>
            <w:pPr>
              <w:spacing w:after="0" w:line="20" w:lineRule="exact"/>
              <w:rPr>
                <w:sz w:val="1"/>
                <w:szCs w:val="1"/>
                <w:color w:val="auto"/>
              </w:rPr>
            </w:pPr>
          </w:p>
        </w:tc>
        <w:tc>
          <w:tcPr>
            <w:tcW w:w="120" w:type="dxa"/>
            <w:vAlign w:val="bottom"/>
            <w:gridSpan w:val="2"/>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80" w:type="dxa"/>
            <w:vAlign w:val="bottom"/>
            <w:gridSpan w:val="2"/>
            <w:shd w:val="clear" w:color="auto" w:fill="19228E"/>
          </w:tcPr>
          <w:p>
            <w:pPr>
              <w:spacing w:after="0" w:line="20" w:lineRule="exact"/>
              <w:rPr>
                <w:sz w:val="1"/>
                <w:szCs w:val="1"/>
                <w:color w:val="auto"/>
              </w:rPr>
            </w:pPr>
          </w:p>
        </w:tc>
        <w:tc>
          <w:tcPr>
            <w:tcW w:w="1160" w:type="dxa"/>
            <w:vAlign w:val="bottom"/>
            <w:gridSpan w:val="2"/>
            <w:shd w:val="clear" w:color="auto" w:fill="19228E"/>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8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600" w:type="dxa"/>
            <w:vAlign w:val="bottom"/>
            <w:gridSpan w:val="2"/>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112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160" w:type="dxa"/>
            <w:vAlign w:val="bottom"/>
            <w:shd w:val="clear" w:color="auto" w:fill="19228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11"/>
            <w:vMerge w:val="restart"/>
          </w:tcPr>
          <w:p>
            <w:pPr>
              <w:spacing w:after="0"/>
              <w:rPr>
                <w:sz w:val="20"/>
                <w:szCs w:val="20"/>
                <w:color w:val="auto"/>
              </w:rPr>
            </w:pPr>
            <w:r>
              <w:rPr>
                <w:rFonts w:ascii="Times New Roman" w:cs="Times New Roman" w:eastAsia="Times New Roman" w:hAnsi="Times New Roman"/>
                <w:sz w:val="20"/>
                <w:szCs w:val="20"/>
                <w:color w:val="1C2790"/>
              </w:rPr>
              <w:t>Item 6.</w:t>
            </w:r>
          </w:p>
        </w:tc>
        <w:tc>
          <w:tcPr>
            <w:tcW w:w="7360" w:type="dxa"/>
            <w:vAlign w:val="bottom"/>
            <w:gridSpan w:val="24"/>
          </w:tcPr>
          <w:p>
            <w:pPr>
              <w:spacing w:after="0" w:line="210" w:lineRule="exact"/>
              <w:rPr>
                <w:sz w:val="20"/>
                <w:szCs w:val="20"/>
                <w:color w:val="auto"/>
              </w:rPr>
            </w:pPr>
            <w:r>
              <w:rPr>
                <w:rFonts w:ascii="Times New Roman" w:cs="Times New Roman" w:eastAsia="Times New Roman" w:hAnsi="Times New Roman"/>
                <w:sz w:val="20"/>
                <w:szCs w:val="20"/>
                <w:color w:val="1C2790"/>
              </w:rPr>
              <w:t>of Equity Securities</w:t>
            </w:r>
          </w:p>
        </w:tc>
        <w:tc>
          <w:tcPr>
            <w:tcW w:w="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08"/>
        </w:trPr>
        <w:tc>
          <w:tcPr>
            <w:tcW w:w="1080" w:type="dxa"/>
            <w:vAlign w:val="bottom"/>
            <w:gridSpan w:val="11"/>
            <w:vMerge w:val="continue"/>
          </w:tcPr>
          <w:p>
            <w:pPr>
              <w:spacing w:after="0"/>
              <w:rPr>
                <w:sz w:val="18"/>
                <w:szCs w:val="18"/>
                <w:color w:val="auto"/>
              </w:rPr>
            </w:pPr>
          </w:p>
        </w:tc>
        <w:tc>
          <w:tcPr>
            <w:tcW w:w="1580" w:type="dxa"/>
            <w:vAlign w:val="bottom"/>
            <w:tcBorders>
              <w:top w:val="single" w:sz="8" w:color="19228E"/>
            </w:tcBorders>
            <w:gridSpan w:val="9"/>
          </w:tcPr>
          <w:p>
            <w:pPr>
              <w:spacing w:after="0" w:line="208" w:lineRule="exact"/>
              <w:rPr>
                <w:sz w:val="20"/>
                <w:szCs w:val="20"/>
                <w:color w:val="auto"/>
              </w:rPr>
            </w:pPr>
            <w:r>
              <w:rPr>
                <w:rFonts w:ascii="Times New Roman" w:cs="Times New Roman" w:eastAsia="Times New Roman" w:hAnsi="Times New Roman"/>
                <w:sz w:val="20"/>
                <w:szCs w:val="20"/>
                <w:color w:val="1C2790"/>
              </w:rPr>
              <w:t>[Reserved]</w:t>
            </w: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19228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260" w:type="dxa"/>
            <w:vAlign w:val="bottom"/>
            <w:gridSpan w:val="3"/>
            <w:shd w:val="clear" w:color="auto" w:fill="19228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19228E"/>
            </w:tcBorders>
            <w:vMerge w:val="continue"/>
          </w:tcPr>
          <w:p>
            <w:pPr>
              <w:spacing w:after="0"/>
              <w:rPr>
                <w:sz w:val="18"/>
                <w:szCs w:val="18"/>
                <w:color w:val="auto"/>
              </w:rPr>
            </w:pPr>
          </w:p>
        </w:tc>
        <w:tc>
          <w:tcPr>
            <w:tcW w:w="540" w:type="dxa"/>
            <w:vAlign w:val="bottom"/>
            <w:tcBorders>
              <w:bottom w:val="single" w:sz="8" w:color="19228E"/>
            </w:tcBorders>
          </w:tcPr>
          <w:p>
            <w:pPr>
              <w:spacing w:after="0" w:line="210" w:lineRule="exact"/>
              <w:rPr>
                <w:sz w:val="20"/>
                <w:szCs w:val="20"/>
                <w:color w:val="auto"/>
              </w:rPr>
            </w:pPr>
            <w:r>
              <w:rPr>
                <w:rFonts w:ascii="Times New Roman" w:cs="Times New Roman" w:eastAsia="Times New Roman" w:hAnsi="Times New Roman"/>
                <w:sz w:val="20"/>
                <w:szCs w:val="20"/>
                <w:color w:val="1C2790"/>
                <w:w w:val="91"/>
              </w:rPr>
              <w:t>Item 7.</w:t>
            </w:r>
          </w:p>
        </w:tc>
        <w:tc>
          <w:tcPr>
            <w:tcW w:w="20" w:type="dxa"/>
            <w:vAlign w:val="bottom"/>
            <w:tcBorders>
              <w:bottom w:val="single" w:sz="8" w:color="19228E"/>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gridSpan w:val="4"/>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180" w:type="dxa"/>
            <w:vAlign w:val="bottom"/>
            <w:tcBorders>
              <w:bottom w:val="single" w:sz="8" w:color="19228E"/>
            </w:tcBorders>
            <w:gridSpan w:val="22"/>
          </w:tcPr>
          <w:p>
            <w:pPr>
              <w:spacing w:after="0" w:line="210" w:lineRule="exact"/>
              <w:rPr>
                <w:sz w:val="20"/>
                <w:szCs w:val="20"/>
                <w:color w:val="auto"/>
              </w:rPr>
            </w:pPr>
            <w:r>
              <w:rPr>
                <w:rFonts w:ascii="Times New Roman" w:cs="Times New Roman" w:eastAsia="Times New Roman" w:hAnsi="Times New Roman"/>
                <w:sz w:val="20"/>
                <w:szCs w:val="20"/>
                <w:color w:val="1C2790"/>
                <w:w w:val="99"/>
              </w:rPr>
              <w:t>Management’s Discussion and Analysis of Financial Condition and Results of Operations</w:t>
            </w:r>
          </w:p>
        </w:tc>
        <w:tc>
          <w:tcPr>
            <w:tcW w:w="420" w:type="dxa"/>
            <w:vAlign w:val="bottom"/>
            <w:gridSpan w:val="4"/>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gridSpan w:val="11"/>
          </w:tcPr>
          <w:p>
            <w:pPr>
              <w:spacing w:after="0" w:line="210" w:lineRule="exact"/>
              <w:rPr>
                <w:sz w:val="20"/>
                <w:szCs w:val="20"/>
                <w:color w:val="auto"/>
              </w:rPr>
            </w:pPr>
            <w:r>
              <w:rPr>
                <w:rFonts w:ascii="Times New Roman" w:cs="Times New Roman" w:eastAsia="Times New Roman" w:hAnsi="Times New Roman"/>
                <w:sz w:val="20"/>
                <w:szCs w:val="20"/>
                <w:color w:val="1C2790"/>
              </w:rPr>
              <w:t>Item 7A.</w:t>
            </w:r>
          </w:p>
        </w:tc>
        <w:tc>
          <w:tcPr>
            <w:tcW w:w="7180" w:type="dxa"/>
            <w:vAlign w:val="bottom"/>
            <w:gridSpan w:val="22"/>
          </w:tcPr>
          <w:p>
            <w:pPr>
              <w:spacing w:after="0" w:line="210" w:lineRule="exact"/>
              <w:rPr>
                <w:sz w:val="20"/>
                <w:szCs w:val="20"/>
                <w:color w:val="auto"/>
              </w:rPr>
            </w:pPr>
            <w:r>
              <w:rPr>
                <w:rFonts w:ascii="Times New Roman" w:cs="Times New Roman" w:eastAsia="Times New Roman" w:hAnsi="Times New Roman"/>
                <w:sz w:val="20"/>
                <w:szCs w:val="20"/>
                <w:color w:val="1C2790"/>
              </w:rPr>
              <w:t>Quantitative and Qualitative Disclosures About Market Risk</w:t>
            </w:r>
          </w:p>
        </w:tc>
        <w:tc>
          <w:tcPr>
            <w:tcW w:w="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10"/>
        </w:trPr>
        <w:tc>
          <w:tcPr>
            <w:tcW w:w="720" w:type="dxa"/>
            <w:vAlign w:val="bottom"/>
            <w:tcBorders>
              <w:top w:val="single" w:sz="8" w:color="19228E"/>
            </w:tcBorders>
            <w:gridSpan w:val="6"/>
          </w:tcPr>
          <w:p>
            <w:pPr>
              <w:spacing w:after="0" w:line="210" w:lineRule="exact"/>
              <w:rPr>
                <w:sz w:val="20"/>
                <w:szCs w:val="20"/>
                <w:color w:val="auto"/>
              </w:rPr>
            </w:pPr>
            <w:r>
              <w:rPr>
                <w:rFonts w:ascii="Times New Roman" w:cs="Times New Roman" w:eastAsia="Times New Roman" w:hAnsi="Times New Roman"/>
                <w:sz w:val="20"/>
                <w:szCs w:val="20"/>
                <w:color w:val="1C2790"/>
              </w:rPr>
              <w:t>Item 8.</w:t>
            </w: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Borders>
              <w:top w:val="single" w:sz="8" w:color="19228E"/>
            </w:tcBorders>
            <w:gridSpan w:val="18"/>
          </w:tcPr>
          <w:p>
            <w:pPr>
              <w:spacing w:after="0" w:line="210" w:lineRule="exact"/>
              <w:rPr>
                <w:sz w:val="20"/>
                <w:szCs w:val="20"/>
                <w:color w:val="auto"/>
              </w:rPr>
            </w:pPr>
            <w:r>
              <w:rPr>
                <w:rFonts w:ascii="Times New Roman" w:cs="Times New Roman" w:eastAsia="Times New Roman" w:hAnsi="Times New Roman"/>
                <w:sz w:val="20"/>
                <w:szCs w:val="20"/>
                <w:color w:val="1C2790"/>
              </w:rPr>
              <w:t>Financial Statements and Supplementary Data</w:t>
            </w:r>
          </w:p>
        </w:tc>
        <w:tc>
          <w:tcPr>
            <w:tcW w:w="6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10"/>
        </w:trPr>
        <w:tc>
          <w:tcPr>
            <w:tcW w:w="580" w:type="dxa"/>
            <w:vAlign w:val="bottom"/>
            <w:tcBorders>
              <w:top w:val="single" w:sz="8" w:color="19228E"/>
              <w:bottom w:val="single" w:sz="8" w:color="19228E"/>
            </w:tcBorders>
            <w:gridSpan w:val="3"/>
          </w:tcPr>
          <w:p>
            <w:pPr>
              <w:spacing w:after="0" w:line="210" w:lineRule="exact"/>
              <w:rPr>
                <w:sz w:val="20"/>
                <w:szCs w:val="20"/>
                <w:color w:val="auto"/>
              </w:rPr>
            </w:pPr>
            <w:r>
              <w:rPr>
                <w:rFonts w:ascii="Times New Roman" w:cs="Times New Roman" w:eastAsia="Times New Roman" w:hAnsi="Times New Roman"/>
                <w:sz w:val="20"/>
                <w:szCs w:val="20"/>
                <w:color w:val="1C2790"/>
                <w:w w:val="98"/>
              </w:rPr>
              <w:t>Item 9.</w:t>
            </w:r>
          </w:p>
        </w:tc>
        <w:tc>
          <w:tcPr>
            <w:tcW w:w="80" w:type="dxa"/>
            <w:vAlign w:val="bottom"/>
          </w:tcPr>
          <w:p>
            <w:pPr>
              <w:spacing w:after="0"/>
              <w:rPr>
                <w:sz w:val="18"/>
                <w:szCs w:val="18"/>
                <w:color w:val="auto"/>
              </w:rPr>
            </w:pPr>
          </w:p>
        </w:tc>
        <w:tc>
          <w:tcPr>
            <w:tcW w:w="10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tcBorders>
              <w:top w:val="single" w:sz="8" w:color="19228E"/>
              <w:bottom w:val="single" w:sz="8" w:color="19228E"/>
            </w:tcBorders>
            <w:gridSpan w:val="16"/>
          </w:tcPr>
          <w:p>
            <w:pPr>
              <w:spacing w:after="0" w:line="210" w:lineRule="exact"/>
              <w:rPr>
                <w:sz w:val="20"/>
                <w:szCs w:val="20"/>
                <w:color w:val="auto"/>
              </w:rPr>
            </w:pPr>
            <w:r>
              <w:rPr>
                <w:rFonts w:ascii="Times New Roman" w:cs="Times New Roman" w:eastAsia="Times New Roman" w:hAnsi="Times New Roman"/>
                <w:sz w:val="20"/>
                <w:szCs w:val="20"/>
                <w:color w:val="1C2790"/>
                <w:w w:val="93"/>
              </w:rPr>
              <w:t>Changes in and Disagreements with Accountants</w:t>
            </w:r>
          </w:p>
        </w:tc>
        <w:tc>
          <w:tcPr>
            <w:tcW w:w="3520" w:type="dxa"/>
            <w:vAlign w:val="bottom"/>
            <w:tcBorders>
              <w:bottom w:val="single" w:sz="8" w:color="19228E"/>
            </w:tcBorders>
            <w:gridSpan w:val="7"/>
          </w:tcPr>
          <w:p>
            <w:pPr>
              <w:ind w:left="280"/>
              <w:spacing w:after="0" w:line="210" w:lineRule="exact"/>
              <w:rPr>
                <w:sz w:val="20"/>
                <w:szCs w:val="20"/>
                <w:color w:val="auto"/>
              </w:rPr>
            </w:pPr>
            <w:r>
              <w:rPr>
                <w:rFonts w:ascii="Times New Roman" w:cs="Times New Roman" w:eastAsia="Times New Roman" w:hAnsi="Times New Roman"/>
                <w:sz w:val="20"/>
                <w:szCs w:val="20"/>
                <w:color w:val="1C2790"/>
                <w:w w:val="99"/>
              </w:rPr>
              <w:t>on Accounting and Financial Disclosure</w:t>
            </w:r>
          </w:p>
        </w:tc>
        <w:tc>
          <w:tcPr>
            <w:tcW w:w="400" w:type="dxa"/>
            <w:vAlign w:val="bottom"/>
            <w:gridSpan w:val="3"/>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08"/>
        </w:trPr>
        <w:tc>
          <w:tcPr>
            <w:tcW w:w="1080" w:type="dxa"/>
            <w:vAlign w:val="bottom"/>
            <w:gridSpan w:val="11"/>
          </w:tcPr>
          <w:p>
            <w:pPr>
              <w:spacing w:after="0" w:line="208" w:lineRule="exact"/>
              <w:rPr>
                <w:sz w:val="20"/>
                <w:szCs w:val="20"/>
                <w:color w:val="auto"/>
              </w:rPr>
            </w:pPr>
            <w:r>
              <w:rPr>
                <w:rFonts w:ascii="Times New Roman" w:cs="Times New Roman" w:eastAsia="Times New Roman" w:hAnsi="Times New Roman"/>
                <w:sz w:val="20"/>
                <w:szCs w:val="20"/>
                <w:color w:val="1C2790"/>
              </w:rPr>
              <w:t>Item 9A.</w:t>
            </w:r>
          </w:p>
        </w:tc>
        <w:tc>
          <w:tcPr>
            <w:tcW w:w="7200" w:type="dxa"/>
            <w:vAlign w:val="bottom"/>
            <w:gridSpan w:val="23"/>
          </w:tcPr>
          <w:p>
            <w:pPr>
              <w:spacing w:after="0" w:line="208" w:lineRule="exact"/>
              <w:rPr>
                <w:sz w:val="20"/>
                <w:szCs w:val="20"/>
                <w:color w:val="auto"/>
              </w:rPr>
            </w:pPr>
            <w:r>
              <w:rPr>
                <w:rFonts w:ascii="Times New Roman" w:cs="Times New Roman" w:eastAsia="Times New Roman" w:hAnsi="Times New Roman"/>
                <w:sz w:val="20"/>
                <w:szCs w:val="20"/>
                <w:color w:val="1C2790"/>
              </w:rPr>
              <w:t>Controls and Procedures</w:t>
            </w: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1"/>
              <w:spacing w:after="0" w:line="208" w:lineRule="exact"/>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10"/>
        </w:trPr>
        <w:tc>
          <w:tcPr>
            <w:tcW w:w="700" w:type="dxa"/>
            <w:vAlign w:val="bottom"/>
            <w:tcBorders>
              <w:top w:val="single" w:sz="8" w:color="19228E"/>
              <w:bottom w:val="single" w:sz="8" w:color="19228E"/>
            </w:tcBorders>
            <w:gridSpan w:val="5"/>
          </w:tcPr>
          <w:p>
            <w:pPr>
              <w:spacing w:after="0" w:line="210" w:lineRule="exact"/>
              <w:rPr>
                <w:sz w:val="20"/>
                <w:szCs w:val="20"/>
                <w:color w:val="auto"/>
              </w:rPr>
            </w:pPr>
            <w:r>
              <w:rPr>
                <w:rFonts w:ascii="Times New Roman" w:cs="Times New Roman" w:eastAsia="Times New Roman" w:hAnsi="Times New Roman"/>
                <w:sz w:val="20"/>
                <w:szCs w:val="20"/>
                <w:color w:val="1C2790"/>
                <w:w w:val="97"/>
              </w:rPr>
              <w:t>Item 9B.</w:t>
            </w:r>
          </w:p>
        </w:tc>
        <w:tc>
          <w:tcPr>
            <w:tcW w:w="20" w:type="dxa"/>
            <w:vAlign w:val="bottom"/>
            <w:tcBorders>
              <w:top w:val="single" w:sz="8" w:color="19228E"/>
            </w:tcBorders>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19228E"/>
              <w:bottom w:val="single" w:sz="8" w:color="19228E"/>
            </w:tcBorders>
            <w:gridSpan w:val="7"/>
          </w:tcPr>
          <w:p>
            <w:pPr>
              <w:spacing w:after="0" w:line="210" w:lineRule="exact"/>
              <w:rPr>
                <w:sz w:val="20"/>
                <w:szCs w:val="20"/>
                <w:color w:val="auto"/>
              </w:rPr>
            </w:pPr>
            <w:r>
              <w:rPr>
                <w:rFonts w:ascii="Times New Roman" w:cs="Times New Roman" w:eastAsia="Times New Roman" w:hAnsi="Times New Roman"/>
                <w:sz w:val="20"/>
                <w:szCs w:val="20"/>
                <w:color w:val="1C2790"/>
                <w:w w:val="98"/>
              </w:rPr>
              <w:t>Other Information</w:t>
            </w:r>
          </w:p>
        </w:tc>
        <w:tc>
          <w:tcPr>
            <w:tcW w:w="500" w:type="dxa"/>
            <w:vAlign w:val="bottom"/>
            <w:tcBorders>
              <w:top w:val="single" w:sz="8" w:color="19228E"/>
            </w:tcBorders>
            <w:gridSpan w:val="4"/>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90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10"/>
        </w:trPr>
        <w:tc>
          <w:tcPr>
            <w:tcW w:w="700" w:type="dxa"/>
            <w:vAlign w:val="bottom"/>
            <w:tcBorders>
              <w:bottom w:val="single" w:sz="8" w:color="19228E"/>
            </w:tcBorders>
            <w:gridSpan w:val="5"/>
          </w:tcPr>
          <w:p>
            <w:pPr>
              <w:spacing w:after="0" w:line="210" w:lineRule="exact"/>
              <w:rPr>
                <w:sz w:val="20"/>
                <w:szCs w:val="20"/>
                <w:color w:val="auto"/>
              </w:rPr>
            </w:pPr>
            <w:r>
              <w:rPr>
                <w:rFonts w:ascii="Times New Roman" w:cs="Times New Roman" w:eastAsia="Times New Roman" w:hAnsi="Times New Roman"/>
                <w:sz w:val="20"/>
                <w:szCs w:val="20"/>
                <w:color w:val="1C2790"/>
                <w:w w:val="97"/>
              </w:rPr>
              <w:t>Item 9C.</w:t>
            </w:r>
          </w:p>
        </w:tc>
        <w:tc>
          <w:tcPr>
            <w:tcW w:w="6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40" w:type="dxa"/>
            <w:vAlign w:val="bottom"/>
            <w:tcBorders>
              <w:bottom w:val="single" w:sz="8" w:color="19228E"/>
            </w:tcBorders>
            <w:gridSpan w:val="20"/>
          </w:tcPr>
          <w:p>
            <w:pPr>
              <w:spacing w:after="0" w:line="210" w:lineRule="exact"/>
              <w:rPr>
                <w:sz w:val="20"/>
                <w:szCs w:val="20"/>
                <w:color w:val="auto"/>
              </w:rPr>
            </w:pPr>
            <w:r>
              <w:rPr>
                <w:rFonts w:ascii="Times New Roman" w:cs="Times New Roman" w:eastAsia="Times New Roman" w:hAnsi="Times New Roman"/>
                <w:sz w:val="20"/>
                <w:szCs w:val="20"/>
                <w:color w:val="1C2790"/>
                <w:w w:val="99"/>
              </w:rPr>
              <w:t>Disclosure Regarding Foreign Jurisdictions that Prevent Inspections</w:t>
            </w:r>
          </w:p>
        </w:tc>
        <w:tc>
          <w:tcPr>
            <w:tcW w:w="2160" w:type="dxa"/>
            <w:vAlign w:val="bottom"/>
            <w:gridSpan w:val="6"/>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486"/>
        </w:trPr>
        <w:tc>
          <w:tcPr>
            <w:tcW w:w="760" w:type="dxa"/>
            <w:vAlign w:val="bottom"/>
            <w:tcBorders>
              <w:bottom w:val="single" w:sz="8" w:color="19228E"/>
            </w:tcBorders>
            <w:gridSpan w:val="8"/>
          </w:tcPr>
          <w:p>
            <w:pPr>
              <w:spacing w:after="0"/>
              <w:rPr>
                <w:sz w:val="20"/>
                <w:szCs w:val="20"/>
                <w:color w:val="auto"/>
              </w:rPr>
            </w:pPr>
            <w:r>
              <w:rPr>
                <w:rFonts w:ascii="Times New Roman" w:cs="Times New Roman" w:eastAsia="Times New Roman" w:hAnsi="Times New Roman"/>
                <w:sz w:val="20"/>
                <w:szCs w:val="20"/>
                <w:color w:val="1C2790"/>
                <w:w w:val="97"/>
              </w:rPr>
              <w:t>PART III</w:t>
            </w:r>
          </w:p>
        </w:tc>
        <w:tc>
          <w:tcPr>
            <w:tcW w:w="32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56"/>
        </w:trPr>
        <w:tc>
          <w:tcPr>
            <w:tcW w:w="1080" w:type="dxa"/>
            <w:vAlign w:val="bottom"/>
            <w:gridSpan w:val="11"/>
          </w:tcPr>
          <w:p>
            <w:pPr>
              <w:spacing w:after="0"/>
              <w:rPr>
                <w:sz w:val="20"/>
                <w:szCs w:val="20"/>
                <w:color w:val="auto"/>
              </w:rPr>
            </w:pPr>
            <w:r>
              <w:rPr>
                <w:rFonts w:ascii="Times New Roman" w:cs="Times New Roman" w:eastAsia="Times New Roman" w:hAnsi="Times New Roman"/>
                <w:sz w:val="20"/>
                <w:szCs w:val="20"/>
                <w:color w:val="1C2790"/>
              </w:rPr>
              <w:t>Item 10.</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1C2790"/>
              </w:rPr>
              <w:t>Directors, Executive Officers and Corporate Governance</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10"/>
        </w:trPr>
        <w:tc>
          <w:tcPr>
            <w:tcW w:w="660" w:type="dxa"/>
            <w:vAlign w:val="bottom"/>
            <w:tcBorders>
              <w:top w:val="single" w:sz="8" w:color="19228E"/>
            </w:tcBorders>
            <w:gridSpan w:val="4"/>
          </w:tcPr>
          <w:p>
            <w:pPr>
              <w:spacing w:after="0" w:line="210" w:lineRule="exact"/>
              <w:rPr>
                <w:sz w:val="20"/>
                <w:szCs w:val="20"/>
                <w:color w:val="auto"/>
              </w:rPr>
            </w:pPr>
            <w:r>
              <w:rPr>
                <w:rFonts w:ascii="Times New Roman" w:cs="Times New Roman" w:eastAsia="Times New Roman" w:hAnsi="Times New Roman"/>
                <w:sz w:val="20"/>
                <w:szCs w:val="20"/>
                <w:color w:val="1C2790"/>
                <w:w w:val="92"/>
              </w:rPr>
              <w:t>Item 11.</w:t>
            </w:r>
          </w:p>
        </w:tc>
        <w:tc>
          <w:tcPr>
            <w:tcW w:w="16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tcBorders>
              <w:top w:val="single" w:sz="8" w:color="19228E"/>
            </w:tcBorders>
            <w:gridSpan w:val="17"/>
          </w:tcPr>
          <w:p>
            <w:pPr>
              <w:spacing w:after="0" w:line="210" w:lineRule="exact"/>
              <w:rPr>
                <w:sz w:val="20"/>
                <w:szCs w:val="20"/>
                <w:color w:val="auto"/>
              </w:rPr>
            </w:pPr>
            <w:r>
              <w:rPr>
                <w:rFonts w:ascii="Times New Roman" w:cs="Times New Roman" w:eastAsia="Times New Roman" w:hAnsi="Times New Roman"/>
                <w:sz w:val="20"/>
                <w:szCs w:val="20"/>
                <w:color w:val="1C2790"/>
              </w:rPr>
              <w:t>Executive Compensation</w:t>
            </w:r>
          </w:p>
        </w:tc>
        <w:tc>
          <w:tcPr>
            <w:tcW w:w="1520" w:type="dxa"/>
            <w:vAlign w:val="bottom"/>
            <w:gridSpan w:val="4"/>
          </w:tcPr>
          <w:p>
            <w:pPr>
              <w:spacing w:after="0"/>
              <w:rPr>
                <w:sz w:val="18"/>
                <w:szCs w:val="18"/>
                <w:color w:val="auto"/>
              </w:rPr>
            </w:pPr>
          </w:p>
        </w:tc>
        <w:tc>
          <w:tcPr>
            <w:tcW w:w="13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11"/>
        </w:trPr>
        <w:tc>
          <w:tcPr>
            <w:tcW w:w="660" w:type="dxa"/>
            <w:vAlign w:val="bottom"/>
            <w:tcBorders>
              <w:top w:val="single" w:sz="8" w:color="19228E"/>
            </w:tcBorders>
            <w:gridSpan w:val="4"/>
          </w:tcPr>
          <w:p>
            <w:pPr>
              <w:spacing w:after="0" w:line="210" w:lineRule="exact"/>
              <w:rPr>
                <w:sz w:val="20"/>
                <w:szCs w:val="20"/>
                <w:color w:val="auto"/>
              </w:rPr>
            </w:pPr>
            <w:r>
              <w:rPr>
                <w:rFonts w:ascii="Times New Roman" w:cs="Times New Roman" w:eastAsia="Times New Roman" w:hAnsi="Times New Roman"/>
                <w:sz w:val="20"/>
                <w:szCs w:val="20"/>
                <w:color w:val="1C2790"/>
                <w:w w:val="92"/>
              </w:rPr>
              <w:t>Item 12.</w:t>
            </w:r>
          </w:p>
        </w:tc>
        <w:tc>
          <w:tcPr>
            <w:tcW w:w="16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Borders>
              <w:top w:val="single" w:sz="8" w:color="19228E"/>
            </w:tcBorders>
            <w:gridSpan w:val="12"/>
          </w:tcPr>
          <w:p>
            <w:pPr>
              <w:spacing w:after="0" w:line="210" w:lineRule="exact"/>
              <w:rPr>
                <w:sz w:val="20"/>
                <w:szCs w:val="20"/>
                <w:color w:val="auto"/>
              </w:rPr>
            </w:pPr>
            <w:r>
              <w:rPr>
                <w:rFonts w:ascii="Times New Roman" w:cs="Times New Roman" w:eastAsia="Times New Roman" w:hAnsi="Times New Roman"/>
                <w:sz w:val="20"/>
                <w:szCs w:val="20"/>
                <w:color w:val="1C2790"/>
              </w:rPr>
              <w:t>Security Ownership of</w:t>
            </w:r>
          </w:p>
        </w:tc>
        <w:tc>
          <w:tcPr>
            <w:tcW w:w="5600" w:type="dxa"/>
            <w:vAlign w:val="bottom"/>
            <w:gridSpan w:val="14"/>
          </w:tcPr>
          <w:p>
            <w:pPr>
              <w:spacing w:after="0" w:line="210" w:lineRule="exact"/>
              <w:rPr>
                <w:sz w:val="20"/>
                <w:szCs w:val="20"/>
                <w:color w:val="auto"/>
              </w:rPr>
            </w:pPr>
            <w:r>
              <w:rPr>
                <w:rFonts w:ascii="Times New Roman" w:cs="Times New Roman" w:eastAsia="Times New Roman" w:hAnsi="Times New Roman"/>
                <w:sz w:val="20"/>
                <w:szCs w:val="20"/>
                <w:color w:val="1C2790"/>
                <w:w w:val="99"/>
              </w:rPr>
              <w:t>Certain Beneficial Owners and Management and Related Stockholder</w:t>
            </w: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80" w:type="dxa"/>
            <w:vAlign w:val="bottom"/>
            <w:tcBorders>
              <w:right w:val="single" w:sz="8" w:color="19228E"/>
            </w:tcBorders>
            <w:shd w:val="clear" w:color="auto" w:fill="19228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1120" w:type="dxa"/>
            <w:vAlign w:val="bottom"/>
            <w:gridSpan w:val="9"/>
            <w:shd w:val="clear" w:color="auto" w:fill="19228E"/>
          </w:tcPr>
          <w:p>
            <w:pPr>
              <w:spacing w:after="0" w:line="20" w:lineRule="exact"/>
              <w:rPr>
                <w:sz w:val="1"/>
                <w:szCs w:val="1"/>
                <w:color w:val="auto"/>
              </w:rPr>
            </w:pPr>
          </w:p>
        </w:tc>
        <w:tc>
          <w:tcPr>
            <w:tcW w:w="1440" w:type="dxa"/>
            <w:vAlign w:val="bottom"/>
            <w:gridSpan w:val="4"/>
            <w:shd w:val="clear" w:color="auto" w:fill="19228E"/>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2640" w:type="dxa"/>
            <w:vAlign w:val="bottom"/>
            <w:gridSpan w:val="6"/>
            <w:shd w:val="clear" w:color="auto" w:fill="19228E"/>
          </w:tcPr>
          <w:p>
            <w:pPr>
              <w:spacing w:after="0" w:line="20" w:lineRule="exact"/>
              <w:rPr>
                <w:sz w:val="1"/>
                <w:szCs w:val="1"/>
                <w:color w:val="auto"/>
              </w:rPr>
            </w:pPr>
          </w:p>
        </w:tc>
        <w:tc>
          <w:tcPr>
            <w:tcW w:w="1380" w:type="dxa"/>
            <w:vAlign w:val="bottom"/>
            <w:gridSpan w:val="4"/>
            <w:shd w:val="clear" w:color="auto" w:fill="19228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80" w:type="dxa"/>
            <w:vAlign w:val="bottom"/>
            <w:gridSpan w:val="11"/>
            <w:vMerge w:val="restart"/>
          </w:tcPr>
          <w:p>
            <w:pPr>
              <w:spacing w:after="0"/>
              <w:rPr>
                <w:sz w:val="20"/>
                <w:szCs w:val="20"/>
                <w:color w:val="auto"/>
              </w:rPr>
            </w:pPr>
            <w:r>
              <w:rPr>
                <w:rFonts w:ascii="Times New Roman" w:cs="Times New Roman" w:eastAsia="Times New Roman" w:hAnsi="Times New Roman"/>
                <w:sz w:val="20"/>
                <w:szCs w:val="20"/>
                <w:color w:val="1C2790"/>
              </w:rPr>
              <w:t>Item 13.</w:t>
            </w:r>
          </w:p>
        </w:tc>
        <w:tc>
          <w:tcPr>
            <w:tcW w:w="7440" w:type="dxa"/>
            <w:vAlign w:val="bottom"/>
            <w:gridSpan w:val="25"/>
          </w:tcPr>
          <w:p>
            <w:pPr>
              <w:spacing w:after="0" w:line="208" w:lineRule="exact"/>
              <w:rPr>
                <w:sz w:val="20"/>
                <w:szCs w:val="20"/>
                <w:color w:val="auto"/>
              </w:rPr>
            </w:pPr>
            <w:r>
              <w:rPr>
                <w:rFonts w:ascii="Times New Roman" w:cs="Times New Roman" w:eastAsia="Times New Roman" w:hAnsi="Times New Roman"/>
                <w:sz w:val="20"/>
                <w:szCs w:val="20"/>
                <w:color w:val="1C2790"/>
              </w:rPr>
              <w:t>Matters</w:t>
            </w:r>
          </w:p>
        </w:tc>
        <w:tc>
          <w:tcPr>
            <w:tcW w:w="160" w:type="dxa"/>
            <w:vAlign w:val="bottom"/>
            <w:vMerge w:val="continue"/>
          </w:tcPr>
          <w:p>
            <w:pPr>
              <w:spacing w:after="0"/>
              <w:rPr>
                <w:sz w:val="18"/>
                <w:szCs w:val="18"/>
                <w:color w:val="auto"/>
              </w:rPr>
            </w:pP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210"/>
        </w:trPr>
        <w:tc>
          <w:tcPr>
            <w:tcW w:w="1080" w:type="dxa"/>
            <w:vAlign w:val="bottom"/>
            <w:gridSpan w:val="11"/>
            <w:vMerge w:val="continue"/>
          </w:tcPr>
          <w:p>
            <w:pPr>
              <w:spacing w:after="0"/>
              <w:rPr>
                <w:sz w:val="18"/>
                <w:szCs w:val="18"/>
                <w:color w:val="auto"/>
              </w:rPr>
            </w:pPr>
          </w:p>
        </w:tc>
        <w:tc>
          <w:tcPr>
            <w:tcW w:w="600" w:type="dxa"/>
            <w:vAlign w:val="bottom"/>
            <w:tcBorders>
              <w:top w:val="single" w:sz="8" w:color="19228E"/>
            </w:tcBorders>
          </w:tcPr>
          <w:p>
            <w:pPr>
              <w:spacing w:after="0" w:line="210" w:lineRule="exact"/>
              <w:rPr>
                <w:sz w:val="20"/>
                <w:szCs w:val="20"/>
                <w:color w:val="auto"/>
              </w:rPr>
            </w:pPr>
            <w:r>
              <w:rPr>
                <w:rFonts w:ascii="Times New Roman" w:cs="Times New Roman" w:eastAsia="Times New Roman" w:hAnsi="Times New Roman"/>
                <w:sz w:val="20"/>
                <w:szCs w:val="20"/>
                <w:color w:val="1C2790"/>
                <w:w w:val="98"/>
              </w:rPr>
              <w:t>Certain</w:t>
            </w:r>
          </w:p>
        </w:tc>
        <w:tc>
          <w:tcPr>
            <w:tcW w:w="7000" w:type="dxa"/>
            <w:vAlign w:val="bottom"/>
            <w:gridSpan w:val="25"/>
          </w:tcPr>
          <w:p>
            <w:pPr>
              <w:ind w:left="20"/>
              <w:spacing w:after="0" w:line="210" w:lineRule="exact"/>
              <w:rPr>
                <w:sz w:val="20"/>
                <w:szCs w:val="20"/>
                <w:color w:val="auto"/>
              </w:rPr>
            </w:pPr>
            <w:r>
              <w:rPr>
                <w:rFonts w:ascii="Times New Roman" w:cs="Times New Roman" w:eastAsia="Times New Roman" w:hAnsi="Times New Roman"/>
                <w:sz w:val="20"/>
                <w:szCs w:val="20"/>
                <w:color w:val="1C2790"/>
              </w:rPr>
              <w:t>Relationships and Related Transactions, and Director Independence</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19228E"/>
            </w:tcBorders>
            <w:gridSpan w:val="3"/>
          </w:tcPr>
          <w:p>
            <w:pPr>
              <w:spacing w:after="0" w:line="210" w:lineRule="exact"/>
              <w:rPr>
                <w:sz w:val="20"/>
                <w:szCs w:val="20"/>
                <w:color w:val="auto"/>
              </w:rPr>
            </w:pPr>
            <w:r>
              <w:rPr>
                <w:rFonts w:ascii="Times New Roman" w:cs="Times New Roman" w:eastAsia="Times New Roman" w:hAnsi="Times New Roman"/>
                <w:sz w:val="20"/>
                <w:szCs w:val="20"/>
                <w:color w:val="1C2790"/>
                <w:w w:val="89"/>
              </w:rPr>
              <w:t>Item 14.</w:t>
            </w:r>
          </w:p>
        </w:tc>
        <w:tc>
          <w:tcPr>
            <w:tcW w:w="16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60" w:type="dxa"/>
            <w:vAlign w:val="bottom"/>
            <w:tcBorders>
              <w:top w:val="single" w:sz="8" w:color="19228E"/>
            </w:tcBorders>
            <w:gridSpan w:val="21"/>
          </w:tcPr>
          <w:p>
            <w:pPr>
              <w:spacing w:after="0" w:line="210" w:lineRule="exact"/>
              <w:rPr>
                <w:sz w:val="20"/>
                <w:szCs w:val="20"/>
                <w:color w:val="auto"/>
              </w:rPr>
            </w:pPr>
            <w:r>
              <w:rPr>
                <w:rFonts w:ascii="Times New Roman" w:cs="Times New Roman" w:eastAsia="Times New Roman" w:hAnsi="Times New Roman"/>
                <w:sz w:val="20"/>
                <w:szCs w:val="20"/>
                <w:color w:val="1C2790"/>
              </w:rPr>
              <w:t>Principal Accountant Fees and Services</w:t>
            </w:r>
          </w:p>
        </w:tc>
        <w:tc>
          <w:tcPr>
            <w:tcW w:w="1540" w:type="dxa"/>
            <w:vAlign w:val="bottom"/>
            <w:gridSpan w:val="5"/>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142</w:t>
            </w:r>
          </w:p>
        </w:tc>
        <w:tc>
          <w:tcPr>
            <w:tcW w:w="0" w:type="dxa"/>
            <w:vAlign w:val="bottom"/>
          </w:tcPr>
          <w:p>
            <w:pPr>
              <w:spacing w:after="0"/>
              <w:rPr>
                <w:sz w:val="1"/>
                <w:szCs w:val="1"/>
                <w:color w:val="auto"/>
              </w:rPr>
            </w:pPr>
          </w:p>
        </w:tc>
      </w:tr>
      <w:tr>
        <w:trPr>
          <w:trHeight w:val="20"/>
        </w:trPr>
        <w:tc>
          <w:tcPr>
            <w:tcW w:w="660" w:type="dxa"/>
            <w:vAlign w:val="bottom"/>
            <w:tcBorders>
              <w:right w:val="single" w:sz="8" w:color="19228E"/>
            </w:tcBorders>
            <w:gridSpan w:val="4"/>
            <w:shd w:val="clear" w:color="auto" w:fill="19228E"/>
          </w:tcPr>
          <w:p>
            <w:pPr>
              <w:spacing w:after="0" w:line="20" w:lineRule="exact"/>
              <w:rPr>
                <w:sz w:val="1"/>
                <w:szCs w:val="1"/>
                <w:color w:val="auto"/>
              </w:rPr>
            </w:pPr>
          </w:p>
        </w:tc>
        <w:tc>
          <w:tcPr>
            <w:tcW w:w="160" w:type="dxa"/>
            <w:vAlign w:val="bottom"/>
            <w:tcBorders>
              <w:left w:val="single" w:sz="8" w:color="19228E"/>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100" w:type="dxa"/>
            <w:vAlign w:val="bottom"/>
            <w:shd w:val="clear" w:color="auto" w:fill="19228E"/>
          </w:tcPr>
          <w:p>
            <w:pPr>
              <w:spacing w:after="0" w:line="20" w:lineRule="exact"/>
              <w:rPr>
                <w:sz w:val="1"/>
                <w:szCs w:val="1"/>
                <w:color w:val="auto"/>
              </w:rPr>
            </w:pPr>
          </w:p>
        </w:tc>
        <w:tc>
          <w:tcPr>
            <w:tcW w:w="100" w:type="dxa"/>
            <w:vAlign w:val="bottom"/>
            <w:shd w:val="clear" w:color="auto" w:fill="19228E"/>
          </w:tcPr>
          <w:p>
            <w:pPr>
              <w:spacing w:after="0" w:line="20" w:lineRule="exact"/>
              <w:rPr>
                <w:sz w:val="1"/>
                <w:szCs w:val="1"/>
                <w:color w:val="auto"/>
              </w:rPr>
            </w:pPr>
          </w:p>
        </w:tc>
        <w:tc>
          <w:tcPr>
            <w:tcW w:w="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34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10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40" w:type="dxa"/>
            <w:vAlign w:val="bottom"/>
            <w:shd w:val="clear" w:color="auto" w:fill="19228E"/>
          </w:tcPr>
          <w:p>
            <w:pPr>
              <w:spacing w:after="0" w:line="20" w:lineRule="exact"/>
              <w:rPr>
                <w:sz w:val="1"/>
                <w:szCs w:val="1"/>
                <w:color w:val="auto"/>
              </w:rPr>
            </w:pPr>
          </w:p>
        </w:tc>
        <w:tc>
          <w:tcPr>
            <w:tcW w:w="40" w:type="dxa"/>
            <w:vAlign w:val="bottom"/>
            <w:shd w:val="clear" w:color="auto" w:fill="19228E"/>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900" w:type="dxa"/>
            <w:vAlign w:val="bottom"/>
            <w:shd w:val="clear" w:color="auto" w:fill="19228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820" w:type="dxa"/>
            <w:vAlign w:val="bottom"/>
            <w:tcBorders>
              <w:bottom w:val="single" w:sz="8" w:color="19228E"/>
            </w:tcBorders>
            <w:gridSpan w:val="9"/>
          </w:tcPr>
          <w:p>
            <w:pPr>
              <w:spacing w:after="0"/>
              <w:rPr>
                <w:sz w:val="20"/>
                <w:szCs w:val="20"/>
                <w:color w:val="auto"/>
              </w:rPr>
            </w:pPr>
            <w:r>
              <w:rPr>
                <w:rFonts w:ascii="Times New Roman" w:cs="Times New Roman" w:eastAsia="Times New Roman" w:hAnsi="Times New Roman"/>
                <w:sz w:val="20"/>
                <w:szCs w:val="20"/>
                <w:b w:val="1"/>
                <w:bCs w:val="1"/>
                <w:color w:val="1D2690"/>
                <w:w w:val="97"/>
              </w:rPr>
              <w:t>PART IV</w:t>
            </w:r>
          </w:p>
        </w:tc>
        <w:tc>
          <w:tcPr>
            <w:tcW w:w="2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144</w:t>
            </w:r>
          </w:p>
        </w:tc>
        <w:tc>
          <w:tcPr>
            <w:tcW w:w="0" w:type="dxa"/>
            <w:vAlign w:val="bottom"/>
          </w:tcPr>
          <w:p>
            <w:pPr>
              <w:spacing w:after="0"/>
              <w:rPr>
                <w:sz w:val="1"/>
                <w:szCs w:val="1"/>
                <w:color w:val="auto"/>
              </w:rPr>
            </w:pPr>
          </w:p>
        </w:tc>
      </w:tr>
      <w:tr>
        <w:trPr>
          <w:trHeight w:val="256"/>
        </w:trPr>
        <w:tc>
          <w:tcPr>
            <w:tcW w:w="1080" w:type="dxa"/>
            <w:vAlign w:val="bottom"/>
            <w:gridSpan w:val="11"/>
          </w:tcPr>
          <w:p>
            <w:pPr>
              <w:spacing w:after="0"/>
              <w:rPr>
                <w:sz w:val="20"/>
                <w:szCs w:val="20"/>
                <w:color w:val="auto"/>
              </w:rPr>
            </w:pPr>
            <w:r>
              <w:rPr>
                <w:rFonts w:ascii="Times New Roman" w:cs="Times New Roman" w:eastAsia="Times New Roman" w:hAnsi="Times New Roman"/>
                <w:sz w:val="20"/>
                <w:szCs w:val="20"/>
                <w:color w:val="1C2790"/>
              </w:rPr>
              <w:t>Item 15.</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1C2790"/>
              </w:rPr>
              <w:t>Exhibit and Financial Statement Schedules</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144</w:t>
            </w:r>
          </w:p>
        </w:tc>
        <w:tc>
          <w:tcPr>
            <w:tcW w:w="0" w:type="dxa"/>
            <w:vAlign w:val="bottom"/>
          </w:tcPr>
          <w:p>
            <w:pPr>
              <w:spacing w:after="0"/>
              <w:rPr>
                <w:sz w:val="1"/>
                <w:szCs w:val="1"/>
                <w:color w:val="auto"/>
              </w:rPr>
            </w:pPr>
          </w:p>
        </w:tc>
      </w:tr>
      <w:tr>
        <w:trPr>
          <w:trHeight w:val="210"/>
        </w:trPr>
        <w:tc>
          <w:tcPr>
            <w:tcW w:w="660" w:type="dxa"/>
            <w:vAlign w:val="bottom"/>
            <w:tcBorders>
              <w:top w:val="single" w:sz="8" w:color="19228E"/>
              <w:bottom w:val="single" w:sz="8" w:color="19228E"/>
            </w:tcBorders>
            <w:gridSpan w:val="4"/>
          </w:tcPr>
          <w:p>
            <w:pPr>
              <w:spacing w:after="0" w:line="210" w:lineRule="exact"/>
              <w:rPr>
                <w:sz w:val="20"/>
                <w:szCs w:val="20"/>
                <w:color w:val="auto"/>
              </w:rPr>
            </w:pPr>
            <w:r>
              <w:rPr>
                <w:rFonts w:ascii="Times New Roman" w:cs="Times New Roman" w:eastAsia="Times New Roman" w:hAnsi="Times New Roman"/>
                <w:sz w:val="20"/>
                <w:szCs w:val="20"/>
                <w:color w:val="1C2790"/>
              </w:rPr>
              <w:t>Item 16</w:t>
            </w:r>
          </w:p>
        </w:tc>
        <w:tc>
          <w:tcPr>
            <w:tcW w:w="180" w:type="dxa"/>
            <w:vAlign w:val="bottom"/>
            <w:gridSpan w:val="6"/>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Borders>
              <w:top w:val="single" w:sz="8" w:color="19228E"/>
              <w:bottom w:val="single" w:sz="8" w:color="19228E"/>
            </w:tcBorders>
            <w:gridSpan w:val="10"/>
          </w:tcPr>
          <w:p>
            <w:pPr>
              <w:spacing w:after="0" w:line="210" w:lineRule="exact"/>
              <w:rPr>
                <w:sz w:val="20"/>
                <w:szCs w:val="20"/>
                <w:color w:val="auto"/>
              </w:rPr>
            </w:pPr>
            <w:r>
              <w:rPr>
                <w:rFonts w:ascii="Times New Roman" w:cs="Times New Roman" w:eastAsia="Times New Roman" w:hAnsi="Times New Roman"/>
                <w:sz w:val="20"/>
                <w:szCs w:val="20"/>
                <w:color w:val="1C2790"/>
                <w:w w:val="98"/>
              </w:rPr>
              <w:t>Form 10-K Summary</w:t>
            </w:r>
          </w:p>
        </w:tc>
        <w:tc>
          <w:tcPr>
            <w:tcW w:w="1700" w:type="dxa"/>
            <w:vAlign w:val="bottom"/>
            <w:tcBorders>
              <w:top w:val="single" w:sz="8" w:color="19228E"/>
            </w:tcBorders>
            <w:gridSpan w:val="5"/>
          </w:tcPr>
          <w:p>
            <w:pPr>
              <w:spacing w:after="0"/>
              <w:rPr>
                <w:sz w:val="18"/>
                <w:szCs w:val="18"/>
                <w:color w:val="auto"/>
              </w:rPr>
            </w:pPr>
          </w:p>
        </w:tc>
        <w:tc>
          <w:tcPr>
            <w:tcW w:w="4180" w:type="dxa"/>
            <w:vAlign w:val="bottom"/>
            <w:gridSpan w:val="11"/>
          </w:tcPr>
          <w:p>
            <w:pPr>
              <w:spacing w:after="0"/>
              <w:rPr>
                <w:sz w:val="18"/>
                <w:szCs w:val="18"/>
                <w:color w:val="auto"/>
              </w:rPr>
            </w:pPr>
          </w:p>
        </w:tc>
        <w:tc>
          <w:tcPr>
            <w:tcW w:w="560" w:type="dxa"/>
            <w:vAlign w:val="bottom"/>
          </w:tcPr>
          <w:p>
            <w:pPr>
              <w:jc w:val="right"/>
              <w:ind w:right="21"/>
              <w:spacing w:after="0" w:line="210" w:lineRule="exact"/>
              <w:rPr>
                <w:sz w:val="20"/>
                <w:szCs w:val="20"/>
                <w:color w:val="auto"/>
              </w:rPr>
            </w:pPr>
            <w:r>
              <w:rPr>
                <w:rFonts w:ascii="Times New Roman" w:cs="Times New Roman" w:eastAsia="Times New Roman" w:hAnsi="Times New Roman"/>
                <w:sz w:val="20"/>
                <w:szCs w:val="20"/>
                <w:color w:val="auto"/>
              </w:rPr>
              <w:t>146</w:t>
            </w:r>
          </w:p>
        </w:tc>
        <w:tc>
          <w:tcPr>
            <w:tcW w:w="0" w:type="dxa"/>
            <w:vAlign w:val="bottom"/>
          </w:tcPr>
          <w:p>
            <w:pPr>
              <w:spacing w:after="0"/>
              <w:rPr>
                <w:sz w:val="1"/>
                <w:szCs w:val="1"/>
                <w:color w:val="auto"/>
              </w:rPr>
            </w:pPr>
          </w:p>
        </w:tc>
      </w:tr>
      <w:tr>
        <w:trPr>
          <w:trHeight w:val="210"/>
        </w:trPr>
        <w:tc>
          <w:tcPr>
            <w:tcW w:w="840" w:type="dxa"/>
            <w:vAlign w:val="bottom"/>
            <w:tcBorders>
              <w:bottom w:val="single" w:sz="8" w:color="19228E"/>
            </w:tcBorders>
            <w:gridSpan w:val="10"/>
          </w:tcPr>
          <w:p>
            <w:pPr>
              <w:spacing w:after="0" w:line="210" w:lineRule="exact"/>
              <w:rPr>
                <w:sz w:val="20"/>
                <w:szCs w:val="20"/>
                <w:color w:val="auto"/>
              </w:rPr>
            </w:pPr>
            <w:r>
              <w:rPr>
                <w:rFonts w:ascii="Times New Roman" w:cs="Times New Roman" w:eastAsia="Times New Roman" w:hAnsi="Times New Roman"/>
                <w:sz w:val="20"/>
                <w:szCs w:val="20"/>
                <w:color w:val="1C2790"/>
                <w:w w:val="97"/>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605790</wp:posOffset>
                </wp:positionV>
                <wp:extent cx="59436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7pt" to="468pt,47.7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600075</wp:posOffset>
                </wp:positionV>
                <wp:extent cx="0" cy="1714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47.25pt" to="467.95pt,48.6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591820</wp:posOffset>
                </wp:positionV>
                <wp:extent cx="5944870" cy="1333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17" o:spid="_x0000_s1042" style="position:absolute;margin-left:0pt;margin-top:46.6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596900</wp:posOffset>
                </wp:positionV>
                <wp:extent cx="0" cy="2032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2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47pt" to="0.1pt,48.6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615315</wp:posOffset>
                </wp:positionV>
                <wp:extent cx="594487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45pt" to="468.1pt,48.4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Annual Report on Form 10 -K (this “Annual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w:t>
      </w:r>
    </w:p>
    <w:p>
      <w:pPr>
        <w:sectPr>
          <w:pgSz w:w="12240" w:h="15840" w:orient="portrait"/>
          <w:cols w:equalWidth="0" w:num="1">
            <w:col w:w="9360"/>
          </w:cols>
          <w:pgMar w:left="1440" w:top="1440" w:right="1440" w:bottom="1046" w:gutter="0" w:footer="0" w:header="0"/>
        </w:sectPr>
      </w:pPr>
    </w:p>
    <w:bookmarkStart w:id="3" w:name="page4"/>
    <w:bookmarkEnd w:id="3"/>
    <w:p>
      <w:pPr>
        <w:jc w:val="both"/>
        <w:spacing w:after="0" w:line="249" w:lineRule="auto"/>
        <w:rPr>
          <w:sz w:val="20"/>
          <w:szCs w:val="20"/>
          <w:color w:val="auto"/>
        </w:rPr>
      </w:pPr>
      <w:r>
        <w:rPr>
          <w:rFonts w:ascii="Times New Roman" w:cs="Times New Roman" w:eastAsia="Times New Roman" w:hAnsi="Times New Roman"/>
          <w:sz w:val="20"/>
          <w:szCs w:val="20"/>
          <w:color w:val="auto"/>
        </w:rPr>
        <w:t>unknown risks, uncertainties and other factors that may cause our actual results,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2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the Asset Acquisition (as defined below), including, but not limited to, our expectations regarding the benefits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expected synergies of the Asset Acquisition;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our new strategy and the potential benefits thereof;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our expected future growth and our ability to manage such growth;</w:t>
      </w:r>
    </w:p>
    <w:p>
      <w:pPr>
        <w:spacing w:after="0" w:line="200" w:lineRule="exact"/>
        <w:rPr>
          <w:sz w:val="20"/>
          <w:szCs w:val="20"/>
          <w:color w:val="auto"/>
        </w:rPr>
      </w:pPr>
    </w:p>
    <w:p>
      <w:pPr>
        <w:spacing w:after="0" w:line="28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•our, or our partner's, ability to develop, obtain regulatory approval for and commercialize our current and any future product candidates;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estimates regarding expenses, future revenue, capital requirements and needs for additional financing;</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size and growth potential of the markets for our product candidates, and our ability to serve those markets;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development, regulatory approval, efficacy and commercialization of competing products;</w:t>
      </w:r>
    </w:p>
    <w:p>
      <w:pPr>
        <w:spacing w:after="0" w:line="200" w:lineRule="exact"/>
        <w:rPr>
          <w:sz w:val="20"/>
          <w:szCs w:val="20"/>
          <w:color w:val="auto"/>
        </w:rPr>
      </w:pPr>
    </w:p>
    <w:p>
      <w:pPr>
        <w:spacing w:after="0" w:line="27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•our ability to establish sales and marketing capabilities or enter into agreements with third parties to market and sell our product candidates;</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•our ability to retain regulatory approval for our product candidates or future product candidates in the United States and in any foreign countries in which we make seek to do business;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ability to retain and hire our board of directors, senior management, or operational personnel;</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•our ability to develop and maintain our corporate infrastructure, including our ability to design and maintain an effective system of internal controls;</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•general economic, political, and market conditions and overall fluctuations in the financial markets in the United States and abroad, including as a result of bank failures, public health crises or geopolitical tensions;</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•our expectation regarding the period during which we will qualify as a smaller reporting company under the federal securities laws; and</w:t>
      </w: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ectPr>
          <w:pgSz w:w="12240" w:h="15840" w:orient="portrait"/>
          <w:cols w:equalWidth="0" w:num="1">
            <w:col w:w="9360"/>
          </w:cols>
          <w:pgMar w:left="1440" w:top="1422" w:right="1440" w:bottom="1002"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3">
                          <a:solidFill>
                            <a:srgbClr val="80808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8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2" o:spid="_x0000_s104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 looking statements in this Annual Report will prove to be accurate. Furthermore, if our forward- looking statements prove to be inaccurate, the inaccuracy may be material. In light of the significant uncertainties in these forward- 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used herein, the words “Tempest,” “we,” “us,” “our,” and "Company" refer to Tempest Therapeutics, Inc. and its direct and indirect subsidiaries, as applicable.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7" o:spid="_x0000_s105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(“BCMA”) CAR-T therapy currently in clinical development for relapsed or refractory multiple myeloma (“rrMM”).</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 -molecule product candidate is TPST-1495, which we plan to initiate a Phase 2 study for in familial adenomatous polyposis (“FAP”), with first patient enrollment expected in 2026. The study is expected to be funded by the National Cancer Institute (“NCI”) and conducted through the Cancer Prevention Clinical Trials Network (“CP-CTNet”), enabling advancement with limited internal capital deployment.</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mission is to develop therapeutic products with the potential to address high unmet medical needs by identifying promising clinical-stage candidates and advancing their development to create products that will improve patients’ lives.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Acquisition of Dual-Targeting CAR-T Programs</w:t>
      </w:r>
    </w:p>
    <w:p>
      <w:pPr>
        <w:spacing w:after="0" w:line="2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On November 19, 2025, we executed an Asset Purchase Agreement (the “Asset Purchase Agreement”) with Erigen LLC, a Delaware limited liability company (“Erigen”), and Factor Bioscience Inc., a Delaware corporation (together with Erigen, “Sellers”), pursuant to which Sellers agreed to sell and transfer to the Company all right, title and interest</w:t>
      </w:r>
    </w:p>
    <w:p>
      <w:pPr>
        <w:sectPr>
          <w:pgSz w:w="12240" w:h="15840" w:orient="portrait"/>
          <w:cols w:equalWidth="0" w:num="1">
            <w:col w:w="9360"/>
          </w:cols>
          <w:pgMar w:left="1440" w:top="1422" w:right="1440" w:bottom="903" w:gutter="0" w:footer="0" w:header="0"/>
        </w:sectPr>
      </w:pPr>
    </w:p>
    <w:bookmarkStart w:id="5" w:name="page6"/>
    <w:bookmarkEnd w:id="5"/>
    <w:p>
      <w:pPr>
        <w:jc w:val="both"/>
        <w:spacing w:after="0" w:line="243" w:lineRule="auto"/>
        <w:rPr>
          <w:sz w:val="20"/>
          <w:szCs w:val="20"/>
          <w:color w:val="auto"/>
        </w:rPr>
      </w:pPr>
      <w:r>
        <w:rPr>
          <w:rFonts w:ascii="Times New Roman" w:cs="Times New Roman" w:eastAsia="Times New Roman" w:hAnsi="Times New Roman"/>
          <w:sz w:val="20"/>
          <w:szCs w:val="20"/>
          <w:color w:val="auto"/>
        </w:rPr>
        <w:t>of Sellers, worldwide outside of China, Russia, India, and Turkey, in and to all of the assets primarily related to (a) the autologous BCMA/CD19 dual-targeting CAR T-cell therapy known as TPST- 2003 currently being evaluated in a Phase 1/2a clinical study in patients with rrMM, a Phase 1/2 investigator-initiated trial (“IIT”) in patients with rrMM, and a Phase 1 clinical study in patients with POEMS Syndrome (“POEMS”), a rare blood disorder caused by abnormal plasma cells, (b) the autologous CD70/CD70 dual-targeting CAR T- cell therapy known as TPST-2206, (c) the allogeneic BCMA/CD19 dual-targeting CAR T-cell therapy with a gene edit in the TRAC locus that inactivates the T cell receptor known as TPST-3003, and (d) the allogeneic CD70/CD70 dual-targeting CAR T-cell therapy with a gene edit in the TRAC locus that inactivates the T cell receptor known as TPST-3206 (collectively referred to herein as the “Assets”), in exchange for an aggregate purchase price of 8,268,495 shares of our common stock issued to Erigen on behalf of both Sellers.</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Pursuant to the Asset Purchase Agreement, at Closing we assumed Erigen’s rights and obligations under each of the Novatim License Agreement and the Restated Factor License Agreement (each as defined below under “- </w:t>
      </w:r>
      <w:r>
        <w:rPr>
          <w:rFonts w:ascii="Times New Roman" w:cs="Times New Roman" w:eastAsia="Times New Roman" w:hAnsi="Times New Roman"/>
          <w:sz w:val="20"/>
          <w:szCs w:val="20"/>
          <w:i w:val="1"/>
          <w:iCs w:val="1"/>
          <w:color w:val="auto"/>
        </w:rPr>
        <w:t>License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Collaboration Agreements</w:t>
      </w:r>
      <w:r>
        <w:rPr>
          <w:rFonts w:ascii="Times New Roman" w:cs="Times New Roman" w:eastAsia="Times New Roman" w:hAnsi="Times New Roman"/>
          <w:sz w:val="20"/>
          <w:szCs w:val="20"/>
          <w:color w:val="auto"/>
        </w:rPr>
        <w:t>”) . Under the Novatim License Agreement, we obtained an exclusive license to specified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patents and know-how in all fields worldwide, but excluding Greater China, India, Turkey, and Russia, to exploit the TPST-2003 and TPST-2206 programs and allogeneic CAR-T therapies based on the TPST-2003 and TPST-2206 programs. We also received a right of first negotiation to negotiate a license to exploit allogeneic CAR-T therapies and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CAR-T therapies in Greater China.</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Under the Restated Factor License Agreement, we obtained an exclusive license to specified patents in all fields worldwide, but excluding Greater China, India, Turkey, and Russia, to exploit the TPST-3003 and TPST-3206 programs. The Restated Factor License Agreement also establishes a Joint Steering Committee for the purposes of discussing and coordinating collaboration opportunities and serving as a forum for information sharing.</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2" o:spid="_x0000_s105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On February 3, 2026, we completed the acquisition of the Assets (the “Closing”) under the Asset Purchase Agreement (the “Asset Acquisition”) and issued to Erigen 8,268,495 shares of our common stock (the “Share Issuance”).</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Following the transaction, we are prioritizing a capital-efficient development strategy across our portfolio. This approach includes seeking partner support, external funding sources, and staged investment decisions based on clinical data generation and regulatory feedback. We expect this strategy to allow us to pursue parallel development of multiple programs while managing internal cash resources and extending our operational runway.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product development pipeline consists of the following product candidates:</w:t>
      </w:r>
    </w:p>
    <w:p>
      <w:pPr>
        <w:sectPr>
          <w:pgSz w:w="12240" w:h="15840" w:orient="portrait"/>
          <w:cols w:equalWidth="0" w:num="1">
            <w:col w:w="9360"/>
          </w:cols>
          <w:pgMar w:left="1440" w:top="1422"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914400</wp:posOffset>
            </wp:positionV>
            <wp:extent cx="5942330" cy="2618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42330" cy="261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“RCC” renal cancer; “CCA” cholangiocarcinoma; “FPI” First Patient In; “SLE” lupus.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CAR-T Cell Therapy Programs</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Our cell therapy programs expand our oncology pipeline with a portfolio of next- generation CAR-T product candidates designed to potentially address the limitations of currently available cell therapies and broaden the applicability of CAR-T therapy across hematologic malignancies and solid tumors. Our programs include autologous, allogeneic and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approaches utilizing dual-targeting strategies.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Our lead cell therapy product candidate, TPST-2003, is an autologous dual-targeting CAR-T therapy directed against CD19 and BCMA for the treatment of rrMM. In addition, our pipeline includes TPST-2206, a dual-targeting CAR-T therapy directed against CD70 for solid tumors, as well as allogeneic dual-targeting CAR-T programs, including TPST-3003 and TPST-3206, and an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dual-targeting CAR-T program, TPST-4003.</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believe our cell therapy portfolio has the potential to address tumor heterogeneity and antigen escape and to improve access through scalable manufacturing approaches. We are evaluating these programs across hematologic malignancies, solid tumors, and immunology indications.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Small-Molecule Programs</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small-molecule programs consist of two clinical- stage product candidates with the potential to be first-in-class to treat a wide range of cancers. Our programs include: amezalpat (previously known as TPST-1120), that is poised to begin a pivotal study in</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333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3E3"/>
                        </a:solidFill>
                      </wps:spPr>
                      <wps:bodyPr/>
                    </wps:wsp>
                  </a:graphicData>
                </a:graphic>
              </wp:anchor>
            </w:drawing>
          </mc:Choice>
          <mc:Fallback>
            <w:pict>
              <v:rect id="Shape 37" o:spid="_x0000_s1062" style="position:absolute;margin-left:467.45pt;margin-top:10.2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38" o:spid="_x0000_s1063"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4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first-line HCC, subject to business development discussions, and TPST-1495, which we expect will enter Phase 2 development in 2026. We believe both amezalpat and TPST-1495 are the first clinical-stage molecules designed to inhibit their respective targets.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Amezalpat (TPST-1120)</w:t>
      </w:r>
    </w:p>
    <w:p>
      <w:pPr>
        <w:spacing w:after="0" w:line="24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color w:val="auto"/>
        </w:rPr>
        <w:t>Amezalpat is an oral, small molecule, selective antagonist of peroxisome proliferator -activated receptor alpha (“PPARα”) being developed for the treatment of first-line unresectable or metastatic HCC. Amezalpat remains Phase</w:t>
      </w:r>
    </w:p>
    <w:p>
      <w:pPr>
        <w:sectPr>
          <w:pgSz w:w="12240" w:h="15840" w:orient="portrait"/>
          <w:cols w:equalWidth="0" w:num="1">
            <w:col w:w="9360"/>
          </w:cols>
          <w:pgMar w:left="1440" w:top="1440" w:right="1440" w:bottom="1115" w:gutter="0" w:footer="0" w:header="0"/>
        </w:sectPr>
      </w:pPr>
    </w:p>
    <w:bookmarkStart w:id="7" w:name="page8"/>
    <w:bookmarkEnd w:id="7"/>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3- ready in first-line HCC, supported by global regulatory alignment and positive randomized Phase 2 data. We plan to pursue business development discussions to advance pivotal development.</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June 2024, we unveiled positive survival data from the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β-catenin mutated disease, consistent with amezalpat’s proposed mechanism of action targeting both tumor cells directly and the patient’s immune system.</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August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November 2024, we received a “Study May Proceed” letter from the FDA, authorizing the initiation of our pivotal Phase 3 trial. In January 2025, the FDA granted Orphan Drug Designation (“ODD”) for amezalpat for the treatment of patients with HCC. In February 2025, the FDA granted Fast Track Designation (“FTD”), underscoring the agency’s recognition of the urgent need for new treatment options for HCC. In addition to receiving ODD from the FDA, in June 2025, the European Medical Agency (“EMA”) also granted ODD for the treatment of patients with HCC. These designations provide potential regulatory benefits, including increased engagement with the FDA, eligibility for accelerated approval and priority review, and, for ODD, potential market exclusivity upon approval.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TPST-1495</w:t>
      </w:r>
    </w:p>
    <w:p>
      <w:pPr>
        <w:spacing w:after="0" w:line="2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second clinical-stage small-molecule program, TPST-1495, is a novel, dual antagonist of the EP2 and EP4 receptors of prostaglandin E2 (“PGE2”), a pathway implicated in multiple cancers. Our development strategy for TPST-1495 includes evaluation in FAP, a rare genetic disorder that significantly increases the risk of gastrointestinal cancers and for which there are no approved systemic therapies. Given that prostaglandin signaling is also implicated in FAP and based on positive preclinical data in a relevant mouse model, we believe there is strong mechanistic support for this approach.</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March 2025, the CP-CTNet received a “Study May Proceed” letter from the FDA, authorizing the initiation of a NCI-funded Phase 2 clinical trial evaluating TPST-1495 in patients with FAP. This trial, run by CP-CTNet and financially supported by the NCI’s Division of Cancer Prevention, underscores the urgent need for innovative cancer prevention strategies in high-risk patient populations. The Phase 2 study is expected to begin in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4" o:spid="_x0000_s106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objective is to build a capital-efficient oncology company by advancing a pipeline of advanced CAR -T cell therapy and small-molecule product candidates through clinical development while maintaining disciplined capital allocation. Our strategy includes the following components: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Advance TPST-2003 through upcoming clinical milestones</w:t>
      </w:r>
    </w:p>
    <w:p>
      <w:pPr>
        <w:spacing w:after="0" w:line="3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9"/>
          <w:szCs w:val="19"/>
          <w:color w:val="auto"/>
        </w:rPr>
        <w:t>We plan to continue development of TPST-2003 with near-term clinical data expected from an ongoing Phase 1/2a clinical trial in China. We anticipate initiation of a registrational Phase 2b in China by the end of 2026, with interim</w:t>
      </w:r>
    </w:p>
    <w:p>
      <w:pPr>
        <w:sectPr>
          <w:pgSz w:w="12240" w:h="15840" w:orient="portrait"/>
          <w:cols w:equalWidth="0" w:num="1">
            <w:col w:w="9360"/>
          </w:cols>
          <w:pgMar w:left="1440" w:top="1422" w:right="1440" w:bottom="1132" w:gutter="0" w:footer="0" w:header="0"/>
        </w:sectPr>
      </w:pPr>
    </w:p>
    <w:bookmarkStart w:id="8" w:name="page9"/>
    <w:bookmarkEnd w:id="8"/>
    <w:p>
      <w:pPr>
        <w:ind w:right="600"/>
        <w:spacing w:after="0" w:line="277" w:lineRule="auto"/>
        <w:rPr>
          <w:sz w:val="20"/>
          <w:szCs w:val="20"/>
          <w:color w:val="auto"/>
        </w:rPr>
      </w:pPr>
      <w:r>
        <w:rPr>
          <w:rFonts w:ascii="Times New Roman" w:cs="Times New Roman" w:eastAsia="Times New Roman" w:hAnsi="Times New Roman"/>
          <w:sz w:val="20"/>
          <w:szCs w:val="20"/>
          <w:color w:val="auto"/>
        </w:rPr>
        <w:t>data expected in 2027. Development activities in China are funded by our strategic partner, Novatim Immune Therapeutics (“Novatim”), providing access to pivotal data while preserving internal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Expand the portfolio with allogeneic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CAR-T development</w:t>
      </w:r>
    </w:p>
    <w:p>
      <w:pPr>
        <w:spacing w:after="0" w:line="3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TPST-3003 and TPST-4003 represent our first allogeneic and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CAR-T programs, respectively, and are each designed to extend the TPST-2003 biology into potentially more scalable and patient-friendly modalities. We expect to advance these programs through preclinical development and evaluate potential clinical entry through strategic partner-funded IIT clinical studies in the near term.</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Position amezalpat for pivotal development through business development</w:t>
      </w:r>
    </w:p>
    <w:p>
      <w:pPr>
        <w:spacing w:after="0" w:line="30"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20"/>
          <w:szCs w:val="20"/>
          <w:color w:val="auto"/>
        </w:rPr>
        <w:t>Amezalpat remains Phase 3-ready in first-line HCC, supported by global regulatory alignment and positive randomized Phase 2 data. We plan to pursue business development discussions to advance pivotal development.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Advance TPST-1495 through externally funded clinical development</w:t>
      </w:r>
    </w:p>
    <w:p>
      <w:pPr>
        <w:spacing w:after="0" w:line="32"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We plan to initiate a Phase 2 study of TPST-1495 in FAP, with first patient enrollment expected in 2026. The study is expected to be funded by the NCI and conducted through the Cancer Prevention Clinical Trials Network, enabling advancement with limited internal capital deployment.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Advance a diversified next-generation CAR-T pipeline</w:t>
      </w:r>
    </w:p>
    <w:p>
      <w:pPr>
        <w:spacing w:after="0" w:line="32" w:lineRule="exact"/>
        <w:rPr>
          <w:sz w:val="20"/>
          <w:szCs w:val="20"/>
          <w:color w:val="auto"/>
        </w:rPr>
      </w:pPr>
    </w:p>
    <w:p>
      <w:pPr>
        <w:ind w:right="420"/>
        <w:spacing w:after="0" w:line="248" w:lineRule="auto"/>
        <w:rPr>
          <w:sz w:val="20"/>
          <w:szCs w:val="20"/>
          <w:color w:val="auto"/>
        </w:rPr>
      </w:pPr>
      <w:r>
        <w:rPr>
          <w:rFonts w:ascii="Times New Roman" w:cs="Times New Roman" w:eastAsia="Times New Roman" w:hAnsi="Times New Roman"/>
          <w:sz w:val="20"/>
          <w:szCs w:val="20"/>
          <w:color w:val="auto"/>
        </w:rPr>
        <w:t>We plan to progress additional dual-targeting CAR-T programs that broaden the platform across modalities and indications, including:</w:t>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•TPST-2206: a dual-targeting CD70/CD70 CAR-T</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•TPST-3206: an allogeneic dual-targeting CD70/CD70 CAR-T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CAR-T Cell Therapy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Background on Cancer and CAR-T Cell Therapy</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Cancer remains a leading cause of death worldwide and continues to represent a significant unmet medical need despite advances in surgery, radiation, targeted therapies and immunotherapies. Hematologic malignancies, including multiple myeloma and certain lymphomas and leukemias, often have limited treatment options in relapsed or refractory settings, where outcomes remain poor. Similarly, many solid tumors, including renal cell carcinoma, remain difficult to treat in advanced stages, particularly following progression on standard therapies.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Adoptive cell therapy, including CAR-T, has emerged as an important treatment modality in oncology. CAR-T therapy typically involves collecting a patient’s T cells, genetically modifying them to express engineered receptors that recognize tumor-associated antigens, expanding the modified cells ex vivo, and infusing them back into the patient to target cancer cells. CAR-T therapies have demonstrated meaningful clinical responses in certain hematologic malignancies and have led to multiple regulatory approvals. However, currently available CAR -T therapies face limitations, including antigen escape, limited durability of response, manufacturing complexity, safety risks and reduced efficacy in certain patient populations.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Next-generation CAR-T approaches are being developed to address these limitations. These include dual- targeting CAR-T therapies designed to recognize multiple tumor antigens, which may help mitigate antigen escape and improve durability, as well as allogeneic and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CAR-T therapies designed to improve manufacturing scalability and patient access.</w:t>
      </w:r>
    </w:p>
    <w:p>
      <w:pPr>
        <w:sectPr>
          <w:pgSz w:w="12240" w:h="15840" w:orient="portrait"/>
          <w:cols w:equalWidth="0" w:num="1">
            <w:col w:w="9360"/>
          </w:cols>
          <w:pgMar w:left="1440" w:top="1422" w:right="1440"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CD19/BCMA Dual-Targeting CAR-T Therapy in rrMM</w:t>
      </w:r>
    </w:p>
    <w:p>
      <w:pPr>
        <w:sectPr>
          <w:pgSz w:w="12240" w:h="15840" w:orient="portrait"/>
          <w:cols w:equalWidth="0" w:num="1">
            <w:col w:w="9360"/>
          </w:cols>
          <w:pgMar w:left="1440" w:top="1422" w:right="1440" w:bottom="1440" w:gutter="0" w:footer="0" w:header="0"/>
          <w:type w:val="continuous"/>
        </w:sectPr>
      </w:pPr>
    </w:p>
    <w:bookmarkStart w:id="9" w:name="page10"/>
    <w:bookmarkEnd w:id="9"/>
    <w:p>
      <w:pPr>
        <w:jc w:val="both"/>
        <w:spacing w:after="0" w:line="257" w:lineRule="auto"/>
        <w:rPr>
          <w:sz w:val="20"/>
          <w:szCs w:val="20"/>
          <w:color w:val="auto"/>
        </w:rPr>
      </w:pPr>
      <w:r>
        <w:rPr>
          <w:rFonts w:ascii="Times New Roman" w:cs="Times New Roman" w:eastAsia="Times New Roman" w:hAnsi="Times New Roman"/>
          <w:sz w:val="20"/>
          <w:szCs w:val="20"/>
          <w:color w:val="auto"/>
        </w:rPr>
        <w:t>Our lead cell therapy product candidate, TPST -2003, is an autologous dual-targeting CAR-T therapy directed against CD19 and BCMA for the treatment of rrMM. Multiple myeloma is a hematologic malignancy characterized by the clonal proliferation of</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9" o:spid="_x0000_s107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malignant plasma cells in the bone marrow. Despite advances in treatment, including proteasome inhibitors, immunomodulatory agents and monoclonal antibodies, patients with relapsed or refractory disease often experience progressive disease and poor outcomes. While currently approved CAR-T therapies targeting BCMA have demonstrated clinical benefit in rrMM, disease relapse remains common, and treatment options following relapse are limited.</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BCMA is a cell surface receptor that is preferentially expressed on mature B cells and plasma cells, including malignant plasma cells in multiple myeloma, and plays an important role in plasma cell survival and proliferation. As a result, BCMA has emerged as a clinically validated target for CAR-T therapy in multiple myeloma. However, resistance to BCMA-targeted therapies has been observed, including through antigen loss or downregulation, which may contribute to disease relapse. CD19 is a B-cell lineage antigen that is expressed earlier in B-cell development and has been implicated in certain subsets of multiple myeloma, including progenitor or disease-propagating cell populations. Targeting both CD19 and BCMA simultaneously may help address tumor heterogeneity and reduce the risk of antigen escape.</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Preclinical and clinical studies reported in the scientific literature have suggested that dual- targeting approaches may improve depth and durability of response compared to single-target therapies. This body of literature provides the scientific rationale for the development of dual-targeting CAR-T therapies such as TPST-2003 for the treatment of patients with rrMM.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TPST-2003: Dual-Targeting BCMA/CD19 Autologous CAR-T Therapy</w:t>
      </w:r>
    </w:p>
    <w:p>
      <w:pPr>
        <w:spacing w:after="0" w:line="24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TPST -2003 is an autologous, dual -targeting CAR-T therapy designed to target both BMCA and CD19. TPST-2003 is being developed for the treatment of rrMM.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Mechanism of Action</w:t>
      </w:r>
    </w:p>
    <w:p>
      <w:pPr>
        <w:spacing w:after="0" w:line="2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TPST-2003 incorporates a proprietary parallel dual-targeting CAR architecture designed to recognize both BCMA and CD19.</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4" o:spid="_x0000_s107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ectPr>
          <w:pgSz w:w="12240" w:h="15840" w:orient="portrait"/>
          <w:cols w:equalWidth="0" w:num="1">
            <w:col w:w="9360"/>
          </w:cols>
          <w:pgMar w:left="1440" w:top="1422"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2152650</wp:posOffset>
            </wp:positionH>
            <wp:positionV relativeFrom="page">
              <wp:posOffset>914400</wp:posOffset>
            </wp:positionV>
            <wp:extent cx="3467100" cy="4466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467100" cy="446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i w:val="1"/>
          <w:iCs w:val="1"/>
          <w:color w:val="auto"/>
        </w:rPr>
        <w:t>Figure: TPST-2003 parallel dual-targeting CAR construct targeting BCMA and CD19.</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Scientific Rationale for Dual-Targeting CAR Architecture</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CAR-T therapies function by engineering a patient’s T cells to express receptors that recognize tumor-associated antigens. Most currently available CAR -T therapies in multiple myeloma target a single antigen, typically BCMA. While these therapies can produce deep responses, relapse may occur when tumor cells reduce or lose expression of that antigen or when heterogeneous tumor populations express different surface markers.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enabling recognition of two distinct targets, TPST-2003’s dual-targeting approach is intended to:</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•Reduce the likelihood of tumor escape through antigen loss;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•Improve targeting of heterogeneous tumor populations; and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•Potentially enhance persistence of anti-tumor activity.</w:t>
      </w:r>
    </w:p>
    <w:p>
      <w:pPr>
        <w:spacing w:after="0" w:line="3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Clinical responses have been observed across multiple dose levels and study settings to date; however, additional follow-up and larger studies will be required to determine the reproducibility and durability of these findings.</w:t>
      </w:r>
    </w:p>
    <w:p>
      <w:pPr>
        <w:spacing w:after="0" w:line="1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 xml:space="preserve">The same dual-targeting CAR architecture forms the basis of additional programs in our pipeline, including TPST-3003, an allogeneic CAR-T program, and TPST-4003, an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CAR-T approach.</w:t>
      </w:r>
    </w:p>
    <w:p>
      <w:pPr>
        <w:sectPr>
          <w:pgSz w:w="12240" w:h="15840" w:orient="portrait"/>
          <w:cols w:equalWidth="0" w:num="1">
            <w:col w:w="9360"/>
          </w:cols>
          <w:pgMar w:left="1440" w:top="1440" w:right="1440" w:bottom="1440" w:gutter="0" w:footer="0" w:header="0"/>
        </w:sectPr>
      </w:pPr>
    </w:p>
    <w:bookmarkStart w:id="11" w:name="page12"/>
    <w:bookmarkEnd w:id="11"/>
    <w:p>
      <w:pPr>
        <w:jc w:val="both"/>
        <w:spacing w:after="0" w:line="277" w:lineRule="auto"/>
        <w:rPr>
          <w:sz w:val="20"/>
          <w:szCs w:val="20"/>
          <w:color w:val="auto"/>
        </w:rPr>
      </w:pPr>
      <w:r>
        <w:rPr>
          <w:rFonts w:ascii="Times New Roman" w:cs="Times New Roman" w:eastAsia="Times New Roman" w:hAnsi="Times New Roman"/>
          <w:sz w:val="20"/>
          <w:szCs w:val="20"/>
          <w:color w:val="auto"/>
        </w:rPr>
        <w:t>The clinical studies described below were designed to evaluate the safety and clinical activity of this dual-targeting approach, including in heavily pretreated patients.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0" o:spid="_x0000_s108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Study Design</w:t>
      </w: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TPST-2003 is currently being evaluated in a Phase 1/2 IIT clinical study and a REDEEM-1 Phase 1/2a trial, in each case in patients with rrMM, including patients who have received multiple prior lines of therapy. The IIT and REDEEM-1 Phase 1/2a trial are being conducted by investigators affiliated with Novatim and are being funded by Novatim.</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 be eligible for the Phase 1/2 IIT clinical study and the REDEEM-1 Phase 1/2a trial, patients must have rrMM and must have received at least one prior line of therapy. The Phase 1/2 IIT clinical study and the REDEEM-1 Phase 1/2a trial are primarily focused on evaluating the safety and tolerability of TPST-2003, as well as determining the clinical recommended dose of TPST -2003. Accordingly, the primary endpoints of the Phase 1/2 IIT clinical study and the REDEEM- 1 Phase 1/2a trial are the assessment of adverse events (“AEs”) and serious adverse events (“SAEs”). The secondary endpoints cover both PK and PD assessments, examining how the therapy behaves and acts within the body, as well as a set of efficacy measures including: progression-free survival (“PFS”); overall response rate (“ORR”); complete response (“CR”); strict complete response (“sCR”); duration of response; disease control rate (“DCR”), minimal residual disease (“MRD”); and OS.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Development Program</w:t>
      </w: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Clinical experience with TPST-2003 to date consists of early-phase studies, including the ongoing Phase 1/2 IIT and the ongoing REDEEM-1 Phase 1/2a trial. As of the January 31, 2026 data cutoff, a total of 36 patients with rrMM had received one infusion of TPST-2003 across these two studies: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 patients treated in the Phase 1/2 IIT; and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 patients treated in the REDEEM-1 Phase 1/2a trial.</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Patients enrolled in REDEEM-1 had received a median of four prior lines of therapy.</w:t>
      </w:r>
    </w:p>
    <w:p>
      <w:pPr>
        <w:spacing w:after="0" w:line="2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Among the six patients evaluable for efficacy as of the January 31, 2026 data cutoff in REDEEM-1, including three treated at dose level 1 (1 x 10</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cells/kg) and three treated at dose level 2 (2 x 10</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xml:space="preserve"> cells/kg), the CR rate was 100% (6/6) based on International Myeloma Working Group criteria.</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Across both studies, among 25 evaluable patients with measurable disease at baseline, the ORR was 100% (25/25). These findings are based on a limited number of patients to date, and additional follow-up will be required to determine clinical benefit.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Safety Profile Observations to Date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safety profile observed in REDEEM-1 has included: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Grade 3 or higher cytokine release syndrome (“CRS”);</w:t>
      </w:r>
    </w:p>
    <w:p>
      <w:pPr>
        <w:spacing w:after="0" w:line="3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•One patient treated at the highest dose level experiencing low-grade immune effector cell-associated neurotoxicity syndrome (“ICANS”); and</w:t>
      </w:r>
    </w:p>
    <w:p>
      <w:pPr>
        <w:sectPr>
          <w:pgSz w:w="12240" w:h="15840" w:orient="portrait"/>
          <w:cols w:equalWidth="0" w:num="1">
            <w:col w:w="9360"/>
          </w:cols>
          <w:pgMar w:left="1440" w:top="1422" w:right="1440" w:bottom="1440" w:gutter="0" w:footer="0" w:header="0"/>
        </w:sectPr>
      </w:pPr>
    </w:p>
    <w:bookmarkStart w:id="12" w:name="page13"/>
    <w:bookmarkEnd w:id="12"/>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Grade 3 or higher ICANS.</w:t>
      </w:r>
    </w:p>
    <w:p>
      <w:pPr>
        <w:spacing w:after="0" w:line="3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believe that the observed safety profile together with the consistency of responses observed in the REDEEM-1 trial support our plan to accelerate our development timeline and meet with the FDA to discuss initiating a U.S. registrational study later this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Durability of Response Observed in Earlier Study</w:t>
      </w:r>
    </w:p>
    <w:p>
      <w:pPr>
        <w:spacing w:after="0" w:line="2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believe clinical findings from the REDEEM-1 study appear generally consistent with the earlier IIT. In the IIT, among 19 evaluable patients with measurable disease at baseline: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•ORR was 100% (19/19);</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65" o:spid="_x0000_s1090"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 rate was 89.5% (17/19); and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highest evaluated dose level, CR was observed in 100% (5/5).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IIT also reported durable disease control, including: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•Median PFS of 23.1 months across all patients;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•Median PFS of 23.1 months in patients with extramedullary disease (“EMD”); and</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•MRD negativity at month 12 in all evaluable patients (5/5).</w:t>
      </w:r>
    </w:p>
    <w:p>
      <w:pPr>
        <w:spacing w:after="0" w:line="3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Patients with EMD are often associated with poorer outcomes and shorter disease control in rrMM. We are continuing to evaluate the durability of response observed in these studies.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TPST-2003 is also currently being evaluated in an ongoing Phase 1 clinical trial in patients with POEMS, a rare blood disorder caused by abnormal plasma cells. The POEMS trial is being conducted by investigators affiliated with Novatim and is being sponsored by Novatim.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Development Plans</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expect to present additional results from the REDEEM-1 study and updated IIT data at a scientific meeting in 2026. Based on data generated to date, we plan to submit an Investigational New Drug (“IND”) application to the FDA and, subject to regulatory clearance, may initiate a U.S. registrational study in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Programs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TPST-3003: Allogeneic Dual-Targeting CD19/BCMA CAR-T</w:t>
      </w: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Allogeneic CAR-T cell therapies are manufactured from donor cells, unlike autologous CAR-T cell therapies, which are manufactured from the patient’s own cells. Allogeneic CAR-T cell therapies thus have the potential to offer an off-the-shelf alternative to autologous products, that may reduce manufacturing complexity, potentially increasing availability to patients.</w:t>
      </w:r>
    </w:p>
    <w:p>
      <w:pPr>
        <w:sectPr>
          <w:pgSz w:w="12240" w:h="15840" w:orient="portrait"/>
          <w:cols w:equalWidth="0" w:num="1">
            <w:col w:w="9360"/>
          </w:cols>
          <w:pgMar w:left="1440" w:top="1440" w:right="1440"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20"/>
          <w:szCs w:val="20"/>
          <w:color w:val="auto"/>
        </w:rPr>
        <w:t>To manufacture an allogeneic CAR-T cell therapy, the T-cell receptor of the donor cells is typically eliminated (“knocked out”), to reduce the chance that the donor cells may nonspecifically attack the patient’s healthy cells (“graft-vs-host activity”).</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TPST-3003 is an allogeneic dual-targeting CD19/BCMA CAR-T product that we are developing for the treatment of rrMM. Because TPST-3003 uses the same dual-targeting architecture as TPST- 2003, we believe that TPST-3003 has the potential to maintain the same positive safety and efficacy profile that we have observed in early-stage clinical studies of TPST-2003, while reducing manufacturing complexity and potentially increasing availability to patients. We are planning to evaluate TPST-3003 in patients with rrMM in an strategic partner-sponsored IIT, with enrollment potentially beginning in the third quarter of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TPST-4003: In-vivo Dual-Targeting CD19/BCMA CAR-T</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In vivo </w:t>
      </w:r>
      <w:r>
        <w:rPr>
          <w:rFonts w:ascii="Times New Roman" w:cs="Times New Roman" w:eastAsia="Times New Roman" w:hAnsi="Times New Roman"/>
          <w:sz w:val="19"/>
          <w:szCs w:val="19"/>
          <w:color w:val="auto"/>
        </w:rPr>
        <w:t>CAR-T therapies typically comprise nucleic acid molecules that encode a CAR sequence and which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formulated for delivery to a patient’s T cells in the patient’s body. Most typically, an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CAR-T therapy consists of one or more mRNA molecules encoding a CAR sequence, formulated as a lipid nanoparticle, which is designed to target delivery to a specific type of cell in a patient’s body (e.g., a T cell that expresses the CD8 protein). Because </w:t>
      </w:r>
      <w:r>
        <w:rPr>
          <w:rFonts w:ascii="Times New Roman" w:cs="Times New Roman" w:eastAsia="Times New Roman" w:hAnsi="Times New Roman"/>
          <w:sz w:val="19"/>
          <w:szCs w:val="19"/>
          <w:i w:val="1"/>
          <w:iCs w:val="1"/>
          <w:color w:val="auto"/>
        </w:rPr>
        <w:t>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vivo </w:t>
      </w:r>
      <w:r>
        <w:rPr>
          <w:rFonts w:ascii="Times New Roman" w:cs="Times New Roman" w:eastAsia="Times New Roman" w:hAnsi="Times New Roman"/>
          <w:sz w:val="19"/>
          <w:szCs w:val="19"/>
          <w:color w:val="auto"/>
        </w:rPr>
        <w:t>CAR-T therapies generally do not require manipulating either the patient’s or a donor’s cells as part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manufacturing process, they have the potential to reduce manufacturing complexity as compared to both autologous and allogeneic CAR-T approaches. Because of the potential advantages of </w:t>
      </w:r>
      <w:r>
        <w:rPr>
          <w:rFonts w:ascii="Times New Roman" w:cs="Times New Roman" w:eastAsia="Times New Roman" w:hAnsi="Times New Roman"/>
          <w:sz w:val="19"/>
          <w:szCs w:val="19"/>
          <w:i w:val="1"/>
          <w:iCs w:val="1"/>
          <w:color w:val="auto"/>
        </w:rPr>
        <w:t>in vivo</w:t>
      </w:r>
      <w:r>
        <w:rPr>
          <w:rFonts w:ascii="Times New Roman" w:cs="Times New Roman" w:eastAsia="Times New Roman" w:hAnsi="Times New Roman"/>
          <w:sz w:val="19"/>
          <w:szCs w:val="19"/>
          <w:color w:val="auto"/>
        </w:rPr>
        <w:t xml:space="preserve"> CAR -T therapies, these approaches are being explored for potential treatment of immunology indications, including lupus, in addition to cancer.</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TPST- 4003 is an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dual-targeting CD19/BCMA CAR-T product that we are developing for the treatment of lupus. Because TPST-4003 uses the same dual-targeting architecture as TPST-2003, we believe that TPST-4003 has the potential to achieve a</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0" o:spid="_x0000_s109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favorable safety and efficacy profile as compared with single -targeting approaches. We are planning to evaluate TPST-4003 in patients with lupus in a strategic partner-sponsored IIT, with enrollment potentially beginning in the second quarter of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TPST-2206: Autologous Dual-Targeting CD70/CD70 CAR-T</w:t>
      </w: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CD70 is a protein that is often expressed on the surface of cells that make up a solid tumor, including in patients with renal cell carcinoma (“RCC”). While therapeutic approaches targeting CD70 have shown promise across various experimental settings, some cancer cells within a solid tumor may only express low levels of CD70, while other cancer cells may downregulate expression of CD70 during treatment with a CD70-targeting therapy.</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TPST -2206 is an autologous dual- targeting CD70/CD70 CAR -T product that we are developing for the treatment of RCC. TPST-2206 uses the same dual-targeting architecture as TPST-2003, but replaces the CD19 and BCMA-targeting CARs with two CD70-targeting CARs. We believe that this dual-targeting structure may allow TPST-2206 to more effectively target and treat CD70-expressing solid tumors than single-targeting approaches. TPST-2206 is being evaluated in pre-clinical studies with a Phase 1 clinical trial of TPST-2206 in patients with RCC planned to begin in the second quarter of 2026. These pre-clinical activities and the planned Phase 1 clinical trial are being conducted and sponsored by our strategic partner, Novatim. We are planning to review the results of these studies, and, depending on those data, evaluate the potential to develop TPST-2206 in countries other than China, India, Turkey, and Russia.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TPST-3206: Allogeneic Dual-Targeting CD70/CD70 CAR-T</w:t>
      </w:r>
    </w:p>
    <w:p>
      <w:pPr>
        <w:spacing w:after="0" w:line="2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TPST -3206 is an allogeneic dual-targeting CD70/CD70 CAR-T product that we are developing for the treatment of RCC. TPST-3206 uses the same dual-targeting structure as TPST-2206 and the same manufacturing approach as our other allogeneic CAR-T program, TPST-3003. We are planning to review the results of the ongoing pre-clinical and</w:t>
      </w:r>
    </w:p>
    <w:p>
      <w:pPr>
        <w:sectPr>
          <w:pgSz w:w="12240" w:h="15840" w:orient="portrait"/>
          <w:cols w:equalWidth="0" w:num="1">
            <w:col w:w="9360"/>
          </w:cols>
          <w:pgMar w:left="1440" w:top="1422" w:right="1440" w:bottom="887" w:gutter="0" w:footer="0" w:header="0"/>
        </w:sectPr>
      </w:pPr>
    </w:p>
    <w:bookmarkStart w:id="14" w:name="page15"/>
    <w:bookmarkEnd w:id="14"/>
    <w:p>
      <w:pPr>
        <w:spacing w:after="0" w:line="277" w:lineRule="auto"/>
        <w:rPr>
          <w:sz w:val="20"/>
          <w:szCs w:val="20"/>
          <w:color w:val="auto"/>
        </w:rPr>
      </w:pPr>
      <w:r>
        <w:rPr>
          <w:rFonts w:ascii="Times New Roman" w:cs="Times New Roman" w:eastAsia="Times New Roman" w:hAnsi="Times New Roman"/>
          <w:sz w:val="20"/>
          <w:szCs w:val="20"/>
          <w:color w:val="auto"/>
        </w:rPr>
        <w:t>planned clinical evaluation of TPST-2206, which is being conducted and sponsored by Novatim, and, depending on those data, evaluate the potential to develop TPST-3206 in countries other than China, India, Turkey, and Russia.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 Molecule Programs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Amezalpat: PPARα Transcription Factor Antagonist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Amezalpat, a potentially first-in-class oral small molecule antagonist of PPARα, has completed a Phase 1a/b trial, and</w:t>
      </w:r>
    </w:p>
    <w:p>
      <w:pPr>
        <w:spacing w:after="0" w:line="40" w:lineRule="exact"/>
        <w:rPr>
          <w:sz w:val="20"/>
          <w:szCs w:val="20"/>
          <w:color w:val="auto"/>
        </w:rPr>
      </w:pPr>
    </w:p>
    <w:p>
      <w:pPr>
        <w:jc w:val="both"/>
        <w:spacing w:after="0"/>
        <w:tabs>
          <w:tab w:leader="none" w:pos="1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randomized Phase 1b/2 trial. The Phase 1a/b trial was a multicenter, open-label, dose-escalation, that evaluated amezalpat as both a monotherapy and combination therapy with nivolumab in patients with advanced solid tumors. Results from both the monotherapy and combination arms were presented in an oral presentation at the ASCO conference in 2022. The Phase 1b/2 trial was a randomized, multicenter, global study in collaboration with Roche that was evaluating amezalpat in combination with atezolizumab (TECENTRIQ®) and bevacizumab (Avastin®) in previously untreated patients with advanced HCC, compared to atezolizumab and bevacizumab alone, which is a standard of care for that indication and patient population. As of an updated February 14, 2024 data cutoff date, the global randomized Phase 1b/2 trial continued to show positive outcomes in patients with advanced or metastatic HCC who received the amezalpat combination therapy as compared to the control arm, including a survival benefit in both the overall population and key subpopulations.</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Tumors evolve to promote their own survival by alternating energy sources, promoting angiogenesis and evading immune recognition. PPARα is a transcription factor that is activated through binding of long-chain fatty acid ligands, which in turn regulates the expression of genes that control glucose and lipid homeostasis, inflammation, proliferation, differentiation and cell death. Included among these regulated genes are those that enable fatty acid oxidation (“FAO”), and β-oxidation metabolic pathways in cellular peroxisomes and in mitochondria. An FAO metabolic profile is associated with tumor proliferation, induction of angiogenesis and immune suppression. Published studies and internal Tempest analyses of over 9,000 primary or metastatic tumor samples in the Human Cancer Genome public database reveal a metabolic gene expression profile characterized by increased PPARα, FAO genes and lipogenesis associated with increased metastatic potential and reduced survival enrichment among multiple cancers, including HCC, CCA, breast carcinoma, colorectal adenocarcinoma, RCC, lung adenocarcinoma and prostate adenocarcinoma. Amezalpat is designed to block the pathways that support tumor cell proliferation, angiogenesis and immune suppression, resulting in reduced disease and patient benefit.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5" o:spid="_x0000_s1100"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77" o:spid="_x0000_s1102"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78" o:spid="_x0000_s1103"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drawing>
          <wp:anchor simplePos="0" relativeHeight="251657728" behindDoc="1" locked="0" layoutInCell="0" allowOverlap="1">
            <wp:simplePos x="0" y="0"/>
            <wp:positionH relativeFrom="column">
              <wp:posOffset>0</wp:posOffset>
            </wp:positionH>
            <wp:positionV relativeFrom="paragraph">
              <wp:posOffset>776605</wp:posOffset>
            </wp:positionV>
            <wp:extent cx="5943600" cy="2471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
                      <a:extLst>
                        <a:ext uri="{28A0092B-C50C-407E-A947-70E740481C1C}"/>
                      </a:extLst>
                    </a:blip>
                    <a:srcRect/>
                    <a:stretch>
                      <a:fillRect/>
                    </a:stretch>
                  </pic:blipFill>
                  <pic:spPr bwMode="auto">
                    <a:xfrm>
                      <a:off x="0" y="0"/>
                      <a:ext cx="5943600" cy="2471420"/>
                    </a:xfrm>
                    <a:prstGeom prst="rect">
                      <a:avLst/>
                    </a:prstGeom>
                    <a:noFill/>
                  </pic:spPr>
                </pic:pic>
              </a:graphicData>
            </a:graphic>
          </wp:anchor>
        </w:drawing>
      </w:r>
    </w:p>
    <w:p>
      <w:pPr>
        <w:sectPr>
          <w:pgSz w:w="12240" w:h="15840" w:orient="portrait"/>
          <w:cols w:equalWidth="0" w:num="1">
            <w:col w:w="9360"/>
          </w:cols>
          <w:pgMar w:left="1440" w:top="142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i w:val="1"/>
          <w:iCs w:val="1"/>
          <w:color w:val="auto"/>
        </w:rPr>
        <w:t>Summary of Amezalpat Preclinical Results</w:t>
      </w: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conducted pre-clinical pharmacology studies along with pharmacokinetics (“PK”), and toxicology studies with amezalpat to support its ongoing evaluation for the treatment of patients with advanced solid tumors. The combined results of the preclinical studies that we have performed indicate that amezalpat has a dual anti-tumor mechanism of action that involves both directly inhibiting tumor proliferation and targeting suppressive immune response pathways to promote effective tumor-specific immunity. Our preclinical results support the large body of published literature that the PPARα target genes play an integral role in tumor growth, angiogenesis and evasion of immune recognition, and provide the scientific rationale for targeting this pathway with amezalpat.</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Immune checkpoint blockade enhances anti-tumor immunity by restoring the activity of cytotoxic T (Teff) cells. Emerging experimental results suggest that inhibiting FAO with a PPARα antagonist may target resistance mechanisms to both anti-PD-L1/PD-1 and anti-VEGF therapies, supporting the combination of amezalpat with either or both therapies. We have conducted preclinical studies showing that while both amezalpat or anti-PD-1 monotherapy inhibited outgrowth of established flank MC38 tumors, the combination of these two agents resulted in synergistic anti-tumor activity. In addition, MC38 tumor-bearing mice cured by the combination therapy, unlike age-matched naïve control mice, were completely resistant to tumor growth when rechallenged with autologous MC38 tumor cells, demonstrating that amezalpat in combination with anti-PD- 1 induced lasting tumor-specific immune memory. In addition, activating mutations in the Wnt/B -catenin pathway represent the most frequently dysregulated pathway in HCC. Such mutations render a tumor cell dependent upon FAO for its energy source, and in preclinical studies, Tempest has shown reduction and long -term durable cures in mice bearing Wnt/B- catenin activated HCC tumors treated with amezalpat and an immune checkpoint inhibitor. The promise of these pre-clinical results have been observed in the clinic, where we observed increased clinical benefit in our Phase 1b/2 study in HCC patients who had a mutation in this pathway.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333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33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82" o:spid="_x0000_s1107"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84" o:spid="_x0000_s1109"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85" o:spid="_x0000_s1110"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Efficacy in Syngeneic β-Catenin-driven Hepatocellular Carcinoma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5942965" cy="3550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
                      <a:extLst>
                        <a:ext uri="{28A0092B-C50C-407E-A947-70E740481C1C}"/>
                      </a:extLst>
                    </a:blip>
                    <a:srcRect/>
                    <a:stretch>
                      <a:fillRect/>
                    </a:stretch>
                  </pic:blipFill>
                  <pic:spPr bwMode="auto">
                    <a:xfrm>
                      <a:off x="0" y="0"/>
                      <a:ext cx="5942965" cy="3550285"/>
                    </a:xfrm>
                    <a:prstGeom prst="rect">
                      <a:avLst/>
                    </a:prstGeom>
                    <a:noFill/>
                  </pic:spPr>
                </pic:pic>
              </a:graphicData>
            </a:graphic>
          </wp:anchor>
        </w:drawing>
      </w:r>
    </w:p>
    <w:p>
      <w:pPr>
        <w:sectPr>
          <w:pgSz w:w="12240" w:h="15840" w:orient="portrait"/>
          <w:cols w:equalWidth="0" w:num="1">
            <w:col w:w="9360"/>
          </w:cols>
          <w:pgMar w:left="1440" w:top="1424" w:right="1440" w:bottom="1440" w:gutter="0" w:footer="0" w:header="0"/>
        </w:sectPr>
      </w:pPr>
    </w:p>
    <w:bookmarkStart w:id="16" w:name="page17"/>
    <w:bookmarkEnd w:id="16"/>
    <w:p>
      <w:pPr>
        <w:jc w:val="both"/>
        <w:spacing w:after="0" w:line="249" w:lineRule="auto"/>
        <w:rPr>
          <w:sz w:val="20"/>
          <w:szCs w:val="20"/>
          <w:color w:val="auto"/>
        </w:rPr>
      </w:pPr>
      <w:r>
        <w:rPr>
          <w:rFonts w:ascii="Times New Roman" w:cs="Times New Roman" w:eastAsia="Times New Roman" w:hAnsi="Times New Roman"/>
          <w:sz w:val="20"/>
          <w:szCs w:val="20"/>
          <w:color w:val="auto"/>
        </w:rPr>
        <w:t>Tumor resistance to anti-angiogenic drugs is also associated with elevated lipogenesis and FAO, primarily through the vascular regression and hypoxic environment that this class of therapies engenders. In response, tumor cells can switch to FAO as a mechanism of resistance against anti-angiogenic therapy. In a preclinical study, we confirmed that combination of amezalpat with tyrosine kinase inhibitor-(“TKI-”), based anti-angiogenesis therapy confers potent anti-tumor activity.</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preclinical data for amezalpat are consistent with the data observed from our Phase 1 trial presented at ASCO in 2022. Taken together, we believe the hypothesis behind the amezalpat program, the preclinical data, and the Phase 1 data support the design of, and data observed from, the ongoing study of amezalpat in first- line HCC in combination with standard of care as well as the potential evaluation of amezalpat in combination with other therapeutic agents, such as a tyrosine kinase inhibitor (“TKI”), in FAO-reliant malignancies such as HCC and RCC.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amezalpat Clinical Trials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completed a Phase 1a/b study and a global randomized Phase 1b/2 clinical study of amezalpat. We have released positive data from both studies, and we believe the continued positive data announced in 2024 supports the advancement of amezalpat to a pivotal Phase 3 trial in first-line HCC. The Phase 1a/b trial evaluated both monotherapy and combination therapy with the anti-PD-1 agent nivolumab in patients with advanced solid tumors that our PPARα-dependent transcriptome analysis of diverse human cancers revealed favor the usage of FAO. Results from both the monotherapy and the combination arms were presented in an oral presentation at the ASCO conference in 2022.</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Amezalpat demonstrated monotherapy clinical benefit in patients with late-line, treatment-refractory cancers where objective responses (RECIST v1.1) would not be expected, including pancreatic, CCA, and colorectal cancers (“CRC”). Results showed that 53% (10/19) of patients experienced clinical benefit in the form of disease control, including tumor shrinkage in 21% of the patients. One subject with late line CCA had a 15% tumor shrinkage and was on study for over nine months of treatment, while also demonstrating on-target inhibition of expression of PPARα target genes on pharmacodynamic (“PD”) assessment.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333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33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89" o:spid="_x0000_s1114"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91" o:spid="_x0000_s1116"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92" o:spid="_x0000_s1117"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the combination therapy portion of the trial, 15 evaluable patients with heavily pretreated RCC, HCC and CCA were treated with oral twice-daily amezalpat and the anti-PD-1 therapy, nivolumab. All the HCC and RCC patients had received an approved anti-PD-1 therapy in at least one prior line of therapy and discontinued that treatment due to disease progression. We observed objective responses (RECIST v1.1) in two patients with late-line RCC who had previously progressed on anti-PD -1 therapy without having achieved an objective response (ORR 50%, n=2/4, in evaluable RCC patients), and we observed mixed response in a third RCC IO-refractory patient with significant reduction (&gt;30%) in the target lesion, but the appearance of new disease precluded designation as a RECIST PR. A third RECIST response was observed in a patient with late-line, heavily pre-treated CCA, a tumor type generally not responsive to anti-PD-1 therapy alone. All the RECIST responses were observed at the two highest doses.</w:t>
      </w:r>
    </w:p>
    <w:p>
      <w:pPr>
        <w:sectPr>
          <w:pgSz w:w="12240" w:h="15840" w:orient="portrait"/>
          <w:cols w:equalWidth="0" w:num="1">
            <w:col w:w="9360"/>
          </w:cols>
          <w:pgMar w:left="1440" w:top="1422"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1125855</wp:posOffset>
            </wp:positionH>
            <wp:positionV relativeFrom="page">
              <wp:posOffset>914400</wp:posOffset>
            </wp:positionV>
            <wp:extent cx="5553075" cy="22193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553075" cy="221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Notably, one RCC patient who achieved a response after treatment with amezalpat and nivolumab had previously been treated with nivolumab in combination with ipilimumab without experiencing an objective response and progressed on treatment, followed by further progression of cancer on both cabozantinib and everolimus. The initial RECIST PR was seen at the first on-study assessment at eight weeks and included a response in all target lesions as well as complete radiographic resolution of multiple sites of metastatic disease (see CT scan below) and has been confirmed at subsequent assessments beyond 12 months.</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Partial Response in Late-Line RCC Patient Treated with amezalpat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Nivolumab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5942330" cy="23571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
                      <a:extLst>
                        <a:ext uri="{28A0092B-C50C-407E-A947-70E740481C1C}"/>
                      </a:extLst>
                    </a:blip>
                    <a:srcRect/>
                    <a:stretch>
                      <a:fillRect/>
                    </a:stretch>
                  </pic:blipFill>
                  <pic:spPr bwMode="auto">
                    <a:xfrm>
                      <a:off x="0" y="0"/>
                      <a:ext cx="594233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96" o:spid="_x0000_s1121"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97" o:spid="_x0000_s112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Randomized Data in HCC</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an updated February 14, 2024 data cutoff date, the global randomized Phase 1b/2 trial of amezalpat, combined with the standard-of-care first-line regimen of atezolizumab and bevacizumab continued to show positive results in patients with advanced or metastatic HCC. The study is comparing the amezalpat arm to standard of care alone, and enrolled 40 patients randomized to the amezalpat arm and 30 patients randomized to the control arm. With 10 additional months of follow-up since the April 2023 primary analysis, the median OS in the amezalpat arm reached</w:t>
      </w:r>
    </w:p>
    <w:p>
      <w:pPr>
        <w:sectPr>
          <w:pgSz w:w="12240" w:h="15840" w:orient="portrait"/>
          <w:cols w:equalWidth="0" w:num="1">
            <w:col w:w="9360"/>
          </w:cols>
          <w:pgMar w:left="1440" w:top="1440" w:right="1440" w:bottom="1103" w:gutter="0" w:footer="0" w:header="0"/>
        </w:sectPr>
      </w:pPr>
    </w:p>
    <w:bookmarkStart w:id="18" w:name="page19"/>
    <w:bookmarkEnd w:id="18"/>
    <w:p>
      <w:pPr>
        <w:jc w:val="both"/>
        <w:spacing w:after="0" w:line="277" w:lineRule="auto"/>
        <w:rPr>
          <w:sz w:val="20"/>
          <w:szCs w:val="20"/>
          <w:color w:val="auto"/>
        </w:rPr>
      </w:pPr>
      <w:r>
        <w:rPr>
          <w:rFonts w:ascii="Times New Roman" w:cs="Times New Roman" w:eastAsia="Times New Roman" w:hAnsi="Times New Roman"/>
          <w:sz w:val="20"/>
          <w:szCs w:val="20"/>
          <w:color w:val="auto"/>
        </w:rPr>
        <w:t>21 months, representing a 6-month improvement over the 15-month OS in the control arm. Importantly, the HR remained stable, demonstrating a sustained reduction in the relative risk of death compared to the control arm.</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At the data cutoff date, 50% (20/40) of patients in the amezalpat arm remained in survival follow-up versus 30% (9/30) in the control arm. We believe this reinforces the meaningful clinical benefit observed in this population, with OS serving as the primary endpoint for regulatory approval globally for first-line HCC.</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confirmed ORR for the amezalpat arm remained consistent at 30%, compared to 13.3% in the control arm. Notably, one patient in the amezalpat arm who had previously achieved a PR as of April 2023 converted to a CR by February 2024, with at least an 80% reduction in tumor burden. This patient, despite having a PD-L1 score &lt;1% and an immune desert phenotype, achieved a CR with the addition of amezalpat, highlighting its potential efficacy in hard-to-treat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5942330" cy="19831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
                      <a:extLst>
                        <a:ext uri="{28A0092B-C50C-407E-A947-70E740481C1C}"/>
                      </a:extLst>
                    </a:blip>
                    <a:srcRect/>
                    <a:stretch>
                      <a:fillRect/>
                    </a:stretch>
                  </pic:blipFill>
                  <pic:spPr bwMode="auto">
                    <a:xfrm>
                      <a:off x="0" y="0"/>
                      <a:ext cx="5942330" cy="198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Data not provided by Roche</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Additionally in biomarker subpopulation analyses, patients with b-catenin activating mutations (21% of the study population) showed an increased confirmed ORR of 43% and a DCR of 100% in the amezalpat arm. The triplet regimen with amezalpat remained active across PD- L1 negative tumors, with a confirmed ORR of 27% in the amezalpat arm, compared to a reduced ORR of 7% for the control arm.</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04" o:spid="_x0000_s112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106" o:spid="_x0000_s1131"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107" o:spid="_x0000_s1132"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22"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914400</wp:posOffset>
            </wp:positionV>
            <wp:extent cx="5942965" cy="63131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
                      <a:extLst>
                        <a:ext uri="{28A0092B-C50C-407E-A947-70E740481C1C}"/>
                      </a:extLst>
                    </a:blip>
                    <a:srcRect/>
                    <a:stretch>
                      <a:fillRect/>
                    </a:stretch>
                  </pic:blipFill>
                  <pic:spPr bwMode="auto">
                    <a:xfrm>
                      <a:off x="0" y="0"/>
                      <a:ext cx="5942965" cy="631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Early in the development of amezalpat, given the expression profile and attributes of PPARα, we selected HCC, RCC and CCA as cancers of interest and checkpoint inhibitors and anti-angiogenic therapeutics as potential companion therapies with the goal to maximize the opportunity to bring meaningful benefit to patients with these cancers. Based on the pre-clinical and clinical data released to date, we believe that the emerging clinical benefit profile of amezalpat for patients shows alignment with these predictions, and we look forward to the potential benefit amezalpat could bring to patients with these cancers.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own worldwide rights to amezalpat, and have filed and been issued patents, including composition of matter, pharmaceutical compositions, and related methods of use, which are expected to expire between December 2033 and November 2043, without giving effect to any patent term extensions.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40" w:right="1440" w:bottom="1010" w:gutter="0" w:footer="0" w:header="0"/>
        </w:sectPr>
      </w:pPr>
    </w:p>
    <w:bookmarkStart w:id="20" w:name="page21"/>
    <w:bookmarkEnd w:id="20"/>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914400</wp:posOffset>
                </wp:positionH>
                <wp:positionV relativeFrom="page">
                  <wp:posOffset>1047750</wp:posOffset>
                </wp:positionV>
                <wp:extent cx="59436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82.5pt" to="540pt,82.5pt" o:allowincell="f" strokecolor="#808080" strokeweight="1.5999pt">
                <w10:wrap anchorx="page" anchory="page"/>
              </v:line>
            </w:pict>
          </mc:Fallback>
        </mc:AlternateContent>
        <mc:AlternateContent>
          <mc:Choice Requires="wps">
            <w:drawing>
              <wp:anchor simplePos="0" relativeHeight="251657728" behindDoc="1" locked="0" layoutInCell="0" allowOverlap="1">
                <wp:simplePos x="0" y="0"/>
                <wp:positionH relativeFrom="page">
                  <wp:posOffset>6857365</wp:posOffset>
                </wp:positionH>
                <wp:positionV relativeFrom="page">
                  <wp:posOffset>1040765</wp:posOffset>
                </wp:positionV>
                <wp:extent cx="0" cy="1651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9.95pt,81.95pt" to="539.95pt,83.25pt" o:allowincell="f" strokecolor="#E3E3E3" strokeweight="0.2399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1032510</wp:posOffset>
                </wp:positionV>
                <wp:extent cx="5944870" cy="1333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111" o:spid="_x0000_s1136" style="position:absolute;margin-left:72pt;margin-top:81.3pt;width:468.1pt;height:1.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0A0A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915670</wp:posOffset>
                </wp:positionH>
                <wp:positionV relativeFrom="page">
                  <wp:posOffset>1037590</wp:posOffset>
                </wp:positionV>
                <wp:extent cx="0" cy="19685"/>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1pt,81.7pt" to="72.1pt,83.25pt" o:allowincell="f" strokecolor="#A0A0A0" strokeweight="0.24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1056005</wp:posOffset>
                </wp:positionV>
                <wp:extent cx="594487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83.15pt" to="540.1pt,83.15pt" o:allowincell="f" strokecolor="#E3E3E3" strokeweight="0.2399pt">
                <w10:wrap anchorx="page" anchory="page"/>
              </v:line>
            </w:pict>
          </mc:Fallback>
        </mc:AlternateConten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TPST-1495: Dual EP2/EP4 Prostaglandin Receptor Antagonist</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second small-molecule product candidate is TPST -1495, a potentially first-in-class, oral, small molecule dual antagonist of the prostaglandin E2 (“PGE2”), receptors, EP2 and EP4. TPST -1495 is engineered to inhibit only these receptors while sparing the homologous - but differentially active - EP1 and EP3 receptors.</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There is extensive literature demonstrating that PGE2 both enhances tumor proliferation and inhibits anti -cancer immune function; it is known from the scientific literature that many tumors express elevated levels of the cyclooxygenase enzymes that produce PGE2. Elevated expression of COX-2 and overproduction of PGE2 is correlated with progression of diverse malignancies by stimulating tumor cell proliferation, survival, evasion and metastasis as well as host angiogenesis. In addition, PGE2 suppresses anti-tumor immunity by inhibiting the function of critical anti-tumor immune effector cell populations such as dendritic cells, natural killer (“NK cells”), T cells, and M1 macrophages, while promoting the activity of suppressive immune cell populations including myeloid-derived suppressor cells (“MDSCs”), M2 macrophages, and regulatory T cells. Recent studies have also shown that increased expression of COX -2 and production of PGE2 can play a role in the effectiveness of immune checkpoint inhibitor therapy and in the development of adaptive resistance to therapy. This body of literature provides the scientific rationale for developing therapeutics that maximally inhibit the prostaglandin pathway, as well as for combining TPST-1495 with immune checkpoint inhibitor monoclonal antibodies.</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We conducted preclinical studies to evaluate TPST-1495, including its ability to reverse PGE2- mediated suppression of primary human monocyte to dendritic cell differentiation and activation in vitro, as well as comparisons to other agents designed to operate in the same pathway such as a single EP4 antagonist and, as described, COX2.</w:t>
      </w:r>
    </w:p>
    <w:p>
      <w:pPr>
        <w:spacing w:after="0" w:line="16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We have also conducted preclinical studies to evaluate TPST-1495 in a spontaneous APCMin/+ mouse model of FAP that demonstrated a significant survival advantage in comparison to other inhibitors in the prostaglandin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5942965" cy="2810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
                      <a:extLst>
                        <a:ext uri="{28A0092B-C50C-407E-A947-70E740481C1C}"/>
                      </a:extLst>
                    </a:blip>
                    <a:srcRect/>
                    <a:stretch>
                      <a:fillRect/>
                    </a:stretch>
                  </pic:blipFill>
                  <pic:spPr bwMode="auto">
                    <a:xfrm>
                      <a:off x="0" y="0"/>
                      <a:ext cx="5942965" cy="281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Francica et al., Cancer Res Commun; 3(8) August 2023 https://doi.org/10.1158/2767-9764.CRC-23-0249</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Ongoing TPST-1495 Clinical Trials</w:t>
      </w:r>
    </w:p>
    <w:p>
      <w:pPr>
        <w:spacing w:after="0" w:line="23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TPST-1495 was evaluated in a first-in-human, Phase 1, multicenter, open-label, schedule and dose optimization trial in subjects with late-stage solid tumor cancers that are deemed incurable. Study objectives include evaluation of safety,</w:t>
      </w:r>
    </w:p>
    <w:p>
      <w:pPr>
        <w:sectPr>
          <w:pgSz w:w="12240" w:h="15840" w:orient="portrait"/>
          <w:cols w:equalWidth="0" w:num="1">
            <w:col w:w="9360"/>
          </w:cols>
          <w:pgMar w:left="1440" w:top="1440" w:right="1440" w:bottom="1020" w:gutter="0" w:footer="0" w:header="0"/>
        </w:sectPr>
      </w:pPr>
    </w:p>
    <w:bookmarkStart w:id="21" w:name="page22"/>
    <w:bookmarkEnd w:id="21"/>
    <w:p>
      <w:pPr>
        <w:jc w:val="both"/>
        <w:spacing w:after="0" w:line="277" w:lineRule="auto"/>
        <w:rPr>
          <w:sz w:val="20"/>
          <w:szCs w:val="20"/>
          <w:color w:val="auto"/>
        </w:rPr>
      </w:pPr>
      <w:r>
        <w:rPr>
          <w:rFonts w:ascii="Times New Roman" w:cs="Times New Roman" w:eastAsia="Times New Roman" w:hAnsi="Times New Roman"/>
          <w:sz w:val="20"/>
          <w:szCs w:val="20"/>
          <w:color w:val="auto"/>
        </w:rPr>
        <w:t>tolerability, PK, PD, and preliminary anti-tumor activity of TPST-1495 as monotherapy and in combination with the checkpoint inhibitor,</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17" o:spid="_x0000_s114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pembrolizumab. TPST-1495 has been evaluated on a once daily (“QD”) or twice daily (“BID”) schedule and with continuous or intermittent administration as monotherapy and in combination with pembrolizumab. Results from the Phase 1 study were presented at ASCO 2023. The data showed that in a diverse and treatment- refractory patient population, treatment with TPST-1495 as a monotherapy and in combination with pembrolizumab resulted in tumor shrinkage and prolonged stable disease in certain patients with a monotherapy safety profile on the recommended QD schedule that was tolerable, with predominantly Grade 1 -2 treatment related adverse events (“TRAEs”). For the combination with pembrolizumab, Grade 1-3 TRAEs were reported.</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 xml:space="preserve">Our preclinical results in the APC </w:t>
      </w:r>
      <w:r>
        <w:rPr>
          <w:rFonts w:ascii="Times New Roman" w:cs="Times New Roman" w:eastAsia="Times New Roman" w:hAnsi="Times New Roman"/>
          <w:sz w:val="24"/>
          <w:szCs w:val="24"/>
          <w:color w:val="auto"/>
          <w:vertAlign w:val="superscript"/>
        </w:rPr>
        <w:t>Min/+</w:t>
      </w:r>
      <w:r>
        <w:rPr>
          <w:rFonts w:ascii="Times New Roman" w:cs="Times New Roman" w:eastAsia="Times New Roman" w:hAnsi="Times New Roman"/>
          <w:sz w:val="19"/>
          <w:szCs w:val="19"/>
          <w:color w:val="auto"/>
        </w:rPr>
        <w:t xml:space="preserve"> lead us to consider the application of TPST-1495 in familial adenomatous polyposis syndrome (“FAP”). FAP is a hereditary condition characterized by the development of numerous polyps in the colon and rectum. These polyps have the potential to become cancerous if left untreated. FAP is caused by mutations in the APC gene, which normally helps regulate cell growth and division in the intestinal lining. Individuals with FAP have a significantly increased risk of developing colorectal cancer at a young age, often before the age of</w:t>
      </w:r>
    </w:p>
    <w:p>
      <w:pPr>
        <w:spacing w:after="0" w:line="4" w:lineRule="exact"/>
        <w:rPr>
          <w:sz w:val="20"/>
          <w:szCs w:val="20"/>
          <w:color w:val="auto"/>
        </w:rPr>
      </w:pPr>
    </w:p>
    <w:p>
      <w:pPr>
        <w:jc w:val="both"/>
        <w:spacing w:after="0" w:line="241" w:lineRule="auto"/>
        <w:tabs>
          <w:tab w:leader="none" w:pos="29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FAP can lead to the development of polyps in other parts of the gastrointestinal tract, as well as other non-gastrointestinal tumors. Management of FAP typically involves regular surveillance with colonoscopies and surgical intervention to remove the polyps and reduce the risk of cancer. Currently, there are no systemic therapies approved to treat FAP. We are working with CP-CTNet on an NCI-funded Phase 2 study, which we expect will begin this year.</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December 31, 2025, we own worldwide rights to TPST-1495, and our issued United States patents covering TPST-1495 as compositions of matter, pharmaceutical compositions and related methods of use, are expected to expire between April 2038 and April 2039, without giving effect to any patent term adjustments or patent term extensions for regulatory delay.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and Collaboration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Novatim License and Collaboration Agreement</w:t>
      </w: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July 18, 2025, Erigen entered into an Exclusive License and Collaboration Agreement (the “Novatim License Agreement”) with Novatim. On February 3, 2026, the Novatim License Agreement was assigned to us in connection with the Closing pursuant to the Asset Purchase Agreement.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Pursuant to the Novatim License Agreement, we obtained an exclusive license to specified patents and know- how in all fields worldwide, but excluding Greater China, India, Turkey, and Russia, to exploit the TPST-2003 and TPST-2206 programs and allogeneic CAR-T therapies based on the TPST-2003 and TPST-2206 programs. We also received a right of first negotiation to negotiate a license to exploit allogeneic CAR-T therapies and in vivo CAR-T therapies in Greater China. We are obligated to meet certain diligence milestones by specified dates and to use commercially reasonable efforts to develop and make commercially available at least one licensed product in the licensed territory. No upfront payment was paid pursuant to the Novatim License Agreement. We are obligated to pay Novatim up to $80 million in total upon achievement of certain development milestones for the programs and up to $1.24 billion in total upon achievement of certain commercial milestones for the programs. In addition, we are required to pay Novatim mid-to-high single digit royalties on net sales of licensed products, subject to certain customary reductions, up to a lifetime maximum of $800 million, following which our license shall become fully paid and royalty-free.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Novatim License Agreement is subject to termination (i) by either party, subject to specified cure periods, for the material breach by the other party or the bankruptcy or insolvency of the other party, or (ii) by mutual agreement of the parties.</w:t>
      </w:r>
    </w:p>
    <w:p>
      <w:pPr>
        <w:sectPr>
          <w:pgSz w:w="12240" w:h="15840" w:orient="portrait"/>
          <w:cols w:equalWidth="0" w:num="1">
            <w:col w:w="9360"/>
          </w:cols>
          <w:pgMar w:left="1440" w:top="1422" w:right="1440" w:bottom="1156"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Factor Amended and Restated License and Collaboration Agreement</w:t>
      </w:r>
    </w:p>
    <w:p>
      <w:pPr>
        <w:sectPr>
          <w:pgSz w:w="12240" w:h="15840" w:orient="portrait"/>
          <w:cols w:equalWidth="0" w:num="1">
            <w:col w:w="9360"/>
          </w:cols>
          <w:pgMar w:left="1440" w:top="1422" w:right="1440" w:bottom="1156" w:gutter="0" w:footer="0" w:header="0"/>
          <w:type w:val="continuous"/>
        </w:sectPr>
      </w:pPr>
    </w:p>
    <w:bookmarkStart w:id="22" w:name="page23"/>
    <w:bookmarkEnd w:id="22"/>
    <w:p>
      <w:pPr>
        <w:jc w:val="both"/>
        <w:spacing w:after="0" w:line="257" w:lineRule="auto"/>
        <w:rPr>
          <w:sz w:val="20"/>
          <w:szCs w:val="20"/>
          <w:color w:val="auto"/>
        </w:rPr>
      </w:pPr>
      <w:r>
        <w:rPr>
          <w:rFonts w:ascii="Times New Roman" w:cs="Times New Roman" w:eastAsia="Times New Roman" w:hAnsi="Times New Roman"/>
          <w:sz w:val="20"/>
          <w:szCs w:val="20"/>
          <w:color w:val="auto"/>
        </w:rPr>
        <w:t>On November 19, 2025, Erigen entered into an Amended and Restated License and Collaboration Agreement (the “Restated Factor License Agreement”) with Factor Bioscience Limited. On February 3, 2026, the Restated Factor License Agreement was assigned to us in connection with the Closing pursuant to the Asset Purchase Agreement.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Pursuant to the Restated Factor License Agreement, we obtained an exclusive license to specified patents in all fields worldwide, but excluding Greater China, India, Turkey, and Russia (the “Licensed Territory”), to exploit the TPST-3003 and TPST-3206</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22" o:spid="_x0000_s114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programs. The Restated Factor License Agreement also established a Joint Steering Committee for the purposes of discussing and coordinating collaboration opportunities and serving as a forum for information sharing. We are obligated to meet certain diligence milestones by specified dates and to use commercially reasonable efforts to develop and make commercially available at least one licensed product in the licensed territory. No upfront payment was paid pursuant to the Restated Factor License Agreement. We are obligated to pay Factor Bioscience Limited up to $40 million in total upon achievement of certain development milestones for the programs and up to $620 million in total upon achievement of certain commercial milestones for the programs. In addition, we are required to pay Factor Bioscience Limited mid-single digit to high-teens royalties on net sales of licensed products on a country-by-country and licensed product-by-licensed product basis until expiration of the last to expire valid claim of certain licensed patents covering such licensed product in such country, subject to certain customary reductions, and low-to-mid double digit sublicense fees.</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Restated Factor License Agreement will continue until expiration of the last-to-expire Royalty Term. “Royalty Term” is defined as, on a product-by-product and country-by- country basis, the period commencing on the first arms-length sale of a product in a country of the Licensed Territory, and ending on the date of expiration of the last to expire valid patent covering the exploitation of the applicable product in the applicable country of the Licensed Territory. The Restated Factor License Agreement is subject to termination (i) by either party, subject to specified cure periods, for the material breach by the other party or the bankruptcy or insolvency of the other party, (iii) by us for any reason upon 60 days notice, or (iii) by mutual agreement of the parties.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 Amended and Restated Master Services Agreement</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November 19, 2025, Erigen entered into an Amended and Restated Master Services Agreement (the “Restated Factor Services Agreement”) with Factor. On February 3, 2026, the Restated Factor Services Agreement was assigned to us in connection with the Closing pursuant to the Asset Purchase Agreement.</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Pursuant to the Restated Factor Services Agreement, Factor will perform services requested by us on a fee- for-services basis and provide us access to Factor’s facilities as mutually agreed upon in one or more written work orders. All deliverables developed as a result of Factor’s performance of the services or as set forth in a work order, other than specified improvements, will be our property and confidential information. Furthermore, Factor granted us a freedom-to-operate license to its background intellectual property, excluding certain technology and improvements licensed under the Restated Factor License Agreement, solely to the extent necessary or reasonably useful to use, practice or otherwise exploit the deliverables.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Either party may terminate the Restated Factor Services Agreement at any time without cause upon 30 days’ notice, provided that termination of the Restated Factor Services Agreement will not terminate any ongoing work orders. Either party may terminate individual work orders in accordance with the terms of the applicable work order.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 Collaboration Agreement</w:t>
      </w:r>
    </w:p>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 February 2021, we entered into a collaboration agreement with F. Hoffmann -La Roche Ltd. (“Roche”) to accelerate the development of amezalpat into a global, first-line, randomized study. The companies are evaluating amezalpat in</w:t>
      </w:r>
    </w:p>
    <w:p>
      <w:pPr>
        <w:jc w:val="both"/>
        <w:spacing w:after="0" w:line="248" w:lineRule="auto"/>
        <w:tabs>
          <w:tab w:leader="none" w:pos="1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1b/2 clinical study in combination with the standard-of-care first-line regimen of atezolizumab and bevacizumab in patients with advanced or metastatic HCC, not previously treated with systemic therapy. Pursuant to</w:t>
      </w:r>
    </w:p>
    <w:p>
      <w:pPr>
        <w:sectPr>
          <w:pgSz w:w="12240" w:h="15840" w:orient="portrait"/>
          <w:cols w:equalWidth="0" w:num="1">
            <w:col w:w="9360"/>
          </w:cols>
          <w:pgMar w:left="1440" w:top="1422" w:right="1440" w:bottom="905" w:gutter="0" w:footer="0" w:header="0"/>
        </w:sectPr>
      </w:pPr>
    </w:p>
    <w:bookmarkStart w:id="23" w:name="page24"/>
    <w:bookmarkEnd w:id="23"/>
    <w:p>
      <w:pPr>
        <w:jc w:val="both"/>
        <w:spacing w:after="0" w:line="247" w:lineRule="auto"/>
        <w:rPr>
          <w:sz w:val="20"/>
          <w:szCs w:val="20"/>
          <w:color w:val="auto"/>
        </w:rPr>
      </w:pPr>
      <w:r>
        <w:rPr>
          <w:rFonts w:ascii="Times New Roman" w:cs="Times New Roman" w:eastAsia="Times New Roman" w:hAnsi="Times New Roman"/>
          <w:sz w:val="20"/>
          <w:szCs w:val="20"/>
          <w:color w:val="auto"/>
        </w:rPr>
        <w:t>the terms of the agreement, Roche is managing the study operations for the trial, and we retain global development and commercialization rights to amezalpat. Pursuant to the agreement, Roche provides us with notice of the amount of amezalpat required and the delivery timeline, and we supply the amezalpat. All rights to invention and discoveries relating solely to amezalpat or biomarkers solely related to amezalpat made during any study will be our exclusive property. All data generated in the performance of any study under the collaboration agreement will be the property of Roche, but we are entitled to use the data for any lawful purpose.</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agreement applies on a study-by-study basis until the last treatment of the last patient in a study receiving amezalpat in accordance with the protocol for such study or until the termination of this collaboration agreement by either party. Each party has the right to terminate the collaboration agreement upon 60 days prior written notice to the other party. Upon any termination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27" o:spid="_x0000_s115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129" o:spid="_x0000_s1154"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130" o:spid="_x0000_s1155"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of the agreement, neither we nor Roche will be entitled to any compensation, damages or other payment. If any individual study supplement is terminated, Roche must return all unused amezalpat to us free of charge or destroy such product at our request.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Roche Master Clinical Supply Agreement</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October 2024, we entered into a master clinical supply agreement (“Roche Supply Agreement”) with Roche, pursuant to which Roche will supply Roche’s atezolizumab (TECENTRIQ) for use in one or more clinical studies conducted by us involving amezalpat in combination with atezolizumab, in each case, in accordance with the applicable study protocol prepared by us and reviewed by Roche. Under the Roche Supply Agreement, the parties may execute one or more clinical supply agreement supplements (each, a “CSA Supplement”) that will set forth the study to be conducted by us, the quantities of atezolizumab to be supplied by Roche for such study, and the delivery timeline for such quantities of atezolizumab. In October 2024, we entered into a CSA Supplement for Roche to supply atezolizumab to us, free of charge, for use in a potential Phase 3 trial.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intend to retain significant development and commercial rights to our product candidates and, if marketing approval is obtained, to commercialize our product candidates with a partner, in the United States and other regions. We currently have no sales, marketing or commercial product distribution capabilities. Clinical data, the size of the addressable patient population, the size of the commercial infrastructure and manufacturing needs may all influence or alter our commercialization plans.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have internal personnel and utilize consultants with extensive technical, manufacturing, analytical and quality experience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Manufacturing is subject to extensive regulations that impose procedural and documentation requirements. At a minimum these regulations govern record keeping, manufacturing processes and controls, personnel, quality control and quality assurance. Our systems, procedures and contractors are required to comply with these regulations and are assessed through regular monitoring and formal audits.</w:t>
      </w:r>
    </w:p>
    <w:p>
      <w:pPr>
        <w:sectPr>
          <w:pgSz w:w="12240" w:h="15840" w:orient="portrait"/>
          <w:cols w:equalWidth="0" w:num="1">
            <w:col w:w="9360"/>
          </w:cols>
          <w:pgMar w:left="1440" w:top="1422" w:right="1440" w:bottom="1135"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biopharmaceutical and immuno-oncology industries are characterized by intense competition and rapid innovation. Any product candidates that we successfully develop and commercialize will have to compete with existing and future new therapies. While we believe that our technology, development experience and scientific knowledge provide us with competitive advantages, we face potential competition from many different sources, including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our current or any future product candidates are approved for the treatment of cancer, they may compete with existing therapies as well as product candidates currently in development. There are a variety of treatments used for cancerous tumors that include chemotherapy drugs, small molecules, monoclonal antibodies, antibody-drug conjugates, bi-specific antibodies, cell therapies, oncolytic viruses and vaccines, as well as other approaches. In addition, there are several competitors in clinical development for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33" o:spid="_x0000_s1158"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treatment of HCC, RCC, cholangiocarcinoma, and other indications that we may target with TPST-1495, and amezalpat, including companies such as Ono, Adlai Nortye, Merck, Roche, Exelixis, and AstraZeneca.</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field of cell therapies, there are several competitors developing CAR -T and other cellular therapies for the treatment of system lupus erythematosus (SLE), multiple myeloma, and other hematologic malignancies that we may target with TPST-2003, TPST-3003 and TPST-4003, including companies such as Johnson &amp; Johnson, Bristol Meyers Squibb, Gilead Sciences, Arcellx, Legend Biotech, Allogene, Cellectis, AstraZeneca and other biotechnology and pharmaceutical companies developing BCMA-targeting and dual-targeting cell therapies.</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TPST-2003, our dual-targeting CD19/BCMA CAR-T cell therapy is, to our knowledge, the first parallel structure CD19/BCMA dual-targeting CAR-T under development for the treatment of rrMM specifically targeting patients with EMD. We are aware of other clinical-stage CD19/BCMA dual -targeting CAR-T product candidates, including a product under development by AstraZeneca. We are also aware of several approved therapies and products under development that utilize either a CD19 or BCMA single -targeting CAR structure. Amezalpat, our small molecule designed to be a selective antagonist of PPARα, is, to our knowledge, the first PPARα antagonist to enter the clinic. We are not aware of other companies developing such an antagonist. For TPST-1495, our small molecule designed to be a dual antagonist of the EP2 and EP4 receptor, we are aware of other clinical-stage EP-4-only antagonists being developed by Adlai Nortye and Ono.</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The key competitive factors affecting the success of all our programs are likely to be their efficacy, safety, convenience and</w:t>
      </w:r>
    </w:p>
    <w:p>
      <w:pPr>
        <w:sectPr>
          <w:pgSz w:w="12240" w:h="15840" w:orient="portrait"/>
          <w:cols w:equalWidth="0" w:num="1">
            <w:col w:w="9360"/>
          </w:cols>
          <w:pgMar w:left="1440" w:top="1418" w:right="1440" w:bottom="1440" w:gutter="0" w:footer="0" w:header="0"/>
        </w:sectPr>
      </w:pPr>
    </w:p>
    <w:bookmarkStart w:id="25" w:name="page26"/>
    <w:bookmarkEnd w:id="25"/>
    <w:p>
      <w:pPr>
        <w:jc w:val="both"/>
        <w:spacing w:after="0" w:line="277" w:lineRule="auto"/>
        <w:rPr>
          <w:sz w:val="20"/>
          <w:szCs w:val="20"/>
          <w:color w:val="auto"/>
        </w:rPr>
      </w:pPr>
      <w:r>
        <w:rPr>
          <w:rFonts w:ascii="Times New Roman" w:cs="Times New Roman" w:eastAsia="Times New Roman" w:hAnsi="Times New Roman"/>
          <w:sz w:val="20"/>
          <w:szCs w:val="20"/>
          <w:color w:val="auto"/>
        </w:rPr>
        <w:t>availability of reimbursement. In addition, our ability to compete may be affected in many cases by insurers or other third-party payors seeking to encourage the use of generic drugs.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With respect to TPST -2003, as of February 28, 2026, our in-licensed patent portfolio included one pending U.S. patent application, and nine pending patent applications in various markets outside of the United States, including Europe and Japan.</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38" o:spid="_x0000_s1163"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140" o:spid="_x0000_s1165"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141" o:spid="_x0000_s1166"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pending patent applications cover TPST -2003 as compositions of matter, pharmaceutical compositions, and related methods of use. Any patents that may issue from the pending patent applications are expected to expire in March 2044, absent any patent term adjustments or patent term extensions for regulatory delay.</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With respect to TPST-2206, as of February 28, 2026, our in-licensed patent portfolio included two pending PCT applications. The pending PCT applications cover TPST -2206 as compositions of matter, pharmaceutical compositions and related methods of use. Any patents that may issue from the pending PCT applications are expected to expire in July 2045, absent any patent term adjustments or patent term extensions for regulatory delay.</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 respect to our TPST-3003, TPST-3206, and TPST-4003 programs, as of February 28, 2026, our in-licensed patent portfolio included ten issued U.S. patents, four pending U.S. patent applications, one pending PCT application, and five issued patents and eight pending patent applications in various markets outside of the United States, including Europe and Japan. The issued U.S. patents are expected to expire in May 2032, absent any patent term adjustments or patent term extensions for regulatory delay. Any additional patents that may issue from these pending patent applications are expected to expire between May 2032 and April 2045, absent any patent term adjustments or patent term extensions for regulatory delay.</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December 31, 2025, our patent portfolio consisted of issued patents and pending patent applications that we own related to amezalpat and TPST-1495. In total, as of the same date, we owned ten issued United States patents, four pending United States patent applications, one pending Patent Cooperation Treaty (“PCT”) application, and in various markets outside of the United States, including Europe, China and Japan: 68 issued patents and 8 pending patent applications.</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 respect to amezalpat, as of December 31, 2025, we owned issued patents and pending patent applications in the United States, Europe, China, Japan, and other markets outside of the United States as well as one pending PCT application. The issued United States patents covering amezalpat as compositions of matter, pharmaceutical compositions, and related methods of use are expected to expire in December 2033, absent any patent term adjustments or patent term extensions for regulatory delay. Any additional patents that may issue from these pending patent applications are expected to expire between December 2033 and March 2046, absent any patent term adjustments or patent term extensions for regulatory delay.</w:t>
      </w:r>
    </w:p>
    <w:p>
      <w:pPr>
        <w:sectPr>
          <w:pgSz w:w="12240" w:h="15840" w:orient="portrait"/>
          <w:cols w:equalWidth="0" w:num="1">
            <w:col w:w="9360"/>
          </w:cols>
          <w:pgMar w:left="1440" w:top="1422" w:right="1440" w:bottom="948" w:gutter="0" w:footer="0" w:header="0"/>
        </w:sectPr>
      </w:pPr>
    </w:p>
    <w:bookmarkStart w:id="26" w:name="page27"/>
    <w:bookmarkEnd w:id="26"/>
    <w:p>
      <w:pPr>
        <w:spacing w:after="0" w:line="2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 respect to TPST-1495, as of December 31, 2025, we owned issued patents and pending patent applications in the United States, Europe, China, Japan, and other markets outside of the United States. The issued United State patents covering TPST-1495 as compositions of matter, pharmaceutical compositions, and related methods of use are expected to expire between April 2038 and April 2039, absent any patent term adjustments or patent term extensions for regulatory delay. Any additional patents that may issue from these pending patent applications are expected to expire between April 2038 and April 2039, absent any patent term adjustments or patent term extensions for regulatory delay.</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also possess substantial know-how and trade secrets relating to the development and commercialization of our product candidates, including related manufacturing processes and technology.</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With respect to our product candidates and processes that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patent applications filed in the United States can provide exclusionary rights for 20 years from the earliest effective filing date. The term of United States patents may be extended by delays encountered during prosecution that are caused by the USPTO, also known as patent term adjustment. In addition, in certain instances, the term of an issued United States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144" o:spid="_x0000_s1169"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United States varies in accordance with the laws of the foreign jurisdiction but typically is also 20 years from the earliest effective filing date. However, the actual protection afforded by a patent varies on a product- by- product basis, from country- to-country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its pending patent applications or with respect to any patent applications we may file in the future, nor can we be sure that any patents that may be granted to us in the future will be commercially useful in protecting its products, the methods of use or manufacture of those products.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Moreover, even its issued patents may not guarantee us the right to practice our technology in relation to the commercialization of its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its product candidates. In addition, the scope of the rights granted under any issued patents may not provide us with protection or competitive advantages against competitors with similar technology. Furthermore, our</w:t>
      </w:r>
    </w:p>
    <w:p>
      <w:pPr>
        <w:sectPr>
          <w:pgSz w:w="12240" w:h="15840" w:orient="portrait"/>
          <w:cols w:equalWidth="0" w:num="1">
            <w:col w:w="9360"/>
          </w:cols>
          <w:pgMar w:left="1440" w:top="1440" w:right="1440" w:bottom="945" w:gutter="0" w:footer="0" w:header="0"/>
        </w:sectPr>
      </w:pPr>
    </w:p>
    <w:bookmarkStart w:id="27" w:name="page28"/>
    <w:bookmarkEnd w:id="27"/>
    <w:p>
      <w:pPr>
        <w:jc w:val="both"/>
        <w:spacing w:after="0" w:line="247" w:lineRule="auto"/>
        <w:rPr>
          <w:sz w:val="20"/>
          <w:szCs w:val="20"/>
          <w:color w:val="auto"/>
        </w:rPr>
      </w:pPr>
      <w:r>
        <w:rPr>
          <w:rFonts w:ascii="Times New Roman" w:cs="Times New Roman" w:eastAsia="Times New Roman" w:hAnsi="Times New Roman"/>
          <w:sz w:val="20"/>
          <w:szCs w:val="20"/>
          <w:color w:val="auto"/>
        </w:rPr>
        <w:t>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 export and import of pharmaceutical products, such as our investigational medicines and any future investigational medicines. Generally, before a new pharmaceutical product can be marketed, considerable data demonstrating its quality, safety and efficacy must be obtained, organized into a format specific for each regulatory authority, submitted for review and approved by the regulatory authority.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Approval Process</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the United States, biopharmaceutical products are subject to extensive regulation by the FDA under the Federal Food, Drug, and Cosmetic Act (“FFDCA”), the Public Health Service Act, and other federal and state statutes and regulations govern, among other things, the research, development, testing, manufacture, storage, recordkeeping, approval, labeling, promotion and marketing, distribution, post-approval monitoring and reporting, sampling and import and export of biopharmaceutical products. Failure to comply with applicable U.S. requirements may subject a company to a variety of administrative or judicial sanctions, such as clinical hold, FDA refusal to approve pending New Drug Applications (“NDAs”) or Biologic License Applications (“BLAs”), warning or untitled letters, product recalls, product seizures, total or partial suspension of production or distribution, injunctions, fines, civil penalties and criminal prosecution.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49" o:spid="_x0000_s117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Our investigational medicines and any future investigational medicines must be approved by the FDA before they may be legally marketed in the United States. The process generally involves the following:</w:t>
      </w:r>
    </w:p>
    <w:p>
      <w:pPr>
        <w:spacing w:after="0" w:line="2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•Completion of extensive preclinical laboratory and animal studies in accordance with applicable regulations, including studies conducted in accordance with Good Laboratory Practice (“GLP”) requirements;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200" w:lineRule="exact"/>
        <w:rPr>
          <w:sz w:val="20"/>
          <w:szCs w:val="20"/>
          <w:color w:val="auto"/>
        </w:rPr>
      </w:pPr>
    </w:p>
    <w:p>
      <w:pPr>
        <w:spacing w:after="0" w:line="2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•Approval by an Institutional Review Board (“IRB”) or independent ethics committee at each clinical trial site before each clinical trial may be commenced;</w:t>
      </w: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applicable Investigational New Drug (“IND”) regulations, Good Clinical Practice (“GCP”) requirements and other clinical trial-related regulations to establish the safety and efficacy of the investigational product for each proposed indication;</w:t>
      </w:r>
    </w:p>
    <w:p>
      <w:pPr>
        <w:sectPr>
          <w:pgSz w:w="12240" w:h="15840" w:orient="portrait"/>
          <w:cols w:equalWidth="0" w:num="1">
            <w:col w:w="9360"/>
          </w:cols>
          <w:pgMar w:left="1440" w:top="1422"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•Submission to the FDA of an NDA for small molecule candidates and BLA for biologic candidates;</w:t>
      </w:r>
    </w:p>
    <w:p>
      <w:pPr>
        <w:sectPr>
          <w:pgSz w:w="12240" w:h="15840" w:orient="portrait"/>
          <w:cols w:equalWidth="0" w:num="1">
            <w:col w:w="9360"/>
          </w:cols>
          <w:pgMar w:left="1440" w:top="1422" w:right="1440" w:bottom="1440" w:gutter="0" w:footer="0" w:header="0"/>
          <w:type w:val="continuous"/>
        </w:sectPr>
      </w:pPr>
    </w:p>
    <w:bookmarkStart w:id="28" w:name="page29"/>
    <w:bookmarkEnd w:id="28"/>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of any user fees for FDA review of applications;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determination by the FDA within 60 days of its receipt of an application to accept the filing for review;</w:t>
      </w:r>
    </w:p>
    <w:p>
      <w:pPr>
        <w:spacing w:after="0" w:line="200" w:lineRule="exact"/>
        <w:rPr>
          <w:sz w:val="20"/>
          <w:szCs w:val="20"/>
          <w:color w:val="auto"/>
        </w:rPr>
      </w:pPr>
    </w:p>
    <w:p>
      <w:pPr>
        <w:spacing w:after="0" w:line="2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•Satisfactory completion of one or more FDA pre- approval inspections of the manufacturing facility or facilities where the drug, or components thereof, will be produced to assess compliance with Good Manufacturing Practices (“cGMP”) requirements to assure that the facilities, methods and controls are adequate to preserve the product’s identity, strength, quality and purity, and in the case of cell therapies, compliance with Good Tissue Practices;</w:t>
      </w:r>
    </w:p>
    <w:p>
      <w:pPr>
        <w:spacing w:after="0" w:line="200" w:lineRule="exact"/>
        <w:rPr>
          <w:sz w:val="20"/>
          <w:szCs w:val="20"/>
          <w:color w:val="auto"/>
        </w:rPr>
      </w:pPr>
    </w:p>
    <w:p>
      <w:pPr>
        <w:spacing w:after="0" w:line="23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•Satisfactory completion of any potential FDA audits of the clinical trial sites that generated the data in support of the application to assure compliance with GCPs and integrity of the clinical data;</w:t>
      </w: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•FDA review and approval of an NDA or BLA, including consideration of the views of any FDA advisory committee; and</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•Compliance with any post-approval requirements, including risk evaluation and mitigation strategy (“REMS”), where applicable, and post-approval studies required by the FDA as a condition of approval.</w:t>
      </w:r>
    </w:p>
    <w:p>
      <w:pPr>
        <w:spacing w:after="0" w:line="2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w:t>
      </w:r>
    </w:p>
    <w:p>
      <w:pPr>
        <w:spacing w:after="0" w:line="2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Before testing any product candidates in humans, the product candidate must undergo rigorous preclinical testing. Preclinical tests include laboratory evaluation of product chemistry, formulation and toxicity, as well as in vitro and animal studies to assess the potential for adverse events and in some cases to establish a rationale for therapeutic use. The conduct of the preclinical tests must comply with federal regulations and requirements, including GLP.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an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154" o:spid="_x0000_s1179"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Clinical trials involve the administration of the investigational new drug or biologic to healthy volunteers or patients under the supervision of a qualified investigator, generally a physician not employed by or under the trial sponsor’s control.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w:t>
      </w:r>
    </w:p>
    <w:p>
      <w:pPr>
        <w:sectPr>
          <w:pgSz w:w="12240" w:h="15840" w:orient="portrait"/>
          <w:cols w:equalWidth="0" w:num="1">
            <w:col w:w="9360"/>
          </w:cols>
          <w:pgMar w:left="1440" w:top="1440" w:right="1440" w:bottom="1440" w:gutter="0" w:footer="0" w:header="0"/>
        </w:sectPr>
      </w:pPr>
    </w:p>
    <w:bookmarkStart w:id="29" w:name="page30"/>
    <w:bookmarkEnd w:id="29"/>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involving testing on U.S. patients and subsequent protocol amendments must be submitted to the FDA as part of an IND.</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well-designed and well-conducted foreign clinical trial not conducted under an IND if the clinical trial was conducted in accordance with GCP requirements, and the FDA is able to validate the data through an onsite inspection if deemed necessary.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trials are generally conducted in three sequential phases, known as Phase 1, Phase 2 and Phase 3:</w:t>
      </w:r>
    </w:p>
    <w:p>
      <w:pPr>
        <w:spacing w:after="0" w:line="3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•Phase 1 clinical trials generally involve a small number of healthy volunteers or disease -affected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200" w:lineRule="exact"/>
        <w:rPr>
          <w:sz w:val="20"/>
          <w:szCs w:val="20"/>
          <w:color w:val="auto"/>
        </w:rPr>
      </w:pP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drug.</w:t>
      </w:r>
    </w:p>
    <w:p>
      <w:pPr>
        <w:spacing w:after="0" w:line="3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59" o:spid="_x0000_s118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 The manufacturer of an investigational drug in a phase 2 or 3 clinical</w:t>
      </w:r>
    </w:p>
    <w:p>
      <w:pPr>
        <w:sectPr>
          <w:pgSz w:w="12240" w:h="15840" w:orient="portrait"/>
          <w:cols w:equalWidth="0" w:num="1">
            <w:col w:w="9360"/>
          </w:cols>
          <w:pgMar w:left="1440" w:top="1422" w:right="1440" w:bottom="1111" w:gutter="0" w:footer="0" w:header="0"/>
        </w:sectPr>
      </w:pPr>
    </w:p>
    <w:bookmarkStart w:id="30" w:name="page31"/>
    <w:bookmarkEnd w:id="30"/>
    <w:p>
      <w:pPr>
        <w:jc w:val="both"/>
        <w:spacing w:after="0" w:line="277" w:lineRule="auto"/>
        <w:rPr>
          <w:sz w:val="20"/>
          <w:szCs w:val="20"/>
          <w:color w:val="auto"/>
        </w:rPr>
      </w:pPr>
      <w:r>
        <w:rPr>
          <w:rFonts w:ascii="Times New Roman" w:cs="Times New Roman" w:eastAsia="Times New Roman" w:hAnsi="Times New Roman"/>
          <w:sz w:val="20"/>
          <w:szCs w:val="20"/>
          <w:color w:val="auto"/>
        </w:rPr>
        <w:t>trial for a serious or life-threatening disease is required to make available, such as by posting on its website, its policy on evaluating and responding to requests for expanded access.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Phase 1, Phase 2, Phase 3 and other types of clinical trials may not be completed successfully within any specified period, if at all. The FDA, the IRB, or the sponsor may suspend or terminate a clinical trial at any time on various grounds, including non -compliance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develop additional information about the chemistry and physical characteristics of the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Review Process</w:t>
      </w: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After completion of the required clinical testing, an NDA or BLA is prepared and submitted to the FDA. FDA approval of an NDA or BLA is required before marketing of the product may begin in the U.S. An NDA or BLA must include the results of all preclinical, clinical and other testing and a compilation of data relating to the product’s pharmacology, chemistry, manufacture and controls. To support marketing approval, the data submitted must be sufficient in quality and quantity to establish the safety and efficacy of the investigational product to the satisfaction of the FDA. FDA approval of an NDA or BLA must be obtained before a drug or biologic may be marketed in the United States. Under the Prescription Drug User Fee Act (“PDUFA”), each NDA or BLA must be accompanied by a substantial user fee. The FDA adjusts the user fees on an annual basis. Fee waivers or reductions are available in certain circumstances, including a waiver of the application fee for the first application filed by a small business. Additionally, no user fees are assessed on applications for products designated as orphan drugs, unless the product also includes a non-orphan indication. The sponsor under an approved application is also subject to an annual program fee.</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FDA reviews each submitted NDA or BLA before it determines whether to file it and may request additional information. The FDA must make a decision on whether to file an application within 60 days of receipt, and such decision could include a refusal to file by the FDA. Once the submission is filed, the FDA begins an in-depth review of the application. The FDA has agreed to certain performance goals in the review process. Most applications for standard review products are reviewed within ten months of filing; most applications for priority review are reviewed in six months from filing. Priority review can be applied to products that the FDA determines may offer significant improvement in safety or effectiveness compared to marketed products or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timeframes, and the review process can be extended by FDA requests for additional information or clarification.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163" o:spid="_x0000_s1188"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64" o:spid="_x0000_s118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137795</wp:posOffset>
                </wp:positionV>
                <wp:extent cx="13335" cy="1397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970"/>
                        </a:xfrm>
                        <a:prstGeom prst="rect">
                          <a:avLst/>
                        </a:prstGeom>
                        <a:solidFill>
                          <a:srgbClr val="E3E3E3"/>
                        </a:solidFill>
                      </wps:spPr>
                      <wps:bodyPr/>
                    </wps:wsp>
                  </a:graphicData>
                </a:graphic>
              </wp:anchor>
            </w:drawing>
          </mc:Choice>
          <mc:Fallback>
            <w:pict>
              <v:rect id="Shape 166" o:spid="_x0000_s1191" style="position:absolute;margin-left:467.45pt;margin-top:10.85pt;width:1.0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167" o:spid="_x0000_s1192"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168" o:spid="_x0000_s1193"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FDA may also refer applications for novel products, or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ectPr>
          <w:pgSz w:w="12240" w:h="15840" w:orient="portrait"/>
          <w:cols w:equalWidth="0" w:num="1">
            <w:col w:w="9360"/>
          </w:cols>
          <w:pgMar w:left="1440" w:top="1422" w:right="1440" w:bottom="937" w:gutter="0" w:footer="0" w:header="0"/>
        </w:sectPr>
      </w:pPr>
    </w:p>
    <w:bookmarkStart w:id="31" w:name="page32"/>
    <w:bookmarkEnd w:id="31"/>
    <w:p>
      <w:pPr>
        <w:jc w:val="both"/>
        <w:spacing w:after="0" w:line="247" w:lineRule="auto"/>
        <w:rPr>
          <w:sz w:val="20"/>
          <w:szCs w:val="20"/>
          <w:color w:val="auto"/>
        </w:rPr>
      </w:pPr>
      <w:r>
        <w:rPr>
          <w:rFonts w:ascii="Times New Roman" w:cs="Times New Roman" w:eastAsia="Times New Roman" w:hAnsi="Times New Roman"/>
          <w:sz w:val="20"/>
          <w:szCs w:val="20"/>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clinical trial sites to ensure compliance with GCP requirements and the integrity of the data supporting safety and efficacy.</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After the FDA evaluates the application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the NDA or BLA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an application does not satisfy the criteria for approval.</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potential condition of approval, the FDA may require a REMS to help ensure that the benefits of the product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Changes to some of the conditions established in an approved application, including changes in indications, labeling, or manufacturing processes or facilities, require submission and FDA approval of an NDA or BLA supplement or, in some case, a new application, before the change can be implemented. A supplement for a new indication typically requires clinical data similar to that in the original application, and the FDA uses the same procedures and actions in reviewing supplements as it does in reviewing NDAs and BLAs.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1">
                          <a:solidFill>
                            <a:srgbClr val="80808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001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333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3E3"/>
                        </a:solidFill>
                      </wps:spPr>
                      <wps:bodyPr/>
                    </wps:wsp>
                  </a:graphicData>
                </a:graphic>
              </wp:anchor>
            </w:drawing>
          </mc:Choice>
          <mc:Fallback>
            <w:pict>
              <v:rect id="Shape 170" o:spid="_x0000_s1195" style="position:absolute;margin-left:467.45pt;margin-top:10.2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171" o:spid="_x0000_s1196"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9">
                          <a:solidFill>
                            <a:srgbClr val="E3E3E3"/>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401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a product that has orphan designation subsequently receives the first FDA approval for the disease or condition for which it has such designation, the product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ectPr>
          <w:pgSz w:w="12240" w:h="15840" w:orient="portrait"/>
          <w:cols w:equalWidth="0" w:num="1">
            <w:col w:w="9360"/>
          </w:cols>
          <w:pgMar w:left="1440" w:top="1422" w:right="1440" w:bottom="935"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24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The FDA is authorized to designate certain products for expedited review if they are intended to address an unmet medical need in the treatment of a serious or life-threatening disease or condition.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Track Designation</w:t>
      </w:r>
    </w:p>
    <w:p>
      <w:pPr>
        <w:spacing w:after="0" w:line="2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Fast track designation may be granted for products that are intended to treat a serious or life -threatening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or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an NDA or BLA filing, the FDA will determine whether to grant priority review designation. Additionally, fast track designation may be withdrawn if the FDA believes that the designation is no longer supported by data emerging in the clinical trial process.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Breakthrough Therapy Designation</w:t>
      </w:r>
    </w:p>
    <w:p>
      <w:pPr>
        <w:spacing w:after="0" w:line="2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drug candidate may request that the FDA designate the candidate for a specific indication as a breakthrough therapy concurrent with, or after, the submission of an IND for the drug candidate.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Priority Review</w:t>
      </w:r>
    </w:p>
    <w:p>
      <w:pPr>
        <w:spacing w:after="0" w:line="2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77" o:spid="_x0000_s120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Accelerated Approval</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w:t>
      </w:r>
    </w:p>
    <w:p>
      <w:pPr>
        <w:sectPr>
          <w:pgSz w:w="12240" w:h="15840" w:orient="portrait"/>
          <w:cols w:equalWidth="0" w:num="1">
            <w:col w:w="9360"/>
          </w:cols>
          <w:pgMar w:left="1440" w:top="1422" w:right="1440" w:bottom="985" w:gutter="0" w:footer="0" w:header="0"/>
        </w:sectPr>
      </w:pPr>
    </w:p>
    <w:bookmarkStart w:id="33" w:name="page34"/>
    <w:bookmarkEnd w:id="33"/>
    <w:p>
      <w:pPr>
        <w:jc w:val="both"/>
        <w:spacing w:after="0" w:line="243" w:lineRule="auto"/>
        <w:rPr>
          <w:sz w:val="20"/>
          <w:szCs w:val="20"/>
          <w:color w:val="auto"/>
        </w:rPr>
      </w:pPr>
      <w:r>
        <w:rPr>
          <w:rFonts w:ascii="Times New Roman" w:cs="Times New Roman" w:eastAsia="Times New Roman" w:hAnsi="Times New Roman"/>
          <w:sz w:val="20"/>
          <w:szCs w:val="20"/>
          <w:color w:val="auto"/>
        </w:rPr>
        <w:t>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Information</w:t>
      </w:r>
    </w:p>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Under the Pediatric Research Equity Act (“PREA”), an NDA or BLA or supplements thereto must contain data to assess the safety and effectiveness of the product for the claimed indications in all relevant pediatric subpopulations and to support dosing and administration for each pediatric subpopulation for which the product is safe and effective. The FDA may grant full or partial waivers, or deferrals, for submission of data. Unless otherwise required by regulation, PREA does not apply to any product for an indication for which orphan designation has been granted, with certain exceptions.</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Best Pharmaceuticals for Children Act (“BPCA”) provides NDA or BLA holders a six- month extension of any exclusivity-patent or nonpatent-for a product if certain conditions are met. Conditions for exclusivity include the FDA’s determination that information relating to the use of a new product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Once an NDA or BLA is approved, a product will be subject to certain post-approval requirements. For instance, the FDA closely regulates the post-approval marketing and promotion of biopharmaceutical products, including standards and regulations for direct-to -consumer advertising, off-label promotion, industry-sponsored scientific and educational activities and promotional activities involving the internet. Products may be marketed only for the approved indications and in a manner consistent with the approved labeling.</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Adverse event reporting and submission of periodic reports are required following FDA approval of an NDA or BLA. The FDA also may require post-marketing testing, known as phase 4 testing, REMS, and surveillance to monitor the effects of an approved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82" o:spid="_x0000_s120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product, or the FDA may place conditions on an approval that could restrict the distribution or use of the product. In addition, quality control, drug manufacture, packaging and labeling procedures must continue to conform to cGMP after approval.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w:t>
      </w:r>
    </w:p>
    <w:p>
      <w:pPr>
        <w:sectPr>
          <w:pgSz w:w="12240" w:h="15840" w:orient="portrait"/>
          <w:cols w:equalWidth="0" w:num="1">
            <w:col w:w="9360"/>
          </w:cols>
          <w:pgMar w:left="1440" w:top="1422" w:right="1440" w:bottom="902" w:gutter="0" w:footer="0" w:header="0"/>
        </w:sectPr>
      </w:pPr>
    </w:p>
    <w:bookmarkStart w:id="34" w:name="page35"/>
    <w:bookmarkEnd w:id="34"/>
    <w:p>
      <w:pPr>
        <w:jc w:val="both"/>
        <w:spacing w:after="0" w:line="257" w:lineRule="auto"/>
        <w:rPr>
          <w:sz w:val="20"/>
          <w:szCs w:val="20"/>
          <w:color w:val="auto"/>
        </w:rPr>
      </w:pPr>
      <w:r>
        <w:rPr>
          <w:rFonts w:ascii="Times New Roman" w:cs="Times New Roman" w:eastAsia="Times New Roman" w:hAnsi="Times New Roman"/>
          <w:sz w:val="20"/>
          <w:szCs w:val="20"/>
          <w:color w:val="auto"/>
        </w:rPr>
        <w:t>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3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•Restrictions on the marketing or manufacturing of the product, suspension of the approval, complete withdrawal of the product from the market or a product recall;</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•Fines, warning or other enforcement-related letters or holds on post-approval clinical studies;</w:t>
      </w: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 approvals;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Term Extension</w:t>
      </w: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approval, owners of relevant patents may apply for the extension. The allowable patent term extension is calculated as half of the product’s testing phase (the time between an IND application and an NDA or BLA submission) and all of the review phase (the time between NDA or BLA submission and approval) up to a maximum of five years. The time can be reduced for any time the FDA determines that the applicant did not pursue approval with due diligence.</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Pricing, and Reimbursement</w:t>
      </w:r>
    </w:p>
    <w:p>
      <w:pPr>
        <w:sectPr>
          <w:pgSz w:w="12240" w:h="15840" w:orient="portrait"/>
          <w:cols w:equalWidth="0" w:num="1">
            <w:col w:w="9360"/>
          </w:cols>
          <w:pgMar w:left="1440" w:top="1422" w:right="1440" w:bottom="931"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22" w:right="1440" w:bottom="931" w:gutter="0" w:footer="0" w:header="0"/>
          <w:type w:val="continuous"/>
        </w:sectPr>
      </w:pPr>
    </w:p>
    <w:bookmarkStart w:id="35" w:name="page36"/>
    <w:bookmarkEnd w:id="35"/>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914400</wp:posOffset>
                </wp:positionH>
                <wp:positionV relativeFrom="page">
                  <wp:posOffset>1047750</wp:posOffset>
                </wp:positionV>
                <wp:extent cx="594360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82.5pt" to="540pt,82.5pt" o:allowincell="f" strokecolor="#808080" strokeweight="1.5999pt">
                <w10:wrap anchorx="page" anchory="page"/>
              </v:line>
            </w:pict>
          </mc:Fallback>
        </mc:AlternateContent>
        <mc:AlternateContent>
          <mc:Choice Requires="wps">
            <w:drawing>
              <wp:anchor simplePos="0" relativeHeight="251657728" behindDoc="1" locked="0" layoutInCell="0" allowOverlap="1">
                <wp:simplePos x="0" y="0"/>
                <wp:positionH relativeFrom="page">
                  <wp:posOffset>6857365</wp:posOffset>
                </wp:positionH>
                <wp:positionV relativeFrom="page">
                  <wp:posOffset>1040765</wp:posOffset>
                </wp:positionV>
                <wp:extent cx="0" cy="1651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9.95pt,81.95pt" to="539.95pt,83.25pt" o:allowincell="f" strokecolor="#E3E3E3" strokeweight="0.2399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1032510</wp:posOffset>
                </wp:positionV>
                <wp:extent cx="5944870" cy="13335"/>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187" o:spid="_x0000_s1212" style="position:absolute;margin-left:72pt;margin-top:81.3pt;width:468.1pt;height:1.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0A0A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915670</wp:posOffset>
                </wp:positionH>
                <wp:positionV relativeFrom="page">
                  <wp:posOffset>1037590</wp:posOffset>
                </wp:positionV>
                <wp:extent cx="0" cy="19685"/>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1pt,81.7pt" to="72.1pt,83.25pt" o:allowincell="f" strokecolor="#A0A0A0" strokeweight="0.24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1056005</wp:posOffset>
                </wp:positionV>
                <wp:extent cx="594487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83.15pt" to="540.1pt,83.15pt" o:allowincell="f" strokecolor="#E3E3E3" strokeweight="0.2399pt">
                <w10:wrap anchorx="page" anchory="page"/>
              </v:line>
            </w:pict>
          </mc:Fallback>
        </mc:AlternateContent>
      </w:r>
    </w:p>
    <w:p>
      <w:pPr>
        <w:spacing w:after="0" w:line="200" w:lineRule="exact"/>
        <w:rPr>
          <w:sz w:val="20"/>
          <w:szCs w:val="20"/>
          <w:color w:val="auto"/>
        </w:rPr>
      </w:pPr>
    </w:p>
    <w:p>
      <w:pPr>
        <w:spacing w:after="0" w:line="3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United States and in foreign markets, sales of pharmaceutical products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In the United States, no uniform policy of coverage and reimbursement for products exists among third-party payors. Therefore, coverage and reimbursement for products can differ significantly from payor to payor. Decisions regarding the extent of coverage and amount of reimbursement to be provided for each of our product candidates will be made on a plan-by-plan basis. One payor’s determination to provide coverage for a product does not assure that other payors will also provide coverage, and adequate reimbursement, for the product. Additionally,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 party payors may limit coverage to specific product candidates on an approved list, known as a formulary, which might not include all FDA-approved drugs for a particular indication. Further, HHS imposes rebates on many Medicare Part B and Medicare Part D products to penalize price increases that outpace inflation on an annual basis. HHS has also been empowered to negotiate the price of certain single -source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statutes, false claims statutes and other healthcare laws and regulations.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w:t>
      </w:r>
    </w:p>
    <w:p>
      <w:pPr>
        <w:sectPr>
          <w:pgSz w:w="12240" w:h="15840" w:orient="portrait"/>
          <w:cols w:equalWidth="0" w:num="1">
            <w:col w:w="9360"/>
          </w:cols>
          <w:pgMar w:left="1440" w:top="1440" w:right="1440" w:bottom="1044" w:gutter="0" w:footer="0" w:header="0"/>
        </w:sectPr>
      </w:pPr>
    </w:p>
    <w:bookmarkStart w:id="36" w:name="page37"/>
    <w:bookmarkEnd w:id="36"/>
    <w:p>
      <w:pPr>
        <w:jc w:val="both"/>
        <w:spacing w:after="0" w:line="257" w:lineRule="auto"/>
        <w:rPr>
          <w:sz w:val="20"/>
          <w:szCs w:val="20"/>
          <w:color w:val="auto"/>
        </w:rPr>
      </w:pPr>
      <w:r>
        <w:rPr>
          <w:rFonts w:ascii="Times New Roman" w:cs="Times New Roman" w:eastAsia="Times New Roman" w:hAnsi="Times New Roman"/>
          <w:sz w:val="20"/>
          <w:szCs w:val="20"/>
          <w:color w:val="auto"/>
        </w:rPr>
        <w:t>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92" o:spid="_x0000_s121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 -label promotion, may also violate false claims laws. Additionally, the government may assert that a claim including items or services resulting from a violation of the federal Anti-Kickback Statute constitutes a false or fraudulent claim for purposes of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 Kickback Statute, a person or entity does not need to have actual knowledge of the statute or specific intent to violate it in order to commit a violation.</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Further, pursuant to the Patient Protection and Affordable Care Act, as amended by the Health Care and Education Reconciliation (the “Affordable Care Act” or the “ACA”), CMS has issued a final rule that requires manufacturers of prescription drugs to collect and report information on certain payments or transfers of value to physicians (defined to include doctors, dentists, optometrists, podiatrists and chiropractors), other healthcare professionals (such as physicians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its implementing regulations, imposes obligations, including mandatory contractual terms, on covered entities, business associates and their covered subcontractors with respect to safeguarding the privacy, security and transmission of individually identifiable health information.</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w:t>
      </w:r>
    </w:p>
    <w:p>
      <w:pPr>
        <w:sectPr>
          <w:pgSz w:w="12240" w:h="15840" w:orient="portrait"/>
          <w:cols w:equalWidth="0" w:num="1">
            <w:col w:w="9360"/>
          </w:cols>
          <w:pgMar w:left="1440" w:top="1422" w:right="1440" w:bottom="908" w:gutter="0" w:footer="0" w:header="0"/>
        </w:sectPr>
      </w:pPr>
    </w:p>
    <w:bookmarkStart w:id="37" w:name="page38"/>
    <w:bookmarkEnd w:id="37"/>
    <w:p>
      <w:pPr>
        <w:jc w:val="both"/>
        <w:spacing w:after="0" w:line="262" w:lineRule="auto"/>
        <w:rPr>
          <w:sz w:val="20"/>
          <w:szCs w:val="20"/>
          <w:color w:val="auto"/>
        </w:rPr>
      </w:pPr>
      <w:r>
        <w:rPr>
          <w:rFonts w:ascii="Times New Roman" w:cs="Times New Roman" w:eastAsia="Times New Roman" w:hAnsi="Times New Roman"/>
          <w:sz w:val="19"/>
          <w:szCs w:val="19"/>
          <w:color w:val="auto"/>
        </w:rPr>
        <w:t>other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Certain states and local jurisdictions also require certain regulatory licenses to manufacture or distribute products commercially and/or the registration of pharmaceutical sales and medical representatives. Compliance with these laws is difficult and time consuming, and companies that do not comply with these state laws may face significant penalties.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197" o:spid="_x0000_s122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Healthcare Reform</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substantially changed the way healthcare is financed by both governmental and private insurers.</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There have been judicial, executive brand,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ACA was enacted to reduce healthcare expenditures. These changes include aggregate reductions to Medicare payments to providers of 2% per fiscal year, which began in 2013 and will remain in effect until 2032 unless additional Congressional action is taken.</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w:t>
      </w:r>
    </w:p>
    <w:p>
      <w:pPr>
        <w:spacing w:after="0" w:line="8" w:lineRule="exact"/>
        <w:rPr>
          <w:sz w:val="20"/>
          <w:szCs w:val="20"/>
          <w:color w:val="auto"/>
        </w:rPr>
      </w:pPr>
    </w:p>
    <w:p>
      <w:pPr>
        <w:jc w:val="both"/>
        <w:spacing w:after="0" w:line="244" w:lineRule="auto"/>
        <w:tabs>
          <w:tab w:leader="none" w:pos="3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w:t>
      </w:r>
    </w:p>
    <w:p>
      <w:pPr>
        <w:sectPr>
          <w:pgSz w:w="12240" w:h="15840" w:orient="portrait"/>
          <w:cols w:equalWidth="0" w:num="1">
            <w:col w:w="9360"/>
          </w:cols>
          <w:pgMar w:left="1440" w:top="1422" w:right="1440" w:bottom="957" w:gutter="0" w:footer="0" w:header="0"/>
        </w:sectPr>
      </w:pPr>
    </w:p>
    <w:bookmarkStart w:id="38" w:name="page39"/>
    <w:bookmarkEnd w:id="38"/>
    <w:p>
      <w:pPr>
        <w:jc w:val="both"/>
        <w:spacing w:after="0" w:line="243" w:lineRule="auto"/>
        <w:rPr>
          <w:sz w:val="20"/>
          <w:szCs w:val="20"/>
          <w:color w:val="auto"/>
        </w:rPr>
      </w:pPr>
      <w:r>
        <w:rPr>
          <w:rFonts w:ascii="Times New Roman" w:cs="Times New Roman" w:eastAsia="Times New Roman" w:hAnsi="Times New Roman"/>
          <w:sz w:val="20"/>
          <w:szCs w:val="20"/>
          <w:color w:val="auto"/>
        </w:rPr>
        <w:t>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At the state level, legislatures are increasingly passing legislation and implementing regulations designed to control pharmaceutical and biological product pricing, including price or patient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02" o:spid="_x0000_s122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reimbursement constraints, discounts, restrictions on certain product access and marketing cost disclosure and transparency measures, and, in some cases, designed to encourage importation from other countries and bulk purchasing.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of March 1, 2026, we had four employees, including four full-time employees and three holding Ph.D., MBA and/or M.S. degrees. Our employees have established internal expertise in cellular biology, pre-clinical development, and early-to-late-stage clinical development, as well as finance, business development and strategic transactions. None of our employees are represented by a labor union or covered by collective bargaining agreements. We will continue to add experienced and talented scientists in areas, such as medicinal chemistry, that we believe are critical for the discovery of highly differentiated small-molecule compounds.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benefits package to promote well-being across all aspects of their lives, including health care, retirement planning and paid time off.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believe that a diverse workforce is important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Our recruitment, hiring, development, training, compensation, and advancement is based on qualifications, performance, skills, and experience without regard to gender, gender identity, sexual orientation, race, or ethnicity. People of color and those who are part of underrepresented groups in the biotech industry are encouraged to apply for open positions.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3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We were incorporated in Delaware in April 2011. Our corporate headquarters are located at 2000 Sierra Point Parkway, Suite 400, Brisbane, California 94005, and our telephone number is (415) 798-8589.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ectPr>
          <w:pgSz w:w="12240" w:h="15840" w:orient="portrait"/>
          <w:cols w:equalWidth="0" w:num="1">
            <w:col w:w="9360"/>
          </w:cols>
          <w:pgMar w:left="1440" w:top="1422" w:right="1440"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20"/>
          <w:szCs w:val="20"/>
          <w:color w:val="auto"/>
        </w:rPr>
        <w:t>Our internet website address is www.tempesttx.com.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10 -Q,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07" o:spid="_x0000_s123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209" o:spid="_x0000_s1234"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210" o:spid="_x0000_s1235"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Our business involves significant risks, some of which are described below. You should carefully consider the risks described below, together with all of the other information contained in this Annual Report,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Selected Risks Associated with Our Business</w:t>
      </w:r>
    </w:p>
    <w:p>
      <w:pPr>
        <w:spacing w:after="0" w:line="24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30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•Raising additional capital may cause dilution to our stockholders, restrict our operations or require us to relinquish proprietary rights.</w:t>
      </w:r>
    </w:p>
    <w:p>
      <w:pPr>
        <w:spacing w:after="0" w:line="200" w:lineRule="exact"/>
        <w:rPr>
          <w:sz w:val="20"/>
          <w:szCs w:val="20"/>
          <w:color w:val="auto"/>
        </w:rPr>
      </w:pPr>
    </w:p>
    <w:p>
      <w:pPr>
        <w:spacing w:after="0" w:line="21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200" w:lineRule="exact"/>
        <w:rPr>
          <w:sz w:val="20"/>
          <w:szCs w:val="20"/>
          <w:color w:val="auto"/>
        </w:rPr>
      </w:pPr>
    </w:p>
    <w:p>
      <w:pPr>
        <w:spacing w:after="0" w:line="23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•Integrating the Assets with our business may be more difficult, costly or time consuming than expected and we may fail to realize the anticipated benefits of the Asset Acquisition.</w:t>
      </w:r>
    </w:p>
    <w:p>
      <w:pPr>
        <w:spacing w:after="0" w:line="200" w:lineRule="exact"/>
        <w:rPr>
          <w:sz w:val="20"/>
          <w:szCs w:val="20"/>
          <w:color w:val="auto"/>
        </w:rPr>
      </w:pPr>
    </w:p>
    <w:p>
      <w:pPr>
        <w:spacing w:after="0" w:line="210"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color w:val="auto"/>
        </w:rPr>
        <w:t>•We are in the early stages of integrating the Assets into our business, and unknown or unanticipated risks associated with the Assets could adversely affect us.</w:t>
      </w:r>
    </w:p>
    <w:p>
      <w:pPr>
        <w:sectPr>
          <w:pgSz w:w="12240" w:h="15840" w:orient="portrait"/>
          <w:cols w:equalWidth="0" w:num="1">
            <w:col w:w="9360"/>
          </w:cols>
          <w:pgMar w:left="1440" w:top="1422" w:right="1440" w:bottom="1440" w:gutter="0" w:footer="0" w:header="0"/>
        </w:sectPr>
      </w:pPr>
    </w:p>
    <w:bookmarkStart w:id="40" w:name="page41"/>
    <w:bookmarkEnd w:id="40"/>
    <w:p>
      <w:pPr>
        <w:spacing w:after="0" w:line="10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•We will need to expand our organization in the future, and we may experience difficulties in managing this growth, which could disrupt our operations.</w:t>
      </w:r>
    </w:p>
    <w:p>
      <w:pPr>
        <w:spacing w:after="0" w:line="200" w:lineRule="exact"/>
        <w:rPr>
          <w:sz w:val="20"/>
          <w:szCs w:val="20"/>
          <w:color w:val="auto"/>
        </w:rPr>
      </w:pPr>
    </w:p>
    <w:p>
      <w:pPr>
        <w:spacing w:after="0" w:line="20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•We expect to expand our development and regulatory capabilities, and as a result, we may encounter difficulties in managing our growth, which could disrupt our operations.</w:t>
      </w:r>
    </w:p>
    <w:p>
      <w:pPr>
        <w:spacing w:after="0" w:line="200" w:lineRule="exact"/>
        <w:rPr>
          <w:sz w:val="20"/>
          <w:szCs w:val="20"/>
          <w:color w:val="auto"/>
        </w:rPr>
      </w:pPr>
    </w:p>
    <w:p>
      <w:pPr>
        <w:spacing w:after="0" w:line="21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•If we are unable to develop, obtain regulatory approval for and commercialize our product candidates, including TPST- 2003, TPST -1495 and amezalpat, or any of our future product candidates, or if we experience significant delays in doing so, our business will be materially harmed.</w:t>
      </w:r>
    </w:p>
    <w:p>
      <w:pPr>
        <w:spacing w:after="0" w:line="200" w:lineRule="exact"/>
        <w:rPr>
          <w:sz w:val="20"/>
          <w:szCs w:val="20"/>
          <w:color w:val="auto"/>
        </w:rPr>
      </w:pPr>
    </w:p>
    <w:p>
      <w:pPr>
        <w:spacing w:after="0" w:line="230" w:lineRule="exact"/>
        <w:rPr>
          <w:sz w:val="20"/>
          <w:szCs w:val="20"/>
          <w:color w:val="auto"/>
        </w:rPr>
      </w:pPr>
    </w:p>
    <w:p>
      <w:pPr>
        <w:ind w:right="520"/>
        <w:spacing w:after="0" w:line="305" w:lineRule="auto"/>
        <w:rPr>
          <w:sz w:val="20"/>
          <w:szCs w:val="20"/>
          <w:color w:val="auto"/>
        </w:rPr>
      </w:pPr>
      <w:r>
        <w:rPr>
          <w:rFonts w:ascii="Times New Roman" w:cs="Times New Roman" w:eastAsia="Times New Roman" w:hAnsi="Times New Roman"/>
          <w:sz w:val="19"/>
          <w:szCs w:val="19"/>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3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•Interim and preliminary data from our or our licensors’ clinical trials that we may announce or publish from time to time may change as more patient data becomes available and are subject to audit and verification procedures that could result in material changes in the final data.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13" o:spid="_x0000_s1238"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215" o:spid="_x0000_s1240"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216" o:spid="_x0000_s1241"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may derive results and data for TPST- 2003 and TPST-2206 from clinical trials led by Novatim in China; our role in any such trials and our access to the clinical results and data, will be limited and there is no assurance that the clinical data from any such trials will be accepted or considered by the FDA, or other comparable regulatory authorities.</w:t>
      </w:r>
    </w:p>
    <w:p>
      <w:pPr>
        <w:spacing w:after="0" w:line="200" w:lineRule="exact"/>
        <w:rPr>
          <w:sz w:val="20"/>
          <w:szCs w:val="20"/>
          <w:color w:val="auto"/>
        </w:rPr>
      </w:pPr>
    </w:p>
    <w:p>
      <w:pPr>
        <w:spacing w:after="0" w:line="23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•We plan to work with our collaborator, Novatim, to conduct clinical trials for TPST-2003 and TPST-2206 outside the United States, including China, and the FDA and similar foreign regulatory authorities may not accept data from such trials conducted in locations outside of their jurisdiction.</w:t>
      </w:r>
    </w:p>
    <w:p>
      <w:pPr>
        <w:spacing w:after="0" w:line="200" w:lineRule="exact"/>
        <w:rPr>
          <w:sz w:val="20"/>
          <w:szCs w:val="20"/>
          <w:color w:val="auto"/>
        </w:rPr>
      </w:pPr>
    </w:p>
    <w:p>
      <w:pPr>
        <w:spacing w:after="0" w:line="230"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color w:val="auto"/>
        </w:rPr>
        <w:t>•We may not be successful in our efforts to expand our pipeline of product candidates and develop marketable products.</w:t>
      </w:r>
    </w:p>
    <w:p>
      <w:pPr>
        <w:spacing w:after="0" w:line="200" w:lineRule="exact"/>
        <w:rPr>
          <w:sz w:val="20"/>
          <w:szCs w:val="20"/>
          <w:color w:val="auto"/>
        </w:rPr>
      </w:pPr>
    </w:p>
    <w:p>
      <w:pPr>
        <w:spacing w:after="0" w:line="210"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color w:val="auto"/>
        </w:rPr>
        <w:t>•The commercial success of our product candidates, including TPST-2003, TPST-1495 and amezalpat, will depend upon their degree of market acceptance by providers, patients, patient advocacy groups, third-party payors and the general medical community.</w:t>
      </w:r>
    </w:p>
    <w:p>
      <w:pPr>
        <w:spacing w:after="0" w:line="200" w:lineRule="exact"/>
        <w:rPr>
          <w:sz w:val="20"/>
          <w:szCs w:val="20"/>
          <w:color w:val="auto"/>
        </w:rPr>
      </w:pPr>
    </w:p>
    <w:p>
      <w:pPr>
        <w:spacing w:after="0" w:line="22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•We may rely on third parties to manufacture our clinical product supplies, and we may have to rely on third parties to produce and process our product candidates, if approved.</w:t>
      </w:r>
    </w:p>
    <w:p>
      <w:pPr>
        <w:spacing w:after="0" w:line="200" w:lineRule="exact"/>
        <w:rPr>
          <w:sz w:val="20"/>
          <w:szCs w:val="20"/>
          <w:color w:val="auto"/>
        </w:rPr>
      </w:pPr>
    </w:p>
    <w:p>
      <w:pPr>
        <w:spacing w:after="0" w:line="2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our current and any future product candidates.</w:t>
      </w:r>
    </w:p>
    <w:p>
      <w:pPr>
        <w:sectPr>
          <w:pgSz w:w="12240" w:h="15840" w:orient="portrait"/>
          <w:cols w:equalWidth="0" w:num="1">
            <w:col w:w="9360"/>
          </w:cols>
          <w:pgMar w:left="1440" w:top="1440" w:right="1440" w:bottom="1131" w:gutter="0" w:footer="0" w:header="0"/>
        </w:sectPr>
      </w:pPr>
    </w:p>
    <w:bookmarkStart w:id="41" w:name="page42"/>
    <w:bookmarkEnd w:id="41"/>
    <w:p>
      <w:pPr>
        <w:spacing w:after="0" w:line="10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•Biologics are complex and difficult to manufacture. We intend to rely on third party manufacturers, potentially including Factor, Novatim, and/or contract development manufacturing organizations (“CDMOs”) to manufacture clinical supplies of our cell- therapy and in vivo CAR- T products, including TPST-2003, and to produce preclinical and clinical supply of other product candidates and to produce commercial supplies of any approved product. This reliance on third parties increases the risk that we will not have sufficient quantities of our product candidates or any approved products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40"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•If we are unable to establish sales and marketing capabilities or enter into agreements with third parties to market and sell our product candidates, we may be unable to generate any revenues.</w:t>
      </w:r>
    </w:p>
    <w:p>
      <w:pPr>
        <w:spacing w:after="0" w:line="200" w:lineRule="exact"/>
        <w:rPr>
          <w:sz w:val="20"/>
          <w:szCs w:val="20"/>
          <w:color w:val="auto"/>
        </w:rPr>
      </w:pPr>
    </w:p>
    <w:p>
      <w:pPr>
        <w:spacing w:after="0" w:line="208"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color w:val="auto"/>
        </w:rPr>
        <w:t>•We may not be successful in finding strategic collaborators for continuing development of certain of our future product candidates or successfully commercializing or competing in the market for certain indications.</w:t>
      </w:r>
    </w:p>
    <w:p>
      <w:pPr>
        <w:spacing w:after="0" w:line="200" w:lineRule="exact"/>
        <w:rPr>
          <w:sz w:val="20"/>
          <w:szCs w:val="20"/>
          <w:color w:val="auto"/>
        </w:rPr>
      </w:pPr>
    </w:p>
    <w:p>
      <w:pPr>
        <w:spacing w:after="0" w:line="20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•The FDA regulatory approval process is lengthy and time-consuming, and we may experience significant delays in the clinical development and regulatory approval of our product candidates.</w:t>
      </w:r>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200" w:lineRule="exact"/>
        <w:rPr>
          <w:sz w:val="20"/>
          <w:szCs w:val="20"/>
          <w:color w:val="auto"/>
        </w:rPr>
      </w:pPr>
    </w:p>
    <w:p>
      <w:pPr>
        <w:spacing w:after="0" w:line="2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•We have collaboration and license agreements with third parties, including our existing license and collaboration agreements with Novatim and Factor. If we are unable to maintain these agreements, our business could be adversely affected.</w:t>
      </w:r>
    </w:p>
    <w:p>
      <w:pPr>
        <w:spacing w:after="0" w:line="200" w:lineRule="exact"/>
        <w:rPr>
          <w:sz w:val="20"/>
          <w:szCs w:val="20"/>
          <w:color w:val="auto"/>
        </w:rPr>
      </w:pPr>
    </w:p>
    <w:p>
      <w:pPr>
        <w:spacing w:after="0" w:line="230"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color w:val="auto"/>
        </w:rPr>
        <w:t>•Our owned and in- licensed patents and patent applications may not provide sufficient protection of our product candidates or result in any competitive advantage.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19" o:spid="_x0000_s124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900"/>
        <w:spacing w:after="0" w:line="277" w:lineRule="auto"/>
        <w:rPr>
          <w:sz w:val="20"/>
          <w:szCs w:val="20"/>
          <w:color w:val="auto"/>
        </w:rPr>
      </w:pPr>
      <w:r>
        <w:rPr>
          <w:rFonts w:ascii="Times New Roman" w:cs="Times New Roman" w:eastAsia="Times New Roman" w:hAnsi="Times New Roman"/>
          <w:sz w:val="20"/>
          <w:szCs w:val="20"/>
          <w:color w:val="auto"/>
        </w:rPr>
        <w:t>•The trading price of the shares of our common stock has been and is likely to continue to be volatile, and purchasers of our common stock could incur substantial losses.</w:t>
      </w:r>
    </w:p>
    <w:p>
      <w:pPr>
        <w:spacing w:after="0" w:line="200" w:lineRule="exact"/>
        <w:rPr>
          <w:sz w:val="20"/>
          <w:szCs w:val="20"/>
          <w:color w:val="auto"/>
        </w:rPr>
      </w:pPr>
    </w:p>
    <w:p>
      <w:pPr>
        <w:spacing w:after="0" w:line="210"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0"/>
          <w:szCs w:val="20"/>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200" w:lineRule="exact"/>
        <w:rPr>
          <w:sz w:val="20"/>
          <w:szCs w:val="20"/>
          <w:color w:val="auto"/>
        </w:rPr>
      </w:pPr>
    </w:p>
    <w:p>
      <w:pPr>
        <w:spacing w:after="0" w:line="228"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color w:val="auto"/>
        </w:rPr>
        <w:t>•Unstable market and economic conditions may have serious adverse consequences on our business, financial condition and share price.</w:t>
      </w:r>
    </w:p>
    <w:p>
      <w:pPr>
        <w:spacing w:after="0" w:line="200" w:lineRule="exact"/>
        <w:rPr>
          <w:sz w:val="20"/>
          <w:szCs w:val="20"/>
          <w:color w:val="auto"/>
        </w:rPr>
      </w:pPr>
    </w:p>
    <w:p>
      <w:pPr>
        <w:spacing w:after="0" w:line="210"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color w:val="auto"/>
        </w:rPr>
        <w:t>•Our common stock is thinly traded and our stockholders may be unable to sell their shares quickly or at market price.</w:t>
      </w:r>
    </w:p>
    <w:p>
      <w:pPr>
        <w:sectPr>
          <w:pgSz w:w="12240" w:h="15840" w:orient="portrait"/>
          <w:cols w:equalWidth="0" w:num="1">
            <w:col w:w="9360"/>
          </w:cols>
          <w:pgMar w:left="1440" w:top="1440" w:right="1440" w:bottom="1440" w:gutter="0" w:footer="0" w:header="0"/>
        </w:sectPr>
      </w:pPr>
    </w:p>
    <w:bookmarkStart w:id="42" w:name="page43"/>
    <w:bookmarkEnd w:id="42"/>
    <w:p>
      <w:pPr>
        <w:spacing w:after="0" w:line="10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•If we fail to maintain proper and effective internal controls, our ability to produce accurate financial statements on a timely basis could be impaired.</w:t>
      </w:r>
    </w:p>
    <w:p>
      <w:pPr>
        <w:spacing w:after="0" w:line="200" w:lineRule="exact"/>
        <w:rPr>
          <w:sz w:val="20"/>
          <w:szCs w:val="20"/>
          <w:color w:val="auto"/>
        </w:rPr>
      </w:pPr>
    </w:p>
    <w:p>
      <w:pPr>
        <w:spacing w:after="0" w:line="208"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•If we are unable to maintain listing of our common stock on Nasdaq or any stock exchange, our stock price could be adversely affected and the liquidity of our stock and our ability to obtain financing could be impaired and it may be more difficult for our stockholders to sell their securities.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Needs</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Our existing cash and cash equivalents of $7.7 million as of December 31, 2025 is expected to fund our operations through less than 12 months from the date our consolidated financial statements are available to be issued.</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finite cash resources available to fund our operations. On February 3, 2026, we closed the Asset Acquisition. For more information regarding the Asset Acquisition see “</w:t>
      </w:r>
      <w:r>
        <w:rPr>
          <w:rFonts w:ascii="Times New Roman" w:cs="Times New Roman" w:eastAsia="Times New Roman" w:hAnsi="Times New Roman"/>
          <w:sz w:val="20"/>
          <w:szCs w:val="20"/>
          <w:i w:val="1"/>
          <w:iCs w:val="1"/>
          <w:color w:val="auto"/>
        </w:rPr>
        <w:t>Recent Developments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Strategic Acquisition of Dual-Targeting CAR-T Programs.</w:t>
      </w:r>
      <w:r>
        <w:rPr>
          <w:rFonts w:ascii="Times New Roman" w:cs="Times New Roman" w:eastAsia="Times New Roman" w:hAnsi="Times New Roman"/>
          <w:sz w:val="20"/>
          <w:szCs w:val="20"/>
          <w:color w:val="auto"/>
        </w:rPr>
        <w:t>” Pursuant to the Asset Purchase Agreement, we entered into a funding commitment letter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“Funding Commitment”) with Factor, which will provide us with financial support for at least 18 months following the closing of the Asset Acquisition, up to a maximum amount of $20.0 million that is inclusive of any amounts raised and received by us after the date of the Asset Purchase Agreement, on the terms and subject to the conditions and other provisions set forth in the funding commitment letter. As of the date of this report, we have $13.75 million available under the Funding Commitment. There is significant uncertainty as to whether we will be able to satisfy the terms and conditions and other provisions set forth in the funding commitment letter, and, if we are unable to do so, we may be limited in the amount of funding that we are able to access under the Funding Commitment or we may not be able to access any funds under the Funding Commitment. The timing of any additional funding from Factor is uncertain.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 As such, we will need to continue to rely on additional financing to achieve our business objectives.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conditions raise substantial doubt about our ability to continue as a going concern. We have evaluated the significance of the uncertainty regarding our financial condition in relation to our ability to meet our obligations, which has raised substantial</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24" o:spid="_x0000_s124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doubt about our ability to continue as a going concern. There can be no assurances that we will be able to secure additional financing. In the event we do not, we may be required to wind down our operations and our stockholders will lose their investment.</w:t>
      </w:r>
    </w:p>
    <w:p>
      <w:pPr>
        <w:sectPr>
          <w:pgSz w:w="12240" w:h="15840" w:orient="portrait"/>
          <w:cols w:equalWidth="0" w:num="1">
            <w:col w:w="9360"/>
          </w:cols>
          <w:pgMar w:left="1440" w:top="1440" w:right="1440" w:bottom="1440" w:gutter="0" w:footer="0" w:header="0"/>
        </w:sectPr>
      </w:pPr>
    </w:p>
    <w:p>
      <w:pPr>
        <w:spacing w:after="0" w:line="190" w:lineRule="exact"/>
        <w:rPr>
          <w:sz w:val="20"/>
          <w:szCs w:val="20"/>
          <w:color w:val="auto"/>
        </w:rPr>
      </w:pPr>
    </w:p>
    <w:p>
      <w:pPr>
        <w:ind w:right="7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proprietary rights.</w:t>
      </w:r>
    </w:p>
    <w:p>
      <w:pPr>
        <w:sectPr>
          <w:pgSz w:w="12240" w:h="15840" w:orient="portrait"/>
          <w:cols w:equalWidth="0" w:num="1">
            <w:col w:w="9360"/>
          </w:cols>
          <w:pgMar w:left="1440" w:top="1440" w:right="1440" w:bottom="1440" w:gutter="0" w:footer="0" w:header="0"/>
          <w:type w:val="continuous"/>
        </w:sectPr>
      </w:pPr>
    </w:p>
    <w:bookmarkStart w:id="43" w:name="page44"/>
    <w:bookmarkEnd w:id="43"/>
    <w:p>
      <w:pPr>
        <w:jc w:val="both"/>
        <w:spacing w:after="0" w:line="245"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Other than the Funding Commitment, we do not have any committed external source of funds. To the extent that we raise additional capital through the sale of equity or convertible debt securities, including through the Funding Commitment,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raise capital may be limited by applicable laws and regulations.</w:t>
      </w:r>
    </w:p>
    <w:p>
      <w:pPr>
        <w:spacing w:after="0" w:line="2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Using a shelf registration statement on Form S -3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$26.3 million and $41.8 million for the year ended December 31, 2025 and 2024, respectively. As of December 31, 2025, we had 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8">
                          <a:solidFill>
                            <a:srgbClr val="80808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998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29" o:spid="_x0000_s125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accumulated deficit of $233.4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w:t>
      </w:r>
    </w:p>
    <w:p>
      <w:pPr>
        <w:sectPr>
          <w:pgSz w:w="12240" w:h="15840" w:orient="portrait"/>
          <w:cols w:equalWidth="0" w:num="1">
            <w:col w:w="9360"/>
          </w:cols>
          <w:pgMar w:left="1440" w:top="1422" w:right="1440" w:bottom="906" w:gutter="0" w:footer="0" w:header="0"/>
        </w:sectPr>
      </w:pPr>
    </w:p>
    <w:bookmarkStart w:id="44" w:name="page45"/>
    <w:bookmarkEnd w:id="44"/>
    <w:p>
      <w:pPr>
        <w:jc w:val="both"/>
        <w:spacing w:after="0" w:line="251" w:lineRule="auto"/>
        <w:rPr>
          <w:sz w:val="20"/>
          <w:szCs w:val="20"/>
          <w:color w:val="auto"/>
        </w:rPr>
      </w:pPr>
      <w:r>
        <w:rPr>
          <w:rFonts w:ascii="Times New Roman" w:cs="Times New Roman" w:eastAsia="Times New Roman" w:hAnsi="Times New Roman"/>
          <w:sz w:val="20"/>
          <w:szCs w:val="20"/>
          <w:color w:val="auto"/>
        </w:rPr>
        <w:t>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9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Strategy</w:t>
      </w:r>
    </w:p>
    <w:p>
      <w:pPr>
        <w:spacing w:after="0" w:line="2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Integrating the Assets with our business may be more difficult, costly or time consuming than expected and we may fail to realize the anticipated benefits of the Asset Acquisition.</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February 3, 2026, we completed the Asset Acquisition. The success of the Asset Acquisition will depend, in part, on our ability to realize the anticipated benefits from incorporating the Assets into our business and pipeline of product candidates. To realize the anticipated benefits from the Asset Acquisition, we must successfully integrate the Assets into our businesses in a manner that permits those benefits to be realized. If we are not able to successfully achieve these objectives, the anticipated benefits of the Asset Acquisition may not be realized fully or at all or may take longer to realize than expected. In addition, the anticipated benefits of the Asset Acquisition could be less than anticipated and integration may result in additional unforeseen expenses, which could have material adverse effects on our reputation, business,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in the early stages of integrating the Assets into our business, and unknown or unanticipated risks associated with the Assets could adversely affect us.</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Although we conducted due diligence on the Assets prior to consummation of the Asset Acquisition, we are still relatively new to the development and operation of the Assets. As a result, we may not yet be aware of all material risks, liabilities, or challenges associated with the Assets, including risks that were not identified or fully appreciated during our due diligence process. There can be no assurance that our due diligence identified all risks, liabilities, or other material matters, that all material issues that could be uncovered through a customary level of due diligence were identified, or that factors outside of our control will not later arise. Even where due diligence successfully identifies certain risks, unexpected risks may arise, and previously known risks may materialize in a manner that is inconsistent with our preliminary risk assessments or assumptions.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must attract and retain highly skilled employees to succeed.</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34" o:spid="_x0000_s125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236" o:spid="_x0000_s1261"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237" o:spid="_x0000_s1262"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22" w:right="1440" w:bottom="1440" w:gutter="0" w:footer="0" w:header="0"/>
        </w:sectPr>
      </w:pPr>
    </w:p>
    <w:bookmarkStart w:id="45" w:name="page46"/>
    <w:bookmarkEnd w:id="45"/>
    <w:p>
      <w:pPr>
        <w:spacing w:after="0" w:line="200" w:lineRule="exact"/>
        <w:rPr>
          <w:sz w:val="20"/>
          <w:szCs w:val="20"/>
          <w:color w:val="auto"/>
        </w:rPr>
      </w:pPr>
    </w:p>
    <w:p>
      <w:pPr>
        <w:spacing w:after="0" w:line="2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operations and increase our capabilities to successfully commercialize our product candidates. In particular, we believe that our future success is highly dependent upon the contributions of our senior management, particularly our Chief Executive Officer and President, Matthew Angel. The loss of services of Dr. Angel,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have to offer. If we are unable to continue to attract and retain high-quality personnel, the rate and success at which we can discover and develop product candidates and our business will be limited.</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will need to expand our organization in the future, and we may experience difficulties in managing this growth, which could disrupt our operations.</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March 1, 2026, we had four full- time employees. As the clinical development of our product candidates progresses, we will need to hire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spacing w:after="0" w:line="20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acquisitions or strategic alliances could disrupt our business and harm our financial condition and results of operations.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may acquire additional businesses, product candidates or drugs form strategic alliances or create joint ventures with third parties that we believe will complement or augment our existing business. If we acquire businesses or product candidates with promising markets or technologies, we may not be able to realize the benefit of acquiring such businesses if we are unable to successfully integrate them with our existing operations and company culture. For example, in February 2026, we completed the Asset Acquisition.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325"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color w:val="auto"/>
        </w:rPr>
        <w:t>•diversion of management time and focus from operating our business to addressing acquisition integration challenges;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•coordination of research and development efforts;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•retention of key employees from the acquired company;</w:t>
      </w:r>
    </w:p>
    <w:p>
      <w:pPr>
        <w:sectPr>
          <w:pgSz w:w="12240" w:h="15840" w:orient="portrait"/>
          <w:cols w:equalWidth="0" w:num="1">
            <w:col w:w="9360"/>
          </w:cols>
          <w:pgMar w:left="1440" w:top="1440" w:right="1440" w:bottom="1440" w:gutter="0" w:footer="0" w:header="0"/>
        </w:sectPr>
      </w:pPr>
    </w:p>
    <w:bookmarkStart w:id="46" w:name="page47"/>
    <w:bookmarkEnd w:id="46"/>
    <w:p>
      <w:pPr>
        <w:spacing w:after="0" w:line="10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•changes in relationships with strategic partners as a result of product acquisitions or strategic positioning resulting from the acquisition;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•cultural challenges associated with integrating employees from the acquired company into our organization;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40" o:spid="_x0000_s126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242" o:spid="_x0000_s1267"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243" o:spid="_x0000_s1268"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•the need to implement or improve controls, procedures and policies at a business that prior to the acquisition may have lacked sufficiently effective controls, procedures and policies;</w:t>
      </w:r>
    </w:p>
    <w:p>
      <w:pPr>
        <w:spacing w:after="0" w:line="200" w:lineRule="exact"/>
        <w:rPr>
          <w:sz w:val="20"/>
          <w:szCs w:val="20"/>
          <w:color w:val="auto"/>
        </w:rPr>
      </w:pPr>
    </w:p>
    <w:p>
      <w:pPr>
        <w:spacing w:after="0" w:line="211"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•liability for activities of the acquired company before the acquisition, including intellectual property infringement claims, violation of laws, commercial disputes, tax liabilities and other known liabilities;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•unanticipated write-offs or charges; and</w:t>
      </w:r>
    </w:p>
    <w:p>
      <w:pPr>
        <w:spacing w:after="0" w:line="200" w:lineRule="exact"/>
        <w:rPr>
          <w:sz w:val="20"/>
          <w:szCs w:val="20"/>
          <w:color w:val="auto"/>
        </w:rPr>
      </w:pPr>
    </w:p>
    <w:p>
      <w:pPr>
        <w:spacing w:after="0" w:line="280"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color w:val="auto"/>
        </w:rPr>
        <w:t>•litigation or other claims in connection with the acquired company, including claims from terminated employees, customers, former stockholders or other third parties.</w:t>
      </w:r>
    </w:p>
    <w:p>
      <w:pPr>
        <w:spacing w:after="0" w:line="2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ability to utilize our net operating loss carryforwards and tax credit carryforwards may be subject to limitations.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Federal NOLs generated in tax years beginning on or before December 31, 2017, are permitted to be carried forward for only 20 years, and federal NOLs generated in tax years beginning after December 31, 2017, may be carried forward indefinitely, but the utilization of such federal NOLs is limited to 80% of taxable income. In addition, under Section 382 and Section 383 of the Internal Revenue Code of 1986, as amended (the “Code”), and corresponding provisions of state law, if a corporation undergoes an “ownership change,” its ability to use its pre-change NOL carryforwards and other pre-change tax attributes (such as research tax credits) to offset its post-change income or taxes may be limited. An “ownership change” under Section 382 of the Code is generally defined as a greater than 50 percentage point change (by value) in the corporation’s equity ownership by certain stockholders over a three-year period. We may have experienced ownership changes in the past, including as a result of our merger with Millendo Therapeutics, Inc. (“Millendo”), and may experience ownership changes in the future due to subsequent shifts in our stock ownership (some of which are outside of our control). Furthermore, the merger with Millendo constituted an ownership change of Millendo which may have eliminated or otherwise substantially limited our ability to use Millendo’s federal and state NOLs to offset our future taxable income. Consequently, even if we achieve profitability, we may not be able to utilize a material portion of our NOL carryforwards and other tax attributes, which could have a material adverse effect on cash flow and results of operations. Similar provisions of state tax law may also apply to limit our ability to use our accumulated state tax attributes. There is also a risk that due to regulatory changes, such as suspensions on the</w:t>
      </w:r>
    </w:p>
    <w:p>
      <w:pPr>
        <w:sectPr>
          <w:pgSz w:w="12240" w:h="15840" w:orient="portrait"/>
          <w:cols w:equalWidth="0" w:num="1">
            <w:col w:w="9360"/>
          </w:cols>
          <w:pgMar w:left="1440" w:top="1440" w:right="1440" w:bottom="1440" w:gutter="0" w:footer="0" w:header="0"/>
        </w:sectPr>
      </w:pPr>
    </w:p>
    <w:bookmarkStart w:id="47" w:name="page48"/>
    <w:bookmarkEnd w:id="47"/>
    <w:p>
      <w:pPr>
        <w:jc w:val="both"/>
        <w:spacing w:after="0" w:line="277" w:lineRule="auto"/>
        <w:rPr>
          <w:sz w:val="20"/>
          <w:szCs w:val="20"/>
          <w:color w:val="auto"/>
        </w:rPr>
      </w:pPr>
      <w:r>
        <w:rPr>
          <w:rFonts w:ascii="Times New Roman" w:cs="Times New Roman" w:eastAsia="Times New Roman" w:hAnsi="Times New Roman"/>
          <w:sz w:val="20"/>
          <w:szCs w:val="20"/>
          <w:color w:val="auto"/>
        </w:rPr>
        <w:t>use of NOLs, or other unforeseen reasons, our existing NOLs could expire or otherwise be unavailable to offset future income tax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Product Development and Regulatory Approval</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obtain regulatory approval for and commercialize our product candidates, including TPST- 2003, TPST -1495 and amezalpat, or any of our future product candidates, or if we experience significant delays in doing so, our business will be materially harmed.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plan to invest a substantial amount of our efforts and financial resources in our product candidates, including TPST-2003, a dual-targeting CD19/BCMA CAR-T product under development for the treatment of multiple myeloma. Our ability to generate product revenue will depend heavily on the successful development and eventual commercialization of our product candidates and any future product candidates, which may never occur. We currently generate no revenue from sales of any product and we may never be able to develop or commercialize a marketable product.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46" o:spid="_x0000_s127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Each of our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TPST-2003, TPST-1495 and amezalpat,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success of TPST-2003, TPST-1495 and amezalpat and any future product candidates depends on multiple factors, including:</w:t>
      </w:r>
    </w:p>
    <w:p>
      <w:pPr>
        <w:spacing w:after="0" w:line="2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200" w:lineRule="exact"/>
        <w:rPr>
          <w:sz w:val="20"/>
          <w:szCs w:val="20"/>
          <w:color w:val="auto"/>
        </w:rPr>
      </w:pPr>
    </w:p>
    <w:p>
      <w:pPr>
        <w:spacing w:after="0" w:line="23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•effective Investigational New Drug applications or other regulatory applications, that allow commencement of our planned clinical trials or future clinical trials for our product candidates in relevant territories;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•establishing and maintaining relationships with contract research organizations (“CROs”) and clinical sites for the clinical development of our product candidates, both in the United States and internationally;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•successful technology transfer and scale-up of cell therapy manufacturing processes;</w:t>
      </w:r>
    </w:p>
    <w:p>
      <w:pPr>
        <w:spacing w:after="0" w:line="200" w:lineRule="exact"/>
        <w:rPr>
          <w:sz w:val="20"/>
          <w:szCs w:val="20"/>
          <w:color w:val="auto"/>
        </w:rPr>
      </w:pPr>
    </w:p>
    <w:p>
      <w:pPr>
        <w:spacing w:after="0" w:line="28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•maintenance of arrangements with third -party contract manufacturing organizations (“CMOs”) for key materials used in our manufacturing processes and to establish backup sources for clinical and large-scale commercial supply;</w:t>
      </w:r>
    </w:p>
    <w:p>
      <w:pPr>
        <w:spacing w:after="0" w:line="200" w:lineRule="exact"/>
        <w:rPr>
          <w:sz w:val="20"/>
          <w:szCs w:val="20"/>
          <w:color w:val="auto"/>
        </w:rPr>
      </w:pPr>
    </w:p>
    <w:p>
      <w:pPr>
        <w:spacing w:after="0" w:line="21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color w:val="auto"/>
        </w:rPr>
        <w:t>•successful collaboration with development partners, including those conducting clinical trials outside the United States;</w:t>
      </w:r>
    </w:p>
    <w:p>
      <w:pPr>
        <w:sectPr>
          <w:pgSz w:w="12240" w:h="15840" w:orient="portrait"/>
          <w:cols w:equalWidth="0" w:num="1">
            <w:col w:w="9360"/>
          </w:cols>
          <w:pgMar w:left="1440" w:top="1422" w:right="1440" w:bottom="1440" w:gutter="0" w:footer="0" w:header="0"/>
        </w:sectPr>
      </w:pPr>
    </w:p>
    <w:bookmarkStart w:id="48" w:name="page49"/>
    <w:bookmarkEnd w:id="48"/>
    <w:p>
      <w:pPr>
        <w:spacing w:after="0" w:line="10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•positive results from our clinical programs that are supportive of safety and efficacy and provide an acceptable risk-benefit profile for our product candidates in the intended patient populations;</w:t>
      </w:r>
    </w:p>
    <w:p>
      <w:pPr>
        <w:spacing w:after="0" w:line="200" w:lineRule="exact"/>
        <w:rPr>
          <w:sz w:val="20"/>
          <w:szCs w:val="20"/>
          <w:color w:val="auto"/>
        </w:rPr>
      </w:pPr>
    </w:p>
    <w:p>
      <w:pPr>
        <w:spacing w:after="0" w:line="208"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•receipt of regulatory approvals from applicable regulatory authorities, including those necessary for pricing and reimbursement of our product candidates;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acceptance of clinical data generated outside the United States;</w:t>
      </w:r>
    </w:p>
    <w:p>
      <w:pPr>
        <w:spacing w:after="0" w:line="200" w:lineRule="exact"/>
        <w:rPr>
          <w:sz w:val="20"/>
          <w:szCs w:val="20"/>
          <w:color w:val="auto"/>
        </w:rPr>
      </w:pPr>
    </w:p>
    <w:p>
      <w:pPr>
        <w:spacing w:after="0" w:line="28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color w:val="auto"/>
        </w:rPr>
        <w:t>•establishment and maintenance of patent and trade secret protection and regulatory exclusivity for our product candidates;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launch of our product candidates, if and when approved, whether alone or in collaboration with others;</w:t>
      </w:r>
    </w:p>
    <w:p>
      <w:pPr>
        <w:spacing w:after="0" w:line="200" w:lineRule="exact"/>
        <w:rPr>
          <w:sz w:val="20"/>
          <w:szCs w:val="20"/>
          <w:color w:val="auto"/>
        </w:rPr>
      </w:pPr>
    </w:p>
    <w:p>
      <w:pPr>
        <w:spacing w:after="0" w:line="278"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color w:val="auto"/>
        </w:rPr>
        <w:t>•acceptance of our product candidates, if and when approved, by patients, patient advocacy groups, third-party payors and the general medical community;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ability to effectively compete with developers of other therapies available in the market;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•establishment and maintenance of adequate reimbursement from third-party payors for our product candidates;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ability to acquire or in-license additional product candidates;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51" o:spid="_x0000_s127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•prosecution, maintenance, enforcement and defense of intellectual property rights and claims;</w:t>
      </w:r>
    </w:p>
    <w:p>
      <w:pPr>
        <w:spacing w:after="0" w:line="200" w:lineRule="exact"/>
        <w:rPr>
          <w:sz w:val="20"/>
          <w:szCs w:val="20"/>
          <w:color w:val="auto"/>
        </w:rPr>
      </w:pPr>
    </w:p>
    <w:p>
      <w:pPr>
        <w:spacing w:after="0" w:line="280" w:lineRule="exact"/>
        <w:rPr>
          <w:sz w:val="20"/>
          <w:szCs w:val="20"/>
          <w:color w:val="auto"/>
        </w:rPr>
      </w:pPr>
    </w:p>
    <w:p>
      <w:pPr>
        <w:jc w:val="both"/>
        <w:ind w:right="540"/>
        <w:spacing w:after="0" w:line="258" w:lineRule="auto"/>
        <w:rPr>
          <w:sz w:val="20"/>
          <w:szCs w:val="20"/>
          <w:color w:val="auto"/>
        </w:rPr>
      </w:pPr>
      <w:r>
        <w:rPr>
          <w:rFonts w:ascii="Times New Roman" w:cs="Times New Roman" w:eastAsia="Times New Roman" w:hAnsi="Times New Roman"/>
          <w:sz w:val="20"/>
          <w:szCs w:val="20"/>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•political factors surrounding the approval process, such as government shutdowns; or</w:t>
      </w:r>
    </w:p>
    <w:p>
      <w:pPr>
        <w:spacing w:after="0" w:line="200" w:lineRule="exact"/>
        <w:rPr>
          <w:sz w:val="20"/>
          <w:szCs w:val="20"/>
          <w:color w:val="auto"/>
        </w:rPr>
      </w:pPr>
    </w:p>
    <w:p>
      <w:pPr>
        <w:spacing w:after="0" w:line="27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natural disasters including earthquakes, typhoons, floods and fires, and public health crises.</w:t>
      </w:r>
    </w:p>
    <w:p>
      <w:pPr>
        <w:spacing w:after="0" w:line="2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ectPr>
          <w:pgSz w:w="12240" w:h="15840" w:orient="portrait"/>
          <w:cols w:equalWidth="0" w:num="1">
            <w:col w:w="9360"/>
          </w:cols>
          <w:pgMar w:left="1440" w:top="1440" w:right="1440" w:bottom="1440" w:gutter="0" w:footer="0" w:header="0"/>
        </w:sectPr>
      </w:pPr>
    </w:p>
    <w:bookmarkStart w:id="49" w:name="page50"/>
    <w:bookmarkEnd w:id="49"/>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 pplication (“NDA”) or Biologic License Application (“BLA”) is a complicated process. We have not previously completed any pivotal clinical trials, have limited experience in preparing, submitting and supporting regulatory filings, and have not previously submitted an NDA or BLA. Consequently, we may be unable to successfully and efficiently execute and complete necessary clinical trials and other requirements in a way that leads to NDA or BLA submission and approval of any product candidate we are developing.</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Even if our clinical trials demonstrate acceptable safety and efficacy of current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2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we encounter difficulties enrolling patients in our clinical trials, our clinical development activities could be delayed or otherwise adversely affected.</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256" o:spid="_x0000_s1281"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patient eligibility criteria defined in the protocol;</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size of the patient population required for analysis of the trial’s primary endpoints;</w:t>
      </w:r>
    </w:p>
    <w:p>
      <w:pPr>
        <w:sectPr>
          <w:pgSz w:w="12240" w:h="15840" w:orient="portrait"/>
          <w:cols w:equalWidth="0" w:num="1">
            <w:col w:w="9360"/>
          </w:cols>
          <w:pgMar w:left="1440" w:top="1422"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proximity of patients to study sites;</w:t>
      </w:r>
    </w:p>
    <w:p>
      <w:pPr>
        <w:sectPr>
          <w:pgSz w:w="12240" w:h="15840" w:orient="portrait"/>
          <w:cols w:equalWidth="0" w:num="1">
            <w:col w:w="9360"/>
          </w:cols>
          <w:pgMar w:left="1440" w:top="1422" w:right="1440" w:bottom="1440" w:gutter="0" w:footer="0" w:header="0"/>
          <w:type w:val="continuous"/>
        </w:sectPr>
      </w:pPr>
    </w:p>
    <w:bookmarkStart w:id="50" w:name="page51"/>
    <w:bookmarkEnd w:id="50"/>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design of the trial;</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ability to recruit clinical trial investigators with the appropriate competencies and experience;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ability to obtain and maintain patient consents; and</w:t>
      </w:r>
    </w:p>
    <w:p>
      <w:pPr>
        <w:spacing w:after="0" w:line="200" w:lineRule="exact"/>
        <w:rPr>
          <w:sz w:val="20"/>
          <w:szCs w:val="20"/>
          <w:color w:val="auto"/>
        </w:rPr>
      </w:pPr>
    </w:p>
    <w:p>
      <w:pPr>
        <w:spacing w:after="0" w:line="2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risk that patients enrolled in our clinical trials will drop out of the trials before the infusion of our product candidates or trial completion.</w:t>
      </w:r>
    </w:p>
    <w:p>
      <w:pPr>
        <w:spacing w:after="0" w:line="2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war or terrorism, may delay or prevent patients from enrolling or from receiving treatment in accordance with the protocol and the required timelines, which could delay our clinical trials, or prevent us from completing our clinical trials at all.</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7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may derive results and data for TPST-2003 and TPST-2206 from clinical trials led by Novatim in China; our role in any such trials and our access to the clinical results and data, will be limited and there is no assurance that the clinical data from any such trials will be accepted or considered by the FDA, or other comparable regulatory authorities.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Pursuant to the Novatim License Agreement, we expect Novatim to fund and lead clinical trial(s) of TPST-2003 and TPST-2206 in China. While these trials may provide us with clinical data that can inform our future development strategy, we do not have control over the protocols, administration, or conduct of the trials or their compliance with regulatory requirements. There is also no assurance that the clinical data from any such clinical trials will be accepted or considered by the FDA or other comparable regulatory authorities. Additional risks include procedural delays, timing issues and difficulties or differences in interpreting data. As a result, our minimal control over the conduct and timing of, and communications with the FDA, the National Medical Products Administration (“NMPA”) with respect to the trials that Novatim is conducting expose us to additional risks and uncertainties, many of which are outside our control, and the occurrence of which could adversely affect the prospects for our product candidates. Furthermore, any data integrity issues or patient safety issues arising out of any of these trials would be beyond our control, yet could adversely affect our reputation and damage the clinical and commercial prospects for our product candidates. 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61" o:spid="_x0000_s128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263" o:spid="_x0000_s1288"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264" o:spid="_x0000_s1289"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40" w:right="1440" w:bottom="1440" w:gutter="0" w:footer="0" w:header="0"/>
        </w:sectPr>
      </w:pPr>
    </w:p>
    <w:bookmarkStart w:id="51" w:name="page52"/>
    <w:bookmarkEnd w:id="51"/>
    <w:p>
      <w:pPr>
        <w:spacing w:after="0" w:line="277" w:lineRule="auto"/>
        <w:rPr>
          <w:sz w:val="20"/>
          <w:szCs w:val="20"/>
          <w:color w:val="auto"/>
        </w:rPr>
      </w:pPr>
      <w:r>
        <w:rPr>
          <w:rFonts w:ascii="Times New Roman" w:cs="Times New Roman" w:eastAsia="Times New Roman" w:hAnsi="Times New Roman"/>
          <w:sz w:val="20"/>
          <w:szCs w:val="20"/>
          <w:color w:val="auto"/>
        </w:rPr>
        <w:t>candidates than what we have to offer. If we are unable to continue to attract and retain high-quality personnel, the rate and success at which we can discover and develop product candidates and our business will be limited.</w:t>
      </w:r>
    </w:p>
    <w:p>
      <w:pPr>
        <w:spacing w:after="0" w:line="1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plan to work with our collaborator, Novatim, to conduct clinical trials for TPST-2003 and TPST -2206 outside the United States, including China, and the FDA and similar foreign regulatory authorities may not accept data from such trials conducted in locations outside of their jurisdiction.</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Pursuant to the Asset Purchase Agreement, at Closing we assumed Erigen’s rights and obligations under each of the Novatim License Agreement pursuant to which Novatim is pursuing clinical trials of TPST-2003 and TPST -2206 in China to generate clinical data from patients with rrMM and RCC, respectively. In addition, we may choose to conduct other clinical trials outside the United States, including in the Australia, Canada, Europe, the United Kingdom or other foreign jurisdictions. The acceptance by the FDA of data from clinical trials conducted in China or any other clinical trial outside the United States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 site inspection by the FDA or, if the FDA considers such an inspection to be necessary, the FDA is able to validate the data through an on-site inspection or other appropriate means. For example, in February 2022, the FDA publicly rebuked an oncology product sponsor for submitting a marketing application with Phase 3 clinical data solely from China and since that time, it has declined to approve other applications that contained primarily China-generated clinical data.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including China,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and preliminary data from our or our licensors' clinical trials that we may announce or publish from time to time may change as more patient data becomes available and are subject to audit and verification procedures that could result in material changes in the final data.</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From time to time, we may publish interim or preliminary data from our or our licensors' clinical studies. Interim data from clinical trials that we or our licensors' may complete are subject to the risk that one or more of the clinical outcomes may materially change as patient enrollment continues and more patient data become available.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currently are investigating amezalpat and TPST-1495 in combination with other approved therapies, and we may in the future investigate product candidates in combination with other approved and unapproved therapies, which exposes us to additional risks.</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w:t>
      </w:r>
    </w:p>
    <w:p>
      <w:pPr>
        <w:sectPr>
          <w:pgSz w:w="12240" w:h="15840" w:orient="portrait"/>
          <w:cols w:equalWidth="0" w:num="1">
            <w:col w:w="9360"/>
          </w:cols>
          <w:pgMar w:left="1440" w:top="1422" w:right="1440" w:bottom="892"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22" w:right="1440" w:bottom="892" w:gutter="0" w:footer="0" w:header="0"/>
          <w:type w:val="continuous"/>
        </w:sectPr>
      </w:pPr>
    </w:p>
    <w:bookmarkStart w:id="52" w:name="page53"/>
    <w:bookmarkEnd w:id="5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914400</wp:posOffset>
                </wp:positionH>
                <wp:positionV relativeFrom="page">
                  <wp:posOffset>1047750</wp:posOffset>
                </wp:positionV>
                <wp:extent cx="594360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82.5pt" to="540pt,82.5pt" o:allowincell="f" strokecolor="#808080" strokeweight="1.5999pt">
                <w10:wrap anchorx="page" anchory="page"/>
              </v:line>
            </w:pict>
          </mc:Fallback>
        </mc:AlternateContent>
        <mc:AlternateContent>
          <mc:Choice Requires="wps">
            <w:drawing>
              <wp:anchor simplePos="0" relativeHeight="251657728" behindDoc="1" locked="0" layoutInCell="0" allowOverlap="1">
                <wp:simplePos x="0" y="0"/>
                <wp:positionH relativeFrom="page">
                  <wp:posOffset>6857365</wp:posOffset>
                </wp:positionH>
                <wp:positionV relativeFrom="page">
                  <wp:posOffset>1040765</wp:posOffset>
                </wp:positionV>
                <wp:extent cx="0" cy="1651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9.95pt,81.95pt" to="539.95pt,83.25pt" o:allowincell="f" strokecolor="#E3E3E3" strokeweight="0.2399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1032510</wp:posOffset>
                </wp:positionV>
                <wp:extent cx="5944870" cy="13335"/>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267" o:spid="_x0000_s1292" style="position:absolute;margin-left:72pt;margin-top:81.3pt;width:468.1pt;height:1.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0A0A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915670</wp:posOffset>
                </wp:positionH>
                <wp:positionV relativeFrom="page">
                  <wp:posOffset>1037590</wp:posOffset>
                </wp:positionV>
                <wp:extent cx="0" cy="19685"/>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1pt,81.7pt" to="72.1pt,83.25pt" o:allowincell="f" strokecolor="#A0A0A0" strokeweight="0.24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1056005</wp:posOffset>
                </wp:positionV>
                <wp:extent cx="594487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83.15pt" to="540.1pt,83.15pt" o:allowincell="f" strokecolor="#E3E3E3" strokeweight="0.2399pt">
                <w10:wrap anchorx="page" anchory="page"/>
              </v:line>
            </w:pict>
          </mc:Fallback>
        </mc:AlternateContent>
      </w: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Prior to commercialization, TPST-2003, TPST-1495, amezalpat and any future product candidates must be approved by the FDA pursuant to an NDA or BLA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of our current and future product candidates may be delayed or refused for many reasons, including:</w:t>
      </w:r>
    </w:p>
    <w:p>
      <w:pPr>
        <w:spacing w:after="0" w:line="3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our product candidates are safe and effective for any of their proposed indications;</w:t>
      </w:r>
    </w:p>
    <w:p>
      <w:pPr>
        <w:sectPr>
          <w:pgSz w:w="12240" w:h="15840" w:orient="portrait"/>
          <w:cols w:equalWidth="0" w:num="1">
            <w:col w:w="9360"/>
          </w:cols>
          <w:pgMar w:left="1440" w:top="1440" w:right="1440" w:bottom="1440" w:gutter="0" w:footer="0" w:header="0"/>
        </w:sectPr>
      </w:pPr>
    </w:p>
    <w:bookmarkStart w:id="53" w:name="page54"/>
    <w:bookmarkEnd w:id="53"/>
    <w:p>
      <w:pPr>
        <w:spacing w:after="0" w:line="1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populations studied in clinical trials may not be sufficiently broad or representative to assure efficacy and safety in the populations for which we seek approval;</w:t>
      </w: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•we may be unable to demonstrate that our product candidates’ clinical and other benefits outweigh their safety risks;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72" o:spid="_x0000_s129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BLA or other comparable submission in foreign jurisdictions or to obtain regulatory approval in the United States or elsewhere;</w:t>
      </w: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facilities of third-party manufacturers with which we contract or procure certain service or raw materials, may not be adequate to support approval of our product candidates; and</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2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current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w:t>
      </w:r>
    </w:p>
    <w:p>
      <w:pPr>
        <w:sectPr>
          <w:pgSz w:w="12240" w:h="15840" w:orient="portrait"/>
          <w:cols w:equalWidth="0" w:num="1">
            <w:col w:w="9360"/>
          </w:cols>
          <w:pgMar w:left="1440" w:top="1440" w:right="1440" w:bottom="1440" w:gutter="0" w:footer="0" w:header="0"/>
        </w:sectPr>
      </w:pPr>
    </w:p>
    <w:bookmarkStart w:id="54" w:name="page55"/>
    <w:bookmarkEnd w:id="54"/>
    <w:p>
      <w:pPr>
        <w:jc w:val="both"/>
        <w:spacing w:after="0" w:line="277" w:lineRule="auto"/>
        <w:rPr>
          <w:sz w:val="20"/>
          <w:szCs w:val="20"/>
          <w:color w:val="auto"/>
        </w:rPr>
      </w:pPr>
      <w:r>
        <w:rPr>
          <w:rFonts w:ascii="Times New Roman" w:cs="Times New Roman" w:eastAsia="Times New Roman" w:hAnsi="Times New Roman"/>
          <w:sz w:val="20"/>
          <w:szCs w:val="20"/>
          <w:color w:val="auto"/>
        </w:rPr>
        <w:t>characteristics are less prevalent, less severe or more acceptable from a risk-benefit perspective or in which efficacy is more pronounced or durable.</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 ld adversely affect the clinical, regulatory or commercial perception of our current and any future product candidates.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Additionally, if any of our product candidates receives marketing approval, the FDA could require us to adopt a REMS to ensure that the benefits of the product outweigh our risks, which may include, for example, a Medication Guide outlining the risks of</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77" o:spid="_x0000_s130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product for distribution to patients and a communication plan to health care practitioners, or other elements to assure safe use of the product.</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Furthermore, if we or others later identify undesirable side effects caused by our product candidates, several potentially significant negative consequences could result, including: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authorities may suspend or withdraw approvals of such product candidate;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authorities may require additional warnings in the product labeling;</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be required to change the way a product candidate is administered or conduct additional clinical trials;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could be sued and held liable for harm caused to patients; and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reputation may suffer.</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of these occurrences may harm our business, financial condition, results of operations and prospects significantly.</w:t>
      </w:r>
    </w:p>
    <w:p>
      <w:pPr>
        <w:spacing w:after="0" w:line="2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expand our pipeline of product candidates and develop marketable products.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including through the Asset Acquisition, development of the potential product candidates that we identify will require substantial investment in additional clinical development,</w:t>
      </w:r>
    </w:p>
    <w:p>
      <w:pPr>
        <w:sectPr>
          <w:pgSz w:w="12240" w:h="15840" w:orient="portrait"/>
          <w:cols w:equalWidth="0" w:num="1">
            <w:col w:w="9360"/>
          </w:cols>
          <w:pgMar w:left="1440" w:top="1422" w:right="1440" w:bottom="1042" w:gutter="0" w:footer="0" w:header="0"/>
        </w:sectPr>
      </w:pPr>
    </w:p>
    <w:bookmarkStart w:id="55" w:name="page56"/>
    <w:bookmarkEnd w:id="55"/>
    <w:p>
      <w:pPr>
        <w:jc w:val="both"/>
        <w:spacing w:after="0" w:line="246" w:lineRule="auto"/>
        <w:rPr>
          <w:sz w:val="20"/>
          <w:szCs w:val="20"/>
          <w:color w:val="auto"/>
        </w:rPr>
      </w:pPr>
      <w:r>
        <w:rPr>
          <w:rFonts w:ascii="Times New Roman" w:cs="Times New Roman" w:eastAsia="Times New Roman" w:hAnsi="Times New Roman"/>
          <w:sz w:val="20"/>
          <w:szCs w:val="20"/>
          <w:color w:val="auto"/>
        </w:rPr>
        <w:t>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Although our pipeline includes multiple programs, we are primarily focused on TPST- 2003, TPST-1495 and amezalpat,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282" o:spid="_x0000_s1307"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submissions of safety and other post- 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 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•restrictions on such product candidates, manufacturers or manufacturing processes;</w:t>
      </w:r>
    </w:p>
    <w:p>
      <w:pPr>
        <w:sectPr>
          <w:pgSz w:w="12240" w:h="15840" w:orient="portrait"/>
          <w:cols w:equalWidth="0" w:num="1">
            <w:col w:w="9360"/>
          </w:cols>
          <w:pgMar w:left="1440" w:top="1422" w:right="1440" w:bottom="1440" w:gutter="0" w:footer="0" w:header="0"/>
        </w:sectPr>
      </w:pPr>
    </w:p>
    <w:bookmarkStart w:id="56" w:name="page57"/>
    <w:bookmarkEnd w:id="56"/>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•restrictions on the labeling or marketing of a product;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•restrictions on product distribution or use;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•warning or untitled letters;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•withdrawal of any approved product from the market;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•recall of product candidates;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•refusal to permit the import or export of our product candidates;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seizure; or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3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142240</wp:posOffset>
                </wp:positionV>
                <wp:extent cx="594360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pt" to="468pt,11.2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136525</wp:posOffset>
                </wp:positionV>
                <wp:extent cx="0" cy="1651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75pt" to="467.95pt,12.0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128270</wp:posOffset>
                </wp:positionV>
                <wp:extent cx="5944870" cy="13335"/>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287" o:spid="_x0000_s1312" style="position:absolute;margin-left:0pt;margin-top:10.1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133350</wp:posOffset>
                </wp:positionV>
                <wp:extent cx="0" cy="19685"/>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5pt" to="0.1pt,12.0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151765</wp:posOffset>
                </wp:positionV>
                <wp:extent cx="594487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95pt" to="468.1pt,11.9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Non-compliance with Canadian and European requirements regarding safety monitoring or pharmacovigilance, and with requirements related to the development of products for the pediatric population, can also result in significant financial penalties.</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failure to obtain regulatory approval in international jurisdictions would prevent us from marketing our product candidates outside the United States.</w:t>
      </w:r>
    </w:p>
    <w:p>
      <w:pPr>
        <w:sectPr>
          <w:pgSz w:w="12240" w:h="15840" w:orient="portrait"/>
          <w:cols w:equalWidth="0" w:num="1">
            <w:col w:w="9360"/>
          </w:cols>
          <w:pgMar w:left="1440" w:top="1440" w:right="1440" w:bottom="1440" w:gutter="0" w:footer="0" w:header="0"/>
        </w:sectPr>
      </w:pPr>
    </w:p>
    <w:bookmarkStart w:id="57" w:name="page58"/>
    <w:bookmarkEnd w:id="57"/>
    <w:p>
      <w:pPr>
        <w:jc w:val="both"/>
        <w:spacing w:after="0" w:line="244" w:lineRule="auto"/>
        <w:rPr>
          <w:sz w:val="20"/>
          <w:szCs w:val="20"/>
          <w:color w:val="auto"/>
        </w:rPr>
      </w:pPr>
      <w:r>
        <w:rPr>
          <w:rFonts w:ascii="Times New Roman" w:cs="Times New Roman" w:eastAsia="Times New Roman" w:hAnsi="Times New Roman"/>
          <w:sz w:val="20"/>
          <w:szCs w:val="20"/>
          <w:color w:val="auto"/>
        </w:rPr>
        <w:t>To market and sell any of our current or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 and Manufacturing</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commercial success of our product candidates will depend upon their degree of market acceptance by providers, patients, patient advocacy groups, third-party payors and the general medical community.</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Even if the requisite approvals from the FDA, the HPFB, the EMA and other regulatory authorities internationally are obtained, the commercial success of our product candidates will depend, in part, on the acceptance of providers, patients and third-party payors, as medically necessary, cost-effective and safe. In addition, we may face challenges in seeking to establish and grow sales of any current or future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9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Even if a potential product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8">
                          <a:solidFill>
                            <a:srgbClr val="80808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998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291" o:spid="_x0000_s1316"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92" o:spid="_x0000_s131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137795</wp:posOffset>
                </wp:positionV>
                <wp:extent cx="13335" cy="1397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970"/>
                        </a:xfrm>
                        <a:prstGeom prst="rect">
                          <a:avLst/>
                        </a:prstGeom>
                        <a:solidFill>
                          <a:srgbClr val="E3E3E3"/>
                        </a:solidFill>
                      </wps:spPr>
                      <wps:bodyPr/>
                    </wps:wsp>
                  </a:graphicData>
                </a:graphic>
              </wp:anchor>
            </w:drawing>
          </mc:Choice>
          <mc:Fallback>
            <w:pict>
              <v:rect id="Shape 294" o:spid="_x0000_s1319" style="position:absolute;margin-left:467.45pt;margin-top:10.85pt;width:1.0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295" o:spid="_x0000_s1320"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296" o:spid="_x0000_s1321"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other third-party payors. Even if coverage is provided, the established reimbursement amount may not be high enough to allow us to establish or maintain pricing sufficient to realize a sufficient return on our investment.</w:t>
      </w:r>
    </w:p>
    <w:p>
      <w:pPr>
        <w:sectPr>
          <w:pgSz w:w="12240" w:h="15840" w:orient="portrait"/>
          <w:cols w:equalWidth="0" w:num="1">
            <w:col w:w="9360"/>
          </w:cols>
          <w:pgMar w:left="1440" w:top="1422" w:right="1440" w:bottom="877" w:gutter="0" w:footer="0" w:header="0"/>
        </w:sectPr>
      </w:pPr>
    </w:p>
    <w:bookmarkStart w:id="58" w:name="page59"/>
    <w:bookmarkEnd w:id="58"/>
    <w:p>
      <w:pPr>
        <w:jc w:val="both"/>
        <w:spacing w:after="0" w:line="243" w:lineRule="auto"/>
        <w:rPr>
          <w:sz w:val="20"/>
          <w:szCs w:val="20"/>
          <w:color w:val="auto"/>
        </w:rPr>
      </w:pPr>
      <w:r>
        <w:rPr>
          <w:rFonts w:ascii="Times New Roman" w:cs="Times New Roman" w:eastAsia="Times New Roman" w:hAnsi="Times New Roman"/>
          <w:sz w:val="20"/>
          <w:szCs w:val="20"/>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For example, the U.S. Department of Health and Human Services (“HHS”), imposes rebates on many Medicare Part B and Medicare Part D products to penalize price increases that outpace inflation on an annual basis. HHS has also been empowered to negotiate the price of certain single-source drugs that have been on the market for at least seven years and biologics that have been on the market for at least eleven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299" o:spid="_x0000_s132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ectPr>
          <w:pgSz w:w="12240" w:h="15840" w:orient="portrait"/>
          <w:cols w:equalWidth="0" w:num="1">
            <w:col w:w="9360"/>
          </w:cols>
          <w:pgMar w:left="1440" w:top="1422" w:right="1440" w:bottom="1440" w:gutter="0" w:footer="0" w:header="0"/>
        </w:sectPr>
      </w:pPr>
    </w:p>
    <w:bookmarkStart w:id="59" w:name="page60"/>
    <w:bookmarkEnd w:id="59"/>
    <w:p>
      <w:pPr>
        <w:jc w:val="both"/>
        <w:spacing w:after="0" w:line="249" w:lineRule="auto"/>
        <w:rPr>
          <w:sz w:val="20"/>
          <w:szCs w:val="20"/>
          <w:color w:val="auto"/>
        </w:rPr>
      </w:pPr>
      <w:r>
        <w:rPr>
          <w:rFonts w:ascii="Times New Roman" w:cs="Times New Roman" w:eastAsia="Times New Roman" w:hAnsi="Times New Roman"/>
          <w:sz w:val="20"/>
          <w:szCs w:val="20"/>
          <w:color w:val="auto"/>
        </w:rPr>
        <w:t>obtaining FDA approval to commercialize our product candidates, we cannot guarantee that we will be able to secure reimbursement for all patients for whom treatment with our product candidates is indicated. If coverage and adequate reimbursement are not available, or are available only to limited levels, we may not be able to successfully commercialize our product candidates that we develop, which could have an adverse effect on our operating results and our overall financial condition.</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our current or future product candidates.</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w:t>
      </w:r>
    </w:p>
    <w:p>
      <w:pPr>
        <w:sectPr>
          <w:pgSz w:w="12240" w:h="15840" w:orient="portrait"/>
          <w:cols w:equalWidth="0" w:num="1">
            <w:col w:w="9360"/>
          </w:cols>
          <w:pgMar w:left="1440" w:top="1422" w:right="1440" w:bottom="871"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3">
                          <a:solidFill>
                            <a:srgbClr val="80808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8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04" o:spid="_x0000_s132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ectPr>
          <w:pgSz w:w="12240" w:h="15840" w:orient="portrait"/>
          <w:cols w:equalWidth="0" w:num="1">
            <w:col w:w="9360"/>
          </w:cols>
          <w:pgMar w:left="14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rely on third parties to manufacture our clinical product supplies, and we may have to rely on third parties to produce and process our product candidates, if approved.</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316"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auto"/>
        </w:rPr>
        <w:t>•Our third-party manufacturers might be unable to timely formulate and manufacture our product or produce the quantity and quality required to meet our clinical and commercial needs, if any.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 manufacturers may not be able to execute our manufacturing procedures appropriately.</w:t>
      </w:r>
    </w:p>
    <w:p>
      <w:pPr>
        <w:spacing w:after="0" w:line="358"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0"/>
          <w:szCs w:val="20"/>
          <w:color w:val="auto"/>
        </w:rPr>
        <w:t>•Our future contract manufacturers may not perform as agreed or may not remain in the contract manufacturing business for the time required to supply our clinical trials or to successfully produce, store and distribute our products.</w:t>
      </w:r>
    </w:p>
    <w:p>
      <w:pPr>
        <w:sectPr>
          <w:pgSz w:w="12240" w:h="15840" w:orient="portrait"/>
          <w:cols w:equalWidth="0" w:num="1">
            <w:col w:w="9360"/>
          </w:cols>
          <w:pgMar w:left="1440" w:top="1422" w:right="1440" w:bottom="1440" w:gutter="0" w:footer="0" w:header="0"/>
          <w:type w:val="continuous"/>
        </w:sectPr>
      </w:pPr>
    </w:p>
    <w:bookmarkStart w:id="61" w:name="page62"/>
    <w:bookmarkEnd w:id="61"/>
    <w:p>
      <w:pPr>
        <w:spacing w:after="0" w:line="102" w:lineRule="exact"/>
        <w:rPr>
          <w:sz w:val="20"/>
          <w:szCs w:val="20"/>
          <w:color w:val="auto"/>
        </w:rPr>
      </w:pPr>
    </w:p>
    <w:p>
      <w:pPr>
        <w:ind w:right="480"/>
        <w:spacing w:after="0" w:line="251" w:lineRule="auto"/>
        <w:rPr>
          <w:sz w:val="20"/>
          <w:szCs w:val="20"/>
          <w:color w:val="auto"/>
        </w:rPr>
      </w:pPr>
      <w:r>
        <w:rPr>
          <w:rFonts w:ascii="Times New Roman" w:cs="Times New Roman" w:eastAsia="Times New Roman" w:hAnsi="Times New Roman"/>
          <w:sz w:val="20"/>
          <w:szCs w:val="20"/>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317"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•We may not own, or may have to share, the intellectual property rights to any improvements made by our third-party manufacturers in the manufacturing process for our products.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09" o:spid="_x0000_s133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third-party manufacturers could breach or terminate their agreement(s) with us.</w:t>
      </w:r>
    </w:p>
    <w:p>
      <w:pPr>
        <w:spacing w:after="0" w:line="3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manufacture of drugs is complex, and our third -party manufacturers may encounter difficulties in production. If any of our third- 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application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or BLA approval until the deficiencies are corrected or we replace the manufacturer in our application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ectPr>
          <w:pgSz w:w="12240" w:h="15840" w:orient="portrait"/>
          <w:cols w:equalWidth="0" w:num="1">
            <w:col w:w="9360"/>
          </w:cols>
          <w:pgMar w:left="1440" w:top="1440" w:right="1440" w:bottom="1440" w:gutter="0" w:footer="0" w:header="0"/>
        </w:sectPr>
      </w:pPr>
    </w:p>
    <w:bookmarkStart w:id="62" w:name="page63"/>
    <w:bookmarkEnd w:id="62"/>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14" o:spid="_x0000_s133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9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Biologics are complex and difficult to manufacture. We intend to rely on third party manufacturers, potentially including Factor, Novatim and/or contract development manufacturing organizations (“CDMOs”) to manufacture clinical supplies of our cell-therapy and in vivo CAR- T products, including TPST -2003, and to produce preclinical and clinical supply of other product candidates and to produce commercial supplies of any approved product. This reliance on third parties increases the risk that we will not have sufficient quantities of our product candidates or any approved products or such quantities at an acceptable cost or quality, which could delay, prevent or impair our development or commercialization efforts.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currently rely, and expect to continue to rely, on third party manufacturers, which may include Factor, Novatim and CDMOs, to manufacture and to perform quality testing for our cell-therapy and in vivo CAR-T products, including TPST-2003. Reliance on third parties exposes us to risks associated with having reduced control over manufacturing activities, and any disruptions to the operations of our third -party manufacturers, including those caused by conditions unrelated to our business or operations such as bankruptcy of the manufacturer, could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do not operate manufacturing facilities for the production of clinical or commercial supplies of our product candidates and currently have no supply agreements for the production of any of our product candidates. We have no personnel with experience in manufacturing bispecific antibodies and lack the resources and the capabilities to manufacture any of our product candidates on any scale, including clinical or commercial scale. We currently plan to rely on third parties for supply of our product candidates and for commercial supply if any of our product candidates are approved for sale.r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intend to enter into supply agreements with Factor, Novatim and/or one or more CDMOs for supply of our cell-therapy and in vivo CAR-T products, including TPST -2003, for use in clinical trials. Other than the Restated Factor Services Agreement, we currently have no agreements with third- party manufacturers for development, validation and manufacturing of our cell therapy or in vivo CAR-T products to secure the long-term clinical or commercial supply of our cell therapy or in vivo CAR-T products or for any of our other products candidates. We may be unable to secure agreements for commercial supply with third-party manufacturers, or may be unable to do so on acceptable terms. Any third-party manufacturers may not successfully carry out their contractual duties or obligations, the occurrence</w:t>
      </w:r>
    </w:p>
    <w:p>
      <w:pPr>
        <w:sectPr>
          <w:pgSz w:w="12240" w:h="15840" w:orient="portrait"/>
          <w:cols w:equalWidth="0" w:num="1">
            <w:col w:w="9360"/>
          </w:cols>
          <w:pgMar w:left="1440" w:top="1422" w:right="1440" w:bottom="914" w:gutter="0" w:footer="0" w:header="0"/>
        </w:sectPr>
      </w:pPr>
    </w:p>
    <w:bookmarkStart w:id="63" w:name="page64"/>
    <w:bookmarkEnd w:id="63"/>
    <w:p>
      <w:pPr>
        <w:jc w:val="both"/>
        <w:spacing w:after="0" w:line="249" w:lineRule="auto"/>
        <w:rPr>
          <w:sz w:val="20"/>
          <w:szCs w:val="20"/>
          <w:color w:val="auto"/>
        </w:rPr>
      </w:pPr>
      <w:r>
        <w:rPr>
          <w:rFonts w:ascii="Times New Roman" w:cs="Times New Roman" w:eastAsia="Times New Roman" w:hAnsi="Times New Roman"/>
          <w:sz w:val="20"/>
          <w:szCs w:val="20"/>
          <w:color w:val="auto"/>
        </w:rPr>
        <w:t>of which could substantially increase our costs and limit our supply of such product candidates. The demand for third-party manufacturer’s services is very high, and such manufacturers could be subject to market transactions including mergers, acquisitions and other market consolidation transactions that limit their ability to provide products and services to us thereby increasing the time and cost it could take us to manufacture our product candidates or any approved products.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Even if we are able to establish and maintain arrangements with third-party manufacturers, reliance on third-party manufacturers, which may include Factor, Novatim and CDMOs, entails additional risks, including: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•reliance on the third party for regulatory compliance and quality assurance;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possible breach of the manufacturing agreement by the third party;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possible diversion of manufacturing capacity to other customers by the third party;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 and</w:t>
      </w: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19" o:spid="_x0000_s134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Third-party manufacturers, which may include Factor, Novatim and CDMOs, may not be able to comply with current cGMP regulations or similar regulatory requirements outside the United States. Our failure, or the failure of our third-party manufacturers, which may include Factor, Novatim and CDMOs,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In addition, in order to conduct late-stage clinical trials of our product candidates, we will need to have them manufactured in large quantities. Our third-party manufacturers, which may include Factor, Novatim and CDMOs, may be unable to successfully increase the manufacturing capacity for any of our product candidates in a timely or cost-effective manner, or at all.</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Moreover, if our third-party manufacturers, which may include Factor, Novatim and CDMOs,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the third parties, which may include Factor, Novatim and CDMOs, that we engage to manufacture product for our preclinical tests and clinical trials should cease to continue to do so for any reason, we likely would experience delays in advancing these clinical trials while we identify and qualify replacement suppliers, and we may be unable to obtain replacement supplies on terms that are favorable to us. In addition, if we are not able to obtain adequate supplies of our product candidates or the drug substances used to manufacture them, it will be more difficult for us to develop our product candidates and compete effectively.</w:t>
      </w:r>
    </w:p>
    <w:p>
      <w:pPr>
        <w:sectPr>
          <w:pgSz w:w="12240" w:h="15840" w:orient="portrait"/>
          <w:cols w:equalWidth="0" w:num="1">
            <w:col w:w="9360"/>
          </w:cols>
          <w:pgMar w:left="1440" w:top="1422" w:right="1440" w:bottom="957" w:gutter="0" w:footer="0" w:header="0"/>
        </w:sectPr>
      </w:pPr>
    </w:p>
    <w:bookmarkStart w:id="64" w:name="page65"/>
    <w:bookmarkEnd w:id="64"/>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currently do not have an organization for the sales, marketing and distribution of any current or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our current and any future product candidates, including in markets outside of the United States or for other large markets that are beyond our resources. This will reduce the revenue generated from the sales of these products.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24" o:spid="_x0000_s134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w:t>
      </w:r>
    </w:p>
    <w:p>
      <w:pPr>
        <w:sectPr>
          <w:pgSz w:w="12240" w:h="15840" w:orient="portrait"/>
          <w:cols w:equalWidth="0" w:num="1">
            <w:col w:w="9360"/>
          </w:cols>
          <w:pgMar w:left="1440" w:top="1422" w:right="1440" w:bottom="922" w:gutter="0" w:footer="0" w:header="0"/>
        </w:sectPr>
      </w:pPr>
    </w:p>
    <w:bookmarkStart w:id="65" w:name="page66"/>
    <w:bookmarkEnd w:id="65"/>
    <w:p>
      <w:pPr>
        <w:jc w:val="both"/>
        <w:spacing w:after="0" w:line="277" w:lineRule="auto"/>
        <w:rPr>
          <w:sz w:val="20"/>
          <w:szCs w:val="20"/>
          <w:color w:val="auto"/>
        </w:rPr>
      </w:pPr>
      <w:r>
        <w:rPr>
          <w:rFonts w:ascii="Times New Roman" w:cs="Times New Roman" w:eastAsia="Times New Roman" w:hAnsi="Times New Roman"/>
          <w:sz w:val="20"/>
          <w:szCs w:val="20"/>
          <w:color w:val="auto"/>
        </w:rPr>
        <w:t>which may not be available to us on acceptable terms or at all. If we do not have sufficient funds, we may not be able to further develop our product candidates or bring them to market and generate product revenue.</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329" o:spid="_x0000_s1354"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also experience delays in obtaining regulatory approvals, including but not limited to:</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•obtaining regulatory authorization to begin a trial, if applicable;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•redesigning our study protocols and need to conduct additional studies as may be required by a regulator;</w:t>
      </w: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•governmental or regulatory delays and changes in regulation or policy relating to the development and commercialization of our product candidate by the FDA or other comparable foreign regulatory authorities;</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outcome, timing and cost of meeting regulatory requirements established by the FDA, and other comparable foreign regulatory authorities;</w:t>
      </w:r>
    </w:p>
    <w:p>
      <w:pPr>
        <w:sectPr>
          <w:pgSz w:w="12240" w:h="15840" w:orient="portrait"/>
          <w:cols w:equalWidth="0" w:num="1">
            <w:col w:w="9360"/>
          </w:cols>
          <w:pgMar w:left="1440" w:top="1422" w:right="1440" w:bottom="1440" w:gutter="0" w:footer="0" w:header="0"/>
        </w:sectPr>
      </w:pPr>
    </w:p>
    <w:bookmarkStart w:id="66" w:name="page67"/>
    <w:bookmarkEnd w:id="66"/>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availability of financial resources to commence and complete the planned trials;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•negotiating the terms of any collaboration agreements we may choose to initiate or conclude;</w:t>
      </w:r>
    </w:p>
    <w:p>
      <w:pPr>
        <w:spacing w:after="0" w:line="200" w:lineRule="exact"/>
        <w:rPr>
          <w:sz w:val="20"/>
          <w:szCs w:val="20"/>
          <w:color w:val="auto"/>
        </w:rPr>
      </w:pPr>
    </w:p>
    <w:p>
      <w:pPr>
        <w:spacing w:after="0" w:line="2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•reaching agreement on acceptable terms with prospective CROs and clinical trial sites, the terms of which can be subject to extensive negotiation and may vary significantly among different CROs and trial sites;</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•failure of third-party contractors, such as CROs, or investigators to comply with regulatory requirements, including GCPs;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sites deviating from trial protocol or dropping out of a trial;</w:t>
      </w:r>
    </w:p>
    <w:p>
      <w:pPr>
        <w:spacing w:after="0" w:line="3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•inability to recruit and enroll suitable patients to participate in a trial;</w:t>
      </w: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•difficulty in having patients complete a trial or return for post-treatment follow-up;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trial sites deviating from trial protocol or dropping out of a trial;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•addressing any patient safety concerns that arise during the course of a trial;</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•inability to add new clinical trial sites; or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•varying interpretations of the data generated from our preclinical or clinical trials;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cost of defending intellectual property disputes, including patent infringement actions brought by third parties;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effect of competing technological and market developments;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34" o:spid="_x0000_s135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336" o:spid="_x0000_s1361"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337" o:spid="_x0000_s1362"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40" w:right="1440" w:bottom="1440" w:gutter="0" w:footer="0" w:header="0"/>
        </w:sectPr>
      </w:pPr>
    </w:p>
    <w:bookmarkStart w:id="67" w:name="page68"/>
    <w:bookmarkEnd w:id="67"/>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cost and timing of establishing, expanding and scaling manufacturing capabilities;</w:t>
      </w:r>
    </w:p>
    <w:p>
      <w:pPr>
        <w:spacing w:after="0" w:line="200" w:lineRule="exact"/>
        <w:rPr>
          <w:sz w:val="20"/>
          <w:szCs w:val="20"/>
          <w:color w:val="auto"/>
        </w:rPr>
      </w:pPr>
    </w:p>
    <w:p>
      <w:pPr>
        <w:spacing w:after="0" w:line="2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•inability to manufacture, or obtain from third parties, sufficient quantities of qualified materials under cGMP, for the completion in pre-clinical and clinical studies;</w:t>
      </w: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•problems with biopharmaceutical product candidate storage, stability and distribution resulting in global supply chain disruptions;</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cost of establishing sales, marketing and distribution capabilities for any product candidate for which we may receive regulatory approval in regions where we choose to commercialize our products on our own; or</w:t>
      </w:r>
    </w:p>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restrictions on trade, import or export restrictions, or public health crises.</w:t>
      </w:r>
    </w:p>
    <w:p>
      <w:pPr>
        <w:spacing w:after="0" w:line="3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2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Many of the factors that cause, or lead to, a delay in the commencement or completion of clinical trials may ultimately lead to the denial of regulatory approval of our product candidates.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may seek Breakthrough Therapy or Fast Track designation for some of our product candidates. For example, in February 2025, we announced that the FDA had granted Fast Track Designation to amezalpat for the treatment of HCC. If a product candidate is intended for the treatment of a serious or life -threatening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completed sections of our application can be submitted for review by FDA, rather than waiting until every section of our NDA or BLA is completed before the entire application can be reviewed. NDA or BLA review usually does not begin until the entire application has been submitted to the FDA.</w:t>
      </w:r>
    </w:p>
    <w:p>
      <w:pPr>
        <w:sectPr>
          <w:pgSz w:w="12240" w:h="15840" w:orient="portrait"/>
          <w:cols w:equalWidth="0" w:num="1">
            <w:col w:w="9360"/>
          </w:cols>
          <w:pgMar w:left="1440" w:top="1440" w:right="1440" w:bottom="1440" w:gutter="0" w:footer="0" w:header="0"/>
        </w:sectPr>
      </w:pPr>
    </w:p>
    <w:bookmarkStart w:id="68" w:name="page69"/>
    <w:bookmarkEnd w:id="68"/>
    <w:p>
      <w:pPr>
        <w:jc w:val="both"/>
        <w:spacing w:after="0" w:line="251" w:lineRule="auto"/>
        <w:rPr>
          <w:sz w:val="20"/>
          <w:szCs w:val="20"/>
          <w:color w:val="auto"/>
        </w:rPr>
      </w:pPr>
      <w:r>
        <w:rPr>
          <w:rFonts w:ascii="Times New Roman" w:cs="Times New Roman" w:eastAsia="Times New Roman" w:hAnsi="Times New Roman"/>
          <w:sz w:val="20"/>
          <w:szCs w:val="20"/>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40" o:spid="_x0000_s136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342" o:spid="_x0000_s1367"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343" o:spid="_x0000_s1368"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 including for amezalpat for the treatment of HCC.</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we decide to submit an application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ectPr>
          <w:pgSz w:w="12240" w:h="15840" w:orient="portrait"/>
          <w:cols w:equalWidth="0" w:num="1">
            <w:col w:w="9360"/>
          </w:cols>
          <w:pgMar w:left="1440" w:top="1422" w:right="1440"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20"/>
          <w:szCs w:val="20"/>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Although we have received orphan drug designation for amezalpat and may continue to seek orphan drug designation for some or all of our current or future product candidates, we may be unsuccessful in obtaining Orphan Drug Designation for our product candidates or transfer of designations obtained by others for future product candidates, and, even if we obtain</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46" o:spid="_x0000_s137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348" o:spid="_x0000_s1373"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349" o:spid="_x0000_s1374"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such designation, we may be unable to maintain the benefits associated with Orphan Drug Designation, including the potential for market exclusivity.</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January 2025, we received Orphan Drug Designation for amezalpat for the treatment of patients with HCC. We may seek orphan drug designation for one or more of our current or future product candidates. 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or BLA.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9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w:t>
      </w:r>
    </w:p>
    <w:p>
      <w:pPr>
        <w:sectPr>
          <w:pgSz w:w="12240" w:h="15840" w:orient="portrait"/>
          <w:cols w:equalWidth="0" w:num="1">
            <w:col w:w="9360"/>
          </w:cols>
          <w:pgMar w:left="1440" w:top="1422" w:right="1440" w:bottom="1152" w:gutter="0" w:footer="0" w:header="0"/>
        </w:sectPr>
      </w:pPr>
    </w:p>
    <w:bookmarkStart w:id="70" w:name="page71"/>
    <w:bookmarkEnd w:id="70"/>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policies, or if we are not able to maintain regulatory compliance, we may lose any marketing approval that we may have obtained, and we may not achieve or sustain profitability.</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Since its enactment, there have been amendments and judicial, Congressional and executive branch challenges to certain aspects of the ACA. For example, on July 4, 2025, the One Big Beautiful Bill Act (“OBBBA”) was signed into law, which narrowed access to ACA marketplace exchange enrollment and declined to extend the ACA enhanced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52" o:spid="_x0000_s137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Additionally, the current administration is pursuing policies to reduce regulations and expenditures across government agencies including at HHS, the FDA, the Centers for Medicare &amp; Medicaid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(“TrumpRx”), U.S. patients and Medicaid programs prescription drug Most -Favored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among other things, the drug approval process and make changes to the Medicare Drug Price Negotiation Program.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200" w:lineRule="exact"/>
        <w:rPr>
          <w:sz w:val="20"/>
          <w:szCs w:val="20"/>
          <w:color w:val="auto"/>
        </w:rPr>
      </w:pPr>
    </w:p>
    <w:p>
      <w:pPr>
        <w:spacing w:after="0" w:line="23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We expect that these, as well as other healthcare reform measures that may be adopted in the future may result in more rigorous coverage criteria and in additional downward pressure on the price that we receive for any approved product.</w:t>
      </w:r>
    </w:p>
    <w:p>
      <w:pPr>
        <w:sectPr>
          <w:pgSz w:w="12240" w:h="15840" w:orient="portrait"/>
          <w:cols w:equalWidth="0" w:num="1">
            <w:col w:w="9360"/>
          </w:cols>
          <w:pgMar w:left="1440" w:top="1422" w:right="1440" w:bottom="905" w:gutter="0" w:footer="0" w:header="0"/>
        </w:sectPr>
      </w:pPr>
    </w:p>
    <w:bookmarkStart w:id="71" w:name="page72"/>
    <w:bookmarkEnd w:id="71"/>
    <w:p>
      <w:pPr>
        <w:jc w:val="both"/>
        <w:spacing w:after="0" w:line="257" w:lineRule="auto"/>
        <w:rPr>
          <w:sz w:val="20"/>
          <w:szCs w:val="20"/>
          <w:color w:val="auto"/>
        </w:rPr>
      </w:pPr>
      <w:r>
        <w:rPr>
          <w:rFonts w:ascii="Times New Roman" w:cs="Times New Roman" w:eastAsia="Times New Roman" w:hAnsi="Times New Roman"/>
          <w:sz w:val="20"/>
          <w:szCs w:val="20"/>
          <w:color w:val="auto"/>
        </w:rPr>
        <w:t>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Legislative and regulatory proposals have also been made to expand post-approval requirements and restrict sales and promotional activities for pharmaceutical products. We cannot be sure whether additional legislative changes will be enacted, or whether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57" o:spid="_x0000_s138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359" o:spid="_x0000_s1384"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360" o:spid="_x0000_s1385"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including in October 2025,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(or the third parties with whom we work) actual or perceived failure to comply with them could harm our business.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collect, receive, store, process, generate, use, transfer, disclose, make accessible, protect, secure, dispose of, transmit, and share (collectively, “process”) a large quantity of personal data and other sensitive information, including proprietary and confidential business data, trade secrets, intellectual property,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United States, there are numerous federal, state, and local privacy and data security laws and regulations governing the processing of personal data, including health information privacy laws, security breach notification laws, personal data privacy laws, consumer protection laws (e.g., Section 5 of the Federal Trade Commission Act),</w:t>
      </w:r>
    </w:p>
    <w:p>
      <w:pPr>
        <w:sectPr>
          <w:pgSz w:w="12240" w:h="15840" w:orient="portrait"/>
          <w:cols w:equalWidth="0" w:num="1">
            <w:col w:w="9360"/>
          </w:cols>
          <w:pgMar w:left="1440" w:top="1422" w:right="1440" w:bottom="906" w:gutter="0" w:footer="0" w:header="0"/>
        </w:sectPr>
      </w:pPr>
    </w:p>
    <w:bookmarkStart w:id="72" w:name="page73"/>
    <w:bookmarkEnd w:id="72"/>
    <w:p>
      <w:pPr>
        <w:jc w:val="both"/>
        <w:spacing w:after="0" w:line="249" w:lineRule="auto"/>
        <w:rPr>
          <w:sz w:val="20"/>
          <w:szCs w:val="20"/>
          <w:color w:val="auto"/>
        </w:rPr>
      </w:pPr>
      <w:r>
        <w:rPr>
          <w:rFonts w:ascii="Times New Roman" w:cs="Times New Roman" w:eastAsia="Times New Roman" w:hAnsi="Times New Roman"/>
          <w:sz w:val="20"/>
          <w:szCs w:val="20"/>
          <w:color w:val="auto"/>
        </w:rPr>
        <w:t>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the Health Insurance Portability and Accountability Act of 1996, as amended (“HIPAA”), which imposes specific requirements relating to the privacy, security, and transmission of protected health information.</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and other comprehensive U.S. state privacy laws exempt some data processed in the context of clinical trials, these developments further complicate compliance efforts if we become subject to those laws, potentially increasing our legal risk and compliance costs for us, and the third parties with whom we work. Similar laws are being considered in several other states, as well as at the federal and local levels, and we expect more states to pass similar laws in the future.</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63" o:spid="_x0000_s1388"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color w:val="auto"/>
        </w:rPr>
        <w:t>for the purposes for which it was collected. If an organization intends to use personal data for another purpose, it must again obtain that individual’s consent. Failure to comply with PIPEDA could result in significant fines and penalties.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another example, the European Union’s General Data Protection Regulation (the “EU GDPR”) and the United Kingdom’s GDPR (the “UK GDPR,” and together with the EU GDPR, the “GDPR”) also impose strict requirements for processing personal data and substantial fines for breaches and violations (for example, under the EU GDPR, up to the greater of €20 million or 4% of our annual worldwide gross revenue). Additionally, under the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Additionally, we may receive personal data collected and processed by our business partners in China. China enacted the Personal Information Protection Law (the “PIPL”) in 2021. The PIPL establishes a comprehensive data privacy and protection framework that applies to the processing of personal information both within China and outside of China where such processing is conducted for the purpose of providing products or services to, or analyzing or evaluating the behavior of, individuals in China. The PIPL imposes significant fines for serious violations of up to RMB 50 million or 5% of annual revenue from the prior year. Certain industry-specific Chinese laws and regulations also impose requirements for processing of certain specific types of data. China’s Regulations on the Administration of Human Genetic Resources (the “HGR Regulation”), promulgated by the State Council in 2019 and revised in 2024, prohibit foreign organizations, individuals, and entities established or controlled by them from collecting, preserving, or exporting China’s human genetic resources. Foreign parties may access or use China’s human genetic resources upon satisfying applicable regulatory requirements, including through approved international collaboration with qualified Chinese institutions and completing required governmental approval, filing, and information backup procedures. We may need to provide necessary assistance for our Chinese business partners to comply with their obligations under Chinese privacy and data security laws and regulations, and our data processing activities may be subject to obligations applicable to the recipient of personal data collected or generated in China.</w:t>
      </w:r>
    </w:p>
    <w:p>
      <w:pPr>
        <w:sectPr>
          <w:pgSz w:w="12240" w:h="15840" w:orient="portrait"/>
          <w:cols w:equalWidth="0" w:num="1">
            <w:col w:w="9360"/>
          </w:cols>
          <w:pgMar w:left="1440" w:top="1422" w:right="1440" w:bottom="1440" w:gutter="0" w:footer="0" w:header="0"/>
        </w:sectPr>
      </w:pPr>
    </w:p>
    <w:bookmarkStart w:id="73" w:name="page74"/>
    <w:bookmarkEnd w:id="73"/>
    <w:p>
      <w:pPr>
        <w:jc w:val="both"/>
        <w:spacing w:after="0" w:line="242" w:lineRule="auto"/>
        <w:rPr>
          <w:sz w:val="20"/>
          <w:szCs w:val="20"/>
          <w:color w:val="auto"/>
        </w:rPr>
      </w:pPr>
      <w:r>
        <w:rPr>
          <w:rFonts w:ascii="Times New Roman" w:cs="Times New Roman" w:eastAsia="Times New Roman" w:hAnsi="Times New Roman"/>
          <w:sz w:val="20"/>
          <w:szCs w:val="20"/>
          <w:color w:val="auto"/>
        </w:rPr>
        <w:t>Further,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For example, under the PIPL, entities conducting cross-border transfers of personal information are required to meet certain conditions, including satisfaction of the security assessments conducted by competent government authority, signing and filing of standard contracts or obtaining certifications from qualified institutions, and fulfillment of notice and consent requirements. In the EEA and UK, although there are currently various mechanisms that may be used to transfer personal data from the EEA and UK to the United States in compliance with law, such as the EEA standard contractual clauses, the UK’s International Data Transfer Agreement / Addendum, and the EU -U.S.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Department of Justice issued a rule entitled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 identified or encrypted, which presents particular challenges for companies like ours and may impact our ability to engage in certain transactions or agreements with certain third parties in the future.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368" o:spid="_x0000_s1393"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w:t>
      </w:r>
    </w:p>
    <w:p>
      <w:pPr>
        <w:sectPr>
          <w:pgSz w:w="12240" w:h="15840" w:orient="portrait"/>
          <w:cols w:equalWidth="0" w:num="1">
            <w:col w:w="9360"/>
          </w:cols>
          <w:pgMar w:left="1440" w:top="1422" w:right="1440" w:bottom="938" w:gutter="0" w:footer="0" w:header="0"/>
        </w:sectPr>
      </w:pPr>
    </w:p>
    <w:bookmarkStart w:id="74" w:name="page75"/>
    <w:bookmarkEnd w:id="74"/>
    <w:p>
      <w:pPr>
        <w:jc w:val="both"/>
        <w:spacing w:after="0" w:line="269" w:lineRule="auto"/>
        <w:rPr>
          <w:sz w:val="20"/>
          <w:szCs w:val="20"/>
          <w:color w:val="auto"/>
        </w:rPr>
      </w:pPr>
      <w:r>
        <w:rPr>
          <w:rFonts w:ascii="Times New Roman" w:cs="Times New Roman" w:eastAsia="Times New Roman" w:hAnsi="Times New Roman"/>
          <w:sz w:val="19"/>
          <w:szCs w:val="19"/>
          <w:color w:val="auto"/>
        </w:rPr>
        <w:t>government enforcement actions (e.g., investigations, fines and penalties, audits, inspections); litigation (including class-action claims) and mass arbitration demands); additional reporting requirements and/or oversight; bans or restrictions on processing personal data; orders to destroy or not use personal data; imprisonment of company officials; or other consequences that could adversely affect our business, financial condition and results of operations.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those of third parties with whom we work, or our data, are or were compromised, we could experience adverse consequences, including disclosure of sensitive information, damage to our reputation, and significant financial and legal exposure.</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with whom we work, process proprietary, confidential, and sensitive data, including personal data (such as health-related data), intellectual property,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Cyberattacks could include wrongful conduct by hostile foreign governments, industrial espionage, wire fraud and other forms of cyber fraud, the deployment of harmful malware (including as a result of advanced persistent threat intrusions), denial-of-service attacks, social engineering attacks (including through deep-fakes, which are increasingly more difficult to identify as fake,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73" o:spid="_x0000_s1398"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375" o:spid="_x0000_s1400"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376" o:spid="_x0000_s1401"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and phishing attacks), malicious code (such as viruses and worms), denial-of-service attacks, credential stuffing attacks, credential harvesting, personnel misconduct or error, ransomware attacks, supply-chain attacks, software bugs, server malfunctions, software or hardware failures, loss of data, attacks enhanced or facilitated by AI or other information technology assets, fraud or other means to threaten confidentiality, integrity and availability of our sensitive information. We and the third parties with whom we work may also experience telecommunications failures, natural disasters, terrorism, war and other similar threats.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In addition, we rely on third parties and their technology to operate critical business systems to process sensitive information, including our CROs, CMOs and other contractors, consultants and law and accounting firms. Our ability</w:t>
      </w:r>
    </w:p>
    <w:p>
      <w:pPr>
        <w:sectPr>
          <w:pgSz w:w="12240" w:h="15840" w:orient="portrait"/>
          <w:cols w:equalWidth="0" w:num="1">
            <w:col w:w="9360"/>
          </w:cols>
          <w:pgMar w:left="1440" w:top="1422" w:right="1440" w:bottom="883" w:gutter="0" w:footer="0" w:header="0"/>
        </w:sectPr>
      </w:pPr>
    </w:p>
    <w:bookmarkStart w:id="75" w:name="page76"/>
    <w:bookmarkEnd w:id="75"/>
    <w:p>
      <w:pPr>
        <w:jc w:val="both"/>
        <w:spacing w:after="0" w:line="246" w:lineRule="auto"/>
        <w:rPr>
          <w:sz w:val="20"/>
          <w:szCs w:val="20"/>
          <w:color w:val="auto"/>
        </w:rPr>
      </w:pPr>
      <w:r>
        <w:rPr>
          <w:rFonts w:ascii="Times New Roman" w:cs="Times New Roman" w:eastAsia="Times New Roman" w:hAnsi="Times New Roman"/>
          <w:sz w:val="20"/>
          <w:szCs w:val="20"/>
          <w:color w:val="auto"/>
        </w:rPr>
        <w:t>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 -party partners fail to satisfy their privacy or security-related obligations to us, any award may be insufficient to cover our damages, or we may be unable to recover such award. In addition, supply- chain attacks have increased in frequency and severity, and we cannot guarantee that third parties’ infrastructure in our supply chain or our third-party partners’ supply chains have not been compromised.</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with whom we work hardware and software).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expend significant resources or may have to modify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information. Applicable data privacy and security obligations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379" o:spid="_x0000_s1404"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 successful or perceived security incident experienced by us or the third parties with whom we work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w:t>
      </w:r>
    </w:p>
    <w:p>
      <w:pPr>
        <w:sectPr>
          <w:pgSz w:w="12240" w:h="15840" w:orient="portrait"/>
          <w:cols w:equalWidth="0" w:num="1">
            <w:col w:w="9360"/>
          </w:cols>
          <w:pgMar w:left="1440" w:top="1422" w:right="1440" w:bottom="1440" w:gutter="0" w:footer="0" w:header="0"/>
        </w:sectPr>
      </w:pPr>
    </w:p>
    <w:bookmarkStart w:id="76" w:name="page77"/>
    <w:bookmarkEnd w:id="76"/>
    <w:p>
      <w:pPr>
        <w:jc w:val="both"/>
        <w:spacing w:after="0" w:line="277" w:lineRule="auto"/>
        <w:rPr>
          <w:sz w:val="20"/>
          <w:szCs w:val="20"/>
          <w:color w:val="auto"/>
        </w:rPr>
      </w:pPr>
      <w:r>
        <w:rPr>
          <w:rFonts w:ascii="Times New Roman" w:cs="Times New Roman" w:eastAsia="Times New Roman" w:hAnsi="Times New Roman"/>
          <w:sz w:val="20"/>
          <w:szCs w:val="20"/>
          <w:color w:val="auto"/>
        </w:rPr>
        <w:t>we could incur liability, our competitive position could be harmed, and the further development and commercialization of our product candidates could be significantly delayed.</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84" o:spid="_x0000_s140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be approved for reimbursement before it can be approved for sale in that jurisdiction. In some cases, the price that we intend to charge for our products is also subject to approval.</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ectPr>
          <w:pgSz w:w="12240" w:h="15840" w:orient="portrait"/>
          <w:cols w:equalWidth="0" w:num="1">
            <w:col w:w="9360"/>
          </w:cols>
          <w:pgMar w:left="1440" w:top="1422" w:right="1440" w:bottom="1440" w:gutter="0" w:footer="0" w:header="0"/>
        </w:sectPr>
      </w:pPr>
    </w:p>
    <w:bookmarkStart w:id="77" w:name="page78"/>
    <w:bookmarkEnd w:id="77"/>
    <w:p>
      <w:pPr>
        <w:jc w:val="both"/>
        <w:spacing w:after="0" w:line="249" w:lineRule="auto"/>
        <w:rPr>
          <w:sz w:val="20"/>
          <w:szCs w:val="20"/>
          <w:color w:val="auto"/>
        </w:rPr>
      </w:pPr>
      <w:r>
        <w:rPr>
          <w:rFonts w:ascii="Times New Roman" w:cs="Times New Roman" w:eastAsia="Times New Roman" w:hAnsi="Times New Roman"/>
          <w:sz w:val="20"/>
          <w:szCs w:val="20"/>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Restrictions under applicable U.S. federal and state healthcare laws and regulations include the following:</w:t>
      </w:r>
    </w:p>
    <w:p>
      <w:pPr>
        <w:spacing w:after="0" w:line="3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w:t>
      </w:r>
    </w:p>
    <w:p>
      <w:pPr>
        <w:spacing w:after="0" w:line="200" w:lineRule="exact"/>
        <w:rPr>
          <w:sz w:val="20"/>
          <w:szCs w:val="20"/>
          <w:color w:val="auto"/>
        </w:rPr>
      </w:pPr>
    </w:p>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200" w:lineRule="exact"/>
        <w:rPr>
          <w:sz w:val="20"/>
          <w:szCs w:val="20"/>
          <w:color w:val="auto"/>
        </w:rPr>
      </w:pP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200" w:lineRule="exact"/>
        <w:rPr>
          <w:sz w:val="20"/>
          <w:szCs w:val="20"/>
          <w:color w:val="auto"/>
        </w:rPr>
      </w:pP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200" w:lineRule="exact"/>
        <w:rPr>
          <w:sz w:val="20"/>
          <w:szCs w:val="20"/>
          <w:color w:val="auto"/>
        </w:rPr>
      </w:pPr>
    </w:p>
    <w:p>
      <w:pPr>
        <w:spacing w:after="0" w:line="24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•HIPAA imposes criminal and civil liability for, among other things, knowingly and willfully executing or attempting to execute a scheme to defraud any healthcare benefit program or making false statements relating to healthcare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3335"/>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3E3"/>
                        </a:solidFill>
                      </wps:spPr>
                      <wps:bodyPr/>
                    </wps:wsp>
                  </a:graphicData>
                </a:graphic>
              </wp:anchor>
            </w:drawing>
          </mc:Choice>
          <mc:Fallback>
            <w:pict>
              <v:rect id="Shape 388" o:spid="_x0000_s1413" style="position:absolute;margin-left:467.45pt;margin-top:10.2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389" o:spid="_x0000_s1414"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matters.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•HIPAA, as amended by the Health Information Technology for Economic and Clinical Health Act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w:t>
      </w:r>
    </w:p>
    <w:p>
      <w:pPr>
        <w:sectPr>
          <w:pgSz w:w="12240" w:h="15840" w:orient="portrait"/>
          <w:cols w:equalWidth="0" w:num="1">
            <w:col w:w="9360"/>
          </w:cols>
          <w:pgMar w:left="1440" w:top="1422" w:right="1440" w:bottom="947" w:gutter="0" w:footer="0" w:header="0"/>
        </w:sectPr>
      </w:pPr>
    </w:p>
    <w:bookmarkStart w:id="78" w:name="page79"/>
    <w:bookmarkEnd w:id="78"/>
    <w:p>
      <w:pPr>
        <w:jc w:val="both"/>
        <w:spacing w:after="0" w:line="249" w:lineRule="auto"/>
        <w:rPr>
          <w:sz w:val="20"/>
          <w:szCs w:val="20"/>
          <w:color w:val="auto"/>
        </w:rPr>
      </w:pPr>
      <w:r>
        <w:rPr>
          <w:rFonts w:ascii="Times New Roman" w:cs="Times New Roman" w:eastAsia="Times New Roman" w:hAnsi="Times New Roman"/>
          <w:sz w:val="20"/>
          <w:szCs w:val="20"/>
          <w:color w:val="auto"/>
        </w:rPr>
        <w:t>contractors that perform certain services for or on behalf of covered entities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200" w:lineRule="exact"/>
        <w:rPr>
          <w:sz w:val="20"/>
          <w:szCs w:val="20"/>
          <w:color w:val="auto"/>
        </w:rPr>
      </w:pPr>
    </w:p>
    <w:p>
      <w:pPr>
        <w:spacing w:after="0" w:line="2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spacing w:after="0" w:line="200" w:lineRule="exact"/>
        <w:rPr>
          <w:sz w:val="20"/>
          <w:szCs w:val="20"/>
          <w:color w:val="auto"/>
        </w:rPr>
      </w:pPr>
    </w:p>
    <w:p>
      <w:pPr>
        <w:spacing w:after="0" w:line="2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200" w:lineRule="exact"/>
        <w:rPr>
          <w:sz w:val="20"/>
          <w:szCs w:val="20"/>
          <w:color w:val="auto"/>
        </w:rPr>
      </w:pPr>
    </w:p>
    <w:p>
      <w:pPr>
        <w:spacing w:after="0" w:line="22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•certain state and local laws require certain regulatory licenses to manufacture or distribute products commercially and/or the registration of pharmaceutical sales representatives in the jurisdiction; and</w:t>
      </w:r>
    </w:p>
    <w:p>
      <w:pPr>
        <w:spacing w:after="0" w:line="200" w:lineRule="exact"/>
        <w:rPr>
          <w:sz w:val="20"/>
          <w:szCs w:val="20"/>
          <w:color w:val="auto"/>
        </w:rPr>
      </w:pP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3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harm our business.</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395" o:spid="_x0000_s1420"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397" o:spid="_x0000_s1422"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398" o:spid="_x0000_s1423"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22" w:right="1440" w:bottom="1440" w:gutter="0" w:footer="0" w:header="0"/>
        </w:sectPr>
      </w:pPr>
    </w:p>
    <w:bookmarkStart w:id="79" w:name="page80"/>
    <w:bookmarkEnd w:id="79"/>
    <w:p>
      <w:pPr>
        <w:jc w:val="both"/>
        <w:spacing w:after="0" w:line="257" w:lineRule="auto"/>
        <w:rPr>
          <w:sz w:val="20"/>
          <w:szCs w:val="20"/>
          <w:color w:val="auto"/>
        </w:rPr>
      </w:pPr>
      <w:r>
        <w:rPr>
          <w:rFonts w:ascii="Times New Roman" w:cs="Times New Roman" w:eastAsia="Times New Roman" w:hAnsi="Times New Roman"/>
          <w:sz w:val="20"/>
          <w:szCs w:val="20"/>
          <w:color w:val="auto"/>
        </w:rPr>
        <w:t>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could materially adversely affect us.</w:t>
      </w:r>
    </w:p>
    <w:p>
      <w:pPr>
        <w:spacing w:after="0" w:line="2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New tax laws or regulations could be enacted at any time, and existing tax laws or regulations could be interpreted, modified or applied in a manner that is adverse to us, which could adversely affect our business and financial condition. For example, the U.S. government recently enacted the OBBBA that (along with other recent U.S. federal tax reform legislation) has resulted in significant changes to the taxation of business entities, including, among other changes, the imposition of minimum taxes and excise taxes, changes to the taxation of income derived from international operations, changes in the deduction and amortization of research and development expenditures, and limitations on the deductibility of business interest. The IRA enacted in 2022 includes, among other changes, a minimum tax equal to 15% of the adjusted financial statement income of certain large corporations, as well as a 1% excise tax on certain share buybacks by public corporations that is imposed on such corporations. Future guidance from the Internal Revenue Service and other tax authorities with respect to any legislation may affect us, and certain aspects of such legislation could be repealed or modified in future legislation or sunset in future years.</w:t>
      </w: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collaboration with Novatim subjects us to risks and uncertainties relating to challenged and changing relations between the United States and China.</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Political relations between the United States and China are strained. Each country has been enacting sanctions and threatening additional sanctions against the other. The United States Congress has been pursuing potential legislation targeting certain China-based biopharmaceutical companies, and other China-based companies. Additionally, the biopharmaceutical industry in China is strictly regulated by the Chinese government. Changes to Chinese regulations affecting biopharmaceutical companies, and U.S. laws and regulations affecting biopharmaceutical companies based in or operating in China are also unpredictable. Any regulatory changes and changes in United States and China relations may have a material adverse effect on our collaboration with Novatim, which could harm our business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U.S.-China trade relations may adversely impact our supply chain operations and business.</w:t>
      </w:r>
    </w:p>
    <w:p>
      <w:pPr>
        <w:spacing w:after="0" w:line="2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U.S. and Chinese governments have taken certain actions that change trade policies, including tariffs that affect certain products which are manufactured in China and mutual exchange of certain types of data. Due to our collaboration with Novatim, we are reliant on collaborating with a company with significant operations in China. It is unknown whether and to what extent new tariffs, laws or regulations will be adopted that increase the cost or feasibility of importing and/or exporting products, components and information from China to the United States and vice versa. Further, the effect of any such new tariffs or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clinical development plans, business, financial condition,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400" o:spid="_x0000_s1425"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01" o:spid="_x0000_s142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137795</wp:posOffset>
                </wp:positionV>
                <wp:extent cx="13335" cy="1397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970"/>
                        </a:xfrm>
                        <a:prstGeom prst="rect">
                          <a:avLst/>
                        </a:prstGeom>
                        <a:solidFill>
                          <a:srgbClr val="E3E3E3"/>
                        </a:solidFill>
                      </wps:spPr>
                      <wps:bodyPr/>
                    </wps:wsp>
                  </a:graphicData>
                </a:graphic>
              </wp:anchor>
            </w:drawing>
          </mc:Choice>
          <mc:Fallback>
            <w:pict>
              <v:rect id="Shape 403" o:spid="_x0000_s1428" style="position:absolute;margin-left:467.45pt;margin-top:10.85pt;width:1.0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04" o:spid="_x0000_s1429"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05" o:spid="_x0000_s1430"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22" w:right="1440" w:bottom="1440" w:gutter="0" w:footer="0" w:header="0"/>
        </w:sectPr>
      </w:pPr>
    </w:p>
    <w:bookmarkStart w:id="80" w:name="page81"/>
    <w:bookmarkEnd w:id="80"/>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commercial success will depend in large part on obtaining and maintaining patent, trademark, trade secret and other intellectual property protection of our proprietary technologies and product candidates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patenting process is expensive and time-consuming, and we may not be able to file and prosecute all necessary or desirable patent applications at a reasonable cost or in a timely manner. If we are unable to adequately fund our patent prosecution and maintenance, or if the costs of defending our patents against third-party challenges become prohibitive, our competitive position could be weakened.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 -license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200" w:lineRule="exact"/>
        <w:rPr>
          <w:sz w:val="20"/>
          <w:szCs w:val="20"/>
          <w:color w:val="auto"/>
        </w:rPr>
      </w:pPr>
    </w:p>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the agreements under which we license intellectual property rights from third parties, such as our license agreement with Novatim, or otherwise experience disruptions to our business relationships with our licensors, we could lose license rights that are important to our business. In addition,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are a party to license agreements under which we are granted intellectual property rights that are important to our business and our product candidates. If we fail to comply with our obligations under the license agreement or we are subject to a bankruptcy, the license agreements may be terminated, in which event we would not be able to develop, commercialize or market our product candidates.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08" o:spid="_x0000_s1433"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10" o:spid="_x0000_s1435"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11" o:spid="_x0000_s1436"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22" w:right="1440" w:bottom="1440" w:gutter="0" w:footer="0" w:header="0"/>
        </w:sectPr>
      </w:pPr>
    </w:p>
    <w:bookmarkStart w:id="81" w:name="page82"/>
    <w:bookmarkEnd w:id="81"/>
    <w:p>
      <w:pPr>
        <w:jc w:val="both"/>
        <w:spacing w:after="0" w:line="243" w:lineRule="auto"/>
        <w:rPr>
          <w:sz w:val="20"/>
          <w:szCs w:val="20"/>
          <w:color w:val="auto"/>
        </w:rPr>
      </w:pPr>
      <w:r>
        <w:rPr>
          <w:rFonts w:ascii="Times New Roman" w:cs="Times New Roman" w:eastAsia="Times New Roman" w:hAnsi="Times New Roman"/>
          <w:sz w:val="20"/>
          <w:szCs w:val="20"/>
          <w:color w:val="auto"/>
        </w:rPr>
        <w:t>For example, pursuant to the Novatim License Agreement, we obtained an exclusive license to specified patents and know-how in all fields worldwide, but excluding Greater China, India, Turkey, and Russia, to exploit the TPST-2003 and TPST-2206 programs and allogeneic CAR-T therapies based on the TPST -2003 and TPST- 2206 programs. We also have a right of first negotiation to negotiate a license to exploit allogeneic CAR- T therapies and in vivo CAR-T therapies in Greater China. We are obligated to meet certain diligence milestones by specified dates and to use commercially reasonable efforts to develop and make commercially available at least one licensed product in the licensed territory. In addition, pursuant to the Restated Factor License Agreement, we have an exclusive license to specified patents in all fields worldwide, but excluding Greater China, India, Turkey, and Russia, to exploit the TPST-3003 and TPST-3206 programs. Under the Restated Factor License Agreement, we are obligated to meet certain diligence milestones by specified dates and to use commercially reasonable efforts to develop and make commercially available at least one licensed product in the licensed territory.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licenses to patents, know-how and proprietary technology licensed from third parties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In the future we may also need to obtain additional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 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200" w:lineRule="exact"/>
        <w:rPr>
          <w:sz w:val="20"/>
          <w:szCs w:val="20"/>
          <w:color w:val="auto"/>
        </w:rPr>
      </w:pPr>
    </w:p>
    <w:p>
      <w:pPr>
        <w:spacing w:after="0" w:line="2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•whether and the extent to which our technology and processes infringe on intellectual property of the licensor that is not subject to the licensing agreement;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right to sublicense patent and other rights to third parties under collaborative development relationships;</w:t>
      </w:r>
    </w:p>
    <w:p>
      <w:pPr>
        <w:spacing w:after="0" w:line="200" w:lineRule="exact"/>
        <w:rPr>
          <w:sz w:val="20"/>
          <w:szCs w:val="20"/>
          <w:color w:val="auto"/>
        </w:rPr>
      </w:pPr>
    </w:p>
    <w:p>
      <w:pPr>
        <w:spacing w:after="0" w:line="27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•our diligence obligations with respect to the use of the licensed technology in relation to our development and commercialization of our product candidates and what activities satisfy those diligence obligations;</w:t>
      </w:r>
    </w:p>
    <w:p>
      <w:pPr>
        <w:sectPr>
          <w:pgSz w:w="12240" w:h="15840" w:orient="portrait"/>
          <w:cols w:equalWidth="0" w:num="1">
            <w:col w:w="9360"/>
          </w:cols>
          <w:pgMar w:left="1440" w:top="1422" w:right="1440" w:bottom="1440" w:gutter="0" w:footer="0" w:header="0"/>
        </w:sectPr>
      </w:pPr>
    </w:p>
    <w:bookmarkStart w:id="82" w:name="page83"/>
    <w:bookmarkEnd w:id="82"/>
    <w:p>
      <w:pPr>
        <w:spacing w:after="0" w:line="1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•royalty, milestone or other payment obligations that may result from the advancement or commercial sale of any of our product candidates; and</w:t>
      </w: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licensors and us.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14" o:spid="_x0000_s143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16" o:spid="_x0000_s1441"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17" o:spid="_x0000_s1442"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owned and in-licensed patents and patent applications may not provide sufficient protection of our product candidates or result in any competitive advantage.</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 -owned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w:t>
      </w:r>
    </w:p>
    <w:p>
      <w:pPr>
        <w:sectPr>
          <w:pgSz w:w="12240" w:h="15840" w:orient="portrait"/>
          <w:cols w:equalWidth="0" w:num="1">
            <w:col w:w="9360"/>
          </w:cols>
          <w:pgMar w:left="1440" w:top="1440" w:right="1440" w:bottom="904" w:gutter="0" w:footer="0" w:header="0"/>
        </w:sectPr>
      </w:pPr>
    </w:p>
    <w:bookmarkStart w:id="83" w:name="page84"/>
    <w:bookmarkEnd w:id="83"/>
    <w:p>
      <w:pPr>
        <w:jc w:val="both"/>
        <w:spacing w:after="0" w:line="243" w:lineRule="auto"/>
        <w:rPr>
          <w:sz w:val="20"/>
          <w:szCs w:val="20"/>
          <w:color w:val="auto"/>
        </w:rPr>
      </w:pPr>
      <w:r>
        <w:rPr>
          <w:rFonts w:ascii="Times New Roman" w:cs="Times New Roman" w:eastAsia="Times New Roman" w:hAnsi="Times New Roman"/>
          <w:sz w:val="20"/>
          <w:szCs w:val="20"/>
          <w:color w:val="auto"/>
        </w:rPr>
        <w:t>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20" o:spid="_x0000_s144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22" o:spid="_x0000_s1447"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23" o:spid="_x0000_s1448"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2046,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9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1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•others may be able to make or use compounds that are similar to the active compositions of our product candidates but that are not covered by the claims of our patents;</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APIs in our current product candidates will eventually become commercially available in generic drug products, and no patent protection may be available with regard to formulation or method of use;</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200" w:lineRule="exact"/>
        <w:rPr>
          <w:sz w:val="20"/>
          <w:szCs w:val="20"/>
          <w:color w:val="auto"/>
        </w:rPr>
      </w:pPr>
    </w:p>
    <w:p>
      <w:pPr>
        <w:spacing w:after="0" w:line="2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or our current or future licensors, as the case may be, might not have been the first to file patent applications for certain inventions;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w:t>
      </w:r>
    </w:p>
    <w:p>
      <w:pPr>
        <w:sectPr>
          <w:pgSz w:w="12240" w:h="15840" w:orient="portrait"/>
          <w:cols w:equalWidth="0" w:num="1">
            <w:col w:w="9360"/>
          </w:cols>
          <w:pgMar w:left="1440" w:top="1422"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 is possible that our pending patent applications will not result in issued patents;</w:t>
      </w:r>
    </w:p>
    <w:p>
      <w:pPr>
        <w:sectPr>
          <w:pgSz w:w="12240" w:h="15840" w:orient="portrait"/>
          <w:cols w:equalWidth="0" w:num="1">
            <w:col w:w="9360"/>
          </w:cols>
          <w:pgMar w:left="1440" w:top="1422" w:right="1440" w:bottom="1440" w:gutter="0" w:footer="0" w:header="0"/>
          <w:type w:val="continuous"/>
        </w:sectPr>
      </w:pPr>
    </w:p>
    <w:bookmarkStart w:id="84" w:name="page85"/>
    <w:bookmarkEnd w:id="84"/>
    <w:p>
      <w:pPr>
        <w:spacing w:after="0" w:line="1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•it is possible that there are prior public disclosures that could invalidate our owned or in-licensed patents, as the case may be, or parts of our owned or in-licensed patents;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 is possible that others may circumvent our owned or in-licensed patents;</w:t>
      </w:r>
    </w:p>
    <w:p>
      <w:pPr>
        <w:spacing w:after="0" w:line="200" w:lineRule="exact"/>
        <w:rPr>
          <w:sz w:val="20"/>
          <w:szCs w:val="20"/>
          <w:color w:val="auto"/>
        </w:rPr>
      </w:pPr>
    </w:p>
    <w:p>
      <w:pPr>
        <w:spacing w:after="0" w:line="2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•it is possible that there are unpublished applications or patent applications maintained in secrecy that may later issue with claims covering our product candidates or technology similar to ours;</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laws of foreign countries may not protect our, or our current or future licensors’, as the case may be, proprietary rights to the same extent as the laws of the United States;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claims of our owned or in -licensed issued patents or patent applications, if and when issued, may not adequately cover our product candidates;</w:t>
      </w: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•our owned or in -licensed issued patents may not provide us with any competitive advantages, may be narrowed in scope, or be held invalid or unenforceable as a result of legal challenges by third parties;</w:t>
      </w: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426" o:spid="_x0000_s1451"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have engaged in scientific collaborations in the past and will continue to do so in the future and our collaborators may develop adjacent or competing products that are outside the scope of our patents;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not develop additional proprietary technologies for which we can obtain patent protection;</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•it is possible that product candidates or diagnostic tests we develop may be covered by third parties’ patents or other exclusive rights; 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3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Any of the foregoing could have a material adverse effect on our business, financial conditions, results of operations and prospects.</w:t>
      </w:r>
    </w:p>
    <w:p>
      <w:pPr>
        <w:sectPr>
          <w:pgSz w:w="12240" w:h="15840" w:orient="portrait"/>
          <w:cols w:equalWidth="0" w:num="1">
            <w:col w:w="9360"/>
          </w:cols>
          <w:pgMar w:left="1440" w:top="1440"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auto"/>
        </w:rPr>
        <w:t>Our strategy of obtaining rights to key technologies through in-licenses may not be successful.</w:t>
      </w: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future growth of our business may depend in part on our ability to in -license or otherwise acquire the rights to additional product candidates and technologies. We cannot assure you that we will be able to in- license or acquire the rights to any product candidates or technologies from third parties on acceptable terms or at all.</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to patent protection, we rely upon know- 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31" o:spid="_x0000_s145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ectPr>
          <w:pgSz w:w="12240" w:h="15840" w:orient="portrait"/>
          <w:cols w:equalWidth="0" w:num="1">
            <w:col w:w="9360"/>
          </w:cols>
          <w:pgMar w:left="1440" w:top="1422" w:right="1440" w:bottom="1440" w:gutter="0" w:footer="0" w:header="0"/>
        </w:sectPr>
      </w:pPr>
    </w:p>
    <w:bookmarkStart w:id="86" w:name="page87"/>
    <w:bookmarkEnd w:id="86"/>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may prevent, delay or otherwise interfere with our product discovery and development efforts.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We are aware of certain issued patents and pending patent applications in the United States and elsewhere that contain claims that may cover certain cell therapy programs of ours. While we believe we would have valid defenses to claims of patent infringement or noninfringement positions, we cannot be certain that we would prevail in any dispute, and we cannot be certain how an adverse determination would affect our business. As the biotechnology and pharmaceutical industries expand and more patents are issued, the risk increases that our product candidates may give rise to claims of infringement of the patent rights of</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435" o:spid="_x0000_s1460"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36" o:spid="_x0000_s146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9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If a third party claims that we infringe, misappropriate or otherwise violate their intellectual property rights, we may face a number of issues, including, but not limited to:</w:t>
      </w:r>
    </w:p>
    <w:p>
      <w:pPr>
        <w:sectPr>
          <w:pgSz w:w="12240" w:h="15840" w:orient="portrait"/>
          <w:cols w:equalWidth="0" w:num="1">
            <w:col w:w="9360"/>
          </w:cols>
          <w:pgMar w:left="1440" w:top="1422" w:right="1440" w:bottom="921" w:gutter="0" w:footer="0" w:header="0"/>
        </w:sectPr>
      </w:pPr>
    </w:p>
    <w:bookmarkStart w:id="87" w:name="page88"/>
    <w:bookmarkEnd w:id="87"/>
    <w:p>
      <w:pPr>
        <w:spacing w:after="0" w:line="10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•infringement and other intellectual property claims that, regardless of merit, may be expensive and time-consuming to litigate and may divert our management’s attention from our core business;</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200" w:lineRule="exact"/>
        <w:rPr>
          <w:sz w:val="20"/>
          <w:szCs w:val="20"/>
          <w:color w:val="auto"/>
        </w:rPr>
      </w:pP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upfront fees and other amounts, and/or grant cross-licenses to intellectual property rights for our product candidates;</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requirement that we redesign our product candidates or processes so they do not infringe, which may not be possible or may require substantial monetary expenditures and time; and</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42" o:spid="_x0000_s146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44" o:spid="_x0000_s1469"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45" o:spid="_x0000_s1470"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40" w:right="1440" w:bottom="1440" w:gutter="0" w:footer="0" w:header="0"/>
        </w:sectPr>
      </w:pPr>
    </w:p>
    <w:bookmarkStart w:id="88" w:name="page89"/>
    <w:bookmarkEnd w:id="88"/>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 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In that event, we would be unable to further develop and commercialize our product candidates, which could significantly harm our business.</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 -type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w:t>
      </w:r>
    </w:p>
    <w:p>
      <w:pPr>
        <w:sectPr>
          <w:pgSz w:w="12240" w:h="15840" w:orient="portrait"/>
          <w:cols w:equalWidth="0" w:num="1">
            <w:col w:w="9360"/>
          </w:cols>
          <w:pgMar w:left="1440" w:top="1440" w:right="1440" w:bottom="864" w:gutter="0" w:footer="0" w:header="0"/>
        </w:sectPr>
      </w:pPr>
    </w:p>
    <w:bookmarkStart w:id="89" w:name="page90"/>
    <w:bookmarkEnd w:id="89"/>
    <w:p>
      <w:pPr>
        <w:jc w:val="both"/>
        <w:spacing w:after="0" w:line="251" w:lineRule="auto"/>
        <w:rPr>
          <w:sz w:val="20"/>
          <w:szCs w:val="20"/>
          <w:color w:val="auto"/>
        </w:rPr>
      </w:pPr>
      <w:r>
        <w:rPr>
          <w:rFonts w:ascii="Times New Roman" w:cs="Times New Roman" w:eastAsia="Times New Roman" w:hAnsi="Times New Roman"/>
          <w:sz w:val="20"/>
          <w:szCs w:val="20"/>
          <w:color w:val="auto"/>
        </w:rPr>
        <w:t>interference proceedings, derivation proceedings, and equivalent proceedings in foreign jurisdictions (e.g., opposition proceedings) . These types of proceedings could result in revocation or amendment to our patents such that they no longer cover our product candidates. The outcome for any particular patent following legal assertions of invalidity and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48" o:spid="_x0000_s1473"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50" o:spid="_x0000_s1475"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51" o:spid="_x0000_s1476"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2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54" o:spid="_x0000_s147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56" o:spid="_x0000_s1481"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57" o:spid="_x0000_s1482"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22" w:right="1440" w:bottom="1440" w:gutter="0" w:footer="0" w:header="0"/>
        </w:sectPr>
      </w:pPr>
    </w:p>
    <w:bookmarkStart w:id="90" w:name="page91"/>
    <w:bookmarkEnd w:id="90"/>
    <w:p>
      <w:pPr>
        <w:jc w:val="both"/>
        <w:spacing w:after="0" w:line="256"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Geopolitical actions in the United States and in foreign countries (such as, ongoing wars or similar conflicts; retaliatory measures by foreign countries in response to actions by the United States, in particular; and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Also, many foreign countries could threaten to impose retaliatory measures that may adversely impact our intellectual property rights in those countries. For example, on March 14, 2025, Brazil enacted Law No. 15.122/2025 (known as the “Economic Reciprocity Law”), which provides a framework that allows for the suspension of obligations related to foreign entities’ intellectual property rights. Consequently, we would not be able to prevent third parties from practicing our inventions in such jurisdictions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2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Third parties may assert that our employees or consultants have wrongfully used or disclosed confidential information or misappropriated trade secrets.</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w:t>
      </w:r>
    </w:p>
    <w:p>
      <w:pPr>
        <w:sectPr>
          <w:pgSz w:w="12240" w:h="15840" w:orient="portrait"/>
          <w:cols w:equalWidth="0" w:num="1">
            <w:col w:w="9360"/>
          </w:cols>
          <w:pgMar w:left="1440" w:top="1422" w:right="1440" w:bottom="898"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3">
                          <a:solidFill>
                            <a:srgbClr val="80808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8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60" o:spid="_x0000_s148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2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“first-to-invent” to a “first-to -file” patent system. Under a “first- 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 -grant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w:t>
      </w:r>
    </w:p>
    <w:p>
      <w:pPr>
        <w:sectPr>
          <w:pgSz w:w="12240" w:h="15840" w:orient="portrait"/>
          <w:cols w:equalWidth="0" w:num="1">
            <w:col w:w="9360"/>
          </w:cols>
          <w:pgMar w:left="1440" w:top="1422" w:right="1440" w:bottom="1032" w:gutter="0" w:footer="0" w:header="0"/>
        </w:sectPr>
      </w:pPr>
    </w:p>
    <w:bookmarkStart w:id="92" w:name="page93"/>
    <w:bookmarkEnd w:id="92"/>
    <w:p>
      <w:pPr>
        <w:jc w:val="both"/>
        <w:spacing w:after="0" w:line="251" w:lineRule="auto"/>
        <w:rPr>
          <w:sz w:val="20"/>
          <w:szCs w:val="20"/>
          <w:color w:val="auto"/>
        </w:rPr>
      </w:pPr>
      <w:r>
        <w:rPr>
          <w:rFonts w:ascii="Times New Roman" w:cs="Times New Roman" w:eastAsia="Times New Roman" w:hAnsi="Times New Roman"/>
          <w:sz w:val="20"/>
          <w:szCs w:val="20"/>
          <w:color w:val="auto"/>
        </w:rPr>
        <w:t>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65" o:spid="_x0000_s1490"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67" o:spid="_x0000_s1492"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68" o:spid="_x0000_s1493"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ways that would weaken our ability to obtain new patents or to enforce our existing patents and patents that we might obtain or license in the future. For example, in the case, </w:t>
      </w:r>
      <w:r>
        <w:rPr>
          <w:rFonts w:ascii="Times New Roman" w:cs="Times New Roman" w:eastAsia="Times New Roman" w:hAnsi="Times New Roman"/>
          <w:sz w:val="20"/>
          <w:szCs w:val="20"/>
          <w:i w:val="1"/>
          <w:iCs w:val="1"/>
          <w:color w:val="auto"/>
        </w:rPr>
        <w:t>Assoc. for Molecular Pathology v. Myriad Genetics, Inc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(2013)</w:t>
      </w:r>
      <w:r>
        <w:rPr>
          <w:rFonts w:ascii="Times New Roman" w:cs="Times New Roman" w:eastAsia="Times New Roman" w:hAnsi="Times New Roman"/>
          <w:sz w:val="20"/>
          <w:szCs w:val="20"/>
          <w:color w:val="auto"/>
        </w:rPr>
        <w:t>, the U.S. Supreme Court held that certain claims to DNA molecules are not patent-eligible. In another example,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U.S. Supreme Court held in </w:t>
      </w:r>
      <w:r>
        <w:rPr>
          <w:rFonts w:ascii="Times New Roman" w:cs="Times New Roman" w:eastAsia="Times New Roman" w:hAnsi="Times New Roman"/>
          <w:sz w:val="20"/>
          <w:szCs w:val="20"/>
          <w:i w:val="1"/>
          <w:iCs w:val="1"/>
          <w:color w:val="auto"/>
        </w:rPr>
        <w:t>Amgen v. Sanofi (2023)</w:t>
      </w:r>
      <w:r>
        <w:rPr>
          <w:rFonts w:ascii="Times New Roman" w:cs="Times New Roman" w:eastAsia="Times New Roman" w:hAnsi="Times New Roman"/>
          <w:sz w:val="20"/>
          <w:szCs w:val="20"/>
          <w:color w:val="auto"/>
        </w:rPr>
        <w:t xml:space="preserve"> that a functionally claimed genus was invalid for failing to comply with the enablement requirement of the Patent Act.</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As a further example, as of June 1, 2023, European patent applications and patents may be subjected to the jurisdiction of the Unified Patent Court (“UPC”) .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ectPr>
          <w:pgSz w:w="12240" w:h="15840" w:orient="portrait"/>
          <w:cols w:equalWidth="0" w:num="1">
            <w:col w:w="9360"/>
          </w:cols>
          <w:pgMar w:left="1440" w:top="1422" w:right="1440" w:bottom="1440" w:gutter="0" w:footer="0" w:header="0"/>
        </w:sectPr>
      </w:pPr>
    </w:p>
    <w:bookmarkStart w:id="93" w:name="page94"/>
    <w:bookmarkEnd w:id="93"/>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for any product candidates we may develop, our business may be materially harmed.</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71" o:spid="_x0000_s149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73" o:spid="_x0000_s1498"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74" o:spid="_x0000_s1499"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of extension or the scope of patent protection afforded could be less than we project or request. If we are unable to obtain patent term extension or term of any such extension is less than we project or request, our competitors may obtain approval of competing products following our patent expiration sooner than expected, and our business, financial condition, results of operations and prospects could be materially harmed.</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march-in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rights, certain reporting requirements and a preference for U.S.- based companies. Compliance with such regulations may limit our exclusive rights and limit our ability to contract with non-U.S. manufacturers.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Although we do not currently license or own issued patents or pending patent applications that have been generated through the use of U.S. government funding, we may in-license or acquire in the future intellectual property rights that have been generated through the use of U.S. government funding or grants. Pursuant to the Bayh -Dole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w:t>
      </w:r>
    </w:p>
    <w:p>
      <w:pPr>
        <w:sectPr>
          <w:pgSz w:w="12240" w:h="15840" w:orient="portrait"/>
          <w:cols w:equalWidth="0" w:num="1">
            <w:col w:w="9360"/>
          </w:cols>
          <w:pgMar w:left="1440" w:top="1422" w:right="1440" w:bottom="970" w:gutter="0" w:footer="0" w:header="0"/>
        </w:sectPr>
      </w:pPr>
    </w:p>
    <w:bookmarkStart w:id="94" w:name="page95"/>
    <w:bookmarkEnd w:id="94"/>
    <w:p>
      <w:pPr>
        <w:jc w:val="both"/>
        <w:spacing w:after="0" w:line="257" w:lineRule="auto"/>
        <w:rPr>
          <w:sz w:val="20"/>
          <w:szCs w:val="20"/>
          <w:color w:val="auto"/>
        </w:rPr>
      </w:pPr>
      <w:r>
        <w:rPr>
          <w:rFonts w:ascii="Times New Roman" w:cs="Times New Roman" w:eastAsia="Times New Roman" w:hAnsi="Times New Roman"/>
          <w:sz w:val="20"/>
          <w:szCs w:val="20"/>
          <w:color w:val="auto"/>
        </w:rPr>
        <w:t>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 and Other General Matters</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the benefits of the Asset Acquisition do not meet the expectations of investors or securities analysts, the market price of our common stock may decline.</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market price of our common stock may decline as a result of the Asset Acquisition if we do not achieve the perceived benefits of the Asset Acquisition as rapidly or to the extent anticipated by financial analysts or the effect of the Asset Acquisition on our financial results is not consistent with the expectations of financial analysts. Accordingly, holders of our common stock following the consummation of the Asset Acquisition may experience a loss as a result of a decline in the market price of such common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476" o:spid="_x0000_s1501"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77" o:spid="_x0000_s150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137795</wp:posOffset>
                </wp:positionV>
                <wp:extent cx="13335" cy="1397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970"/>
                        </a:xfrm>
                        <a:prstGeom prst="rect">
                          <a:avLst/>
                        </a:prstGeom>
                        <a:solidFill>
                          <a:srgbClr val="E3E3E3"/>
                        </a:solidFill>
                      </wps:spPr>
                      <wps:bodyPr/>
                    </wps:wsp>
                  </a:graphicData>
                </a:graphic>
              </wp:anchor>
            </w:drawing>
          </mc:Choice>
          <mc:Fallback>
            <w:pict>
              <v:rect id="Shape 479" o:spid="_x0000_s1504" style="position:absolute;margin-left:467.45pt;margin-top:10.85pt;width:1.0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480" o:spid="_x0000_s1505"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481" o:spid="_x0000_s1506"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stock. In addition, a decline in the market price of our common stock following the consummation of the Asset Acquisition could adversely affect our ability to issue additional securities if needed and to obtain additional financing in the future.</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trading price of the shares of our common stock has been and is likely to continue to be volatile, and purchasers of our common stock could incur substantial losses.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market price of our common stock has been and is likely to continue to be volatile. For example, during 2025, the closing price of our common stock on The Nasdaq Capital Market ranged from $2.84 per share to $12.81 per share. Some of the factors that may cause the market price of our common stock to fluctuate include:</w:t>
      </w:r>
    </w:p>
    <w:p>
      <w:pPr>
        <w:spacing w:after="0" w:line="31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•results of clinical trials and preclinical studies of our product candidates, or those of our competitors or our existing or future collaborators;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•failure to meet or exceed financial and development projections we may provide to the public;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•failure to meet or exceed the financial and development projections of the investment community;</w:t>
      </w:r>
    </w:p>
    <w:p>
      <w:pPr>
        <w:spacing w:after="0" w:line="200" w:lineRule="exact"/>
        <w:rPr>
          <w:sz w:val="20"/>
          <w:szCs w:val="20"/>
          <w:color w:val="auto"/>
        </w:rPr>
      </w:pPr>
    </w:p>
    <w:p>
      <w:pPr>
        <w:spacing w:after="0" w:line="27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•announcements of significant acquisitions, strategic collaborations, joint ventures or capital commitments by us or our competitors;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•actions taken by regulatory agencies with respect to our product candidates, clinical studies, manufacturing process or sales and marketing terms;</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ectPr>
          <w:pgSz w:w="12240" w:h="15840" w:orient="portrait"/>
          <w:cols w:equalWidth="0" w:num="1">
            <w:col w:w="9360"/>
          </w:cols>
          <w:pgMar w:left="1440" w:top="142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•additions or departures of key personnel;</w:t>
      </w:r>
    </w:p>
    <w:p>
      <w:pPr>
        <w:sectPr>
          <w:pgSz w:w="12240" w:h="15840" w:orient="portrait"/>
          <w:cols w:equalWidth="0" w:num="1">
            <w:col w:w="9360"/>
          </w:cols>
          <w:pgMar w:left="1440" w:top="1422" w:right="1440" w:bottom="1440" w:gutter="0" w:footer="0" w:header="0"/>
          <w:type w:val="continuous"/>
        </w:sectPr>
      </w:pPr>
    </w:p>
    <w:bookmarkStart w:id="95" w:name="page96"/>
    <w:bookmarkEnd w:id="95"/>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•if securities or industry analysts do not publish research or reports about our business, or if they issue adverse or misleading opinions regarding our business and stock;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of securities by us or our securityholders in the future;</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•if we fail to raise an adequate amount of capital to fund our operations and continued development of our product candidates;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•trading volume of our common stock;</w:t>
      </w:r>
    </w:p>
    <w:p>
      <w:pPr>
        <w:spacing w:after="0" w:line="200" w:lineRule="exact"/>
        <w:rPr>
          <w:sz w:val="20"/>
          <w:szCs w:val="20"/>
          <w:color w:val="auto"/>
        </w:rPr>
      </w:pPr>
    </w:p>
    <w:p>
      <w:pPr>
        <w:spacing w:after="0" w:line="27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•announcements by competitors of new commercial products, clinical progress or lack thereof, significant contracts, commercial relationships or capital commitments;</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•adverse publicity relating to precision medicine product candidates, including with respect to other products in such markets;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introduction of technological innovations or new therapies that compete with our products and services;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84" o:spid="_x0000_s150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•general economic, political, and market conditions and overall fluctuations in the financial markets in the United States and abroad, including as a result of bank failures, public health crises or geopolitical tensions, such as wars or terrorism; and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3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Unstable market and economic conditions may have serious adverse consequences on our business, financial condition and share price.</w:t>
      </w:r>
    </w:p>
    <w:p>
      <w:pPr>
        <w:sectPr>
          <w:pgSz w:w="12240" w:h="15840" w:orient="portrait"/>
          <w:cols w:equalWidth="0" w:num="1">
            <w:col w:w="9360"/>
          </w:cols>
          <w:pgMar w:left="1440" w:top="1440" w:right="1440" w:bottom="956" w:gutter="0" w:footer="0" w:header="0"/>
        </w:sectPr>
      </w:pPr>
    </w:p>
    <w:bookmarkStart w:id="96" w:name="page97"/>
    <w:bookmarkEnd w:id="96"/>
    <w:p>
      <w:pPr>
        <w:ind w:right="40"/>
        <w:spacing w:after="0" w:line="242" w:lineRule="auto"/>
        <w:rPr>
          <w:sz w:val="20"/>
          <w:szCs w:val="20"/>
          <w:color w:val="auto"/>
        </w:rPr>
      </w:pPr>
      <w:r>
        <w:rPr>
          <w:rFonts w:ascii="Times New Roman" w:cs="Times New Roman" w:eastAsia="Times New Roman" w:hAnsi="Times New Roman"/>
          <w:sz w:val="20"/>
          <w:szCs w:val="20"/>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geopolitical tensions, wars and terrorism, and the imposition of tariffs in the U.S. and abroad,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war or a global or domestic recession or the fear thereof,, it may make any necessary debt or equity financing more difficult to obtain in a timely manner or on favorable terms, more costly or more dilutive.</w:t>
      </w:r>
    </w:p>
    <w:p>
      <w:pPr>
        <w:spacing w:after="0" w:line="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negatively impact our business and operations. In addition, retaliatory trade policies or anti-U.S. sentiment in certain regions whether driven by trade tensions, political disagreements, or regulatory concerns may make customers and governments more hesitant to purchase U.S. products.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pharmaceutical products, which may result in heightened international legal and operational risks and difficulties in attracting and retaining non-U.S. customers, suppliers, employees, partners and investors. Ongoing tariff and macroeconomic uncertainty may also contribute to volatility in the price of our common stock.</w:t>
      </w:r>
    </w:p>
    <w:p>
      <w:pPr>
        <w:spacing w:after="0" w:line="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Further,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489" o:spid="_x0000_s1514"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common stock is thinly traded and our stockholders may be unable to sell their shares quickly or at market price.</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the reduced reporting requirements applicable to smaller reporting companies may make our common stock less attractive to investors.</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w:t>
      </w:r>
    </w:p>
    <w:p>
      <w:pPr>
        <w:sectPr>
          <w:pgSz w:w="12240" w:h="15840" w:orient="portrait"/>
          <w:cols w:equalWidth="0" w:num="1">
            <w:col w:w="9360"/>
          </w:cols>
          <w:pgMar w:left="1440" w:top="1422" w:right="1440" w:bottom="927" w:gutter="0" w:footer="0" w:header="0"/>
        </w:sectPr>
      </w:pPr>
    </w:p>
    <w:bookmarkStart w:id="97" w:name="page98"/>
    <w:bookmarkEnd w:id="97"/>
    <w:p>
      <w:pPr>
        <w:jc w:val="both"/>
        <w:spacing w:after="0" w:line="251" w:lineRule="auto"/>
        <w:rPr>
          <w:sz w:val="20"/>
          <w:szCs w:val="20"/>
          <w:color w:val="auto"/>
        </w:rPr>
      </w:pPr>
      <w:r>
        <w:rPr>
          <w:rFonts w:ascii="Times New Roman" w:cs="Times New Roman" w:eastAsia="Times New Roman" w:hAnsi="Times New Roman"/>
          <w:sz w:val="20"/>
          <w:szCs w:val="20"/>
          <w:color w:val="auto"/>
        </w:rPr>
        <w:t>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Chief Executive Officer and principal stockholder collectively own a substantial portion of our common stock.</w:t>
      </w: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Collectively, our Chief Executive Officer and Lotus Capital BVI Limited (“Lotus”) beneficially own approximately 59.3% of our outstanding common stock as of March 25, 2026. Specifically, Dr. Angel, our President and Chief Executive Officer, beneficially owns approximately 35.3% of our common stock and Lotus beneficially owns approximately 23.9% of our outstanding common stock as of March 25, 2026, respectively. As a result, stockholders may face challenges in affecting matters involving our Company, including:</w:t>
      </w:r>
    </w:p>
    <w:p>
      <w:pPr>
        <w:spacing w:after="0" w:line="31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composition of our Board and, through it, any determination with respect to our business direction and policies, including the appointment and removal of officers;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determination with respect to mergers or other business combinations;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acquisition or disposition of assets; and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corporate financing activities.</w:t>
      </w:r>
    </w:p>
    <w:p>
      <w:pPr>
        <w:spacing w:after="0" w:line="3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Although there are no voting or similar agreements in place, our Chief Executive Officer and Lotus may act in concert to significantly influence these and other matters requiring shareholder approval. Furthermore, this concentration of voting power could have the effect of delaying, deterring, or preventing a change of control or other business combination that might otherwise be beneficial to our shareholders. This significant concentration of share ownership may also adversely affect the trading price for our common stock because investors may perceive disadvantages in owning stock in a company that is controlled by a small number of shareholders.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Status as a Public Company and Other General Matters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494" o:spid="_x0000_s151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496" o:spid="_x0000_s15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continue to incur significant legal, accounting and other expenses. The Sarbanes -Oxley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controls, our ability to produce accurate financial statements on a timely basis could be impaired.</w:t>
      </w:r>
    </w:p>
    <w:p>
      <w:pPr>
        <w:sectPr>
          <w:pgSz w:w="12240" w:h="15840" w:orient="portrait"/>
          <w:cols w:equalWidth="0" w:num="1">
            <w:col w:w="9360"/>
          </w:cols>
          <w:pgMar w:left="1440" w:top="1422" w:right="1440" w:bottom="1076" w:gutter="0" w:footer="0" w:header="0"/>
        </w:sectPr>
      </w:pPr>
    </w:p>
    <w:bookmarkStart w:id="98" w:name="page99"/>
    <w:bookmarkEnd w:id="98"/>
    <w:p>
      <w:pPr>
        <w:jc w:val="both"/>
        <w:spacing w:after="0" w:line="246" w:lineRule="auto"/>
        <w:rPr>
          <w:sz w:val="20"/>
          <w:szCs w:val="20"/>
          <w:color w:val="auto"/>
        </w:rPr>
      </w:pPr>
      <w:r>
        <w:rPr>
          <w:rFonts w:ascii="Times New Roman" w:cs="Times New Roman" w:eastAsia="Times New Roman" w:hAnsi="Times New Roman"/>
          <w:sz w:val="20"/>
          <w:szCs w:val="20"/>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w:t>
      </w:r>
    </w:p>
    <w:p>
      <w:pPr>
        <w:spacing w:after="0" w:line="1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listing of our common stock on Nasdaq or any stock exchange, our stock price could be adversely affected and the liquidity of our stock and our ability to obtain financing could be impaired and it may be more difficult for our stockholders to sell their securities.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Although our common stock is currently listed on Nasdaq, we may not be able to continue to meet the exchange’s minimum listing requirements or those of any other national exchange. The Listing Rules of Nasdaq require listing issuers to comply with certain standards in order to remain listed on its exchange. If, for any reason, we should fail to maintain compliance with these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3335"/>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3E3"/>
                        </a:solidFill>
                      </wps:spPr>
                      <wps:bodyPr/>
                    </wps:wsp>
                  </a:graphicData>
                </a:graphic>
              </wp:anchor>
            </w:drawing>
          </mc:Choice>
          <mc:Fallback>
            <w:pict>
              <v:rect id="Shape 498" o:spid="_x0000_s1523" style="position:absolute;margin-left:467.45pt;margin-top:10.2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499" o:spid="_x0000_s1524"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listing standards and Nasdaq should delist our securities from trading on its exchange and we are unable to obtain listing on another national securities exchange, we anticipate that our securities would begin trading on the over-the-counter market. Delisting from Nasdaq and trading on the over-the -counter market could adversely affect the liquidity of our securities. Securities traded on the over-the- counter market generally have limited trading volume and exhibit a wider spread between the bid/ask quotation, as compared to securities listed on a national securities exchange. Consequently, you may not be able to liquidate your investment in the event of an emergency or for any other reason.</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Nasdaq delists our securities from trading on its exchange for failure to meet the listing standards, we and our stockholders could face significant negative consequences including limited availability of market quotations for our securities, a determination that the common stock is a “penny stock” which will require brokers trading in the common stock to adhere to more stringent rules, possibly resulting in a reduced level of trading activity in the secondary trading market for shares of the common stock, a limited amount of analyst coverage, and a decreased ability to issue additional securities or obtain additional financing in the future.</w:t>
      </w:r>
    </w:p>
    <w:p>
      <w:pPr>
        <w:sectPr>
          <w:pgSz w:w="12240" w:h="15840" w:orient="portrait"/>
          <w:cols w:equalWidth="0" w:num="1">
            <w:col w:w="9360"/>
          </w:cols>
          <w:pgMar w:left="1440" w:top="1422" w:right="1440" w:bottom="1440" w:gutter="0" w:footer="0" w:header="0"/>
        </w:sectPr>
      </w:pPr>
    </w:p>
    <w:bookmarkStart w:id="99" w:name="page100"/>
    <w:bookmarkEnd w:id="99"/>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•decreased demand for any product candidates that we may develop;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05" o:spid="_x0000_s1530"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time and costs to defend the related litigation;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 of revenue;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•termination of our collaboration relationships or disputes with our collaborators;</w:t>
      </w:r>
    </w:p>
    <w:p>
      <w:pPr>
        <w:sectPr>
          <w:pgSz w:w="12240" w:h="15840" w:orient="portrait"/>
          <w:cols w:equalWidth="0" w:num="1">
            <w:col w:w="9360"/>
          </w:cols>
          <w:pgMar w:left="1440" w:top="1422"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•voluntary product recalls, withdrawals or labeling restrictions; and</w:t>
      </w:r>
    </w:p>
    <w:p>
      <w:pPr>
        <w:sectPr>
          <w:pgSz w:w="12240" w:h="15840" w:orient="portrait"/>
          <w:cols w:equalWidth="0" w:num="1">
            <w:col w:w="9360"/>
          </w:cols>
          <w:pgMar w:left="1440" w:top="1422" w:right="1440" w:bottom="1440" w:gutter="0" w:footer="0" w:header="0"/>
          <w:type w:val="continuous"/>
        </w:sectPr>
      </w:pPr>
    </w:p>
    <w:bookmarkStart w:id="100" w:name="page101"/>
    <w:bookmarkEnd w:id="100"/>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inability to commercialize any product candidates that we may develop.</w:t>
      </w:r>
    </w:p>
    <w:p>
      <w:pPr>
        <w:spacing w:after="0" w:line="3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•establish a classified board of directors such that not all members of the board are elected at one time;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 the manner in which stockholders can remove directors from the board;</w:t>
      </w:r>
    </w:p>
    <w:p>
      <w:pPr>
        <w:spacing w:after="0" w:line="200" w:lineRule="exact"/>
        <w:rPr>
          <w:sz w:val="20"/>
          <w:szCs w:val="20"/>
          <w:color w:val="auto"/>
        </w:rPr>
      </w:pPr>
    </w:p>
    <w:p>
      <w:pPr>
        <w:spacing w:after="0" w:line="2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•establish advance notice requirements for stockholder proposals that can be acted on at stockholder meetings and for nominations to our board of directors;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 who may call stockholder meetings;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•prohibit actions by our stockholders by written consent;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 that stockholder actions be effected at a duly called stockholders meeting;</w:t>
      </w:r>
    </w:p>
    <w:p>
      <w:pPr>
        <w:spacing w:after="0" w:line="200" w:lineRule="exact"/>
        <w:rPr>
          <w:sz w:val="20"/>
          <w:szCs w:val="20"/>
          <w:color w:val="auto"/>
        </w:rPr>
      </w:pPr>
    </w:p>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8">
                          <a:solidFill>
                            <a:srgbClr val="808080"/>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998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10" o:spid="_x0000_s153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512" o:spid="_x0000_s1537"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513" o:spid="_x0000_s1538"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40" w:right="1440" w:bottom="1440" w:gutter="0" w:footer="0" w:header="0"/>
        </w:sectPr>
      </w:pPr>
    </w:p>
    <w:bookmarkStart w:id="101" w:name="page102"/>
    <w:bookmarkEnd w:id="101"/>
    <w:p>
      <w:pPr>
        <w:spacing w:after="0" w:line="10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•require the approval of the holders of at least 75% of the votes that all our stockholders would be entitled to cast to amend or repeal certain provisions of our certificate of incorporation or by-laws.</w:t>
      </w:r>
    </w:p>
    <w:p>
      <w:pPr>
        <w:spacing w:after="0" w:line="2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addition, in October 2023, we implemented a stockholder rights plan (the “Rights Plan”), also called a “poison pill,” that may have the effect of discouraging or preventing a change of control by, among other things, making it uneconomical for a third party to acquire us without the consent of our board of directors. We amended the Rights Plan on October 9, 2024 and on December 5, 2024, and on January 27, 2026, our stockholders approved the Rights Plan at our 2026 annual meeting of stockholders. As a result of the amendments and the stockholder approval of the Right Plan, the rights will expire on October 10, 2026, unless the rights are earlier redeemed or exchanged by us.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manner prescribed by the statute.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anticipate that we will pay any cash dividends in the foreseeable future.</w:t>
      </w:r>
    </w:p>
    <w:p>
      <w:pPr>
        <w:spacing w:after="0" w:line="24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9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ectPr>
          <w:pgSz w:w="12240" w:h="15840" w:orient="portrait"/>
          <w:cols w:equalWidth="0" w:num="1">
            <w:col w:w="9360"/>
          </w:cols>
          <w:pgMar w:left="1440" w:top="1440" w:right="1440" w:bottom="1084"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3">
                          <a:solidFill>
                            <a:srgbClr val="80808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8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16" o:spid="_x0000_s154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employees (“Information Systems and Data”).</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information security function is led by our Chief Financial Officer &amp; Head of Corporate Strategy (“IT Lead”), who reports to our CEO and is supported by our third-party security provider, and it helps identify, assess and manage the Company’s cybersecurity threats and risks. The information security function identifies and assesses risks from cybersecurity threats by monitoring and evaluating our threat environment using various methods including, for example analyzing report of threats and threat actors and conducting periodic vulnerability assessments for certain systems. Our assessment and management of material risks from cybersecurity threats are considered as part of our risk management processes. For example, our IT Lead and certain management, including our CEO, evaluate identified material risks from cybersecurity threats against our overall business objectives and our IT Lead periodically reports to the audit committee of the board of directors, which evaluates our overall enterprise risk.</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risk assessments for certain systems, systems monitoring for certain systems, access controls, asset management, and employee training. We use third-party service providers to assist us from time to time to identify, assess, and manage material risks from cybersecurity threats, including for example our managed security provider and professional services firms, including legal counsel.</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a description of the risks from cybersecurity threats that may materially affect the Company and how they may do so, see our risk factors under Part 1. Item 1A. Risk Factors in this Annual Report on Form 10 -K, including that 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Company management, including the IT Lead. The IT Lead has 5 years of experience in roles that include oversight of cybersecurity risk management programs.</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IT Lead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cybersecurity incident response processes are designed to escalate certain cybersecurity incidents to members of management depending on the circumstances, including the CEO, who help the Company mitigate and remediate cybersecurity incidents of which they are notified. In addition, the Company’s incident response processes include reporting to the audit committee for certain cybersecurity incidents.</w:t>
      </w:r>
    </w:p>
    <w:p>
      <w:pPr>
        <w:sectPr>
          <w:pgSz w:w="12240" w:h="15840" w:orient="portrait"/>
          <w:cols w:equalWidth="0" w:num="1">
            <w:col w:w="9360"/>
          </w:cols>
          <w:pgMar w:left="1440" w:top="1422" w:right="1440" w:bottom="1440" w:gutter="0" w:footer="0" w:header="0"/>
        </w:sectPr>
      </w:pPr>
    </w:p>
    <w:bookmarkStart w:id="103" w:name="page104"/>
    <w:bookmarkEnd w:id="103"/>
    <w:p>
      <w:pPr>
        <w:jc w:val="both"/>
        <w:spacing w:after="0" w:line="277" w:lineRule="auto"/>
        <w:rPr>
          <w:sz w:val="20"/>
          <w:szCs w:val="20"/>
          <w:color w:val="auto"/>
        </w:rPr>
      </w:pPr>
      <w:r>
        <w:rPr>
          <w:rFonts w:ascii="Times New Roman" w:cs="Times New Roman" w:eastAsia="Times New Roman" w:hAnsi="Times New Roman"/>
          <w:sz w:val="19"/>
          <w:szCs w:val="19"/>
          <w:color w:val="auto"/>
        </w:rPr>
        <w:t>The audit committee receives periodic reports from our IT Lead concerning cybersecurity issues, including certain threats and risks and the processes the Company has implemented to address them, as applicable. The audit committee also has access to various reports, summaries or presentations related to cybersecurity threats, risk and mitigation.</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21" o:spid="_x0000_s154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In January 2022, we entered into an agreement to lease approximately 20,116 square feet of laboratory and office space at 2000 Sierra Point Parkway, Brisbane, California 94005, which we occupied and began operating as our new headquarters beginning in December 2022.</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believe our existing facilities are sufficient for our needs for the foreseeable future. To meet the future needs of our business, we may lease additional or alternative space, and we believe suitable additional or alternative space will be available in the future on commercially reasonable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are not currently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526" o:spid="_x0000_s1551"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4pt"/>
            </w:pict>
          </mc:Fallback>
        </mc:AlternateConten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spacing w:after="0" w:line="2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Stock Market under the ticker symbol “TPST.”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2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of March 25, 2026, we had 14,344,034 shares of common stock outstanding held by 60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February 3, 2026, we issued a dividend to each holder of record of our common stock as of January 30, 2026 in the form of a warrant to purchase a share of common stock for each share of common stock outstanding on January 30, 2026. We have never declared or paid cash dividends on our capital stock. We intend to retain all available funds and future earnings, if any, to fund the development and expansion of our business, and we do not anticipate paying any cash dividends in the foreseeable future.</w:t>
      </w:r>
    </w:p>
    <w:p>
      <w:pPr>
        <w:sectPr>
          <w:pgSz w:w="12240" w:h="15840" w:orient="portrait"/>
          <w:cols w:equalWidth="0" w:num="1">
            <w:col w:w="9360"/>
          </w:cols>
          <w:pgMar w:left="1440" w:top="1422" w:right="1440" w:bottom="937"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Parties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31" o:spid="_x0000_s155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33" o:spid="_x0000_s15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 looking statements that reflect our plans, estimates, beliefs and expectations that involve risks and uncertainties. Our actual results and the timing of events could differ materially from those discussed in these forward -looking statements. Factors that could cause or contribute to these differences include those discussed below and elsewhere in this Annual Report, particularly in Item 1A. “Risk Factors” and “Special Note Regarding Forward-Looking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are a clinical-stage biotechnology company advancing a diversified portfolio of cell therapy and small molecule product candidates. In February 2026, we expanded our pipeline through a strategic transaction under which we acquired rights to a portfolio of dual-targeting chimeric antigen receptor T-cells (“CAR-T”) product candidates with the potential to treat certain blood cancers, solid tumors and immunology indications, including TPST-2003, an autologous CD19/B-cell maturation antigen (“BCMA”) CAR-T therapy currently in clinical development for relapsed or refractory multiple myeloma.</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portfolio also includes two clinical-stage small molecule product candidates with the potential to treat certain cancer indications. One of our small-molecule product candidates, amezalpat (previously known as TPST-1120), has completed a Phase 2 study in first-line hepatocellular carcinoma (“HCC”). Amezalpat remains Phase 3-ready in HCC and we plan to pursue business development discussions to advance pivotal development. Our second small-molecule product candidate is TPST-1495, which we plan to initiate a Phase 2 study for in familial adenomatous polyposis, with first patient enrollment expected in 2026. The study is expected to be funded by the National Cancer Institute and conducted through the Cancer Prevention Clinical Trials Network, enabling advancement with limited internal capital deployment.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mission is to develop therapeutic products with the potential to address high unmet medical needs by identifying promising clinical-stage candidates and advancing their development to create products that will improve patients’ lives.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Acquisition</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On November 19, 2025, we executed an Asset Purchase Agreement (the “Asset Purchase Agreement”) with Erigen LLC, a Delaware limited liability company (“Erigen”), and Factor Bioscience Inc., a Delaware corporation (together with Erigen, “Sellers”), pursuant to which Sellers agreed to sell and transfer to the Company all right, title and interest of Sellers in and to all of the assets primarily related to (a) the autologous BCMA/CD19 dual-targeting CAR T-cell therapy known as ERI-2003, (b) the autologous CD70/CD70 dual- targeting CAR T-cell therapy known as ERI-2206, (c) the allogeneic BCMA/CD19 dual-targeting CAR T-cell therapy with a gene edit in the TRAC locus that inactivates</w:t>
      </w:r>
    </w:p>
    <w:p>
      <w:pPr>
        <w:sectPr>
          <w:pgSz w:w="12240" w:h="15840" w:orient="portrait"/>
          <w:cols w:equalWidth="0" w:num="1">
            <w:col w:w="9360"/>
          </w:cols>
          <w:pgMar w:left="1440" w:top="1418" w:right="1440" w:bottom="946" w:gutter="0" w:footer="0" w:header="0"/>
        </w:sectPr>
      </w:pPr>
    </w:p>
    <w:bookmarkStart w:id="105" w:name="page106"/>
    <w:bookmarkEnd w:id="105"/>
    <w:p>
      <w:pPr>
        <w:jc w:val="both"/>
        <w:spacing w:after="0" w:line="251" w:lineRule="auto"/>
        <w:rPr>
          <w:sz w:val="20"/>
          <w:szCs w:val="20"/>
          <w:color w:val="auto"/>
        </w:rPr>
      </w:pPr>
      <w:r>
        <w:rPr>
          <w:rFonts w:ascii="Times New Roman" w:cs="Times New Roman" w:eastAsia="Times New Roman" w:hAnsi="Times New Roman"/>
          <w:sz w:val="20"/>
          <w:szCs w:val="20"/>
          <w:color w:val="auto"/>
        </w:rPr>
        <w:t>the T cell receptor known as ERI -3003, and (d) the allogeneic CD70/CD70 dual-targeting CAR T-cell therapy with a gene edit in the TRAC locus that inactivates the T cell receptor known as ERI-3206 (collectively referred to herein as the “Assets”), in exchange for an aggregate purchase price of 8,268,495 shares of our common stock issued to Erigen on behalf of both Sellers.</w:t>
      </w:r>
    </w:p>
    <w:p>
      <w:pPr>
        <w:spacing w:after="0" w:line="19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On February 3, 2026, we completed the acquisition of the Assets (the “Closing”) under the Asset Purchase Agreement (the “Asset Acquisition”) and issued to Erigen 8,268,495 shares of our common stock (the “Share Issuance”).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Dividend</w:t>
      </w:r>
    </w:p>
    <w:p>
      <w:pPr>
        <w:spacing w:after="0" w:line="2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January 20, 2026, our Board declared a record date of January 30, 2026 (the “Record Date”), for the distribution of a dividend (the “Warrant Dividend”) in the form of a warrant to purchase a share of our common stock (collectively, the “Warrants”) for each share of common stock outstanding on the Record Date. The Warrants were issued on the terms and conditions described</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535" o:spid="_x0000_s1560"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36" o:spid="_x0000_s156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Warrant Agreement, dated February 3, 2026, between the Company, Computershare Inc., and its affiliate, Computershare Trust Company, N.A., as Warrant Agent (the “Warrant Agreement”), on February 3, 2026. In addition, on February 3, 2026, certain warrants that were outstanding on the Record Date also received Warrants on a one-for-one basis, pursuant to the terms of such warrants (together with the Warrant Dividend, the “Warrant Distribution”). In the aggregate, 6,784,989 Warrants were issued pursuant to the Warrant Distribution.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w:t>
      </w:r>
    </w:p>
    <w:p>
      <w:pPr>
        <w:spacing w:after="0" w:line="2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March 20, 2026, we entered into a securities purchase agreement (the “Purchase Agreement”) with (a) two institutional investors (the “Institutional Investors”) and (b) Factor (together with the Institutional Investors, each, an “Investor” and, together, the “Investors”), pursuant to which we agreed to issue and sell in a private placement (the “Private Placement”) an aggregate of 462,964 shares (the “Shares”) of our common stock, and, in lieu of common stock, pre-funded warrants to purchase up to 462,963 shares of our common stock (the “2026 Pre-Funded Warrants”), in each case accompanied by (i) Series A warrants to purchase up to 925,927 shares of our common stock (the “Series A Warrants”) and (ii) Series B warrants to purchase up to 925,927 shares of our common stock (the “Series B Warrants” and, together with the Series A Warrants, the “Common Warrants”). The Shares and the Common Warrants were immediately separable and were issued separately. The combined purchase price per Share and accompanying Common Warrants was $2.16 and the combined purchase price per Pre-Funded Warrant and accompanying Common Warrants was $ 2.159.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Pursuant to the Purchase Agreement, we agreed to seek approval from our stockholders for the issuance of the shares issuable upon exercise of the Common Warrants within 90 days following the date of the Purchase Agreement (the “Stockholder Approval”). The Series A Warrants will become exercisable on the effective date of the Stockholder Approval (the “Stockholder Approval Date”)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 In addition, pursuant to the Purchase Agreement, we agreed not to sell any shares of our common stock or any securities convertible into or exercisable or exchangeable into shares of our common stock, subject to certain customary exceptions, for a period of thirty (30) days after the Effectiveness Date.</w:t>
      </w:r>
    </w:p>
    <w:p>
      <w:pPr>
        <w:sectPr>
          <w:pgSz w:w="12240" w:h="15840" w:orient="portrait"/>
          <w:cols w:equalWidth="0" w:num="1">
            <w:col w:w="9360"/>
          </w:cols>
          <w:pgMar w:left="1440" w:top="1422" w:right="1440" w:bottom="1440" w:gutter="0" w:footer="0" w:header="0"/>
        </w:sectPr>
      </w:pPr>
    </w:p>
    <w:bookmarkStart w:id="106" w:name="page107"/>
    <w:bookmarkEnd w:id="106"/>
    <w:p>
      <w:pPr>
        <w:jc w:val="both"/>
        <w:spacing w:after="0" w:line="261" w:lineRule="auto"/>
        <w:rPr>
          <w:sz w:val="20"/>
          <w:szCs w:val="20"/>
          <w:color w:val="auto"/>
        </w:rPr>
      </w:pPr>
      <w:r>
        <w:rPr>
          <w:rFonts w:ascii="Times New Roman" w:cs="Times New Roman" w:eastAsia="Times New Roman" w:hAnsi="Times New Roman"/>
          <w:sz w:val="19"/>
          <w:szCs w:val="19"/>
          <w:color w:val="auto"/>
        </w:rPr>
        <w:t>In connection with the Private Placement, we entered into a registration rights agreement with the Investors (the “Registration Rights Agreement”), pursuant to which we agreed to file registration statements under the Securities Act with the SEC covering the resale of the Shares to be issued in the Private Placement and the shares of our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23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We have no products approved for commercial sale and have not generated any revenue from product sales. From inception to December 31, 2025, we have raised $242.5 million, through sales of our capital securities.</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December 31, 2025, we had cash and cash equivalents totaling $7.7 million compared to $30.3 million as of December 31, 2024. We have incurred operating losses since inception and our accumulated deficit as of December 31, 2025 is $233.4 million. We expect that our existing cash and cash equivalents will fund our projected operating expense requirements through less than 12 months from the date our consolidated financial statements were available to be issued. Accordingly, there is substantial doubt regarding our ability to continue as a going concern for a period of 12 months from the date of the issuance of the Consolidated Financial Statements included elsewhere in this Annual Report on Form 10-K.</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540" o:spid="_x0000_s15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42" o:spid="_x0000_s156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544" o:spid="_x0000_s15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While we implemented cost reductions in 2025, we have finite cash resources available to fund our operations. 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will need to continue to rely on additional financing to achieve our business objectives, including pursuant to the Funding Commitment (as defined below under “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Funding Commitment</w:t>
      </w:r>
      <w:r>
        <w:rPr>
          <w:rFonts w:ascii="Times New Roman" w:cs="Times New Roman" w:eastAsia="Times New Roman" w:hAnsi="Times New Roman"/>
          <w:sz w:val="20"/>
          <w:szCs w:val="20"/>
          <w:color w:val="auto"/>
        </w:rPr>
        <w:t>”) with Factor. As of the date of this report, we have $13.75 million available under the Funding Commitment, however, there is significant uncertainty as to whether we will be able to satisfy the terms and conditions and other provisions set forth in the Funding Commitment, and, if we are unable to do so, we may be limited in the amount of funding that we are able to access under the Funding Commitment or we may not be able to access any funds under the Funding Commitment. 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April 8, 2025, we effected a one-for-thirteen (1:13) reverse stock split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share and per share amounts of common stock presented in this Annual Report on Form 10-K have been retroactively adjusted to reflect the Reverse Stock Split. Refer to Note 1 of our Consolidated Financial Statements and the notes thereto included elsewhere in this Annual Report on Form 10-K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ectPr>
          <w:pgSz w:w="12240" w:h="15840" w:orient="portrait"/>
          <w:cols w:equalWidth="0" w:num="1">
            <w:col w:w="9360"/>
          </w:cols>
          <w:pgMar w:left="1440" w:top="1422" w:right="1440" w:bottom="959"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w:t>
      </w:r>
    </w:p>
    <w:p>
      <w:pPr>
        <w:sectPr>
          <w:pgSz w:w="12240" w:h="15840" w:orient="portrait"/>
          <w:cols w:equalWidth="0" w:num="1">
            <w:col w:w="9360"/>
          </w:cols>
          <w:pgMar w:left="1440" w:top="1422" w:right="1440" w:bottom="959" w:gutter="0" w:footer="0" w:header="0"/>
          <w:type w:val="continuous"/>
        </w:sectPr>
      </w:pPr>
    </w:p>
    <w:bookmarkStart w:id="107" w:name="page108"/>
    <w:bookmarkEnd w:id="107"/>
    <w:p>
      <w:pPr>
        <w:jc w:val="both"/>
        <w:spacing w:after="0" w:line="277" w:lineRule="auto"/>
        <w:rPr>
          <w:sz w:val="20"/>
          <w:szCs w:val="20"/>
          <w:color w:val="auto"/>
        </w:rPr>
      </w:pPr>
      <w:r>
        <w:rPr>
          <w:rFonts w:ascii="Times New Roman" w:cs="Times New Roman" w:eastAsia="Times New Roman" w:hAnsi="Times New Roman"/>
          <w:sz w:val="20"/>
          <w:szCs w:val="20"/>
          <w:color w:val="auto"/>
        </w:rPr>
        <w:t>Research and development expenses represent costs incurred to conduct research and development, such as the development of our product candidates.</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recognize all research and development costs as they are incurred. Research and development expenses consist primarily of the following: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•salaries, benefits and stock-based compensation;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•licensing costs;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•allocated occupancy;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•materials and supplies;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•contracted research and manufacturing;</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•consulting arrangements; and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expenses incurred to advance our research and development activities.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47" o:spid="_x0000_s157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largest component of our operating expenses has historically been the investment in research and development activities. Despite reductions in 2025 as we pursued our evaluation of strategic alternatives,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 license other product candidates and technologies, which may result in higher research and development expenses due to license fee and/or milestone payments, as well as added clinical development costs.</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In addition,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sectPr>
          <w:pgSz w:w="12240" w:h="15840" w:orient="portrait"/>
          <w:cols w:equalWidth="0" w:num="1">
            <w:col w:w="9360"/>
          </w:cols>
          <w:pgMar w:left="1440" w:top="1422" w:right="1440" w:bottom="1037"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 Net</w:t>
      </w:r>
    </w:p>
    <w:p>
      <w:pPr>
        <w:spacing w:after="0" w:line="24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Other (expense) income, net consists primarily of interest expense, interest income, and various income or expense items of a non-recurring 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operating results for the years ended December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7"/>
              </w:rPr>
              <w:t>Increase/</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Percentage Increase/</w:t>
            </w:r>
          </w:p>
        </w:tc>
      </w:tr>
      <w:tr>
        <w:trPr>
          <w:trHeight w:val="273"/>
        </w:trPr>
        <w:tc>
          <w:tcPr>
            <w:tcW w:w="3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(Decrease)</w:t>
            </w:r>
          </w:p>
        </w:tc>
      </w:tr>
      <w:tr>
        <w:trPr>
          <w:trHeight w:val="185"/>
        </w:trPr>
        <w:tc>
          <w:tcPr>
            <w:tcW w:w="3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53"/>
        </w:trPr>
        <w:tc>
          <w:tcPr>
            <w:tcW w:w="3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120" w:type="dxa"/>
            <w:vAlign w:val="bottom"/>
          </w:tcPr>
          <w:p>
            <w:pPr>
              <w:spacing w:after="0"/>
              <w:rPr>
                <w:sz w:val="21"/>
                <w:szCs w:val="21"/>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40" w:type="dxa"/>
            <w:vAlign w:val="bottom"/>
          </w:tcPr>
          <w:p>
            <w:pPr>
              <w:spacing w:after="0"/>
              <w:rPr>
                <w:sz w:val="21"/>
                <w:szCs w:val="21"/>
                <w:color w:val="auto"/>
              </w:rPr>
            </w:pPr>
          </w:p>
        </w:tc>
      </w:tr>
      <w:tr>
        <w:trPr>
          <w:trHeight w:val="220"/>
        </w:trPr>
        <w:tc>
          <w:tcPr>
            <w:tcW w:w="3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8"/>
          </w:tcPr>
          <w:p>
            <w:pPr>
              <w:jc w:val="right"/>
              <w:ind w:right="1540"/>
              <w:spacing w:after="0" w:line="220" w:lineRule="exact"/>
              <w:rPr>
                <w:sz w:val="20"/>
                <w:szCs w:val="20"/>
                <w:color w:val="auto"/>
              </w:rPr>
            </w:pPr>
            <w:r>
              <w:rPr>
                <w:rFonts w:ascii="Times New Roman" w:cs="Times New Roman" w:eastAsia="Times New Roman" w:hAnsi="Times New Roman"/>
                <w:sz w:val="20"/>
                <w:szCs w:val="20"/>
                <w:b w:val="1"/>
                <w:bCs w:val="1"/>
                <w:color w:val="auto"/>
              </w:rPr>
              <w:t>(in thousands, except percentages)</w:t>
            </w:r>
          </w:p>
        </w:tc>
      </w:tr>
      <w:tr>
        <w:trPr>
          <w:trHeight w:val="221"/>
        </w:trPr>
        <w:tc>
          <w:tcPr>
            <w:tcW w:w="3340" w:type="dxa"/>
            <w:vAlign w:val="bottom"/>
            <w:shd w:val="clear" w:color="auto" w:fill="D4EFF3"/>
          </w:tcPr>
          <w:p>
            <w:pPr>
              <w:spacing w:after="0" w:line="221" w:lineRule="exact"/>
              <w:rPr>
                <w:sz w:val="20"/>
                <w:szCs w:val="20"/>
                <w:color w:val="auto"/>
              </w:rPr>
            </w:pPr>
            <w:r>
              <w:rPr>
                <w:rFonts w:ascii="Times New Roman" w:cs="Times New Roman" w:eastAsia="Times New Roman" w:hAnsi="Times New Roman"/>
                <w:sz w:val="20"/>
                <w:szCs w:val="20"/>
                <w:color w:val="auto"/>
              </w:rPr>
              <w:t>Operating expenses:</w:t>
            </w:r>
          </w:p>
        </w:tc>
        <w:tc>
          <w:tcPr>
            <w:tcW w:w="40" w:type="dxa"/>
            <w:vAlign w:val="bottom"/>
            <w:shd w:val="clear" w:color="auto" w:fill="D4EFF3"/>
          </w:tcPr>
          <w:p>
            <w:pPr>
              <w:spacing w:after="0"/>
              <w:rPr>
                <w:sz w:val="19"/>
                <w:szCs w:val="19"/>
                <w:color w:val="auto"/>
              </w:rPr>
            </w:pPr>
          </w:p>
        </w:tc>
        <w:tc>
          <w:tcPr>
            <w:tcW w:w="720" w:type="dxa"/>
            <w:vAlign w:val="bottom"/>
            <w:tcBorders>
              <w:top w:val="single" w:sz="8" w:color="auto"/>
            </w:tcBorders>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720" w:type="dxa"/>
            <w:vAlign w:val="bottom"/>
            <w:tcBorders>
              <w:top w:val="single" w:sz="8" w:color="auto"/>
            </w:tcBorders>
            <w:shd w:val="clear" w:color="auto" w:fill="D4EFF3"/>
          </w:tcPr>
          <w:p>
            <w:pPr>
              <w:spacing w:after="0"/>
              <w:rPr>
                <w:sz w:val="19"/>
                <w:szCs w:val="19"/>
                <w:color w:val="auto"/>
              </w:rPr>
            </w:pPr>
          </w:p>
        </w:tc>
        <w:tc>
          <w:tcPr>
            <w:tcW w:w="60" w:type="dxa"/>
            <w:vAlign w:val="bottom"/>
            <w:shd w:val="clear" w:color="auto" w:fill="D4EFF3"/>
          </w:tcPr>
          <w:p>
            <w:pPr>
              <w:spacing w:after="0"/>
              <w:rPr>
                <w:sz w:val="19"/>
                <w:szCs w:val="19"/>
                <w:color w:val="auto"/>
              </w:rPr>
            </w:pPr>
          </w:p>
        </w:tc>
        <w:tc>
          <w:tcPr>
            <w:tcW w:w="80" w:type="dxa"/>
            <w:vAlign w:val="bottom"/>
            <w:tcBorders>
              <w:right w:val="single" w:sz="8" w:color="D4EFF3"/>
            </w:tcBorders>
            <w:shd w:val="clear" w:color="auto" w:fill="D4EFF3"/>
          </w:tcPr>
          <w:p>
            <w:pPr>
              <w:spacing w:after="0"/>
              <w:rPr>
                <w:sz w:val="19"/>
                <w:szCs w:val="19"/>
                <w:color w:val="auto"/>
              </w:rPr>
            </w:pPr>
          </w:p>
        </w:tc>
        <w:tc>
          <w:tcPr>
            <w:tcW w:w="160" w:type="dxa"/>
            <w:vAlign w:val="bottom"/>
            <w:tcBorders>
              <w:top w:val="single" w:sz="8" w:color="auto"/>
            </w:tcBorders>
            <w:shd w:val="clear" w:color="auto" w:fill="D4EFF3"/>
          </w:tcPr>
          <w:p>
            <w:pPr>
              <w:spacing w:after="0"/>
              <w:rPr>
                <w:sz w:val="19"/>
                <w:szCs w:val="19"/>
                <w:color w:val="auto"/>
              </w:rPr>
            </w:pPr>
          </w:p>
        </w:tc>
        <w:tc>
          <w:tcPr>
            <w:tcW w:w="1380" w:type="dxa"/>
            <w:vAlign w:val="bottom"/>
            <w:tcBorders>
              <w:top w:val="single" w:sz="8" w:color="auto"/>
            </w:tcBorders>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2380" w:type="dxa"/>
            <w:vAlign w:val="bottom"/>
            <w:tcBorders>
              <w:top w:val="single" w:sz="8" w:color="auto"/>
            </w:tcBorders>
            <w:shd w:val="clear" w:color="auto" w:fill="D4EFF3"/>
          </w:tcPr>
          <w:p>
            <w:pPr>
              <w:spacing w:after="0"/>
              <w:rPr>
                <w:sz w:val="19"/>
                <w:szCs w:val="19"/>
                <w:color w:val="auto"/>
              </w:rPr>
            </w:pPr>
          </w:p>
        </w:tc>
        <w:tc>
          <w:tcPr>
            <w:tcW w:w="240" w:type="dxa"/>
            <w:vAlign w:val="bottom"/>
            <w:shd w:val="clear" w:color="auto" w:fill="D4EFF3"/>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$ 12,606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$ 28,476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(15,870)</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3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0" w:type="dxa"/>
            <w:vAlign w:val="bottom"/>
            <w:shd w:val="clear" w:color="auto" w:fill="D4EFF3"/>
          </w:tcPr>
          <w:p>
            <w:pPr>
              <w:spacing w:after="0"/>
              <w:rPr>
                <w:sz w:val="20"/>
                <w:szCs w:val="20"/>
                <w:color w:val="auto"/>
              </w:rPr>
            </w:pPr>
          </w:p>
        </w:tc>
        <w:tc>
          <w:tcPr>
            <w:tcW w:w="7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13,969</w:t>
            </w:r>
          </w:p>
        </w:tc>
        <w:tc>
          <w:tcPr>
            <w:tcW w:w="2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74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13,550</w:t>
            </w:r>
          </w:p>
        </w:tc>
        <w:tc>
          <w:tcPr>
            <w:tcW w:w="60" w:type="dxa"/>
            <w:vAlign w:val="bottom"/>
            <w:shd w:val="clear" w:color="auto" w:fill="D4EFF3"/>
          </w:tcPr>
          <w:p>
            <w:pPr>
              <w:spacing w:after="0"/>
              <w:rPr>
                <w:sz w:val="20"/>
                <w:szCs w:val="20"/>
                <w:color w:val="auto"/>
              </w:rPr>
            </w:pPr>
          </w:p>
        </w:tc>
        <w:tc>
          <w:tcPr>
            <w:tcW w:w="80" w:type="dxa"/>
            <w:vAlign w:val="bottom"/>
            <w:tcBorders>
              <w:right w:val="single" w:sz="8" w:color="D4EFF3"/>
            </w:tcBorders>
            <w:shd w:val="clear" w:color="auto" w:fill="D4EFF3"/>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12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0"/>
        </w:trPr>
        <w:tc>
          <w:tcPr>
            <w:tcW w:w="3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Operating loss</w:t>
            </w:r>
          </w:p>
        </w:tc>
        <w:tc>
          <w:tcPr>
            <w:tcW w:w="40" w:type="dxa"/>
            <w:vAlign w:val="bottom"/>
          </w:tcPr>
          <w:p>
            <w:pPr>
              <w:spacing w:after="0"/>
              <w:rPr>
                <w:sz w:val="19"/>
                <w:szCs w:val="19"/>
                <w:color w:val="auto"/>
              </w:rPr>
            </w:pPr>
          </w:p>
        </w:tc>
        <w:tc>
          <w:tcPr>
            <w:tcW w:w="7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(42,026)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(15,451)</w:t>
            </w:r>
          </w:p>
        </w:tc>
        <w:tc>
          <w:tcPr>
            <w:tcW w:w="120" w:type="dxa"/>
            <w:vAlign w:val="bottom"/>
          </w:tcPr>
          <w:p>
            <w:pPr>
              <w:spacing w:after="0"/>
              <w:rPr>
                <w:sz w:val="19"/>
                <w:szCs w:val="19"/>
                <w:color w:val="auto"/>
              </w:rPr>
            </w:pPr>
          </w:p>
        </w:tc>
        <w:tc>
          <w:tcPr>
            <w:tcW w:w="23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w:t>
            </w:r>
          </w:p>
        </w:tc>
        <w:tc>
          <w:tcPr>
            <w:tcW w:w="2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33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40" w:type="dxa"/>
            <w:vAlign w:val="bottom"/>
            <w:shd w:val="clear" w:color="auto" w:fill="D4EFF3"/>
          </w:tcPr>
          <w:p>
            <w:pPr>
              <w:spacing w:after="0"/>
              <w:rPr>
                <w:sz w:val="20"/>
                <w:szCs w:val="20"/>
                <w:color w:val="auto"/>
              </w:rPr>
            </w:pPr>
          </w:p>
        </w:tc>
        <w:tc>
          <w:tcPr>
            <w:tcW w:w="7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100" w:type="dxa"/>
            <w:vAlign w:val="bottom"/>
            <w:gridSpan w:val="2"/>
            <w:shd w:val="clear" w:color="auto" w:fill="D4EFF3"/>
          </w:tcPr>
          <w:p>
            <w:pPr>
              <w:jc w:val="center"/>
              <w:ind w:right="20"/>
              <w:spacing w:after="0"/>
              <w:rPr>
                <w:sz w:val="20"/>
                <w:szCs w:val="20"/>
                <w:color w:val="auto"/>
              </w:rPr>
            </w:pPr>
            <w:r>
              <w:rPr>
                <w:rFonts w:ascii="Times New Roman" w:cs="Times New Roman" w:eastAsia="Times New Roman" w:hAnsi="Times New Roman"/>
                <w:sz w:val="20"/>
                <w:szCs w:val="20"/>
                <w:color w:val="auto"/>
                <w:shd w:val="clear" w:color="auto" w:fill="D4EFF3"/>
              </w:rPr>
              <w:t>)</w:t>
            </w:r>
          </w:p>
        </w:tc>
        <w:tc>
          <w:tcPr>
            <w:tcW w:w="74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shd w:val="clear" w:color="auto" w:fill="D4EFF3"/>
              </w:rPr>
              <w:t>(1,316</w:t>
            </w:r>
          </w:p>
        </w:tc>
        <w:tc>
          <w:tcPr>
            <w:tcW w:w="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D4EFF3"/>
              </w:rPr>
              <w:t>)</w:t>
            </w:r>
          </w:p>
        </w:tc>
        <w:tc>
          <w:tcPr>
            <w:tcW w:w="80" w:type="dxa"/>
            <w:vAlign w:val="bottom"/>
            <w:tcBorders>
              <w:right w:val="single" w:sz="8" w:color="D4EFF3"/>
            </w:tcBorders>
            <w:shd w:val="clear" w:color="auto" w:fill="D4EFF3"/>
          </w:tcPr>
          <w:p>
            <w:pPr>
              <w:spacing w:after="0"/>
              <w:rPr>
                <w:sz w:val="20"/>
                <w:szCs w:val="20"/>
                <w:color w:val="auto"/>
              </w:rPr>
            </w:pPr>
          </w:p>
        </w:tc>
        <w:tc>
          <w:tcPr>
            <w:tcW w:w="160" w:type="dxa"/>
            <w:vAlign w:val="bottom"/>
            <w:shd w:val="clear" w:color="auto" w:fill="D4EFF3"/>
          </w:tcPr>
          <w:p>
            <w:pPr>
              <w:spacing w:after="0"/>
              <w:rPr>
                <w:sz w:val="20"/>
                <w:szCs w:val="20"/>
                <w:color w:val="auto"/>
              </w:rPr>
            </w:pPr>
          </w:p>
        </w:tc>
        <w:tc>
          <w:tcPr>
            <w:tcW w:w="1500" w:type="dxa"/>
            <w:vAlign w:val="bottom"/>
            <w:gridSpan w:val="2"/>
            <w:shd w:val="clear" w:color="auto" w:fill="D4EFF3"/>
          </w:tcPr>
          <w:p>
            <w:pPr>
              <w:jc w:val="right"/>
              <w:ind w:right="40"/>
              <w:spacing w:after="0"/>
              <w:rPr>
                <w:sz w:val="20"/>
                <w:szCs w:val="20"/>
                <w:color w:val="auto"/>
              </w:rPr>
            </w:pPr>
            <w:r>
              <w:rPr>
                <w:rFonts w:ascii="Times New Roman" w:cs="Times New Roman" w:eastAsia="Times New Roman" w:hAnsi="Times New Roman"/>
                <w:sz w:val="20"/>
                <w:szCs w:val="20"/>
                <w:color w:val="auto"/>
              </w:rPr>
              <w:t>(1,109)</w:t>
            </w:r>
          </w:p>
        </w:tc>
        <w:tc>
          <w:tcPr>
            <w:tcW w:w="23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10"/>
        </w:trPr>
        <w:tc>
          <w:tcPr>
            <w:tcW w:w="33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Interest income and other income</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9"/>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(expense), net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(979)</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33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40" w:type="dxa"/>
            <w:vAlign w:val="bottom"/>
            <w:shd w:val="clear" w:color="auto" w:fill="D4EFF3"/>
          </w:tcPr>
          <w:p>
            <w:pPr>
              <w:spacing w:after="0"/>
              <w:rPr>
                <w:sz w:val="20"/>
                <w:szCs w:val="20"/>
                <w:color w:val="auto"/>
              </w:rPr>
            </w:pPr>
          </w:p>
        </w:tc>
        <w:tc>
          <w:tcPr>
            <w:tcW w:w="7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74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4EFF3"/>
          </w:tcPr>
          <w:p>
            <w:pPr>
              <w:spacing w:after="0"/>
              <w:rPr>
                <w:sz w:val="20"/>
                <w:szCs w:val="20"/>
                <w:color w:val="auto"/>
              </w:rPr>
            </w:pPr>
          </w:p>
        </w:tc>
        <w:tc>
          <w:tcPr>
            <w:tcW w:w="80" w:type="dxa"/>
            <w:vAlign w:val="bottom"/>
            <w:tcBorders>
              <w:right w:val="single" w:sz="8" w:color="D4EFF3"/>
            </w:tcBorders>
            <w:shd w:val="clear" w:color="auto" w:fill="D4EFF3"/>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20"/>
        </w:trPr>
        <w:tc>
          <w:tcPr>
            <w:tcW w:w="33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(26,262</w:t>
            </w:r>
          </w:p>
        </w:tc>
        <w:tc>
          <w:tcPr>
            <w:tcW w:w="120" w:type="dxa"/>
            <w:vAlign w:val="bottom"/>
            <w:gridSpan w:val="3"/>
          </w:tcPr>
          <w:p>
            <w:pPr>
              <w:jc w:val="cente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(41,843</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(15,581)</w:t>
            </w:r>
          </w:p>
        </w:tc>
        <w:tc>
          <w:tcPr>
            <w:tcW w:w="120" w:type="dxa"/>
            <w:vAlign w:val="bottom"/>
          </w:tcPr>
          <w:p>
            <w:pPr>
              <w:spacing w:after="0"/>
              <w:rPr>
                <w:sz w:val="19"/>
                <w:szCs w:val="19"/>
                <w:color w:val="auto"/>
              </w:rPr>
            </w:pPr>
          </w:p>
        </w:tc>
        <w:tc>
          <w:tcPr>
            <w:tcW w:w="23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w:t>
            </w:r>
          </w:p>
        </w:tc>
        <w:tc>
          <w:tcPr>
            <w:tcW w:w="2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3209925</wp:posOffset>
                </wp:positionH>
                <wp:positionV relativeFrom="paragraph">
                  <wp:posOffset>-1061720</wp:posOffset>
                </wp:positionV>
                <wp:extent cx="2585085" cy="14605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5085" cy="146050"/>
                        </a:xfrm>
                        <a:prstGeom prst="rect">
                          <a:avLst/>
                        </a:prstGeom>
                        <a:solidFill>
                          <a:srgbClr val="D4EFF3"/>
                        </a:solidFill>
                      </wps:spPr>
                      <wps:bodyPr/>
                    </wps:wsp>
                  </a:graphicData>
                </a:graphic>
              </wp:anchor>
            </w:drawing>
          </mc:Choice>
          <mc:Fallback>
            <w:pict>
              <v:rect id="Shape 550" o:spid="_x0000_s1575" style="position:absolute;margin-left:252.75pt;margin-top:-83.5999pt;width:203.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3209925</wp:posOffset>
                </wp:positionH>
                <wp:positionV relativeFrom="paragraph">
                  <wp:posOffset>-325755</wp:posOffset>
                </wp:positionV>
                <wp:extent cx="2585085" cy="14605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5085" cy="146050"/>
                        </a:xfrm>
                        <a:prstGeom prst="rect">
                          <a:avLst/>
                        </a:prstGeom>
                        <a:solidFill>
                          <a:srgbClr val="D4EFF3"/>
                        </a:solidFill>
                      </wps:spPr>
                      <wps:bodyPr/>
                    </wps:wsp>
                  </a:graphicData>
                </a:graphic>
              </wp:anchor>
            </w:drawing>
          </mc:Choice>
          <mc:Fallback>
            <w:pict>
              <v:rect id="Shape 551" o:spid="_x0000_s1576" style="position:absolute;margin-left:252.75pt;margin-top:-25.6499pt;width:203.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typically have various early-stage research and drug discovery projects, as well as various potential product candidates undergoing clinical trials. Our research and development expenses for the years ended December 31, 2025 and 2024 were primarily incurred in connection with amezalpat and TPST-1495. Our internal resources, employees and infrastructure are not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54" o:spid="_x0000_s157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556" name="Shape 5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556" o:spid="_x0000_s1581"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557" name="Shape 5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557" o:spid="_x0000_s1582"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directly tied to any one research and drug discovery project and our resources are typically deployed across multiple projects. The following table shows our research and development expenses by program for the years ended December 31,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250" w:type="dxa"/>
            <w:vAlign w:val="bottom"/>
          </w:tcPr>
          <w:p>
            <w:pPr>
              <w:spacing w:after="0"/>
              <w:rPr>
                <w:sz w:val="20"/>
                <w:szCs w:val="20"/>
                <w:color w:val="auto"/>
              </w:rPr>
            </w:pPr>
          </w:p>
        </w:tc>
        <w:tc>
          <w:tcPr>
            <w:tcW w:w="1530" w:type="dxa"/>
            <w:vAlign w:val="bottom"/>
            <w:gridSpan w:val="3"/>
          </w:tcPr>
          <w:p>
            <w:pPr>
              <w:jc w:val="center"/>
              <w:ind w:right="41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272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Percentage Increase/</w:t>
            </w:r>
          </w:p>
        </w:tc>
      </w:tr>
      <w:tr>
        <w:trPr>
          <w:trHeight w:val="273"/>
        </w:trPr>
        <w:tc>
          <w:tcPr>
            <w:tcW w:w="3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50" w:type="dxa"/>
            <w:vAlign w:val="bottom"/>
          </w:tcPr>
          <w:p>
            <w:pPr>
              <w:spacing w:after="0"/>
              <w:rPr>
                <w:sz w:val="23"/>
                <w:szCs w:val="23"/>
                <w:color w:val="auto"/>
              </w:rPr>
            </w:pPr>
          </w:p>
        </w:tc>
        <w:tc>
          <w:tcPr>
            <w:tcW w:w="1530" w:type="dxa"/>
            <w:vAlign w:val="bottom"/>
            <w:gridSpan w:val="3"/>
          </w:tcPr>
          <w:p>
            <w:pPr>
              <w:jc w:val="center"/>
              <w:ind w:right="41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360" w:type="dxa"/>
            <w:vAlign w:val="bottom"/>
          </w:tcPr>
          <w:p>
            <w:pPr>
              <w:spacing w:after="0"/>
              <w:rPr>
                <w:sz w:val="23"/>
                <w:szCs w:val="23"/>
                <w:color w:val="auto"/>
              </w:rPr>
            </w:pPr>
          </w:p>
        </w:tc>
        <w:tc>
          <w:tcPr>
            <w:tcW w:w="236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(Decrease)</w:t>
            </w:r>
          </w:p>
        </w:tc>
      </w:tr>
      <w:tr>
        <w:trPr>
          <w:trHeight w:val="214"/>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50" w:type="dxa"/>
            <w:vAlign w:val="bottom"/>
          </w:tcPr>
          <w:p>
            <w:pPr>
              <w:spacing w:after="0"/>
              <w:rPr>
                <w:sz w:val="18"/>
                <w:szCs w:val="18"/>
                <w:color w:val="auto"/>
              </w:rPr>
            </w:pPr>
          </w:p>
        </w:tc>
        <w:tc>
          <w:tcPr>
            <w:tcW w:w="13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53"/>
        </w:trPr>
        <w:tc>
          <w:tcPr>
            <w:tcW w:w="3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140" w:type="dxa"/>
            <w:vAlign w:val="bottom"/>
          </w:tcPr>
          <w:p>
            <w:pPr>
              <w:spacing w:after="0"/>
              <w:rPr>
                <w:sz w:val="21"/>
                <w:szCs w:val="21"/>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50" w:type="dxa"/>
            <w:vAlign w:val="bottom"/>
            <w:tcBorders>
              <w:bottom w:val="single" w:sz="8" w:color="auto"/>
            </w:tcBorders>
          </w:tcPr>
          <w:p>
            <w:pPr>
              <w:spacing w:after="0"/>
              <w:rPr>
                <w:sz w:val="21"/>
                <w:szCs w:val="21"/>
                <w:color w:val="auto"/>
              </w:rPr>
            </w:pPr>
          </w:p>
        </w:tc>
        <w:tc>
          <w:tcPr>
            <w:tcW w:w="1450" w:type="dxa"/>
            <w:vAlign w:val="bottom"/>
            <w:tcBorders>
              <w:bottom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40" w:type="dxa"/>
            <w:vAlign w:val="bottom"/>
          </w:tcPr>
          <w:p>
            <w:pPr>
              <w:spacing w:after="0"/>
              <w:rPr>
                <w:sz w:val="21"/>
                <w:szCs w:val="21"/>
                <w:color w:val="auto"/>
              </w:rPr>
            </w:pPr>
          </w:p>
        </w:tc>
      </w:tr>
      <w:tr>
        <w:trPr>
          <w:trHeight w:val="235"/>
        </w:trPr>
        <w:tc>
          <w:tcPr>
            <w:tcW w:w="3180" w:type="dxa"/>
            <w:vAlign w:val="bottom"/>
            <w:tcBorders>
              <w:bottom w:val="single" w:sz="8" w:color="D4EFF3"/>
            </w:tcBorders>
          </w:tcPr>
          <w:p>
            <w:pPr>
              <w:spacing w:after="0"/>
              <w:rPr>
                <w:sz w:val="20"/>
                <w:szCs w:val="20"/>
                <w:color w:val="auto"/>
              </w:rPr>
            </w:pPr>
          </w:p>
        </w:tc>
        <w:tc>
          <w:tcPr>
            <w:tcW w:w="80" w:type="dxa"/>
            <w:vAlign w:val="bottom"/>
            <w:tcBorders>
              <w:bottom w:val="single" w:sz="8" w:color="D4EFF3"/>
            </w:tcBorders>
          </w:tcPr>
          <w:p>
            <w:pPr>
              <w:spacing w:after="0"/>
              <w:rPr>
                <w:sz w:val="20"/>
                <w:szCs w:val="20"/>
                <w:color w:val="auto"/>
              </w:rPr>
            </w:pPr>
          </w:p>
        </w:tc>
        <w:tc>
          <w:tcPr>
            <w:tcW w:w="100" w:type="dxa"/>
            <w:vAlign w:val="bottom"/>
            <w:tcBorders>
              <w:bottom w:val="single" w:sz="8" w:color="D4EFF3"/>
            </w:tcBorders>
          </w:tcPr>
          <w:p>
            <w:pPr>
              <w:spacing w:after="0"/>
              <w:rPr>
                <w:sz w:val="20"/>
                <w:szCs w:val="20"/>
                <w:color w:val="auto"/>
              </w:rPr>
            </w:pPr>
          </w:p>
        </w:tc>
        <w:tc>
          <w:tcPr>
            <w:tcW w:w="1500" w:type="dxa"/>
            <w:vAlign w:val="bottom"/>
            <w:tcBorders>
              <w:bottom w:val="single" w:sz="8" w:color="D4EFF3"/>
            </w:tcBorders>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50" w:type="dxa"/>
            <w:vAlign w:val="bottom"/>
            <w:tcBorders>
              <w:bottom w:val="single" w:sz="8" w:color="D4EFF3"/>
            </w:tcBorders>
          </w:tcPr>
          <w:p>
            <w:pPr>
              <w:spacing w:after="0"/>
              <w:rPr>
                <w:sz w:val="20"/>
                <w:szCs w:val="20"/>
                <w:color w:val="auto"/>
              </w:rPr>
            </w:pPr>
          </w:p>
        </w:tc>
        <w:tc>
          <w:tcPr>
            <w:tcW w:w="1370" w:type="dxa"/>
            <w:vAlign w:val="bottom"/>
            <w:tcBorders>
              <w:bottom w:val="single" w:sz="8" w:color="D4EFF3"/>
            </w:tcBorders>
          </w:tcPr>
          <w:p>
            <w:pPr>
              <w:spacing w:after="0"/>
              <w:rPr>
                <w:sz w:val="20"/>
                <w:szCs w:val="20"/>
                <w:color w:val="auto"/>
              </w:rPr>
            </w:pPr>
          </w:p>
        </w:tc>
        <w:tc>
          <w:tcPr>
            <w:tcW w:w="80" w:type="dxa"/>
            <w:vAlign w:val="bottom"/>
            <w:tcBorders>
              <w:bottom w:val="single" w:sz="8" w:color="D4EFF3"/>
            </w:tcBorders>
          </w:tcPr>
          <w:p>
            <w:pPr>
              <w:spacing w:after="0"/>
              <w:rPr>
                <w:sz w:val="20"/>
                <w:szCs w:val="20"/>
                <w:color w:val="auto"/>
              </w:rPr>
            </w:pPr>
          </w:p>
        </w:tc>
        <w:tc>
          <w:tcPr>
            <w:tcW w:w="80" w:type="dxa"/>
            <w:vAlign w:val="bottom"/>
            <w:tcBorders>
              <w:bottom w:val="single" w:sz="8" w:color="D4EFF3"/>
            </w:tcBorders>
          </w:tcPr>
          <w:p>
            <w:pPr>
              <w:spacing w:after="0"/>
              <w:rPr>
                <w:sz w:val="20"/>
                <w:szCs w:val="20"/>
                <w:color w:val="auto"/>
              </w:rPr>
            </w:pPr>
          </w:p>
        </w:tc>
        <w:tc>
          <w:tcPr>
            <w:tcW w:w="360" w:type="dxa"/>
            <w:vAlign w:val="bottom"/>
            <w:tcBorders>
              <w:bottom w:val="single" w:sz="8" w:color="D4EFF3"/>
            </w:tcBorders>
          </w:tcPr>
          <w:p>
            <w:pPr>
              <w:spacing w:after="0"/>
              <w:rPr>
                <w:sz w:val="20"/>
                <w:szCs w:val="20"/>
                <w:color w:val="auto"/>
              </w:rPr>
            </w:pPr>
          </w:p>
        </w:tc>
        <w:tc>
          <w:tcPr>
            <w:tcW w:w="2120" w:type="dxa"/>
            <w:vAlign w:val="bottom"/>
            <w:tcBorders>
              <w:bottom w:val="single" w:sz="8" w:color="D4EFF3"/>
            </w:tcBorders>
          </w:tcPr>
          <w:p>
            <w:pPr>
              <w:spacing w:after="0"/>
              <w:rPr>
                <w:sz w:val="20"/>
                <w:szCs w:val="20"/>
                <w:color w:val="auto"/>
              </w:rPr>
            </w:pPr>
          </w:p>
        </w:tc>
        <w:tc>
          <w:tcPr>
            <w:tcW w:w="240" w:type="dxa"/>
            <w:vAlign w:val="bottom"/>
            <w:tcBorders>
              <w:bottom w:val="single" w:sz="8" w:color="D4EFF3"/>
            </w:tcBorders>
          </w:tcPr>
          <w:p>
            <w:pPr>
              <w:spacing w:after="0"/>
              <w:rPr>
                <w:sz w:val="20"/>
                <w:szCs w:val="20"/>
                <w:color w:val="auto"/>
              </w:rPr>
            </w:pPr>
          </w:p>
        </w:tc>
      </w:tr>
      <w:tr>
        <w:trPr>
          <w:trHeight w:val="225"/>
        </w:trPr>
        <w:tc>
          <w:tcPr>
            <w:tcW w:w="3180" w:type="dxa"/>
            <w:vAlign w:val="bottom"/>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Amezalpat</w:t>
            </w:r>
          </w:p>
        </w:tc>
        <w:tc>
          <w:tcPr>
            <w:tcW w:w="80" w:type="dxa"/>
            <w:vAlign w:val="bottom"/>
            <w:shd w:val="clear" w:color="auto" w:fill="D4EFF3"/>
          </w:tcPr>
          <w:p>
            <w:pPr>
              <w:spacing w:after="0"/>
              <w:rPr>
                <w:sz w:val="19"/>
                <w:szCs w:val="19"/>
                <w:color w:val="auto"/>
              </w:rPr>
            </w:pPr>
          </w:p>
        </w:tc>
        <w:tc>
          <w:tcPr>
            <w:tcW w:w="10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56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4EFF3"/>
              </w:rPr>
              <w:t>5,428</w:t>
            </w:r>
          </w:p>
        </w:tc>
        <w:tc>
          <w:tcPr>
            <w:tcW w:w="140" w:type="dxa"/>
            <w:vAlign w:val="bottom"/>
            <w:tcBorders>
              <w:right w:val="single" w:sz="8" w:color="D4EFF3"/>
            </w:tcBorders>
            <w:shd w:val="clear" w:color="auto" w:fill="D4EFF3"/>
          </w:tcPr>
          <w:p>
            <w:pPr>
              <w:spacing w:after="0"/>
              <w:rPr>
                <w:sz w:val="19"/>
                <w:szCs w:val="19"/>
                <w:color w:val="auto"/>
              </w:rPr>
            </w:pPr>
          </w:p>
        </w:tc>
        <w:tc>
          <w:tcPr>
            <w:tcW w:w="11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690" w:type="dxa"/>
            <w:vAlign w:val="bottom"/>
            <w:tcBorders>
              <w:right w:val="single" w:sz="8" w:color="D4EFF3"/>
            </w:tcBorders>
            <w:shd w:val="clear" w:color="auto" w:fill="D4EFF3"/>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w w:val="94"/>
                <w:shd w:val="clear" w:color="auto" w:fill="D4EFF3"/>
              </w:rPr>
              <w:t>14,206</w:t>
            </w:r>
          </w:p>
        </w:tc>
        <w:tc>
          <w:tcPr>
            <w:tcW w:w="250" w:type="dxa"/>
            <w:vAlign w:val="bottom"/>
            <w:shd w:val="clear" w:color="auto" w:fill="D4EFF3"/>
          </w:tcPr>
          <w:p>
            <w:pPr>
              <w:jc w:val="right"/>
              <w:ind w:right="5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137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(8,778)</w:t>
            </w:r>
          </w:p>
        </w:tc>
        <w:tc>
          <w:tcPr>
            <w:tcW w:w="80" w:type="dxa"/>
            <w:vAlign w:val="bottom"/>
            <w:tcBorders>
              <w:right w:val="single" w:sz="8" w:color="D4EFF3"/>
            </w:tcBorders>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360" w:type="dxa"/>
            <w:vAlign w:val="bottom"/>
            <w:shd w:val="clear" w:color="auto" w:fill="D4EFF3"/>
          </w:tcPr>
          <w:p>
            <w:pPr>
              <w:spacing w:after="0"/>
              <w:rPr>
                <w:sz w:val="19"/>
                <w:szCs w:val="19"/>
                <w:color w:val="auto"/>
              </w:rPr>
            </w:pPr>
          </w:p>
        </w:tc>
        <w:tc>
          <w:tcPr>
            <w:tcW w:w="212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(62)</w:t>
            </w:r>
          </w:p>
        </w:tc>
        <w:tc>
          <w:tcPr>
            <w:tcW w:w="240" w:type="dxa"/>
            <w:vAlign w:val="bottom"/>
            <w:shd w:val="clear" w:color="auto" w:fill="D4EFF3"/>
          </w:tcPr>
          <w:p>
            <w:pPr>
              <w:ind w:left="60"/>
              <w:spacing w:after="0" w:line="225" w:lineRule="exact"/>
              <w:rPr>
                <w:sz w:val="20"/>
                <w:szCs w:val="20"/>
                <w:color w:val="auto"/>
              </w:rPr>
            </w:pPr>
            <w:r>
              <w:rPr>
                <w:rFonts w:ascii="Times New Roman" w:cs="Times New Roman" w:eastAsia="Times New Roman" w:hAnsi="Times New Roman"/>
                <w:sz w:val="20"/>
                <w:szCs w:val="20"/>
                <w:color w:val="auto"/>
                <w:w w:val="95"/>
              </w:rPr>
              <w:t>%</w:t>
            </w:r>
          </w:p>
        </w:tc>
      </w:tr>
      <w:tr>
        <w:trPr>
          <w:trHeight w:val="242"/>
        </w:trPr>
        <w:tc>
          <w:tcPr>
            <w:tcW w:w="318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TPST-1495</w:t>
            </w:r>
          </w:p>
        </w:tc>
        <w:tc>
          <w:tcPr>
            <w:tcW w:w="8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56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D4EFF3"/>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2,307</w:t>
            </w:r>
          </w:p>
        </w:tc>
        <w:tc>
          <w:tcPr>
            <w:tcW w:w="250" w:type="dxa"/>
            <w:vAlign w:val="bottom"/>
            <w:tcBorders>
              <w:bottom w:val="single" w:sz="8" w:color="D4EFF3"/>
            </w:tcBorders>
          </w:tcPr>
          <w:p>
            <w:pPr>
              <w:spacing w:after="0"/>
              <w:rPr>
                <w:sz w:val="21"/>
                <w:szCs w:val="21"/>
                <w:color w:val="auto"/>
              </w:rPr>
            </w:pPr>
          </w:p>
        </w:tc>
        <w:tc>
          <w:tcPr>
            <w:tcW w:w="145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80" w:type="dxa"/>
            <w:vAlign w:val="bottom"/>
            <w:tcBorders>
              <w:bottom w:val="single" w:sz="8" w:color="D4EFF3"/>
            </w:tcBorders>
          </w:tcPr>
          <w:p>
            <w:pPr>
              <w:spacing w:after="0"/>
              <w:rPr>
                <w:sz w:val="21"/>
                <w:szCs w:val="21"/>
                <w:color w:val="auto"/>
              </w:rPr>
            </w:pPr>
          </w:p>
        </w:tc>
        <w:tc>
          <w:tcPr>
            <w:tcW w:w="248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tcBorders>
              <w:bottom w:val="single" w:sz="8" w:color="D4EFF3"/>
            </w:tcBorders>
          </w:tcPr>
          <w:p>
            <w:pPr>
              <w:ind w:left="60"/>
              <w:spacing w:after="0"/>
              <w:rPr>
                <w:sz w:val="20"/>
                <w:szCs w:val="20"/>
                <w:color w:val="auto"/>
              </w:rPr>
            </w:pPr>
            <w:r>
              <w:rPr>
                <w:rFonts w:ascii="Times New Roman" w:cs="Times New Roman" w:eastAsia="Times New Roman" w:hAnsi="Times New Roman"/>
                <w:sz w:val="20"/>
                <w:szCs w:val="20"/>
                <w:color w:val="auto"/>
                <w:w w:val="95"/>
              </w:rPr>
              <w:t>%</w:t>
            </w:r>
          </w:p>
        </w:tc>
      </w:tr>
      <w:tr>
        <w:trPr>
          <w:trHeight w:val="225"/>
        </w:trPr>
        <w:tc>
          <w:tcPr>
            <w:tcW w:w="3180" w:type="dxa"/>
            <w:vAlign w:val="bottom"/>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Preclinical and other</w:t>
            </w:r>
          </w:p>
        </w:tc>
        <w:tc>
          <w:tcPr>
            <w:tcW w:w="80" w:type="dxa"/>
            <w:vAlign w:val="bottom"/>
            <w:shd w:val="clear" w:color="auto" w:fill="D4EFF3"/>
          </w:tcPr>
          <w:p>
            <w:pPr>
              <w:spacing w:after="0"/>
              <w:rPr>
                <w:sz w:val="19"/>
                <w:szCs w:val="19"/>
                <w:color w:val="auto"/>
              </w:rPr>
            </w:pPr>
          </w:p>
        </w:tc>
        <w:tc>
          <w:tcPr>
            <w:tcW w:w="100" w:type="dxa"/>
            <w:vAlign w:val="bottom"/>
            <w:tcBorders>
              <w:bottom w:val="single" w:sz="8" w:color="auto"/>
            </w:tcBorders>
            <w:shd w:val="clear" w:color="auto" w:fill="D4EFF3"/>
          </w:tcPr>
          <w:p>
            <w:pPr>
              <w:spacing w:after="0"/>
              <w:rPr>
                <w:sz w:val="19"/>
                <w:szCs w:val="19"/>
                <w:color w:val="auto"/>
              </w:rPr>
            </w:pPr>
          </w:p>
        </w:tc>
        <w:tc>
          <w:tcPr>
            <w:tcW w:w="560" w:type="dxa"/>
            <w:vAlign w:val="bottom"/>
            <w:tcBorders>
              <w:bottom w:val="single" w:sz="8" w:color="auto"/>
            </w:tcBorders>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1,108</w:t>
            </w:r>
          </w:p>
        </w:tc>
        <w:tc>
          <w:tcPr>
            <w:tcW w:w="140" w:type="dxa"/>
            <w:vAlign w:val="bottom"/>
            <w:tcBorders>
              <w:right w:val="single" w:sz="8" w:color="D4EFF3"/>
            </w:tcBorders>
            <w:shd w:val="clear" w:color="auto" w:fill="D4EFF3"/>
          </w:tcPr>
          <w:p>
            <w:pPr>
              <w:spacing w:after="0"/>
              <w:rPr>
                <w:sz w:val="19"/>
                <w:szCs w:val="19"/>
                <w:color w:val="auto"/>
              </w:rPr>
            </w:pPr>
          </w:p>
        </w:tc>
        <w:tc>
          <w:tcPr>
            <w:tcW w:w="110" w:type="dxa"/>
            <w:vAlign w:val="bottom"/>
            <w:tcBorders>
              <w:bottom w:val="single" w:sz="8" w:color="auto"/>
            </w:tcBorders>
            <w:shd w:val="clear" w:color="auto" w:fill="D4EFF3"/>
          </w:tcPr>
          <w:p>
            <w:pPr>
              <w:spacing w:after="0"/>
              <w:rPr>
                <w:sz w:val="19"/>
                <w:szCs w:val="19"/>
                <w:color w:val="auto"/>
              </w:rPr>
            </w:pPr>
          </w:p>
        </w:tc>
        <w:tc>
          <w:tcPr>
            <w:tcW w:w="690" w:type="dxa"/>
            <w:vAlign w:val="bottom"/>
            <w:tcBorders>
              <w:bottom w:val="single" w:sz="8" w:color="auto"/>
              <w:right w:val="single" w:sz="8" w:color="D4EFF3"/>
            </w:tcBorders>
            <w:shd w:val="clear" w:color="auto" w:fill="D4EFF3"/>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2,279</w:t>
            </w:r>
          </w:p>
        </w:tc>
        <w:tc>
          <w:tcPr>
            <w:tcW w:w="250" w:type="dxa"/>
            <w:vAlign w:val="bottom"/>
            <w:tcBorders>
              <w:bottom w:val="single" w:sz="8" w:color="auto"/>
            </w:tcBorders>
            <w:shd w:val="clear" w:color="auto" w:fill="D4EFF3"/>
          </w:tcPr>
          <w:p>
            <w:pPr>
              <w:spacing w:after="0"/>
              <w:rPr>
                <w:sz w:val="19"/>
                <w:szCs w:val="19"/>
                <w:color w:val="auto"/>
              </w:rPr>
            </w:pPr>
          </w:p>
        </w:tc>
        <w:tc>
          <w:tcPr>
            <w:tcW w:w="1370" w:type="dxa"/>
            <w:vAlign w:val="bottom"/>
            <w:tcBorders>
              <w:bottom w:val="single" w:sz="8" w:color="auto"/>
            </w:tcBorders>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(1,171)</w:t>
            </w:r>
          </w:p>
        </w:tc>
        <w:tc>
          <w:tcPr>
            <w:tcW w:w="80" w:type="dxa"/>
            <w:vAlign w:val="bottom"/>
            <w:tcBorders>
              <w:right w:val="single" w:sz="8" w:color="D4EFF3"/>
            </w:tcBorders>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360" w:type="dxa"/>
            <w:vAlign w:val="bottom"/>
            <w:tcBorders>
              <w:bottom w:val="single" w:sz="8" w:color="auto"/>
            </w:tcBorders>
            <w:shd w:val="clear" w:color="auto" w:fill="D4EFF3"/>
          </w:tcPr>
          <w:p>
            <w:pPr>
              <w:spacing w:after="0"/>
              <w:rPr>
                <w:sz w:val="19"/>
                <w:szCs w:val="19"/>
                <w:color w:val="auto"/>
              </w:rPr>
            </w:pPr>
          </w:p>
        </w:tc>
        <w:tc>
          <w:tcPr>
            <w:tcW w:w="2120" w:type="dxa"/>
            <w:vAlign w:val="bottom"/>
            <w:tcBorders>
              <w:bottom w:val="single" w:sz="8" w:color="auto"/>
            </w:tcBorders>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(51)</w:t>
            </w:r>
          </w:p>
        </w:tc>
        <w:tc>
          <w:tcPr>
            <w:tcW w:w="240" w:type="dxa"/>
            <w:vAlign w:val="bottom"/>
            <w:shd w:val="clear" w:color="auto" w:fill="D4EFF3"/>
          </w:tcPr>
          <w:p>
            <w:pPr>
              <w:ind w:left="60"/>
              <w:spacing w:after="0" w:line="225" w:lineRule="exact"/>
              <w:rPr>
                <w:sz w:val="20"/>
                <w:szCs w:val="20"/>
                <w:color w:val="auto"/>
              </w:rPr>
            </w:pPr>
            <w:r>
              <w:rPr>
                <w:rFonts w:ascii="Times New Roman" w:cs="Times New Roman" w:eastAsia="Times New Roman" w:hAnsi="Times New Roman"/>
                <w:sz w:val="20"/>
                <w:szCs w:val="20"/>
                <w:color w:val="auto"/>
                <w:w w:val="95"/>
              </w:rPr>
              <w:t>%</w:t>
            </w:r>
          </w:p>
        </w:tc>
      </w:tr>
      <w:tr>
        <w:trPr>
          <w:trHeight w:val="234"/>
        </w:trPr>
        <w:tc>
          <w:tcPr>
            <w:tcW w:w="3260" w:type="dxa"/>
            <w:vAlign w:val="bottom"/>
            <w:tcBorders>
              <w:bottom w:val="single" w:sz="8" w:color="D4EFF3"/>
            </w:tcBorders>
            <w:gridSpan w:val="2"/>
          </w:tcPr>
          <w:p>
            <w:pPr>
              <w:spacing w:after="0"/>
              <w:rPr>
                <w:sz w:val="20"/>
                <w:szCs w:val="20"/>
                <w:color w:val="auto"/>
              </w:rPr>
            </w:pPr>
            <w:r>
              <w:rPr>
                <w:rFonts w:ascii="Times New Roman" w:cs="Times New Roman" w:eastAsia="Times New Roman" w:hAnsi="Times New Roman"/>
                <w:sz w:val="20"/>
                <w:szCs w:val="20"/>
                <w:color w:val="auto"/>
              </w:rPr>
              <w:t>Total candidate-specific research costs</w:t>
            </w:r>
          </w:p>
        </w:tc>
        <w:tc>
          <w:tcPr>
            <w:tcW w:w="100" w:type="dxa"/>
            <w:vAlign w:val="bottom"/>
            <w:tcBorders>
              <w:bottom w:val="single" w:sz="8" w:color="D1EEF5"/>
            </w:tcBorders>
          </w:tcPr>
          <w:p>
            <w:pPr>
              <w:spacing w:after="0"/>
              <w:rPr>
                <w:sz w:val="20"/>
                <w:szCs w:val="20"/>
                <w:color w:val="auto"/>
              </w:rPr>
            </w:pPr>
          </w:p>
        </w:tc>
        <w:tc>
          <w:tcPr>
            <w:tcW w:w="560" w:type="dxa"/>
            <w:vAlign w:val="bottom"/>
            <w:tcBorders>
              <w:bottom w:val="single" w:sz="8" w:color="D1EEF5"/>
            </w:tcBorders>
          </w:tcPr>
          <w:p>
            <w:pPr>
              <w:jc w:val="right"/>
              <w:spacing w:after="0"/>
              <w:rPr>
                <w:sz w:val="20"/>
                <w:szCs w:val="20"/>
                <w:color w:val="auto"/>
              </w:rPr>
            </w:pPr>
            <w:r>
              <w:rPr>
                <w:rFonts w:ascii="Times New Roman" w:cs="Times New Roman" w:eastAsia="Times New Roman" w:hAnsi="Times New Roman"/>
                <w:sz w:val="20"/>
                <w:szCs w:val="20"/>
                <w:color w:val="auto"/>
              </w:rPr>
              <w:t>6,536</w:t>
            </w:r>
          </w:p>
        </w:tc>
        <w:tc>
          <w:tcPr>
            <w:tcW w:w="140" w:type="dxa"/>
            <w:vAlign w:val="bottom"/>
            <w:tcBorders>
              <w:bottom w:val="single" w:sz="8" w:color="D1EEF5"/>
            </w:tcBorders>
          </w:tcPr>
          <w:p>
            <w:pPr>
              <w:spacing w:after="0"/>
              <w:rPr>
                <w:sz w:val="20"/>
                <w:szCs w:val="20"/>
                <w:color w:val="auto"/>
              </w:rPr>
            </w:pPr>
          </w:p>
        </w:tc>
        <w:tc>
          <w:tcPr>
            <w:tcW w:w="800" w:type="dxa"/>
            <w:vAlign w:val="bottom"/>
            <w:tcBorders>
              <w:bottom w:val="single" w:sz="8" w:color="D1EEF5"/>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18,792</w:t>
            </w:r>
          </w:p>
        </w:tc>
        <w:tc>
          <w:tcPr>
            <w:tcW w:w="250" w:type="dxa"/>
            <w:vAlign w:val="bottom"/>
            <w:tcBorders>
              <w:bottom w:val="single" w:sz="8" w:color="D4EFF3"/>
            </w:tcBorders>
          </w:tcPr>
          <w:p>
            <w:pPr>
              <w:spacing w:after="0"/>
              <w:rPr>
                <w:sz w:val="20"/>
                <w:szCs w:val="20"/>
                <w:color w:val="auto"/>
              </w:rPr>
            </w:pPr>
          </w:p>
        </w:tc>
        <w:tc>
          <w:tcPr>
            <w:tcW w:w="137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(12,256)</w:t>
            </w:r>
          </w:p>
        </w:tc>
        <w:tc>
          <w:tcPr>
            <w:tcW w:w="80" w:type="dxa"/>
            <w:vAlign w:val="bottom"/>
            <w:tcBorders>
              <w:bottom w:val="single" w:sz="8" w:color="D4EFF3"/>
            </w:tcBorders>
          </w:tcPr>
          <w:p>
            <w:pPr>
              <w:spacing w:after="0"/>
              <w:rPr>
                <w:sz w:val="20"/>
                <w:szCs w:val="20"/>
                <w:color w:val="auto"/>
              </w:rPr>
            </w:pPr>
          </w:p>
        </w:tc>
        <w:tc>
          <w:tcPr>
            <w:tcW w:w="80" w:type="dxa"/>
            <w:vAlign w:val="bottom"/>
            <w:tcBorders>
              <w:bottom w:val="single" w:sz="8" w:color="D4EFF3"/>
            </w:tcBorders>
          </w:tcPr>
          <w:p>
            <w:pPr>
              <w:spacing w:after="0"/>
              <w:rPr>
                <w:sz w:val="20"/>
                <w:szCs w:val="20"/>
                <w:color w:val="auto"/>
              </w:rPr>
            </w:pPr>
          </w:p>
        </w:tc>
        <w:tc>
          <w:tcPr>
            <w:tcW w:w="248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40" w:type="dxa"/>
            <w:vAlign w:val="bottom"/>
            <w:tcBorders>
              <w:bottom w:val="single" w:sz="8" w:color="D4EFF3"/>
            </w:tcBorders>
          </w:tcPr>
          <w:p>
            <w:pPr>
              <w:ind w:left="60"/>
              <w:spacing w:after="0"/>
              <w:rPr>
                <w:sz w:val="20"/>
                <w:szCs w:val="20"/>
                <w:color w:val="auto"/>
              </w:rPr>
            </w:pPr>
            <w:r>
              <w:rPr>
                <w:rFonts w:ascii="Times New Roman" w:cs="Times New Roman" w:eastAsia="Times New Roman" w:hAnsi="Times New Roman"/>
                <w:sz w:val="20"/>
                <w:szCs w:val="20"/>
                <w:color w:val="auto"/>
                <w:w w:val="95"/>
              </w:rPr>
              <w:t>%</w:t>
            </w:r>
          </w:p>
        </w:tc>
      </w:tr>
      <w:tr>
        <w:trPr>
          <w:trHeight w:val="222"/>
        </w:trPr>
        <w:tc>
          <w:tcPr>
            <w:tcW w:w="3180" w:type="dxa"/>
            <w:vAlign w:val="bottom"/>
            <w:shd w:val="clear" w:color="auto" w:fill="D4EFF3"/>
          </w:tcPr>
          <w:p>
            <w:pPr>
              <w:spacing w:after="0" w:line="223" w:lineRule="exact"/>
              <w:rPr>
                <w:sz w:val="20"/>
                <w:szCs w:val="20"/>
                <w:color w:val="auto"/>
              </w:rPr>
            </w:pPr>
            <w:r>
              <w:rPr>
                <w:rFonts w:ascii="Times New Roman" w:cs="Times New Roman" w:eastAsia="Times New Roman" w:hAnsi="Times New Roman"/>
                <w:sz w:val="20"/>
                <w:szCs w:val="20"/>
                <w:color w:val="auto"/>
              </w:rPr>
              <w:t>Personnel and other costs</w:t>
            </w:r>
          </w:p>
        </w:tc>
        <w:tc>
          <w:tcPr>
            <w:tcW w:w="80" w:type="dxa"/>
            <w:vAlign w:val="bottom"/>
            <w:shd w:val="clear" w:color="auto" w:fill="D4EFF3"/>
          </w:tcPr>
          <w:p>
            <w:pPr>
              <w:spacing w:after="0"/>
              <w:rPr>
                <w:sz w:val="19"/>
                <w:szCs w:val="19"/>
                <w:color w:val="auto"/>
              </w:rPr>
            </w:pPr>
          </w:p>
        </w:tc>
        <w:tc>
          <w:tcPr>
            <w:tcW w:w="100" w:type="dxa"/>
            <w:vAlign w:val="bottom"/>
            <w:shd w:val="clear" w:color="auto" w:fill="D1EEF5"/>
          </w:tcPr>
          <w:p>
            <w:pPr>
              <w:spacing w:after="0"/>
              <w:rPr>
                <w:sz w:val="19"/>
                <w:szCs w:val="19"/>
                <w:color w:val="auto"/>
              </w:rPr>
            </w:pPr>
          </w:p>
        </w:tc>
        <w:tc>
          <w:tcPr>
            <w:tcW w:w="560" w:type="dxa"/>
            <w:vAlign w:val="bottom"/>
            <w:shd w:val="clear" w:color="auto" w:fill="D1EEF5"/>
          </w:tcPr>
          <w:p>
            <w:pPr>
              <w:jc w:val="right"/>
              <w:spacing w:after="0" w:line="223" w:lineRule="exact"/>
              <w:rPr>
                <w:sz w:val="20"/>
                <w:szCs w:val="20"/>
                <w:color w:val="auto"/>
              </w:rPr>
            </w:pPr>
            <w:r>
              <w:rPr>
                <w:rFonts w:ascii="Times New Roman" w:cs="Times New Roman" w:eastAsia="Times New Roman" w:hAnsi="Times New Roman"/>
                <w:sz w:val="20"/>
                <w:szCs w:val="20"/>
                <w:color w:val="auto"/>
              </w:rPr>
              <w:t>4,677</w:t>
            </w:r>
          </w:p>
        </w:tc>
        <w:tc>
          <w:tcPr>
            <w:tcW w:w="140" w:type="dxa"/>
            <w:vAlign w:val="bottom"/>
            <w:tcBorders>
              <w:right w:val="single" w:sz="8" w:color="D1EEF5"/>
            </w:tcBorders>
            <w:shd w:val="clear" w:color="auto" w:fill="D1EEF5"/>
          </w:tcPr>
          <w:p>
            <w:pPr>
              <w:spacing w:after="0"/>
              <w:rPr>
                <w:sz w:val="19"/>
                <w:szCs w:val="19"/>
                <w:color w:val="auto"/>
              </w:rPr>
            </w:pPr>
          </w:p>
        </w:tc>
        <w:tc>
          <w:tcPr>
            <w:tcW w:w="110" w:type="dxa"/>
            <w:vAlign w:val="bottom"/>
            <w:shd w:val="clear" w:color="auto" w:fill="D1EEF5"/>
          </w:tcPr>
          <w:p>
            <w:pPr>
              <w:spacing w:after="0"/>
              <w:rPr>
                <w:sz w:val="19"/>
                <w:szCs w:val="19"/>
                <w:color w:val="auto"/>
              </w:rPr>
            </w:pPr>
          </w:p>
        </w:tc>
        <w:tc>
          <w:tcPr>
            <w:tcW w:w="690" w:type="dxa"/>
            <w:vAlign w:val="bottom"/>
            <w:tcBorders>
              <w:right w:val="single" w:sz="8" w:color="D1EEF5"/>
            </w:tcBorders>
            <w:shd w:val="clear" w:color="auto" w:fill="D1EEF5"/>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7,108</w:t>
            </w:r>
          </w:p>
        </w:tc>
        <w:tc>
          <w:tcPr>
            <w:tcW w:w="250" w:type="dxa"/>
            <w:vAlign w:val="bottom"/>
            <w:shd w:val="clear" w:color="auto" w:fill="D4EFF3"/>
          </w:tcPr>
          <w:p>
            <w:pPr>
              <w:spacing w:after="0"/>
              <w:rPr>
                <w:sz w:val="19"/>
                <w:szCs w:val="19"/>
                <w:color w:val="auto"/>
              </w:rPr>
            </w:pPr>
          </w:p>
        </w:tc>
        <w:tc>
          <w:tcPr>
            <w:tcW w:w="1370" w:type="dxa"/>
            <w:vAlign w:val="bottom"/>
            <w:shd w:val="clear" w:color="auto" w:fill="D4EFF3"/>
          </w:tcPr>
          <w:p>
            <w:pPr>
              <w:jc w:val="right"/>
              <w:spacing w:after="0" w:line="223" w:lineRule="exact"/>
              <w:rPr>
                <w:sz w:val="20"/>
                <w:szCs w:val="20"/>
                <w:color w:val="auto"/>
              </w:rPr>
            </w:pPr>
            <w:r>
              <w:rPr>
                <w:rFonts w:ascii="Times New Roman" w:cs="Times New Roman" w:eastAsia="Times New Roman" w:hAnsi="Times New Roman"/>
                <w:sz w:val="20"/>
                <w:szCs w:val="20"/>
                <w:color w:val="auto"/>
              </w:rPr>
              <w:t>(2,431)</w:t>
            </w:r>
          </w:p>
        </w:tc>
        <w:tc>
          <w:tcPr>
            <w:tcW w:w="80" w:type="dxa"/>
            <w:vAlign w:val="bottom"/>
            <w:tcBorders>
              <w:right w:val="single" w:sz="8" w:color="D4EFF3"/>
            </w:tcBorders>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360" w:type="dxa"/>
            <w:vAlign w:val="bottom"/>
            <w:shd w:val="clear" w:color="auto" w:fill="D4EFF3"/>
          </w:tcPr>
          <w:p>
            <w:pPr>
              <w:spacing w:after="0"/>
              <w:rPr>
                <w:sz w:val="19"/>
                <w:szCs w:val="19"/>
                <w:color w:val="auto"/>
              </w:rPr>
            </w:pPr>
          </w:p>
        </w:tc>
        <w:tc>
          <w:tcPr>
            <w:tcW w:w="2120" w:type="dxa"/>
            <w:vAlign w:val="bottom"/>
            <w:shd w:val="clear" w:color="auto" w:fill="D4EFF3"/>
          </w:tcPr>
          <w:p>
            <w:pPr>
              <w:jc w:val="right"/>
              <w:spacing w:after="0" w:line="223" w:lineRule="exact"/>
              <w:rPr>
                <w:sz w:val="20"/>
                <w:szCs w:val="20"/>
                <w:color w:val="auto"/>
              </w:rPr>
            </w:pPr>
            <w:r>
              <w:rPr>
                <w:rFonts w:ascii="Times New Roman" w:cs="Times New Roman" w:eastAsia="Times New Roman" w:hAnsi="Times New Roman"/>
                <w:sz w:val="20"/>
                <w:szCs w:val="20"/>
                <w:color w:val="auto"/>
              </w:rPr>
              <w:t>(34)</w:t>
            </w:r>
          </w:p>
        </w:tc>
        <w:tc>
          <w:tcPr>
            <w:tcW w:w="240" w:type="dxa"/>
            <w:vAlign w:val="bottom"/>
            <w:shd w:val="clear" w:color="auto" w:fill="D4EFF3"/>
          </w:tcPr>
          <w:p>
            <w:pPr>
              <w:ind w:left="60"/>
              <w:spacing w:after="0" w:line="223" w:lineRule="exact"/>
              <w:rPr>
                <w:sz w:val="20"/>
                <w:szCs w:val="20"/>
                <w:color w:val="auto"/>
              </w:rPr>
            </w:pPr>
            <w:r>
              <w:rPr>
                <w:rFonts w:ascii="Times New Roman" w:cs="Times New Roman" w:eastAsia="Times New Roman" w:hAnsi="Times New Roman"/>
                <w:sz w:val="20"/>
                <w:szCs w:val="20"/>
                <w:color w:val="auto"/>
                <w:w w:val="95"/>
              </w:rPr>
              <w:t>%</w:t>
            </w:r>
          </w:p>
        </w:tc>
      </w:tr>
      <w:tr>
        <w:trPr>
          <w:trHeight w:val="245"/>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and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9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137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4"/>
        </w:trPr>
        <w:tc>
          <w:tcPr>
            <w:tcW w:w="318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80" w:type="dxa"/>
            <w:vAlign w:val="bottom"/>
            <w:tcBorders>
              <w:bottom w:val="single" w:sz="8" w:color="D1EEF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w:t>
            </w:r>
          </w:p>
        </w:tc>
        <w:tc>
          <w:tcPr>
            <w:tcW w:w="140" w:type="dxa"/>
            <w:vAlign w:val="bottom"/>
            <w:tcBorders>
              <w:bottom w:val="single" w:sz="8" w:color="D1EEF5"/>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69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2,576</w:t>
            </w:r>
          </w:p>
        </w:tc>
        <w:tc>
          <w:tcPr>
            <w:tcW w:w="250" w:type="dxa"/>
            <w:vAlign w:val="bottom"/>
            <w:tcBorders>
              <w:bottom w:val="single" w:sz="8" w:color="auto"/>
            </w:tcBorders>
          </w:tcPr>
          <w:p>
            <w:pPr>
              <w:spacing w:after="0"/>
              <w:rPr>
                <w:sz w:val="20"/>
                <w:szCs w:val="20"/>
                <w:color w:val="auto"/>
              </w:rPr>
            </w:pPr>
          </w:p>
        </w:tc>
        <w:tc>
          <w:tcPr>
            <w:tcW w:w="13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w:t>
            </w:r>
          </w:p>
        </w:tc>
        <w:tc>
          <w:tcPr>
            <w:tcW w:w="80" w:type="dxa"/>
            <w:vAlign w:val="bottom"/>
            <w:tcBorders>
              <w:bottom w:val="single" w:sz="8" w:color="D1EEF5"/>
            </w:tcBorders>
          </w:tcPr>
          <w:p>
            <w:pPr>
              <w:spacing w:after="0"/>
              <w:rPr>
                <w:sz w:val="20"/>
                <w:szCs w:val="20"/>
                <w:color w:val="auto"/>
              </w:rPr>
            </w:pPr>
          </w:p>
        </w:tc>
        <w:tc>
          <w:tcPr>
            <w:tcW w:w="80" w:type="dxa"/>
            <w:vAlign w:val="bottom"/>
            <w:tcBorders>
              <w:bottom w:val="single" w:sz="8" w:color="D4EFF3"/>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40" w:type="dxa"/>
            <w:vAlign w:val="bottom"/>
            <w:tcBorders>
              <w:bottom w:val="single" w:sz="8" w:color="D1EEF5"/>
            </w:tcBorders>
          </w:tcPr>
          <w:p>
            <w:pPr>
              <w:ind w:left="60"/>
              <w:spacing w:after="0"/>
              <w:rPr>
                <w:sz w:val="20"/>
                <w:szCs w:val="20"/>
                <w:color w:val="auto"/>
              </w:rPr>
            </w:pPr>
            <w:r>
              <w:rPr>
                <w:rFonts w:ascii="Times New Roman" w:cs="Times New Roman" w:eastAsia="Times New Roman" w:hAnsi="Times New Roman"/>
                <w:sz w:val="20"/>
                <w:szCs w:val="20"/>
                <w:color w:val="auto"/>
                <w:w w:val="95"/>
              </w:rPr>
              <w:t>%</w:t>
            </w:r>
          </w:p>
        </w:tc>
      </w:tr>
      <w:tr>
        <w:trPr>
          <w:trHeight w:val="230"/>
        </w:trPr>
        <w:tc>
          <w:tcPr>
            <w:tcW w:w="31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Total research and development</w:t>
            </w:r>
          </w:p>
        </w:tc>
        <w:tc>
          <w:tcPr>
            <w:tcW w:w="80" w:type="dxa"/>
            <w:vAlign w:val="bottom"/>
            <w:shd w:val="clear" w:color="auto" w:fill="D1EEF5"/>
          </w:tcPr>
          <w:p>
            <w:pPr>
              <w:spacing w:after="0"/>
              <w:rPr>
                <w:sz w:val="20"/>
                <w:szCs w:val="20"/>
                <w:color w:val="auto"/>
              </w:rPr>
            </w:pPr>
          </w:p>
        </w:tc>
        <w:tc>
          <w:tcPr>
            <w:tcW w:w="100" w:type="dxa"/>
            <w:vAlign w:val="bottom"/>
            <w:shd w:val="clear" w:color="auto" w:fill="D1EEF5"/>
          </w:tcPr>
          <w:p>
            <w:pPr>
              <w:spacing w:after="0"/>
              <w:rPr>
                <w:sz w:val="20"/>
                <w:szCs w:val="20"/>
                <w:color w:val="auto"/>
              </w:rPr>
            </w:pPr>
          </w:p>
        </w:tc>
        <w:tc>
          <w:tcPr>
            <w:tcW w:w="560" w:type="dxa"/>
            <w:vAlign w:val="bottom"/>
            <w:shd w:val="clear" w:color="auto" w:fill="D1EEF5"/>
          </w:tcPr>
          <w:p>
            <w:pPr>
              <w:spacing w:after="0"/>
              <w:rPr>
                <w:sz w:val="20"/>
                <w:szCs w:val="20"/>
                <w:color w:val="auto"/>
              </w:rPr>
            </w:pPr>
          </w:p>
        </w:tc>
        <w:tc>
          <w:tcPr>
            <w:tcW w:w="140" w:type="dxa"/>
            <w:vAlign w:val="bottom"/>
            <w:tcBorders>
              <w:right w:val="single" w:sz="8" w:color="D4EFF3"/>
            </w:tcBorders>
            <w:shd w:val="clear" w:color="auto" w:fill="D1EEF5"/>
          </w:tcPr>
          <w:p>
            <w:pPr>
              <w:spacing w:after="0"/>
              <w:rPr>
                <w:sz w:val="20"/>
                <w:szCs w:val="20"/>
                <w:color w:val="auto"/>
              </w:rPr>
            </w:pPr>
          </w:p>
        </w:tc>
        <w:tc>
          <w:tcPr>
            <w:tcW w:w="110" w:type="dxa"/>
            <w:vAlign w:val="bottom"/>
            <w:shd w:val="clear" w:color="auto" w:fill="D1EEF5"/>
          </w:tcPr>
          <w:p>
            <w:pPr>
              <w:spacing w:after="0"/>
              <w:rPr>
                <w:sz w:val="20"/>
                <w:szCs w:val="20"/>
                <w:color w:val="auto"/>
              </w:rPr>
            </w:pPr>
          </w:p>
        </w:tc>
        <w:tc>
          <w:tcPr>
            <w:tcW w:w="690" w:type="dxa"/>
            <w:vAlign w:val="bottom"/>
            <w:tcBorders>
              <w:right w:val="single" w:sz="8" w:color="D1EEF5"/>
            </w:tcBorders>
            <w:shd w:val="clear" w:color="auto" w:fill="D1EEF5"/>
          </w:tcPr>
          <w:p>
            <w:pPr>
              <w:spacing w:after="0"/>
              <w:rPr>
                <w:sz w:val="20"/>
                <w:szCs w:val="20"/>
                <w:color w:val="auto"/>
              </w:rPr>
            </w:pPr>
          </w:p>
        </w:tc>
        <w:tc>
          <w:tcPr>
            <w:tcW w:w="250" w:type="dxa"/>
            <w:vAlign w:val="bottom"/>
            <w:shd w:val="clear" w:color="auto" w:fill="D1EEF5"/>
          </w:tcPr>
          <w:p>
            <w:pPr>
              <w:spacing w:after="0"/>
              <w:rPr>
                <w:sz w:val="20"/>
                <w:szCs w:val="20"/>
                <w:color w:val="auto"/>
              </w:rPr>
            </w:pPr>
          </w:p>
        </w:tc>
        <w:tc>
          <w:tcPr>
            <w:tcW w:w="1370" w:type="dxa"/>
            <w:vAlign w:val="bottom"/>
            <w:shd w:val="clear" w:color="auto" w:fill="D1EEF5"/>
          </w:tcPr>
          <w:p>
            <w:pPr>
              <w:spacing w:after="0"/>
              <w:rPr>
                <w:sz w:val="20"/>
                <w:szCs w:val="20"/>
                <w:color w:val="auto"/>
              </w:rPr>
            </w:pPr>
          </w:p>
        </w:tc>
        <w:tc>
          <w:tcPr>
            <w:tcW w:w="80" w:type="dxa"/>
            <w:vAlign w:val="bottom"/>
            <w:tcBorders>
              <w:right w:val="single" w:sz="8" w:color="D1EEF5"/>
            </w:tcBorders>
            <w:shd w:val="clear" w:color="auto" w:fill="D1EEF5"/>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360" w:type="dxa"/>
            <w:vAlign w:val="bottom"/>
            <w:shd w:val="clear" w:color="auto" w:fill="D1EEF5"/>
          </w:tcPr>
          <w:p>
            <w:pPr>
              <w:spacing w:after="0"/>
              <w:rPr>
                <w:sz w:val="20"/>
                <w:szCs w:val="20"/>
                <w:color w:val="auto"/>
              </w:rPr>
            </w:pPr>
          </w:p>
        </w:tc>
        <w:tc>
          <w:tcPr>
            <w:tcW w:w="2120" w:type="dxa"/>
            <w:vAlign w:val="bottom"/>
            <w:shd w:val="clear" w:color="auto" w:fill="D1EEF5"/>
          </w:tcPr>
          <w:p>
            <w:pPr>
              <w:spacing w:after="0"/>
              <w:rPr>
                <w:sz w:val="20"/>
                <w:szCs w:val="20"/>
                <w:color w:val="auto"/>
              </w:rPr>
            </w:pPr>
          </w:p>
        </w:tc>
        <w:tc>
          <w:tcPr>
            <w:tcW w:w="240" w:type="dxa"/>
            <w:vAlign w:val="bottom"/>
            <w:shd w:val="clear" w:color="auto" w:fill="D1EEF5"/>
          </w:tcPr>
          <w:p>
            <w:pPr>
              <w:spacing w:after="0"/>
              <w:rPr>
                <w:sz w:val="20"/>
                <w:szCs w:val="20"/>
                <w:color w:val="auto"/>
              </w:rPr>
            </w:pPr>
          </w:p>
        </w:tc>
      </w:tr>
      <w:tr>
        <w:trPr>
          <w:trHeight w:val="248"/>
        </w:trPr>
        <w:tc>
          <w:tcPr>
            <w:tcW w:w="3180" w:type="dxa"/>
            <w:vAlign w:val="bottom"/>
            <w:tcBorders>
              <w:bottom w:val="single" w:sz="8" w:color="D4EFF3"/>
            </w:tcBorders>
            <w:shd w:val="clear" w:color="auto" w:fill="D4EFF3"/>
          </w:tcPr>
          <w:p>
            <w:pPr>
              <w:spacing w:after="0" w:line="228" w:lineRule="exact"/>
              <w:rPr>
                <w:sz w:val="20"/>
                <w:szCs w:val="20"/>
                <w:color w:val="auto"/>
              </w:rPr>
            </w:pPr>
            <w:r>
              <w:rPr>
                <w:rFonts w:ascii="Times New Roman" w:cs="Times New Roman" w:eastAsia="Times New Roman" w:hAnsi="Times New Roman"/>
                <w:sz w:val="20"/>
                <w:szCs w:val="20"/>
                <w:color w:val="auto"/>
              </w:rPr>
              <w:t>expenses</w:t>
            </w:r>
          </w:p>
        </w:tc>
        <w:tc>
          <w:tcPr>
            <w:tcW w:w="80" w:type="dxa"/>
            <w:vAlign w:val="bottom"/>
            <w:tcBorders>
              <w:bottom w:val="single" w:sz="8" w:color="D1EEF5"/>
            </w:tcBorders>
            <w:shd w:val="clear" w:color="auto" w:fill="D1EEF5"/>
          </w:tcPr>
          <w:p>
            <w:pPr>
              <w:spacing w:after="0"/>
              <w:rPr>
                <w:sz w:val="21"/>
                <w:szCs w:val="21"/>
                <w:color w:val="auto"/>
              </w:rPr>
            </w:pPr>
          </w:p>
        </w:tc>
        <w:tc>
          <w:tcPr>
            <w:tcW w:w="100" w:type="dxa"/>
            <w:vAlign w:val="bottom"/>
            <w:tcBorders>
              <w:bottom w:val="single" w:sz="8" w:color="auto"/>
            </w:tcBorders>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1EEF5"/>
              </w:rPr>
              <w:t>$</w:t>
            </w:r>
          </w:p>
        </w:tc>
        <w:tc>
          <w:tcPr>
            <w:tcW w:w="560" w:type="dxa"/>
            <w:vAlign w:val="bottom"/>
            <w:tcBorders>
              <w:bottom w:val="single" w:sz="8" w:color="auto"/>
            </w:tcBorders>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w w:val="98"/>
                <w:shd w:val="clear" w:color="auto" w:fill="D1EEF5"/>
              </w:rPr>
              <w:t>12,606</w:t>
            </w:r>
          </w:p>
        </w:tc>
        <w:tc>
          <w:tcPr>
            <w:tcW w:w="140" w:type="dxa"/>
            <w:vAlign w:val="bottom"/>
            <w:tcBorders>
              <w:bottom w:val="single" w:sz="8" w:color="D1EEF5"/>
              <w:right w:val="single" w:sz="8" w:color="D4EFF3"/>
            </w:tcBorders>
            <w:shd w:val="clear" w:color="auto" w:fill="D1EEF5"/>
          </w:tcPr>
          <w:p>
            <w:pPr>
              <w:spacing w:after="0"/>
              <w:rPr>
                <w:sz w:val="21"/>
                <w:szCs w:val="21"/>
                <w:color w:val="auto"/>
              </w:rPr>
            </w:pPr>
          </w:p>
        </w:tc>
        <w:tc>
          <w:tcPr>
            <w:tcW w:w="110" w:type="dxa"/>
            <w:vAlign w:val="bottom"/>
            <w:tcBorders>
              <w:bottom w:val="single" w:sz="8" w:color="auto"/>
            </w:tcBorders>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u w:val="single" w:color="auto"/>
                <w:color w:val="auto"/>
                <w:w w:val="79"/>
                <w:shd w:val="clear" w:color="auto" w:fill="D1EEF5"/>
              </w:rPr>
              <w:t>$</w:t>
            </w:r>
          </w:p>
        </w:tc>
        <w:tc>
          <w:tcPr>
            <w:tcW w:w="690" w:type="dxa"/>
            <w:vAlign w:val="bottom"/>
            <w:tcBorders>
              <w:bottom w:val="single" w:sz="8" w:color="auto"/>
              <w:right w:val="single" w:sz="8" w:color="D1EEF5"/>
            </w:tcBorders>
            <w:shd w:val="clear" w:color="auto" w:fill="D1EEF5"/>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w w:val="94"/>
                <w:shd w:val="clear" w:color="auto" w:fill="D1EEF5"/>
              </w:rPr>
              <w:t>28,476</w:t>
            </w:r>
          </w:p>
        </w:tc>
        <w:tc>
          <w:tcPr>
            <w:tcW w:w="250" w:type="dxa"/>
            <w:vAlign w:val="bottom"/>
            <w:tcBorders>
              <w:bottom w:val="single" w:sz="8" w:color="auto"/>
            </w:tcBorders>
            <w:shd w:val="clear" w:color="auto" w:fill="D1EEF5"/>
          </w:tcPr>
          <w:p>
            <w:pPr>
              <w:jc w:val="right"/>
              <w:ind w:right="50"/>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1EEF5"/>
              </w:rPr>
              <w:t>$</w:t>
            </w:r>
          </w:p>
        </w:tc>
        <w:tc>
          <w:tcPr>
            <w:tcW w:w="1370" w:type="dxa"/>
            <w:vAlign w:val="bottom"/>
            <w:tcBorders>
              <w:bottom w:val="single" w:sz="8" w:color="auto"/>
            </w:tcBorders>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rPr>
              <w:t>(15,870)</w:t>
            </w:r>
          </w:p>
        </w:tc>
        <w:tc>
          <w:tcPr>
            <w:tcW w:w="80" w:type="dxa"/>
            <w:vAlign w:val="bottom"/>
            <w:tcBorders>
              <w:bottom w:val="single" w:sz="8" w:color="D1EEF5"/>
              <w:right w:val="single" w:sz="8" w:color="D1EEF5"/>
            </w:tcBorders>
            <w:shd w:val="clear" w:color="auto" w:fill="D1EEF5"/>
          </w:tcPr>
          <w:p>
            <w:pPr>
              <w:spacing w:after="0"/>
              <w:rPr>
                <w:sz w:val="21"/>
                <w:szCs w:val="21"/>
                <w:color w:val="auto"/>
              </w:rPr>
            </w:pPr>
          </w:p>
        </w:tc>
        <w:tc>
          <w:tcPr>
            <w:tcW w:w="80" w:type="dxa"/>
            <w:vAlign w:val="bottom"/>
            <w:tcBorders>
              <w:bottom w:val="single" w:sz="8" w:color="D4EFF3"/>
            </w:tcBorders>
            <w:shd w:val="clear" w:color="auto" w:fill="D4EFF3"/>
          </w:tcPr>
          <w:p>
            <w:pPr>
              <w:spacing w:after="0"/>
              <w:rPr>
                <w:sz w:val="21"/>
                <w:szCs w:val="21"/>
                <w:color w:val="auto"/>
              </w:rPr>
            </w:pPr>
          </w:p>
        </w:tc>
        <w:tc>
          <w:tcPr>
            <w:tcW w:w="360" w:type="dxa"/>
            <w:vAlign w:val="bottom"/>
            <w:tcBorders>
              <w:bottom w:val="single" w:sz="8" w:color="auto"/>
            </w:tcBorders>
            <w:shd w:val="clear" w:color="auto" w:fill="D1EEF5"/>
          </w:tcPr>
          <w:p>
            <w:pPr>
              <w:spacing w:after="0"/>
              <w:rPr>
                <w:sz w:val="21"/>
                <w:szCs w:val="21"/>
                <w:color w:val="auto"/>
              </w:rPr>
            </w:pPr>
          </w:p>
        </w:tc>
        <w:tc>
          <w:tcPr>
            <w:tcW w:w="2120" w:type="dxa"/>
            <w:vAlign w:val="bottom"/>
            <w:tcBorders>
              <w:bottom w:val="single" w:sz="8" w:color="auto"/>
            </w:tcBorders>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rPr>
              <w:t>(56)</w:t>
            </w:r>
          </w:p>
        </w:tc>
        <w:tc>
          <w:tcPr>
            <w:tcW w:w="240" w:type="dxa"/>
            <w:vAlign w:val="bottom"/>
            <w:tcBorders>
              <w:bottom w:val="single" w:sz="8" w:color="D1EEF5"/>
            </w:tcBorders>
            <w:shd w:val="clear" w:color="auto" w:fill="D1EEF5"/>
          </w:tcPr>
          <w:p>
            <w:pPr>
              <w:ind w:left="60"/>
              <w:spacing w:after="0" w:line="228" w:lineRule="exact"/>
              <w:rPr>
                <w:sz w:val="20"/>
                <w:szCs w:val="20"/>
                <w:color w:val="auto"/>
              </w:rPr>
            </w:pPr>
            <w:r>
              <w:rPr>
                <w:rFonts w:ascii="Times New Roman" w:cs="Times New Roman" w:eastAsia="Times New Roman" w:hAnsi="Times New Roman"/>
                <w:sz w:val="20"/>
                <w:szCs w:val="20"/>
                <w:color w:val="auto"/>
                <w:w w:val="95"/>
              </w:rPr>
              <w:t>%</w:t>
            </w: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90" w:type="dxa"/>
            <w:vAlign w:val="bottom"/>
            <w:tcBorders>
              <w:bottom w:val="single" w:sz="8" w:color="auto"/>
            </w:tcBorders>
          </w:tcPr>
          <w:p>
            <w:pPr>
              <w:spacing w:after="0" w:line="20" w:lineRule="exact"/>
              <w:rPr>
                <w:sz w:val="1"/>
                <w:szCs w:val="1"/>
                <w:color w:val="auto"/>
              </w:rPr>
            </w:pPr>
          </w:p>
        </w:tc>
        <w:tc>
          <w:tcPr>
            <w:tcW w:w="250" w:type="dxa"/>
            <w:vAlign w:val="bottom"/>
            <w:tcBorders>
              <w:bottom w:val="single" w:sz="8" w:color="auto"/>
            </w:tcBorders>
          </w:tcPr>
          <w:p>
            <w:pPr>
              <w:spacing w:after="0" w:line="20" w:lineRule="exact"/>
              <w:rPr>
                <w:sz w:val="1"/>
                <w:szCs w:val="1"/>
                <w:color w:val="auto"/>
              </w:rPr>
            </w:pPr>
          </w:p>
        </w:tc>
        <w:tc>
          <w:tcPr>
            <w:tcW w:w="137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-629285</wp:posOffset>
                </wp:positionV>
                <wp:extent cx="5944870"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5499pt" to="468.1pt,-49.5499pt" o:allowincell="f" strokecolor="#FFFFFF" strokeweight="0.72pt"/>
            </w:pict>
          </mc:Fallback>
        </mc:AlternateContent>
      </w:r>
    </w:p>
    <w:p>
      <w:pPr>
        <w:sectPr>
          <w:pgSz w:w="12240" w:h="15840" w:orient="portrait"/>
          <w:cols w:equalWidth="0" w:num="1">
            <w:col w:w="9360"/>
          </w:cols>
          <w:pgMar w:left="1440" w:top="1422" w:right="1440" w:bottom="1440" w:gutter="0" w:footer="0" w:header="0"/>
        </w:sectPr>
      </w:pPr>
    </w:p>
    <w:bookmarkStart w:id="109" w:name="page110"/>
    <w:bookmarkEnd w:id="109"/>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for the years ended December 31, 2025 and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250" w:type="dxa"/>
            <w:vAlign w:val="bottom"/>
          </w:tcPr>
          <w:p>
            <w:pPr>
              <w:spacing w:after="0"/>
              <w:rPr>
                <w:sz w:val="20"/>
                <w:szCs w:val="20"/>
                <w:color w:val="auto"/>
              </w:rPr>
            </w:pPr>
          </w:p>
        </w:tc>
        <w:tc>
          <w:tcPr>
            <w:tcW w:w="1530" w:type="dxa"/>
            <w:vAlign w:val="bottom"/>
            <w:gridSpan w:val="2"/>
          </w:tcPr>
          <w:p>
            <w:pPr>
              <w:jc w:val="center"/>
              <w:ind w:right="41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274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Percentage Increase/</w:t>
            </w:r>
          </w:p>
        </w:tc>
      </w:tr>
      <w:tr>
        <w:trPr>
          <w:trHeight w:val="273"/>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50" w:type="dxa"/>
            <w:vAlign w:val="bottom"/>
          </w:tcPr>
          <w:p>
            <w:pPr>
              <w:spacing w:after="0"/>
              <w:rPr>
                <w:sz w:val="23"/>
                <w:szCs w:val="23"/>
                <w:color w:val="auto"/>
              </w:rPr>
            </w:pPr>
          </w:p>
        </w:tc>
        <w:tc>
          <w:tcPr>
            <w:tcW w:w="1530" w:type="dxa"/>
            <w:vAlign w:val="bottom"/>
            <w:gridSpan w:val="2"/>
          </w:tcPr>
          <w:p>
            <w:pPr>
              <w:jc w:val="center"/>
              <w:ind w:right="410"/>
              <w:spacing w:after="0"/>
              <w:rPr>
                <w:sz w:val="20"/>
                <w:szCs w:val="20"/>
                <w:color w:val="auto"/>
              </w:rPr>
            </w:pPr>
            <w:r>
              <w:rPr>
                <w:rFonts w:ascii="Times New Roman" w:cs="Times New Roman" w:eastAsia="Times New Roman" w:hAnsi="Times New Roman"/>
                <w:sz w:val="20"/>
                <w:szCs w:val="20"/>
                <w:b w:val="1"/>
                <w:bCs w:val="1"/>
                <w:color w:val="auto"/>
              </w:rPr>
              <w:t>(Decrease)</w:t>
            </w:r>
          </w:p>
        </w:tc>
        <w:tc>
          <w:tcPr>
            <w:tcW w:w="460" w:type="dxa"/>
            <w:vAlign w:val="bottom"/>
          </w:tcPr>
          <w:p>
            <w:pPr>
              <w:spacing w:after="0"/>
              <w:rPr>
                <w:sz w:val="23"/>
                <w:szCs w:val="23"/>
                <w:color w:val="auto"/>
              </w:rPr>
            </w:pPr>
          </w:p>
        </w:tc>
        <w:tc>
          <w:tcPr>
            <w:tcW w:w="2280" w:type="dxa"/>
            <w:vAlign w:val="bottom"/>
            <w:gridSpan w:val="2"/>
          </w:tcPr>
          <w:p>
            <w:pPr>
              <w:jc w:val="center"/>
              <w:ind w:right="620"/>
              <w:spacing w:after="0"/>
              <w:rPr>
                <w:sz w:val="20"/>
                <w:szCs w:val="20"/>
                <w:color w:val="auto"/>
              </w:rPr>
            </w:pPr>
            <w:r>
              <w:rPr>
                <w:rFonts w:ascii="Times New Roman" w:cs="Times New Roman" w:eastAsia="Times New Roman" w:hAnsi="Times New Roman"/>
                <w:sz w:val="20"/>
                <w:szCs w:val="20"/>
                <w:b w:val="1"/>
                <w:bCs w:val="1"/>
                <w:color w:val="auto"/>
                <w:w w:val="97"/>
              </w:rPr>
              <w:t>(Decrease)</w:t>
            </w:r>
          </w:p>
        </w:tc>
      </w:tr>
      <w:tr>
        <w:trPr>
          <w:trHeight w:val="214"/>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50" w:type="dxa"/>
            <w:vAlign w:val="bottom"/>
          </w:tcPr>
          <w:p>
            <w:pPr>
              <w:spacing w:after="0"/>
              <w:rPr>
                <w:sz w:val="18"/>
                <w:szCs w:val="18"/>
                <w:color w:val="auto"/>
              </w:rPr>
            </w:pPr>
          </w:p>
        </w:tc>
        <w:tc>
          <w:tcPr>
            <w:tcW w:w="139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53"/>
        </w:trPr>
        <w:tc>
          <w:tcPr>
            <w:tcW w:w="3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50" w:type="dxa"/>
            <w:vAlign w:val="bottom"/>
            <w:tcBorders>
              <w:bottom w:val="single" w:sz="8" w:color="auto"/>
            </w:tcBorders>
          </w:tcPr>
          <w:p>
            <w:pPr>
              <w:spacing w:after="0"/>
              <w:rPr>
                <w:sz w:val="21"/>
                <w:szCs w:val="21"/>
                <w:color w:val="auto"/>
              </w:rPr>
            </w:pPr>
          </w:p>
        </w:tc>
        <w:tc>
          <w:tcPr>
            <w:tcW w:w="139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240" w:type="dxa"/>
            <w:vAlign w:val="bottom"/>
          </w:tcPr>
          <w:p>
            <w:pPr>
              <w:spacing w:after="0"/>
              <w:rPr>
                <w:sz w:val="21"/>
                <w:szCs w:val="21"/>
                <w:color w:val="auto"/>
              </w:rPr>
            </w:pPr>
          </w:p>
        </w:tc>
      </w:tr>
      <w:tr>
        <w:trPr>
          <w:trHeight w:val="234"/>
        </w:trPr>
        <w:tc>
          <w:tcPr>
            <w:tcW w:w="3240" w:type="dxa"/>
            <w:vAlign w:val="bottom"/>
            <w:tcBorders>
              <w:bottom w:val="single" w:sz="8" w:color="D4EFF3"/>
            </w:tcBorders>
          </w:tcPr>
          <w:p>
            <w:pPr>
              <w:spacing w:after="0"/>
              <w:rPr>
                <w:sz w:val="20"/>
                <w:szCs w:val="20"/>
                <w:color w:val="auto"/>
              </w:rPr>
            </w:pPr>
          </w:p>
        </w:tc>
        <w:tc>
          <w:tcPr>
            <w:tcW w:w="100" w:type="dxa"/>
            <w:vAlign w:val="bottom"/>
            <w:tcBorders>
              <w:bottom w:val="single" w:sz="8" w:color="D4EFF3"/>
            </w:tcBorders>
          </w:tcPr>
          <w:p>
            <w:pPr>
              <w:spacing w:after="0"/>
              <w:rPr>
                <w:sz w:val="20"/>
                <w:szCs w:val="20"/>
                <w:color w:val="auto"/>
              </w:rPr>
            </w:pPr>
          </w:p>
        </w:tc>
        <w:tc>
          <w:tcPr>
            <w:tcW w:w="1500" w:type="dxa"/>
            <w:vAlign w:val="bottom"/>
            <w:tcBorders>
              <w:bottom w:val="single" w:sz="8" w:color="D4EFF3"/>
            </w:tcBorders>
            <w:gridSpan w:val="3"/>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50" w:type="dxa"/>
            <w:vAlign w:val="bottom"/>
            <w:tcBorders>
              <w:bottom w:val="single" w:sz="8" w:color="D4EFF3"/>
            </w:tcBorders>
          </w:tcPr>
          <w:p>
            <w:pPr>
              <w:spacing w:after="0"/>
              <w:rPr>
                <w:sz w:val="20"/>
                <w:szCs w:val="20"/>
                <w:color w:val="auto"/>
              </w:rPr>
            </w:pPr>
          </w:p>
        </w:tc>
        <w:tc>
          <w:tcPr>
            <w:tcW w:w="1390" w:type="dxa"/>
            <w:vAlign w:val="bottom"/>
            <w:tcBorders>
              <w:bottom w:val="single" w:sz="8" w:color="D4EFF3"/>
            </w:tcBorders>
          </w:tcPr>
          <w:p>
            <w:pPr>
              <w:spacing w:after="0"/>
              <w:rPr>
                <w:sz w:val="20"/>
                <w:szCs w:val="20"/>
                <w:color w:val="auto"/>
              </w:rPr>
            </w:pPr>
          </w:p>
        </w:tc>
        <w:tc>
          <w:tcPr>
            <w:tcW w:w="140" w:type="dxa"/>
            <w:vAlign w:val="bottom"/>
            <w:tcBorders>
              <w:bottom w:val="single" w:sz="8" w:color="D4EFF3"/>
            </w:tcBorders>
          </w:tcPr>
          <w:p>
            <w:pPr>
              <w:spacing w:after="0"/>
              <w:rPr>
                <w:sz w:val="20"/>
                <w:szCs w:val="20"/>
                <w:color w:val="auto"/>
              </w:rPr>
            </w:pPr>
          </w:p>
        </w:tc>
        <w:tc>
          <w:tcPr>
            <w:tcW w:w="460" w:type="dxa"/>
            <w:vAlign w:val="bottom"/>
            <w:tcBorders>
              <w:bottom w:val="single" w:sz="8" w:color="D4EFF3"/>
            </w:tcBorders>
          </w:tcPr>
          <w:p>
            <w:pPr>
              <w:spacing w:after="0"/>
              <w:rPr>
                <w:sz w:val="20"/>
                <w:szCs w:val="20"/>
                <w:color w:val="auto"/>
              </w:rPr>
            </w:pPr>
          </w:p>
        </w:tc>
        <w:tc>
          <w:tcPr>
            <w:tcW w:w="2040" w:type="dxa"/>
            <w:vAlign w:val="bottom"/>
            <w:tcBorders>
              <w:bottom w:val="single" w:sz="8" w:color="D4EFF3"/>
            </w:tcBorders>
          </w:tcPr>
          <w:p>
            <w:pPr>
              <w:spacing w:after="0"/>
              <w:rPr>
                <w:sz w:val="20"/>
                <w:szCs w:val="20"/>
                <w:color w:val="auto"/>
              </w:rPr>
            </w:pPr>
          </w:p>
        </w:tc>
        <w:tc>
          <w:tcPr>
            <w:tcW w:w="240" w:type="dxa"/>
            <w:vAlign w:val="bottom"/>
            <w:tcBorders>
              <w:bottom w:val="single" w:sz="8" w:color="D4EFF3"/>
            </w:tcBorders>
          </w:tcPr>
          <w:p>
            <w:pPr>
              <w:spacing w:after="0"/>
              <w:rPr>
                <w:sz w:val="20"/>
                <w:szCs w:val="20"/>
                <w:color w:val="auto"/>
              </w:rPr>
            </w:pPr>
          </w:p>
        </w:tc>
      </w:tr>
      <w:tr>
        <w:trPr>
          <w:trHeight w:val="225"/>
        </w:trPr>
        <w:tc>
          <w:tcPr>
            <w:tcW w:w="3240" w:type="dxa"/>
            <w:vAlign w:val="bottom"/>
            <w:tcBorders>
              <w:right w:val="single" w:sz="8" w:color="D4EFF3"/>
            </w:tcBorders>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Research and development outside</w:t>
            </w:r>
          </w:p>
        </w:tc>
        <w:tc>
          <w:tcPr>
            <w:tcW w:w="100" w:type="dxa"/>
            <w:vAlign w:val="bottom"/>
            <w:shd w:val="clear" w:color="auto" w:fill="D4EFF3"/>
          </w:tcPr>
          <w:p>
            <w:pPr>
              <w:spacing w:after="0"/>
              <w:rPr>
                <w:sz w:val="19"/>
                <w:szCs w:val="19"/>
                <w:color w:val="auto"/>
              </w:rPr>
            </w:pPr>
          </w:p>
        </w:tc>
        <w:tc>
          <w:tcPr>
            <w:tcW w:w="700" w:type="dxa"/>
            <w:vAlign w:val="bottom"/>
            <w:tcBorders>
              <w:right w:val="single" w:sz="8" w:color="D4EFF3"/>
            </w:tcBorders>
            <w:shd w:val="clear" w:color="auto" w:fill="D4EFF3"/>
          </w:tcPr>
          <w:p>
            <w:pPr>
              <w:spacing w:after="0"/>
              <w:rPr>
                <w:sz w:val="19"/>
                <w:szCs w:val="19"/>
                <w:color w:val="auto"/>
              </w:rPr>
            </w:pPr>
          </w:p>
        </w:tc>
        <w:tc>
          <w:tcPr>
            <w:tcW w:w="110" w:type="dxa"/>
            <w:vAlign w:val="bottom"/>
            <w:shd w:val="clear" w:color="auto" w:fill="D4EFF3"/>
          </w:tcPr>
          <w:p>
            <w:pPr>
              <w:spacing w:after="0"/>
              <w:rPr>
                <w:sz w:val="19"/>
                <w:szCs w:val="19"/>
                <w:color w:val="auto"/>
              </w:rPr>
            </w:pPr>
          </w:p>
        </w:tc>
        <w:tc>
          <w:tcPr>
            <w:tcW w:w="690" w:type="dxa"/>
            <w:vAlign w:val="bottom"/>
            <w:tcBorders>
              <w:right w:val="single" w:sz="8" w:color="D4EFF3"/>
            </w:tcBorders>
            <w:shd w:val="clear" w:color="auto" w:fill="D4EFF3"/>
          </w:tcPr>
          <w:p>
            <w:pPr>
              <w:spacing w:after="0"/>
              <w:rPr>
                <w:sz w:val="19"/>
                <w:szCs w:val="19"/>
                <w:color w:val="auto"/>
              </w:rPr>
            </w:pPr>
          </w:p>
        </w:tc>
        <w:tc>
          <w:tcPr>
            <w:tcW w:w="250" w:type="dxa"/>
            <w:vAlign w:val="bottom"/>
            <w:shd w:val="clear" w:color="auto" w:fill="D4EFF3"/>
          </w:tcPr>
          <w:p>
            <w:pPr>
              <w:spacing w:after="0"/>
              <w:rPr>
                <w:sz w:val="19"/>
                <w:szCs w:val="19"/>
                <w:color w:val="auto"/>
              </w:rPr>
            </w:pPr>
          </w:p>
        </w:tc>
        <w:tc>
          <w:tcPr>
            <w:tcW w:w="1390" w:type="dxa"/>
            <w:vAlign w:val="bottom"/>
            <w:shd w:val="clear" w:color="auto" w:fill="D4EFF3"/>
          </w:tcPr>
          <w:p>
            <w:pPr>
              <w:spacing w:after="0"/>
              <w:rPr>
                <w:sz w:val="19"/>
                <w:szCs w:val="19"/>
                <w:color w:val="auto"/>
              </w:rPr>
            </w:pPr>
          </w:p>
        </w:tc>
        <w:tc>
          <w:tcPr>
            <w:tcW w:w="140" w:type="dxa"/>
            <w:vAlign w:val="bottom"/>
            <w:shd w:val="clear" w:color="auto" w:fill="D4EFF3"/>
          </w:tcPr>
          <w:p>
            <w:pPr>
              <w:spacing w:after="0"/>
              <w:rPr>
                <w:sz w:val="19"/>
                <w:szCs w:val="19"/>
                <w:color w:val="auto"/>
              </w:rPr>
            </w:pPr>
          </w:p>
        </w:tc>
        <w:tc>
          <w:tcPr>
            <w:tcW w:w="460" w:type="dxa"/>
            <w:vAlign w:val="bottom"/>
            <w:shd w:val="clear" w:color="auto" w:fill="D4EFF3"/>
          </w:tcPr>
          <w:p>
            <w:pPr>
              <w:spacing w:after="0"/>
              <w:rPr>
                <w:sz w:val="19"/>
                <w:szCs w:val="19"/>
                <w:color w:val="auto"/>
              </w:rPr>
            </w:pPr>
          </w:p>
        </w:tc>
        <w:tc>
          <w:tcPr>
            <w:tcW w:w="2040" w:type="dxa"/>
            <w:vAlign w:val="bottom"/>
            <w:shd w:val="clear" w:color="auto" w:fill="D4EFF3"/>
          </w:tcPr>
          <w:p>
            <w:pPr>
              <w:spacing w:after="0"/>
              <w:rPr>
                <w:sz w:val="19"/>
                <w:szCs w:val="19"/>
                <w:color w:val="auto"/>
              </w:rPr>
            </w:pPr>
          </w:p>
        </w:tc>
        <w:tc>
          <w:tcPr>
            <w:tcW w:w="240" w:type="dxa"/>
            <w:vAlign w:val="bottom"/>
            <w:shd w:val="clear" w:color="auto" w:fill="D4EFF3"/>
          </w:tcPr>
          <w:p>
            <w:pPr>
              <w:spacing w:after="0"/>
              <w:rPr>
                <w:sz w:val="19"/>
                <w:szCs w:val="19"/>
                <w:color w:val="auto"/>
              </w:rPr>
            </w:pPr>
          </w:p>
        </w:tc>
      </w:tr>
      <w:tr>
        <w:trPr>
          <w:trHeight w:val="228"/>
        </w:trPr>
        <w:tc>
          <w:tcPr>
            <w:tcW w:w="3240" w:type="dxa"/>
            <w:vAlign w:val="bottom"/>
            <w:tcBorders>
              <w:right w:val="single" w:sz="8" w:color="D4EFF3"/>
            </w:tcBorders>
            <w:shd w:val="clear" w:color="auto" w:fill="D4EFF3"/>
          </w:tcPr>
          <w:p>
            <w:pPr>
              <w:spacing w:after="0" w:line="228" w:lineRule="exact"/>
              <w:rPr>
                <w:sz w:val="20"/>
                <w:szCs w:val="20"/>
                <w:color w:val="auto"/>
              </w:rPr>
            </w:pPr>
            <w:r>
              <w:rPr>
                <w:rFonts w:ascii="Times New Roman" w:cs="Times New Roman" w:eastAsia="Times New Roman" w:hAnsi="Times New Roman"/>
                <w:sz w:val="20"/>
                <w:szCs w:val="20"/>
                <w:color w:val="auto"/>
              </w:rPr>
              <w:t>services</w:t>
            </w:r>
          </w:p>
        </w:tc>
        <w:tc>
          <w:tcPr>
            <w:tcW w:w="100" w:type="dxa"/>
            <w:vAlign w:val="bottom"/>
            <w:shd w:val="clear" w:color="auto" w:fill="D4EFF3"/>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700" w:type="dxa"/>
            <w:vAlign w:val="bottom"/>
            <w:tcBorders>
              <w:right w:val="single" w:sz="8" w:color="D4EFF3"/>
            </w:tcBorders>
            <w:shd w:val="clear" w:color="auto" w:fill="D4EFF3"/>
          </w:tcPr>
          <w:p>
            <w:pPr>
              <w:jc w:val="right"/>
              <w:ind w:right="44"/>
              <w:spacing w:after="0" w:line="228" w:lineRule="exact"/>
              <w:rPr>
                <w:sz w:val="20"/>
                <w:szCs w:val="20"/>
                <w:color w:val="auto"/>
              </w:rPr>
            </w:pPr>
            <w:r>
              <w:rPr>
                <w:rFonts w:ascii="Times New Roman" w:cs="Times New Roman" w:eastAsia="Times New Roman" w:hAnsi="Times New Roman"/>
                <w:sz w:val="20"/>
                <w:szCs w:val="20"/>
                <w:color w:val="auto"/>
              </w:rPr>
              <w:t>5,937</w:t>
            </w:r>
          </w:p>
        </w:tc>
        <w:tc>
          <w:tcPr>
            <w:tcW w:w="110" w:type="dxa"/>
            <w:vAlign w:val="bottom"/>
            <w:shd w:val="clear" w:color="auto" w:fill="D4EFF3"/>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690" w:type="dxa"/>
            <w:vAlign w:val="bottom"/>
            <w:tcBorders>
              <w:right w:val="single" w:sz="8" w:color="D4EFF3"/>
            </w:tcBorders>
            <w:shd w:val="clear" w:color="auto" w:fill="D4EFF3"/>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w w:val="94"/>
                <w:shd w:val="clear" w:color="auto" w:fill="D4EFF3"/>
              </w:rPr>
              <w:t>16,501</w:t>
            </w:r>
          </w:p>
        </w:tc>
        <w:tc>
          <w:tcPr>
            <w:tcW w:w="250" w:type="dxa"/>
            <w:vAlign w:val="bottom"/>
            <w:shd w:val="clear" w:color="auto" w:fill="D4EFF3"/>
          </w:tcPr>
          <w:p>
            <w:pPr>
              <w:jc w:val="right"/>
              <w:ind w:right="50"/>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1390" w:type="dxa"/>
            <w:vAlign w:val="bottom"/>
            <w:shd w:val="clear" w:color="auto" w:fill="D4EFF3"/>
          </w:tcPr>
          <w:p>
            <w:pPr>
              <w:jc w:val="right"/>
              <w:spacing w:after="0" w:line="228" w:lineRule="exact"/>
              <w:rPr>
                <w:sz w:val="20"/>
                <w:szCs w:val="20"/>
                <w:color w:val="auto"/>
              </w:rPr>
            </w:pPr>
            <w:r>
              <w:rPr>
                <w:rFonts w:ascii="Times New Roman" w:cs="Times New Roman" w:eastAsia="Times New Roman" w:hAnsi="Times New Roman"/>
                <w:sz w:val="20"/>
                <w:szCs w:val="20"/>
                <w:color w:val="auto"/>
              </w:rPr>
              <w:t>(10,564)</w:t>
            </w:r>
          </w:p>
        </w:tc>
        <w:tc>
          <w:tcPr>
            <w:tcW w:w="140" w:type="dxa"/>
            <w:vAlign w:val="bottom"/>
            <w:shd w:val="clear" w:color="auto" w:fill="D4EFF3"/>
          </w:tcPr>
          <w:p>
            <w:pPr>
              <w:spacing w:after="0"/>
              <w:rPr>
                <w:sz w:val="19"/>
                <w:szCs w:val="19"/>
                <w:color w:val="auto"/>
              </w:rPr>
            </w:pPr>
          </w:p>
        </w:tc>
        <w:tc>
          <w:tcPr>
            <w:tcW w:w="460" w:type="dxa"/>
            <w:vAlign w:val="bottom"/>
            <w:shd w:val="clear" w:color="auto" w:fill="D4EFF3"/>
          </w:tcPr>
          <w:p>
            <w:pPr>
              <w:spacing w:after="0"/>
              <w:rPr>
                <w:sz w:val="19"/>
                <w:szCs w:val="19"/>
                <w:color w:val="auto"/>
              </w:rPr>
            </w:pPr>
          </w:p>
        </w:tc>
        <w:tc>
          <w:tcPr>
            <w:tcW w:w="2040" w:type="dxa"/>
            <w:vAlign w:val="bottom"/>
            <w:shd w:val="clear" w:color="auto" w:fill="D4EFF3"/>
          </w:tcPr>
          <w:p>
            <w:pPr>
              <w:ind w:left="1760"/>
              <w:spacing w:after="0" w:line="228" w:lineRule="exact"/>
              <w:rPr>
                <w:sz w:val="20"/>
                <w:szCs w:val="20"/>
                <w:color w:val="auto"/>
              </w:rPr>
            </w:pPr>
            <w:r>
              <w:rPr>
                <w:rFonts w:ascii="Times New Roman" w:cs="Times New Roman" w:eastAsia="Times New Roman" w:hAnsi="Times New Roman"/>
                <w:sz w:val="20"/>
                <w:szCs w:val="20"/>
                <w:color w:val="auto"/>
                <w:w w:val="77"/>
              </w:rPr>
              <w:t>(64)</w:t>
            </w:r>
          </w:p>
        </w:tc>
        <w:tc>
          <w:tcPr>
            <w:tcW w:w="240" w:type="dxa"/>
            <w:vAlign w:val="bottom"/>
            <w:shd w:val="clear" w:color="auto" w:fill="D4EFF3"/>
          </w:tcPr>
          <w:p>
            <w:pPr>
              <w:ind w:left="60"/>
              <w:spacing w:after="0" w:line="228" w:lineRule="exact"/>
              <w:rPr>
                <w:sz w:val="20"/>
                <w:szCs w:val="20"/>
                <w:color w:val="auto"/>
              </w:rPr>
            </w:pPr>
            <w:r>
              <w:rPr>
                <w:rFonts w:ascii="Times New Roman" w:cs="Times New Roman" w:eastAsia="Times New Roman" w:hAnsi="Times New Roman"/>
                <w:sz w:val="20"/>
                <w:szCs w:val="20"/>
                <w:color w:val="auto"/>
                <w:w w:val="95"/>
              </w:rPr>
              <w:t>%</w:t>
            </w:r>
          </w:p>
        </w:tc>
      </w:tr>
      <w:tr>
        <w:trPr>
          <w:trHeight w:val="245"/>
        </w:trPr>
        <w:tc>
          <w:tcPr>
            <w:tcW w:w="324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Compensation expense</w:t>
            </w:r>
          </w:p>
        </w:tc>
        <w:tc>
          <w:tcPr>
            <w:tcW w:w="100" w:type="dxa"/>
            <w:vAlign w:val="bottom"/>
            <w:tcBorders>
              <w:bottom w:val="single" w:sz="8" w:color="D1EEF5"/>
            </w:tcBorders>
          </w:tcPr>
          <w:p>
            <w:pPr>
              <w:spacing w:after="0"/>
              <w:rPr>
                <w:sz w:val="21"/>
                <w:szCs w:val="21"/>
                <w:color w:val="auto"/>
              </w:rPr>
            </w:pPr>
          </w:p>
        </w:tc>
        <w:tc>
          <w:tcPr>
            <w:tcW w:w="700" w:type="dxa"/>
            <w:vAlign w:val="bottom"/>
            <w:tcBorders>
              <w:bottom w:val="single" w:sz="8" w:color="D1EEF5"/>
            </w:tcBorders>
          </w:tcPr>
          <w:p>
            <w:pPr>
              <w:jc w:val="right"/>
              <w:ind w:right="44"/>
              <w:spacing w:after="0"/>
              <w:rPr>
                <w:sz w:val="20"/>
                <w:szCs w:val="20"/>
                <w:color w:val="auto"/>
              </w:rPr>
            </w:pPr>
            <w:r>
              <w:rPr>
                <w:rFonts w:ascii="Times New Roman" w:cs="Times New Roman" w:eastAsia="Times New Roman" w:hAnsi="Times New Roman"/>
                <w:sz w:val="20"/>
                <w:szCs w:val="20"/>
                <w:color w:val="auto"/>
              </w:rPr>
              <w:t>3,526</w:t>
            </w:r>
          </w:p>
        </w:tc>
        <w:tc>
          <w:tcPr>
            <w:tcW w:w="110" w:type="dxa"/>
            <w:vAlign w:val="bottom"/>
            <w:tcBorders>
              <w:bottom w:val="single" w:sz="8" w:color="D1EEF5"/>
            </w:tcBorders>
          </w:tcPr>
          <w:p>
            <w:pPr>
              <w:spacing w:after="0"/>
              <w:rPr>
                <w:sz w:val="21"/>
                <w:szCs w:val="21"/>
                <w:color w:val="auto"/>
              </w:rPr>
            </w:pPr>
          </w:p>
        </w:tc>
        <w:tc>
          <w:tcPr>
            <w:tcW w:w="690" w:type="dxa"/>
            <w:vAlign w:val="bottom"/>
            <w:tcBorders>
              <w:bottom w:val="single" w:sz="8" w:color="D1EEF5"/>
            </w:tcBorders>
          </w:tcPr>
          <w:p>
            <w:pPr>
              <w:jc w:val="right"/>
              <w:ind w:right="40"/>
              <w:spacing w:after="0"/>
              <w:rPr>
                <w:sz w:val="20"/>
                <w:szCs w:val="20"/>
                <w:color w:val="auto"/>
              </w:rPr>
            </w:pPr>
            <w:r>
              <w:rPr>
                <w:rFonts w:ascii="Times New Roman" w:cs="Times New Roman" w:eastAsia="Times New Roman" w:hAnsi="Times New Roman"/>
                <w:sz w:val="20"/>
                <w:szCs w:val="20"/>
                <w:color w:val="auto"/>
              </w:rPr>
              <w:t>4,923</w:t>
            </w:r>
          </w:p>
        </w:tc>
        <w:tc>
          <w:tcPr>
            <w:tcW w:w="250" w:type="dxa"/>
            <w:vAlign w:val="bottom"/>
            <w:tcBorders>
              <w:bottom w:val="single" w:sz="8" w:color="D4EFF3"/>
            </w:tcBorders>
          </w:tcPr>
          <w:p>
            <w:pPr>
              <w:spacing w:after="0"/>
              <w:rPr>
                <w:sz w:val="21"/>
                <w:szCs w:val="21"/>
                <w:color w:val="auto"/>
              </w:rPr>
            </w:pPr>
          </w:p>
        </w:tc>
        <w:tc>
          <w:tcPr>
            <w:tcW w:w="139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(1,397)</w:t>
            </w:r>
          </w:p>
        </w:tc>
        <w:tc>
          <w:tcPr>
            <w:tcW w:w="140" w:type="dxa"/>
            <w:vAlign w:val="bottom"/>
            <w:tcBorders>
              <w:bottom w:val="single" w:sz="8" w:color="D4EFF3"/>
            </w:tcBorders>
          </w:tcPr>
          <w:p>
            <w:pPr>
              <w:spacing w:after="0"/>
              <w:rPr>
                <w:sz w:val="21"/>
                <w:szCs w:val="21"/>
                <w:color w:val="auto"/>
              </w:rPr>
            </w:pPr>
          </w:p>
        </w:tc>
        <w:tc>
          <w:tcPr>
            <w:tcW w:w="460" w:type="dxa"/>
            <w:vAlign w:val="bottom"/>
            <w:tcBorders>
              <w:bottom w:val="single" w:sz="8" w:color="D4EFF3"/>
            </w:tcBorders>
          </w:tcPr>
          <w:p>
            <w:pPr>
              <w:spacing w:after="0"/>
              <w:rPr>
                <w:sz w:val="21"/>
                <w:szCs w:val="21"/>
                <w:color w:val="auto"/>
              </w:rPr>
            </w:pPr>
          </w:p>
        </w:tc>
        <w:tc>
          <w:tcPr>
            <w:tcW w:w="2040" w:type="dxa"/>
            <w:vAlign w:val="bottom"/>
            <w:tcBorders>
              <w:bottom w:val="single" w:sz="8" w:color="D4EFF3"/>
            </w:tcBorders>
          </w:tcPr>
          <w:p>
            <w:pPr>
              <w:ind w:left="1760"/>
              <w:spacing w:after="0"/>
              <w:rPr>
                <w:sz w:val="20"/>
                <w:szCs w:val="20"/>
                <w:color w:val="auto"/>
              </w:rPr>
            </w:pPr>
            <w:r>
              <w:rPr>
                <w:rFonts w:ascii="Times New Roman" w:cs="Times New Roman" w:eastAsia="Times New Roman" w:hAnsi="Times New Roman"/>
                <w:sz w:val="20"/>
                <w:szCs w:val="20"/>
                <w:color w:val="auto"/>
                <w:w w:val="77"/>
              </w:rPr>
              <w:t>(28)</w:t>
            </w:r>
          </w:p>
        </w:tc>
        <w:tc>
          <w:tcPr>
            <w:tcW w:w="240" w:type="dxa"/>
            <w:vAlign w:val="bottom"/>
            <w:tcBorders>
              <w:bottom w:val="single" w:sz="8" w:color="D4EFF3"/>
            </w:tcBorders>
          </w:tcPr>
          <w:p>
            <w:pPr>
              <w:ind w:left="60"/>
              <w:spacing w:after="0"/>
              <w:rPr>
                <w:sz w:val="20"/>
                <w:szCs w:val="20"/>
                <w:color w:val="auto"/>
              </w:rPr>
            </w:pPr>
            <w:r>
              <w:rPr>
                <w:rFonts w:ascii="Times New Roman" w:cs="Times New Roman" w:eastAsia="Times New Roman" w:hAnsi="Times New Roman"/>
                <w:sz w:val="20"/>
                <w:szCs w:val="20"/>
                <w:color w:val="auto"/>
                <w:w w:val="95"/>
              </w:rPr>
              <w:t>%</w:t>
            </w:r>
          </w:p>
        </w:tc>
      </w:tr>
      <w:tr>
        <w:trPr>
          <w:trHeight w:val="225"/>
        </w:trPr>
        <w:tc>
          <w:tcPr>
            <w:tcW w:w="3240" w:type="dxa"/>
            <w:vAlign w:val="bottom"/>
            <w:tcBorders>
              <w:right w:val="single" w:sz="8" w:color="D4EFF3"/>
            </w:tcBorders>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Stock-based compensation expense</w:t>
            </w:r>
          </w:p>
        </w:tc>
        <w:tc>
          <w:tcPr>
            <w:tcW w:w="100" w:type="dxa"/>
            <w:vAlign w:val="bottom"/>
            <w:shd w:val="clear" w:color="auto" w:fill="D1EEF5"/>
          </w:tcPr>
          <w:p>
            <w:pPr>
              <w:spacing w:after="0"/>
              <w:rPr>
                <w:sz w:val="19"/>
                <w:szCs w:val="19"/>
                <w:color w:val="auto"/>
              </w:rPr>
            </w:pPr>
          </w:p>
        </w:tc>
        <w:tc>
          <w:tcPr>
            <w:tcW w:w="700" w:type="dxa"/>
            <w:vAlign w:val="bottom"/>
            <w:tcBorders>
              <w:right w:val="single" w:sz="8" w:color="D1EEF5"/>
            </w:tcBorders>
            <w:shd w:val="clear" w:color="auto" w:fill="D1EEF5"/>
          </w:tcPr>
          <w:p>
            <w:pPr>
              <w:jc w:val="right"/>
              <w:ind w:right="44"/>
              <w:spacing w:after="0" w:line="225" w:lineRule="exact"/>
              <w:rPr>
                <w:sz w:val="20"/>
                <w:szCs w:val="20"/>
                <w:color w:val="auto"/>
              </w:rPr>
            </w:pPr>
            <w:r>
              <w:rPr>
                <w:rFonts w:ascii="Times New Roman" w:cs="Times New Roman" w:eastAsia="Times New Roman" w:hAnsi="Times New Roman"/>
                <w:sz w:val="20"/>
                <w:szCs w:val="20"/>
                <w:color w:val="auto"/>
              </w:rPr>
              <w:t>1,179</w:t>
            </w:r>
          </w:p>
        </w:tc>
        <w:tc>
          <w:tcPr>
            <w:tcW w:w="110" w:type="dxa"/>
            <w:vAlign w:val="bottom"/>
            <w:shd w:val="clear" w:color="auto" w:fill="D1EEF5"/>
          </w:tcPr>
          <w:p>
            <w:pPr>
              <w:spacing w:after="0"/>
              <w:rPr>
                <w:sz w:val="19"/>
                <w:szCs w:val="19"/>
                <w:color w:val="auto"/>
              </w:rPr>
            </w:pPr>
          </w:p>
        </w:tc>
        <w:tc>
          <w:tcPr>
            <w:tcW w:w="690" w:type="dxa"/>
            <w:vAlign w:val="bottom"/>
            <w:tcBorders>
              <w:right w:val="single" w:sz="8" w:color="D1EEF5"/>
            </w:tcBorders>
            <w:shd w:val="clear" w:color="auto" w:fill="D1EEF5"/>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2,222</w:t>
            </w:r>
          </w:p>
        </w:tc>
        <w:tc>
          <w:tcPr>
            <w:tcW w:w="250" w:type="dxa"/>
            <w:vAlign w:val="bottom"/>
            <w:shd w:val="clear" w:color="auto" w:fill="D4EFF3"/>
          </w:tcPr>
          <w:p>
            <w:pPr>
              <w:spacing w:after="0"/>
              <w:rPr>
                <w:sz w:val="19"/>
                <w:szCs w:val="19"/>
                <w:color w:val="auto"/>
              </w:rPr>
            </w:pPr>
          </w:p>
        </w:tc>
        <w:tc>
          <w:tcPr>
            <w:tcW w:w="139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(1,043)</w:t>
            </w:r>
          </w:p>
        </w:tc>
        <w:tc>
          <w:tcPr>
            <w:tcW w:w="140" w:type="dxa"/>
            <w:vAlign w:val="bottom"/>
            <w:shd w:val="clear" w:color="auto" w:fill="D4EFF3"/>
          </w:tcPr>
          <w:p>
            <w:pPr>
              <w:spacing w:after="0"/>
              <w:rPr>
                <w:sz w:val="19"/>
                <w:szCs w:val="19"/>
                <w:color w:val="auto"/>
              </w:rPr>
            </w:pPr>
          </w:p>
        </w:tc>
        <w:tc>
          <w:tcPr>
            <w:tcW w:w="460" w:type="dxa"/>
            <w:vAlign w:val="bottom"/>
            <w:shd w:val="clear" w:color="auto" w:fill="D4EFF3"/>
          </w:tcPr>
          <w:p>
            <w:pPr>
              <w:spacing w:after="0"/>
              <w:rPr>
                <w:sz w:val="19"/>
                <w:szCs w:val="19"/>
                <w:color w:val="auto"/>
              </w:rPr>
            </w:pPr>
          </w:p>
        </w:tc>
        <w:tc>
          <w:tcPr>
            <w:tcW w:w="2040" w:type="dxa"/>
            <w:vAlign w:val="bottom"/>
            <w:shd w:val="clear" w:color="auto" w:fill="D4EFF3"/>
          </w:tcPr>
          <w:p>
            <w:pPr>
              <w:ind w:left="1760"/>
              <w:spacing w:after="0" w:line="225" w:lineRule="exact"/>
              <w:rPr>
                <w:sz w:val="20"/>
                <w:szCs w:val="20"/>
                <w:color w:val="auto"/>
              </w:rPr>
            </w:pPr>
            <w:r>
              <w:rPr>
                <w:rFonts w:ascii="Times New Roman" w:cs="Times New Roman" w:eastAsia="Times New Roman" w:hAnsi="Times New Roman"/>
                <w:sz w:val="20"/>
                <w:szCs w:val="20"/>
                <w:color w:val="auto"/>
                <w:w w:val="77"/>
              </w:rPr>
              <w:t>(47)</w:t>
            </w:r>
          </w:p>
        </w:tc>
        <w:tc>
          <w:tcPr>
            <w:tcW w:w="240" w:type="dxa"/>
            <w:vAlign w:val="bottom"/>
            <w:shd w:val="clear" w:color="auto" w:fill="D4EFF3"/>
          </w:tcPr>
          <w:p>
            <w:pPr>
              <w:ind w:left="60"/>
              <w:spacing w:after="0" w:line="225" w:lineRule="exact"/>
              <w:rPr>
                <w:sz w:val="20"/>
                <w:szCs w:val="20"/>
                <w:color w:val="auto"/>
              </w:rPr>
            </w:pPr>
            <w:r>
              <w:rPr>
                <w:rFonts w:ascii="Times New Roman" w:cs="Times New Roman" w:eastAsia="Times New Roman" w:hAnsi="Times New Roman"/>
                <w:sz w:val="20"/>
                <w:szCs w:val="20"/>
                <w:color w:val="auto"/>
                <w:w w:val="95"/>
              </w:rPr>
              <w:t>%</w:t>
            </w:r>
          </w:p>
        </w:tc>
      </w:tr>
      <w:tr>
        <w:trPr>
          <w:trHeight w:val="242"/>
        </w:trPr>
        <w:tc>
          <w:tcPr>
            <w:tcW w:w="324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Consulting and professional services</w:t>
            </w:r>
          </w:p>
        </w:tc>
        <w:tc>
          <w:tcPr>
            <w:tcW w:w="100" w:type="dxa"/>
            <w:vAlign w:val="bottom"/>
            <w:tcBorders>
              <w:bottom w:val="single" w:sz="8" w:color="D1EEF5"/>
            </w:tcBorders>
          </w:tcPr>
          <w:p>
            <w:pPr>
              <w:spacing w:after="0"/>
              <w:rPr>
                <w:sz w:val="21"/>
                <w:szCs w:val="21"/>
                <w:color w:val="auto"/>
              </w:rPr>
            </w:pPr>
          </w:p>
        </w:tc>
        <w:tc>
          <w:tcPr>
            <w:tcW w:w="700" w:type="dxa"/>
            <w:vAlign w:val="bottom"/>
            <w:tcBorders>
              <w:bottom w:val="single" w:sz="8" w:color="D1EEF5"/>
            </w:tcBorders>
          </w:tcPr>
          <w:p>
            <w:pPr>
              <w:jc w:val="right"/>
              <w:ind w:right="44"/>
              <w:spacing w:after="0"/>
              <w:rPr>
                <w:sz w:val="20"/>
                <w:szCs w:val="20"/>
                <w:color w:val="auto"/>
              </w:rPr>
            </w:pPr>
            <w:r>
              <w:rPr>
                <w:rFonts w:ascii="Times New Roman" w:cs="Times New Roman" w:eastAsia="Times New Roman" w:hAnsi="Times New Roman"/>
                <w:sz w:val="20"/>
                <w:szCs w:val="20"/>
                <w:color w:val="auto"/>
              </w:rPr>
              <w:t>598</w:t>
            </w:r>
          </w:p>
        </w:tc>
        <w:tc>
          <w:tcPr>
            <w:tcW w:w="800" w:type="dxa"/>
            <w:vAlign w:val="bottom"/>
            <w:tcBorders>
              <w:bottom w:val="single" w:sz="8" w:color="D1EEF5"/>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2,223</w:t>
            </w:r>
          </w:p>
        </w:tc>
        <w:tc>
          <w:tcPr>
            <w:tcW w:w="250" w:type="dxa"/>
            <w:vAlign w:val="bottom"/>
            <w:tcBorders>
              <w:bottom w:val="single" w:sz="8" w:color="D4EFF3"/>
            </w:tcBorders>
          </w:tcPr>
          <w:p>
            <w:pPr>
              <w:spacing w:after="0"/>
              <w:rPr>
                <w:sz w:val="21"/>
                <w:szCs w:val="21"/>
                <w:color w:val="auto"/>
              </w:rPr>
            </w:pPr>
          </w:p>
        </w:tc>
        <w:tc>
          <w:tcPr>
            <w:tcW w:w="1530" w:type="dxa"/>
            <w:vAlign w:val="bottom"/>
            <w:tcBorders>
              <w:bottom w:val="single" w:sz="8" w:color="D4EFF3"/>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(1,625)</w:t>
            </w:r>
          </w:p>
        </w:tc>
        <w:tc>
          <w:tcPr>
            <w:tcW w:w="2500" w:type="dxa"/>
            <w:vAlign w:val="bottom"/>
            <w:tcBorders>
              <w:bottom w:val="single" w:sz="8" w:color="D4EFF3"/>
            </w:tcBorders>
            <w:gridSpan w:val="2"/>
          </w:tcPr>
          <w:p>
            <w:pPr>
              <w:ind w:left="2220"/>
              <w:spacing w:after="0"/>
              <w:rPr>
                <w:sz w:val="20"/>
                <w:szCs w:val="20"/>
                <w:color w:val="auto"/>
              </w:rPr>
            </w:pPr>
            <w:r>
              <w:rPr>
                <w:rFonts w:ascii="Times New Roman" w:cs="Times New Roman" w:eastAsia="Times New Roman" w:hAnsi="Times New Roman"/>
                <w:sz w:val="20"/>
                <w:szCs w:val="20"/>
                <w:color w:val="auto"/>
                <w:w w:val="77"/>
              </w:rPr>
              <w:t>(73)</w:t>
            </w:r>
          </w:p>
        </w:tc>
        <w:tc>
          <w:tcPr>
            <w:tcW w:w="240" w:type="dxa"/>
            <w:vAlign w:val="bottom"/>
            <w:tcBorders>
              <w:bottom w:val="single" w:sz="8" w:color="D4EFF3"/>
            </w:tcBorders>
          </w:tcPr>
          <w:p>
            <w:pPr>
              <w:ind w:left="60"/>
              <w:spacing w:after="0"/>
              <w:rPr>
                <w:sz w:val="20"/>
                <w:szCs w:val="20"/>
                <w:color w:val="auto"/>
              </w:rPr>
            </w:pPr>
            <w:r>
              <w:rPr>
                <w:rFonts w:ascii="Times New Roman" w:cs="Times New Roman" w:eastAsia="Times New Roman" w:hAnsi="Times New Roman"/>
                <w:sz w:val="20"/>
                <w:szCs w:val="20"/>
                <w:color w:val="auto"/>
                <w:w w:val="95"/>
              </w:rPr>
              <w:t>%</w:t>
            </w:r>
          </w:p>
        </w:tc>
      </w:tr>
      <w:tr>
        <w:trPr>
          <w:trHeight w:val="245"/>
        </w:trPr>
        <w:tc>
          <w:tcPr>
            <w:tcW w:w="3240" w:type="dxa"/>
            <w:vAlign w:val="bottom"/>
            <w:tcBorders>
              <w:bottom w:val="single" w:sz="8" w:color="D4EFF3"/>
              <w:right w:val="single" w:sz="8" w:color="D4EFF3"/>
            </w:tcBorders>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Other expenses</w:t>
            </w:r>
          </w:p>
        </w:tc>
        <w:tc>
          <w:tcPr>
            <w:tcW w:w="100" w:type="dxa"/>
            <w:vAlign w:val="bottom"/>
            <w:tcBorders>
              <w:bottom w:val="single" w:sz="8" w:color="auto"/>
            </w:tcBorders>
            <w:shd w:val="clear" w:color="auto" w:fill="D1EEF5"/>
          </w:tcPr>
          <w:p>
            <w:pPr>
              <w:spacing w:after="0"/>
              <w:rPr>
                <w:sz w:val="21"/>
                <w:szCs w:val="21"/>
                <w:color w:val="auto"/>
              </w:rPr>
            </w:pPr>
          </w:p>
        </w:tc>
        <w:tc>
          <w:tcPr>
            <w:tcW w:w="700" w:type="dxa"/>
            <w:vAlign w:val="bottom"/>
            <w:tcBorders>
              <w:bottom w:val="single" w:sz="8" w:color="auto"/>
              <w:right w:val="single" w:sz="8" w:color="D1EEF5"/>
            </w:tcBorders>
            <w:shd w:val="clear" w:color="auto" w:fill="D1EEF5"/>
          </w:tcPr>
          <w:p>
            <w:pPr>
              <w:jc w:val="right"/>
              <w:ind w:right="44"/>
              <w:spacing w:after="0" w:line="225" w:lineRule="exact"/>
              <w:rPr>
                <w:sz w:val="20"/>
                <w:szCs w:val="20"/>
                <w:color w:val="auto"/>
              </w:rPr>
            </w:pPr>
            <w:r>
              <w:rPr>
                <w:rFonts w:ascii="Times New Roman" w:cs="Times New Roman" w:eastAsia="Times New Roman" w:hAnsi="Times New Roman"/>
                <w:sz w:val="20"/>
                <w:szCs w:val="20"/>
                <w:color w:val="auto"/>
              </w:rPr>
              <w:t>1,366</w:t>
            </w:r>
          </w:p>
        </w:tc>
        <w:tc>
          <w:tcPr>
            <w:tcW w:w="110" w:type="dxa"/>
            <w:vAlign w:val="bottom"/>
            <w:tcBorders>
              <w:bottom w:val="single" w:sz="8" w:color="auto"/>
            </w:tcBorders>
            <w:shd w:val="clear" w:color="auto" w:fill="D1EEF5"/>
          </w:tcPr>
          <w:p>
            <w:pPr>
              <w:spacing w:after="0"/>
              <w:rPr>
                <w:sz w:val="21"/>
                <w:szCs w:val="21"/>
                <w:color w:val="auto"/>
              </w:rPr>
            </w:pPr>
          </w:p>
        </w:tc>
        <w:tc>
          <w:tcPr>
            <w:tcW w:w="690" w:type="dxa"/>
            <w:vAlign w:val="bottom"/>
            <w:tcBorders>
              <w:bottom w:val="single" w:sz="8" w:color="auto"/>
              <w:right w:val="single" w:sz="8" w:color="D1EEF5"/>
            </w:tcBorders>
            <w:shd w:val="clear" w:color="auto" w:fill="D1EEF5"/>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2,607</w:t>
            </w:r>
          </w:p>
        </w:tc>
        <w:tc>
          <w:tcPr>
            <w:tcW w:w="250" w:type="dxa"/>
            <w:vAlign w:val="bottom"/>
            <w:tcBorders>
              <w:bottom w:val="single" w:sz="8" w:color="auto"/>
            </w:tcBorders>
            <w:shd w:val="clear" w:color="auto" w:fill="D4EFF3"/>
          </w:tcPr>
          <w:p>
            <w:pPr>
              <w:spacing w:after="0"/>
              <w:rPr>
                <w:sz w:val="21"/>
                <w:szCs w:val="21"/>
                <w:color w:val="auto"/>
              </w:rPr>
            </w:pPr>
          </w:p>
        </w:tc>
        <w:tc>
          <w:tcPr>
            <w:tcW w:w="1390" w:type="dxa"/>
            <w:vAlign w:val="bottom"/>
            <w:tcBorders>
              <w:bottom w:val="single" w:sz="8" w:color="auto"/>
            </w:tcBorders>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(1,241)</w:t>
            </w:r>
          </w:p>
        </w:tc>
        <w:tc>
          <w:tcPr>
            <w:tcW w:w="140" w:type="dxa"/>
            <w:vAlign w:val="bottom"/>
            <w:tcBorders>
              <w:bottom w:val="single" w:sz="8" w:color="D4EFF3"/>
            </w:tcBorders>
            <w:shd w:val="clear" w:color="auto" w:fill="D4EFF3"/>
          </w:tcPr>
          <w:p>
            <w:pPr>
              <w:spacing w:after="0"/>
              <w:rPr>
                <w:sz w:val="21"/>
                <w:szCs w:val="21"/>
                <w:color w:val="auto"/>
              </w:rPr>
            </w:pPr>
          </w:p>
        </w:tc>
        <w:tc>
          <w:tcPr>
            <w:tcW w:w="460" w:type="dxa"/>
            <w:vAlign w:val="bottom"/>
            <w:tcBorders>
              <w:bottom w:val="single" w:sz="8" w:color="auto"/>
            </w:tcBorders>
            <w:shd w:val="clear" w:color="auto" w:fill="D4EFF3"/>
          </w:tcPr>
          <w:p>
            <w:pPr>
              <w:spacing w:after="0"/>
              <w:rPr>
                <w:sz w:val="21"/>
                <w:szCs w:val="21"/>
                <w:color w:val="auto"/>
              </w:rPr>
            </w:pPr>
          </w:p>
        </w:tc>
        <w:tc>
          <w:tcPr>
            <w:tcW w:w="2040" w:type="dxa"/>
            <w:vAlign w:val="bottom"/>
            <w:tcBorders>
              <w:bottom w:val="single" w:sz="8" w:color="auto"/>
            </w:tcBorders>
            <w:shd w:val="clear" w:color="auto" w:fill="D4EFF3"/>
          </w:tcPr>
          <w:p>
            <w:pPr>
              <w:ind w:left="1760"/>
              <w:spacing w:after="0" w:line="225" w:lineRule="exact"/>
              <w:rPr>
                <w:sz w:val="20"/>
                <w:szCs w:val="20"/>
                <w:color w:val="auto"/>
              </w:rPr>
            </w:pPr>
            <w:r>
              <w:rPr>
                <w:rFonts w:ascii="Times New Roman" w:cs="Times New Roman" w:eastAsia="Times New Roman" w:hAnsi="Times New Roman"/>
                <w:sz w:val="20"/>
                <w:szCs w:val="20"/>
                <w:color w:val="auto"/>
                <w:w w:val="77"/>
              </w:rPr>
              <w:t>(48)</w:t>
            </w:r>
          </w:p>
        </w:tc>
        <w:tc>
          <w:tcPr>
            <w:tcW w:w="240" w:type="dxa"/>
            <w:vAlign w:val="bottom"/>
            <w:tcBorders>
              <w:bottom w:val="single" w:sz="8" w:color="D4EFF3"/>
            </w:tcBorders>
            <w:shd w:val="clear" w:color="auto" w:fill="D4EFF3"/>
          </w:tcPr>
          <w:p>
            <w:pPr>
              <w:ind w:left="60"/>
              <w:spacing w:after="0" w:line="225" w:lineRule="exact"/>
              <w:rPr>
                <w:sz w:val="20"/>
                <w:szCs w:val="20"/>
                <w:color w:val="auto"/>
              </w:rPr>
            </w:pPr>
            <w:r>
              <w:rPr>
                <w:rFonts w:ascii="Times New Roman" w:cs="Times New Roman" w:eastAsia="Times New Roman" w:hAnsi="Times New Roman"/>
                <w:sz w:val="20"/>
                <w:szCs w:val="20"/>
                <w:color w:val="auto"/>
                <w:w w:val="95"/>
              </w:rPr>
              <w:t>%</w:t>
            </w:r>
          </w:p>
        </w:tc>
      </w:tr>
      <w:tr>
        <w:trPr>
          <w:trHeight w:val="197"/>
        </w:trPr>
        <w:tc>
          <w:tcPr>
            <w:tcW w:w="3240" w:type="dxa"/>
            <w:vAlign w:val="bottom"/>
          </w:tcPr>
          <w:p>
            <w:pPr>
              <w:spacing w:after="0" w:line="197" w:lineRule="exact"/>
              <w:rPr>
                <w:sz w:val="20"/>
                <w:szCs w:val="20"/>
                <w:color w:val="auto"/>
              </w:rPr>
            </w:pPr>
            <w:r>
              <w:rPr>
                <w:rFonts w:ascii="Times New Roman" w:cs="Times New Roman" w:eastAsia="Times New Roman" w:hAnsi="Times New Roman"/>
                <w:sz w:val="20"/>
                <w:szCs w:val="20"/>
                <w:color w:val="auto"/>
              </w:rPr>
              <w:t>Total research and development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90" w:type="dxa"/>
            <w:vAlign w:val="bottom"/>
          </w:tcPr>
          <w:p>
            <w:pPr>
              <w:spacing w:after="0"/>
              <w:rPr>
                <w:sz w:val="17"/>
                <w:szCs w:val="17"/>
                <w:color w:val="auto"/>
              </w:rPr>
            </w:pPr>
          </w:p>
        </w:tc>
        <w:tc>
          <w:tcPr>
            <w:tcW w:w="250" w:type="dxa"/>
            <w:vAlign w:val="bottom"/>
          </w:tcPr>
          <w:p>
            <w:pPr>
              <w:spacing w:after="0"/>
              <w:rPr>
                <w:sz w:val="17"/>
                <w:szCs w:val="17"/>
                <w:color w:val="auto"/>
              </w:rPr>
            </w:pPr>
          </w:p>
        </w:tc>
        <w:tc>
          <w:tcPr>
            <w:tcW w:w="139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49"/>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20"/>
                <w:szCs w:val="20"/>
                <w:color w:val="auto"/>
                <w:w w:val="98"/>
              </w:rPr>
              <w:t>12,606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28,476</w:t>
            </w:r>
          </w:p>
        </w:tc>
        <w:tc>
          <w:tcPr>
            <w:tcW w:w="25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w w:val="79"/>
              </w:rPr>
              <w:t>$</w:t>
            </w:r>
          </w:p>
        </w:tc>
        <w:tc>
          <w:tcPr>
            <w:tcW w:w="153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(15,870)</w:t>
            </w:r>
          </w:p>
        </w:tc>
        <w:tc>
          <w:tcPr>
            <w:tcW w:w="2740" w:type="dxa"/>
            <w:vAlign w:val="bottom"/>
            <w:gridSpan w:val="3"/>
          </w:tcPr>
          <w:p>
            <w:pPr>
              <w:ind w:left="2220"/>
              <w:spacing w:after="0"/>
              <w:rPr>
                <w:sz w:val="20"/>
                <w:szCs w:val="20"/>
                <w:color w:val="auto"/>
              </w:rPr>
            </w:pPr>
            <w:r>
              <w:rPr>
                <w:rFonts w:ascii="Times New Roman" w:cs="Times New Roman" w:eastAsia="Times New Roman" w:hAnsi="Times New Roman"/>
                <w:sz w:val="20"/>
                <w:szCs w:val="20"/>
                <w:color w:val="auto"/>
                <w:w w:val="99"/>
              </w:rPr>
              <w:t>(56)%</w:t>
            </w:r>
          </w:p>
        </w:tc>
      </w:tr>
      <w:tr>
        <w:trPr>
          <w:trHeight w:val="20"/>
        </w:trPr>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690" w:type="dxa"/>
            <w:vAlign w:val="bottom"/>
            <w:tcBorders>
              <w:top w:val="single" w:sz="8" w:color="auto"/>
              <w:bottom w:val="single" w:sz="8" w:color="auto"/>
            </w:tcBorders>
          </w:tcPr>
          <w:p>
            <w:pPr>
              <w:spacing w:after="0" w:line="20" w:lineRule="exact"/>
              <w:rPr>
                <w:sz w:val="1"/>
                <w:szCs w:val="1"/>
                <w:color w:val="auto"/>
              </w:rPr>
            </w:pPr>
          </w:p>
        </w:tc>
        <w:tc>
          <w:tcPr>
            <w:tcW w:w="250" w:type="dxa"/>
            <w:vAlign w:val="bottom"/>
            <w:tcBorders>
              <w:top w:val="single" w:sz="8" w:color="auto"/>
              <w:bottom w:val="single" w:sz="8" w:color="auto"/>
            </w:tcBorders>
          </w:tcPr>
          <w:p>
            <w:pPr>
              <w:spacing w:after="0" w:line="20" w:lineRule="exact"/>
              <w:rPr>
                <w:sz w:val="1"/>
                <w:szCs w:val="1"/>
                <w:color w:val="auto"/>
              </w:rPr>
            </w:pPr>
          </w:p>
        </w:tc>
        <w:tc>
          <w:tcPr>
            <w:tcW w:w="139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-949325</wp:posOffset>
                </wp:positionV>
                <wp:extent cx="5944870" cy="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4.7499pt" to="468.1pt,-74.7499pt" o:allowincell="f" strokecolor="#FFFFFF" strokeweight="0.72pt"/>
            </w:pict>
          </mc:Fallback>
        </mc:AlternateConten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Research and development expense decreased by $15.9 million to $12.6 million for the year ended December 31, 2025, which was primarily attributable to a decrease in costs incurred as a result of re-prioritizing efforts towards exploring strategic alternatives.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General and administrative expenses increased by $0.4 million to $14.0 million for the year ended December 31, 2025. The increase was primarily related to employee compensation costs, inclusive of one-time separation costs for employees terminated during the year ended December 31, 2025 as a result of our reduction-in-force in April 2025, as well as consulting and professional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the years ended December 31, 2025 and 2024, interest income and other income (expense), net consisted of total interest expense of $0.2 million and $1.3 million, respectively, related to the Oxford Loan (as defined below), and interest income of $0.5 million and $1.5 million, respectively. The Oxford Loan was repaid in full and terminated in accordance with its terms in April 2025.</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62" o:spid="_x0000_s158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564" name="Shape 5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564" o:spid="_x0000_s1589"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565" o:spid="_x0000_s1590"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Since inception through December 31, 2025, our operations have been financed primarily by net cash proceeds from the sale of our common stock, convertible preferred stock and issuance of debt. As of December 31, 2025, we had $7.7 million in cash and cash equivalents and an accumulated deficit of $233.4 million. Following the Closing of the Asset Acquisition, we expect that our research and development and general and administrative expenses will increase, and, as a result, we anticipate that we will continue to incur losses for the foreseeable future.</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lack of operating revenue or cash inflows and our cash resources at December 31, 2025 raise substantial doubt as to our</w:t>
      </w:r>
    </w:p>
    <w:p>
      <w:pPr>
        <w:jc w:val="both"/>
        <w:spacing w:after="0" w:line="248" w:lineRule="auto"/>
        <w:rPr>
          <w:sz w:val="20"/>
          <w:szCs w:val="20"/>
          <w:color w:val="auto"/>
        </w:rPr>
      </w:pPr>
      <w:r>
        <w:rPr>
          <w:rFonts w:ascii="Times New Roman" w:cs="Times New Roman" w:eastAsia="Times New Roman" w:hAnsi="Times New Roman"/>
          <w:sz w:val="20"/>
          <w:szCs w:val="20"/>
          <w:color w:val="auto"/>
        </w:rPr>
        <w:t>ability to continue as a going concern. See “-</w:t>
      </w:r>
      <w:r>
        <w:rPr>
          <w:rFonts w:ascii="Times New Roman" w:cs="Times New Roman" w:eastAsia="Times New Roman" w:hAnsi="Times New Roman"/>
          <w:sz w:val="20"/>
          <w:szCs w:val="20"/>
          <w:i w:val="1"/>
          <w:iCs w:val="1"/>
          <w:color w:val="auto"/>
        </w:rPr>
        <w:t>Funding Requirements</w:t>
      </w:r>
      <w:r>
        <w:rPr>
          <w:rFonts w:ascii="Times New Roman" w:cs="Times New Roman" w:eastAsia="Times New Roman" w:hAnsi="Times New Roman"/>
          <w:sz w:val="20"/>
          <w:szCs w:val="20"/>
          <w:color w:val="auto"/>
        </w:rPr>
        <w:t>” below for additional information on our future capital needs.</w:t>
      </w:r>
    </w:p>
    <w:p>
      <w:pPr>
        <w:sectPr>
          <w:pgSz w:w="12240" w:h="15840" w:orient="portrait"/>
          <w:cols w:equalWidth="0" w:num="1">
            <w:col w:w="9360"/>
          </w:cols>
          <w:pgMar w:left="1440" w:top="1422" w:right="1440" w:bottom="983"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Funding Commitment</w:t>
      </w:r>
    </w:p>
    <w:p>
      <w:pPr>
        <w:sectPr>
          <w:pgSz w:w="12240" w:h="15840" w:orient="portrait"/>
          <w:cols w:equalWidth="0" w:num="1">
            <w:col w:w="9360"/>
          </w:cols>
          <w:pgMar w:left="1440" w:top="1422" w:right="1440" w:bottom="983" w:gutter="0" w:footer="0" w:header="0"/>
          <w:type w:val="continuous"/>
        </w:sectPr>
      </w:pPr>
    </w:p>
    <w:bookmarkStart w:id="110" w:name="page111"/>
    <w:bookmarkEnd w:id="110"/>
    <w:p>
      <w:pPr>
        <w:jc w:val="both"/>
        <w:spacing w:after="0" w:line="244" w:lineRule="auto"/>
        <w:rPr>
          <w:sz w:val="20"/>
          <w:szCs w:val="20"/>
          <w:color w:val="auto"/>
        </w:rPr>
      </w:pPr>
      <w:r>
        <w:rPr>
          <w:rFonts w:ascii="Times New Roman" w:cs="Times New Roman" w:eastAsia="Times New Roman" w:hAnsi="Times New Roman"/>
          <w:sz w:val="20"/>
          <w:szCs w:val="20"/>
          <w:color w:val="auto"/>
        </w:rPr>
        <w:t>In connection with the Closing, we entered into a funding commitment letter (the “Funding Commitment”) with Factor, which will provide us with financial support for at least 18 months following the Closing, up to a maximum amount of $ 20.0 million that is inclusive of any amounts raised and received by us after the date of the Asset Purchase Agreement, on the terms and subject to the conditions and other provisions set forth in the funding commitment letter. As of the date of this report, we have $13.75 million available under the Funding Commitment, however, there is significant uncertainty as to whether we will be able to satisfy the terms and conditions and other provisions set forth in the funding commitment letter, and, if we are unable to do so, we may be limited in the amount of funding that we are able to access under the Funding Commitment or we may not be able to access any funds. The timing of any funding pursuant to the Funding Commitment is uncertain.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Loan Agreement with Oxford Finance</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January 15, 2021, we entered into a loan and security agreement (the “Oxford Loan”), as amended from time to time, with Oxford to borrow a term loan amount of $35.0 million to be funded in three tranches. On April 8, 2025, we repaid $3.5 million in full satisfaction of the aggregate outstanding amount, including accrued interest and exit fees as of such date. As a result of the repayment, all liens and security interests were terminated.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w:t>
      </w:r>
    </w:p>
    <w:p>
      <w:pPr>
        <w:spacing w:after="0" w:line="2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entered into a sales agreement (the “Sales Agreement”) with Jefferies LLC (“Jefferies”), pursuant to which we may sell, from time to time at our sole discretion through Jefferies, as our sales agent, shares of our common stock (the “ATM Program”). Any shares of our common stock sold will be issued pursuant to our shelf registration statement on Form S-3 (File No. 333 -280918). On June 11, 2025, in connection with the June RDO (as defined below) we delivered written notice to Jefferies that we were suspending and terminating the prospectus supplement, dated February 6, 2025, related to the ATM Program (the “ATM Prospectus”). We will not make any sales of our securities pursuant to the Sales Agreement, unless and until a new prospectus, prospectus supplement or a new registration statement is filed. Other than the termination of the ATM Prospectus, the Sales Agreement remains in full force and effect. As of the year ended December 31, 2025, we have sold an aggregate of 312,830 shares of our common stock for proceeds of $2.8 million pursuant to the ATM Program.</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the date of this Form 10-K, our public float was less than $75.0 million. As a result, we are subject to the limitations of General Instruction I.B.6 to Form S- 3 until such time as our public float exceeds $75 million, which means we only have the capacity to sell shares up to one-third of our public float under the S-3 Registration Statement, including the ATM program, in any 12-month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Registered Direct Offerings</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June 11, 2025, we sold an aggregate of 405,000 shares of our common stock pre -funded warrants to purchase 334,000 shares of our common stock in a registered direct offering (the “June RDO”). The offering price was $6.25 per share of common stock</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566" o:spid="_x0000_s15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3335"/>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33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568" o:spid="_x0000_s1593"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570" o:spid="_x0000_s1595"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571" name="Shape 5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571" o:spid="_x0000_s1596"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and $6.249 per pre-funded warrant, which is the price of each share of common stock sold in the offering, minus the $0.001 exercise price per pre-funded warrant. The net proceeds from the RDO were approximately $4.1 million, after deducting placement agent fees and estimated offering expenses payable by us. As of December 31, 2025, all pre-funded warrants related to the June RDO had been exercised.</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On November 24, 2025, we sold an aggregate of 487,000 shares of our common stock, pre -funded warrants to purchase 685,414 shares of our common stock and warrants to purchase an aggregate of 1,172,414 shares of common stock (the “Common Warrants”) in a registered direct offering (the “November RDO”). The combined purchase price of each share of common stock and accompanying Common Warrant was $3.625. The combined purchase price of each pre-funded warrant and accompanying Common Warrant was $3.624 (equal to the combined purchase price per share of common stock and accompanying Common Warrant, minus $0.001). The exercise price of each Common Warrant is</w:t>
      </w:r>
    </w:p>
    <w:p>
      <w:pPr>
        <w:sectPr>
          <w:pgSz w:w="12240" w:h="15840" w:orient="portrait"/>
          <w:cols w:equalWidth="0" w:num="1">
            <w:col w:w="9360"/>
          </w:cols>
          <w:pgMar w:left="1440" w:top="1422" w:right="1440" w:bottom="915" w:gutter="0" w:footer="0" w:header="0"/>
        </w:sectPr>
      </w:pPr>
    </w:p>
    <w:bookmarkStart w:id="111" w:name="page112"/>
    <w:bookmarkEnd w:id="111"/>
    <w:p>
      <w:pPr>
        <w:jc w:val="both"/>
        <w:spacing w:after="0" w:line="257" w:lineRule="auto"/>
        <w:rPr>
          <w:sz w:val="20"/>
          <w:szCs w:val="20"/>
          <w:color w:val="auto"/>
        </w:rPr>
      </w:pPr>
      <w:r>
        <w:rPr>
          <w:rFonts w:ascii="Times New Roman" w:cs="Times New Roman" w:eastAsia="Times New Roman" w:hAnsi="Times New Roman"/>
          <w:sz w:val="20"/>
          <w:szCs w:val="20"/>
          <w:color w:val="auto"/>
        </w:rPr>
        <w:t>$3.50 per share. The net proceeds from the November RDO were approximately $3.8 million, after deducting placement agent fees and estimated offering expenses payable by us. As of December 31, 2025, all pre-funded warrants and Common Warrants related to the November RDO remained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w:t>
      </w: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 March 20, 2026, we completed the Private Placement pursuant to which we sold an aggregate of 462,964 Shares, and, in lieu of common stock, Pre -Funded Warrants to purchase up to 462,963 shares of our common stock, in each case accompanied by (i) Series A Warrants to purchase up to 925,927 shares of our common stock and (ii) Series B Warrants to purchase up to 925,927 shares of our common stock.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 See “-Re</w:t>
      </w:r>
      <w:r>
        <w:rPr>
          <w:rFonts w:ascii="Times New Roman" w:cs="Times New Roman" w:eastAsia="Times New Roman" w:hAnsi="Times New Roman"/>
          <w:sz w:val="19"/>
          <w:szCs w:val="19"/>
          <w:i w:val="1"/>
          <w:iCs w:val="1"/>
          <w:color w:val="auto"/>
        </w:rPr>
        <w:t>cent Events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Private Placement</w:t>
      </w:r>
      <w:r>
        <w:rPr>
          <w:rFonts w:ascii="Times New Roman" w:cs="Times New Roman" w:eastAsia="Times New Roman" w:hAnsi="Times New Roman"/>
          <w:sz w:val="19"/>
          <w:szCs w:val="19"/>
          <w:color w:val="auto"/>
        </w:rPr>
        <w:t>”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cash flows for the years ended December 31, 2025 and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1"/>
                <w:szCs w:val="21"/>
                <w:color w:val="auto"/>
              </w:rPr>
            </w:pPr>
          </w:p>
        </w:tc>
        <w:tc>
          <w:tcPr>
            <w:tcW w:w="80" w:type="dxa"/>
            <w:vAlign w:val="bottom"/>
            <w:tcBorders>
              <w:bottom w:val="single" w:sz="8" w:color="D1EEF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6680" w:type="dxa"/>
            <w:vAlign w:val="bottom"/>
            <w:tcBorders>
              <w:bottom w:val="single" w:sz="8" w:color="D1EEF5"/>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6"/>
          </w:tcPr>
          <w:p>
            <w:pPr>
              <w:jc w:val="right"/>
              <w:ind w:right="740"/>
              <w:spacing w:after="0" w:line="220" w:lineRule="exact"/>
              <w:rPr>
                <w:sz w:val="20"/>
                <w:szCs w:val="20"/>
                <w:color w:val="auto"/>
              </w:rPr>
            </w:pPr>
            <w:r>
              <w:rPr>
                <w:rFonts w:ascii="Times New Roman" w:cs="Times New Roman" w:eastAsia="Times New Roman" w:hAnsi="Times New Roman"/>
                <w:sz w:val="20"/>
                <w:szCs w:val="20"/>
                <w:b w:val="1"/>
                <w:bCs w:val="1"/>
                <w:color w:val="auto"/>
              </w:rPr>
              <w:t>(in thousands)</w:t>
            </w:r>
          </w:p>
        </w:tc>
      </w:tr>
      <w:tr>
        <w:trPr>
          <w:trHeight w:val="220"/>
        </w:trPr>
        <w:tc>
          <w:tcPr>
            <w:tcW w:w="20" w:type="dxa"/>
            <w:vAlign w:val="bottom"/>
          </w:tcPr>
          <w:p>
            <w:pPr>
              <w:spacing w:after="0"/>
              <w:rPr>
                <w:sz w:val="19"/>
                <w:szCs w:val="19"/>
                <w:color w:val="auto"/>
              </w:rPr>
            </w:pPr>
          </w:p>
        </w:tc>
        <w:tc>
          <w:tcPr>
            <w:tcW w:w="668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Cash used in operating activities</w:t>
            </w:r>
          </w:p>
        </w:tc>
        <w:tc>
          <w:tcPr>
            <w:tcW w:w="320" w:type="dxa"/>
            <w:vAlign w:val="bottom"/>
            <w:gridSpan w:val="3"/>
            <w:shd w:val="clear" w:color="auto" w:fill="D4EFF3"/>
          </w:tcPr>
          <w:p>
            <w:pPr>
              <w:jc w:val="right"/>
              <w:ind w:right="57"/>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(26,820)</w:t>
            </w:r>
          </w:p>
        </w:tc>
        <w:tc>
          <w:tcPr>
            <w:tcW w:w="100" w:type="dxa"/>
            <w:vAlign w:val="bottom"/>
            <w:shd w:val="clear" w:color="auto" w:fill="D4EFF3"/>
          </w:tcPr>
          <w:p>
            <w:pPr>
              <w:spacing w:after="0"/>
              <w:rPr>
                <w:sz w:val="19"/>
                <w:szCs w:val="19"/>
                <w:color w:val="auto"/>
              </w:rPr>
            </w:pPr>
          </w:p>
        </w:tc>
        <w:tc>
          <w:tcPr>
            <w:tcW w:w="320" w:type="dxa"/>
            <w:vAlign w:val="bottom"/>
            <w:gridSpan w:val="2"/>
            <w:shd w:val="clear" w:color="auto" w:fill="D4EF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D4EFF3"/>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(33,027)</w:t>
            </w: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Cash used in investing activities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(435)</w:t>
            </w:r>
          </w:p>
        </w:tc>
      </w:tr>
      <w:tr>
        <w:trPr>
          <w:trHeight w:val="230"/>
        </w:trPr>
        <w:tc>
          <w:tcPr>
            <w:tcW w:w="20" w:type="dxa"/>
            <w:vAlign w:val="bottom"/>
          </w:tcPr>
          <w:p>
            <w:pPr>
              <w:spacing w:after="0"/>
              <w:rPr>
                <w:sz w:val="20"/>
                <w:szCs w:val="20"/>
                <w:color w:val="auto"/>
              </w:rPr>
            </w:pPr>
          </w:p>
        </w:tc>
        <w:tc>
          <w:tcPr>
            <w:tcW w:w="6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Cash provided by financing activities</w:t>
            </w:r>
          </w:p>
        </w:tc>
        <w:tc>
          <w:tcPr>
            <w:tcW w:w="80" w:type="dxa"/>
            <w:vAlign w:val="bottom"/>
            <w:shd w:val="clear" w:color="auto" w:fill="D4EFF3"/>
          </w:tcPr>
          <w:p>
            <w:pPr>
              <w:spacing w:after="0"/>
              <w:rPr>
                <w:sz w:val="20"/>
                <w:szCs w:val="20"/>
                <w:color w:val="auto"/>
              </w:rPr>
            </w:pPr>
          </w:p>
        </w:tc>
        <w:tc>
          <w:tcPr>
            <w:tcW w:w="20" w:type="dxa"/>
            <w:vAlign w:val="bottom"/>
            <w:shd w:val="clear" w:color="auto" w:fill="D4EFF3"/>
          </w:tcPr>
          <w:p>
            <w:pPr>
              <w:spacing w:after="0"/>
              <w:rPr>
                <w:sz w:val="20"/>
                <w:szCs w:val="20"/>
                <w:color w:val="auto"/>
              </w:rPr>
            </w:pPr>
          </w:p>
        </w:tc>
        <w:tc>
          <w:tcPr>
            <w:tcW w:w="220" w:type="dxa"/>
            <w:vAlign w:val="bottom"/>
            <w:tcBorders>
              <w:bottom w:val="single" w:sz="8" w:color="auto"/>
            </w:tcBorders>
            <w:shd w:val="clear" w:color="auto" w:fill="D4EFF3"/>
          </w:tcPr>
          <w:p>
            <w:pPr>
              <w:spacing w:after="0"/>
              <w:rPr>
                <w:sz w:val="20"/>
                <w:szCs w:val="20"/>
                <w:color w:val="auto"/>
              </w:rPr>
            </w:pPr>
          </w:p>
        </w:tc>
        <w:tc>
          <w:tcPr>
            <w:tcW w:w="9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4,259</w:t>
            </w:r>
          </w:p>
        </w:tc>
        <w:tc>
          <w:tcPr>
            <w:tcW w:w="10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240" w:type="dxa"/>
            <w:vAlign w:val="bottom"/>
            <w:tcBorders>
              <w:bottom w:val="single" w:sz="8" w:color="auto"/>
            </w:tcBorders>
            <w:shd w:val="clear" w:color="auto" w:fill="D4EFF3"/>
          </w:tcPr>
          <w:p>
            <w:pPr>
              <w:spacing w:after="0"/>
              <w:rPr>
                <w:sz w:val="20"/>
                <w:szCs w:val="20"/>
                <w:color w:val="auto"/>
              </w:rPr>
            </w:pPr>
          </w:p>
        </w:tc>
        <w:tc>
          <w:tcPr>
            <w:tcW w:w="9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24,500</w:t>
            </w:r>
          </w:p>
        </w:tc>
        <w:tc>
          <w:tcPr>
            <w:tcW w:w="100" w:type="dxa"/>
            <w:vAlign w:val="bottom"/>
            <w:shd w:val="clear" w:color="auto" w:fill="D4EFF3"/>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66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(22,561)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(8,962)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4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Cash used in operating activities for the year ended December 31, 2025 was $26.8 million, consisting of a net loss of $26.3 million, add back of non-cash adjustments for depreciation, stock-based compensation, non-cash operating lease expense and other non-cash items totaling $4.6 million, plus changes in operating assets and liabilities of $5.1 million.</w:t>
      </w:r>
    </w:p>
    <w:p>
      <w:pPr>
        <w:spacing w:after="0" w:line="1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Cash used in operating activities for the year ended December 31, 2024 was $33.0 million, consisting of a net loss of $41.8 million, add back of non-cash adjustments for depreciation, stock-based compensation, non-cash operating lease expense and other non-cash items totaling $7.2 million, plus changes in operating assets and liabilities of $1.6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2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Cash used in investing activities for the years ended December 31, 2025 and 2024 was related to purchases of property and equipment, primarily related to office, laboratory and computer equipment.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130810</wp:posOffset>
                </wp:positionV>
                <wp:extent cx="13335" cy="12065"/>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065"/>
                        </a:xfrm>
                        <a:prstGeom prst="rect">
                          <a:avLst/>
                        </a:prstGeom>
                        <a:solidFill>
                          <a:srgbClr val="E3E3E3"/>
                        </a:solidFill>
                      </wps:spPr>
                      <wps:bodyPr/>
                    </wps:wsp>
                  </a:graphicData>
                </a:graphic>
              </wp:anchor>
            </w:drawing>
          </mc:Choice>
          <mc:Fallback>
            <w:pict>
              <v:rect id="Shape 573" o:spid="_x0000_s1598" style="position:absolute;margin-left:467.45pt;margin-top:10.3pt;width:1.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130810</wp:posOffset>
                </wp:positionV>
                <wp:extent cx="5944870" cy="12065"/>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065"/>
                        </a:xfrm>
                        <a:prstGeom prst="rect">
                          <a:avLst/>
                        </a:prstGeom>
                        <a:solidFill>
                          <a:srgbClr val="A0A0A0"/>
                        </a:solidFill>
                      </wps:spPr>
                      <wps:bodyPr/>
                    </wps:wsp>
                  </a:graphicData>
                </a:graphic>
              </wp:anchor>
            </w:drawing>
          </mc:Choice>
          <mc:Fallback>
            <w:pict>
              <v:rect id="Shape 574" o:spid="_x0000_s1599" style="position:absolute;margin-left:0pt;margin-top:10.3pt;width:468.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138430</wp:posOffset>
                </wp:positionV>
                <wp:extent cx="13335" cy="1397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970"/>
                        </a:xfrm>
                        <a:prstGeom prst="rect">
                          <a:avLst/>
                        </a:prstGeom>
                        <a:solidFill>
                          <a:srgbClr val="A0A0A0"/>
                        </a:solidFill>
                      </wps:spPr>
                      <wps:bodyPr/>
                    </wps:wsp>
                  </a:graphicData>
                </a:graphic>
              </wp:anchor>
            </w:drawing>
          </mc:Choice>
          <mc:Fallback>
            <w:pict>
              <v:rect id="Shape 575" o:spid="_x0000_s1600" style="position:absolute;margin-left:-0.3999pt;margin-top:10.9pt;width:1.0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138430</wp:posOffset>
                </wp:positionV>
                <wp:extent cx="13335" cy="1397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970"/>
                        </a:xfrm>
                        <a:prstGeom prst="rect">
                          <a:avLst/>
                        </a:prstGeom>
                        <a:solidFill>
                          <a:srgbClr val="E3E3E3"/>
                        </a:solidFill>
                      </wps:spPr>
                      <wps:bodyPr/>
                    </wps:wsp>
                  </a:graphicData>
                </a:graphic>
              </wp:anchor>
            </w:drawing>
          </mc:Choice>
          <mc:Fallback>
            <w:pict>
              <v:rect id="Shape 576" o:spid="_x0000_s1601" style="position:absolute;margin-left:467.45pt;margin-top:10.9pt;width:1.0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147320</wp:posOffset>
                </wp:positionV>
                <wp:extent cx="13335" cy="1270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A0A0A0"/>
                        </a:solidFill>
                      </wps:spPr>
                      <wps:bodyPr/>
                    </wps:wsp>
                  </a:graphicData>
                </a:graphic>
              </wp:anchor>
            </w:drawing>
          </mc:Choice>
          <mc:Fallback>
            <w:pict>
              <v:rect id="Shape 577" o:spid="_x0000_s1602" style="position:absolute;margin-left:-0.3999pt;margin-top:11.6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147320</wp:posOffset>
                </wp:positionV>
                <wp:extent cx="5944870" cy="1270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E3E3E3"/>
                        </a:solidFill>
                      </wps:spPr>
                      <wps:bodyPr/>
                    </wps:wsp>
                  </a:graphicData>
                </a:graphic>
              </wp:anchor>
            </w:drawing>
          </mc:Choice>
          <mc:Fallback>
            <w:pict>
              <v:rect id="Shape 578" o:spid="_x0000_s1603" style="position:absolute;margin-left:0pt;margin-top:11.6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Cash provided by financing activities for the year ended December 31, 2025 was related to proceeds from the issuance of common stock, pre-funded warrants and common stock warrants of $10.6 million, offset by Oxford Loan principal payments of $6.4 million.</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Cash provided by financing activities for the year ended December 31, 2024 was related to proceeds from the issuance of common stock of $28.9 million, offset by Oxford Loan principal payments of $4.4 million.</w:t>
      </w:r>
    </w:p>
    <w:p>
      <w:pPr>
        <w:sectPr>
          <w:pgSz w:w="12240" w:h="15840" w:orient="portrait"/>
          <w:cols w:equalWidth="0" w:num="1">
            <w:col w:w="9360"/>
          </w:cols>
          <w:pgMar w:left="1440" w:top="1422" w:right="1440" w:bottom="1440" w:gutter="0" w:footer="0" w:header="0"/>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ectPr>
          <w:pgSz w:w="12240" w:h="15840" w:orient="portrait"/>
          <w:cols w:equalWidth="0" w:num="1">
            <w:col w:w="9360"/>
          </w:cols>
          <w:pgMar w:left="1440" w:top="1422" w:right="1440" w:bottom="1440" w:gutter="0" w:footer="0" w:header="0"/>
          <w:type w:val="continuous"/>
        </w:sectPr>
      </w:pPr>
    </w:p>
    <w:bookmarkStart w:id="112" w:name="page113"/>
    <w:bookmarkEnd w:id="112"/>
    <w:p>
      <w:pPr>
        <w:jc w:val="both"/>
        <w:spacing w:after="0" w:line="251" w:lineRule="auto"/>
        <w:rPr>
          <w:sz w:val="20"/>
          <w:szCs w:val="20"/>
          <w:color w:val="auto"/>
        </w:rPr>
      </w:pPr>
      <w:r>
        <w:rPr>
          <w:rFonts w:ascii="Times New Roman" w:cs="Times New Roman" w:eastAsia="Times New Roman" w:hAnsi="Times New Roman"/>
          <w:sz w:val="20"/>
          <w:szCs w:val="20"/>
          <w:color w:val="auto"/>
        </w:rPr>
        <w:t>Our primary use of cash is to fund operating expenses, which has historically consisted primarily of research and development expenditures related to our therapeutic discovery and preclinical development efforts and clinical activities, and to a lesser extent, general and administrative expenditures. We have based our estimates on assumptions that may prove to be incorrect, and we could use our capital resources sooner than we currently expect.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future funding requirements will depend on many factors, including the following:</w:t>
      </w:r>
    </w:p>
    <w:p>
      <w:pPr>
        <w:spacing w:after="0" w:line="3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costs associated with the scope, progress and results of discovery, preclinical development, laboratory testing and clinical trials for our product candidates;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costs associated with the manufacturing of our product candidates;</w:t>
      </w:r>
    </w:p>
    <w:p>
      <w:pPr>
        <w:spacing w:after="0" w:line="200" w:lineRule="exact"/>
        <w:rPr>
          <w:sz w:val="20"/>
          <w:szCs w:val="20"/>
          <w:color w:val="auto"/>
        </w:rPr>
      </w:pPr>
    </w:p>
    <w:p>
      <w:pPr>
        <w:spacing w:after="0" w:line="2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costs related to the extent to which we enter into partnerships or other arrangements with third parties to further develop our product candidates;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costs and fees associated with the discovery, acquisition or in-license of product candidates or technologies;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ability to establish collaborations on favorable terms, if at all;</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costs of future commercialization activities, if any, including product sales, marketing, manufacturing and distribution, for any of our product candidates for which we receive marketing approval;</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•revenue, if any, received from commercial sales of our product candidates, should any of our product candidates receive marketing approval; and</w:t>
      </w: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rights and defending intellectual property-related claims.</w:t>
      </w:r>
    </w:p>
    <w:p>
      <w:pPr>
        <w:spacing w:after="0" w:line="2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a product candidate could mean a significant change in the costs and timing associated with the development of that product candidate.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Until we can generate a sufficient amount of product revenue to finance our cash requirements, if ever, we expect to finance our future cash needs, including those set forth above,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579" o:spid="_x0000_s16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81" name="Shape 5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81" o:spid="_x0000_s160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582" name="Shape 5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82" o:spid="_x0000_s1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583" name="Shape 5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583" o:spid="_x0000_s1608"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584" o:spid="_x0000_s1609"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360"/>
          </w:cols>
          <w:pgMar w:left="1440" w:top="1422" w:right="1440" w:bottom="1440" w:gutter="0" w:footer="0" w:header="0"/>
        </w:sectPr>
      </w:pPr>
    </w:p>
    <w:bookmarkStart w:id="113" w:name="page114"/>
    <w:bookmarkEnd w:id="113"/>
    <w:p>
      <w:pPr>
        <w:spacing w:after="0" w:line="200" w:lineRule="exact"/>
        <w:rPr>
          <w:sz w:val="20"/>
          <w:szCs w:val="20"/>
          <w:color w:val="auto"/>
        </w:rPr>
      </w:pPr>
    </w:p>
    <w:p>
      <w:pPr>
        <w:spacing w:after="0" w:line="2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favorable to us. If additional capital is not available to us on a timely basis, or at all, we will be required to take additional actions, including exploring potential merger opportunities and other strategic options, such as partnerships or collaborations for our programs, or we may need to reduce operating expenses or delay, reduce the scope of, discontinue or alter our research and development activities, or we may be forced to wind down our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Cash Requirements</w:t>
      </w:r>
    </w:p>
    <w:p>
      <w:pPr>
        <w:spacing w:after="0" w:line="2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material cash requirements primarily relate to our operating leases for office space, trade payables, and accrued expenses. As of December 31, 2025, we have $3.3 million payable within 12 months, including $1.2 million related to the Brisbane Lease. Refer to Notes 5 and 6 to our Consolidated Financial Statements for additional information. We cannot estimate whether we will receive or the timing of any potential contingent payments upon the achievement by us of clinical, regulatory and commercial events, as applicable, or royalty payments that we may be required to make under license agreements we have entered into with various entities pursuant to which we have in-licensed certain intellectual property as contractual obligations or commitments, including agreements with Factor and Novatim. Pursuant to these license agreements, we have agreed to make milestone payments up to an aggregate of approximately $1.98 billion upon the achievement of certain development, regulatory and sales milestones. We excluded these contingent payments from the consolidated financial statements given that the timing, probability, and amount, if any, of such payments cannot be reasonably estimated at this time.</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November 2025, Erigen entered into an Amended and Restated Master Services Agreement with Factor (the “Factor MSA”), which was assigned to us in connection with the Closing pursuant to the Asset Purchase Agreement. Under the Factor MSA, we are obligated to pay Factor a service fee and all non -cancellable obligations in the amount specified in each work order associated with the agreement for the provision of services. The term of each work order terminates upon completion of the services under such work order, unless terminated earlier. We can terminate the Factor MSA or any work order at any time upon 30 days’ prior written notice and immediately upon written notice if Factor breaches the Factor MSA or any work order, as the case may be, and does not fully cure the breach to our satisfaction within 30 days. Upon termination any work order, unless the applicable work order expressly provides otherwise, we will pay Factor fees for all services performed and reimburse Factor for all authorized, non-cancellable expenses reasonably incurred in connection with such services prior to termination.</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is based on our financial statements, which have been prepared in accordance with U.S. generally accepted accounting principles (“US GAAP”) .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w:t>
      </w:r>
    </w:p>
    <w:p>
      <w:pPr>
        <w:sectPr>
          <w:pgSz w:w="12240" w:h="15840" w:orient="portrait"/>
          <w:cols w:equalWidth="0" w:num="1">
            <w:col w:w="9360"/>
          </w:cols>
          <w:pgMar w:left="1440" w:top="1440" w:right="1440" w:bottom="1064" w:gutter="0" w:footer="0" w:header="0"/>
        </w:sectPr>
      </w:pPr>
    </w:p>
    <w:bookmarkStart w:id="114" w:name="page115"/>
    <w:bookmarkEnd w:id="114"/>
    <w:p>
      <w:pPr>
        <w:jc w:val="both"/>
        <w:spacing w:after="0" w:line="277" w:lineRule="auto"/>
        <w:rPr>
          <w:sz w:val="20"/>
          <w:szCs w:val="20"/>
          <w:color w:val="auto"/>
        </w:rPr>
      </w:pPr>
      <w:r>
        <w:rPr>
          <w:rFonts w:ascii="Times New Roman" w:cs="Times New Roman" w:eastAsia="Times New Roman" w:hAnsi="Times New Roman"/>
          <w:sz w:val="20"/>
          <w:szCs w:val="20"/>
          <w:color w:val="auto"/>
        </w:rPr>
        <w:t>policies are more fully described in Note 2 to our Consolidated Financial Statements located elsewhere in this Annual Report. We have listed below our</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585" o:spid="_x0000_s16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87" o:spid="_x0000_s161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critical accounting policies and estimates that we believe to have the greatest potential impact on our Consolidated Financial Statements. Historically, our assumptions, judgments and estimates relative to our critical accounting estimates have not differed materially from actual results and no significant assumptions used have a high degree of subjectivity.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record accrued expenses for estimated costs of our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consolidated balance sheets and within research and development expense in the consolidated statements of operations. These costs are a significant component of our research and development expenses. We record accrued expenses for these costs based on the estimated amount of work completed and in accordance with agreements established with these third parties.</w:t>
      </w:r>
    </w:p>
    <w:p>
      <w:pPr>
        <w:spacing w:after="0" w:line="1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which includes gathering information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us.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any forfeitures as they occur.</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determining the fair value of stock options, we use the Black-Scholes option- pricing model. The Black-Scholes model requires the input of subjective assumptions, including expected volatility, expected dividend yield, expected term, risk-free rate of return, and the fair value of the underlying common stock on the date of grant, and generally requires significant judgment to determine.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See Note 2 to our Consolidated Financial Statements for a description of recent accounting pronouncements applicable to our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Smaller Reporting Company Status and a Non-Accelerated Filer</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a “smaller reporting company,” as defined in Rule 12b -2 of the Securities Exchange Act of 1934, or the Exchange Act, meaning that the market value of our shares held by non-affiliates is less than $700 million and our annual revenue was less than $100 million during the most recently completed fiscal year. We may continue to be a</w:t>
      </w:r>
    </w:p>
    <w:p>
      <w:pPr>
        <w:sectPr>
          <w:pgSz w:w="12240" w:h="15840" w:orient="portrait"/>
          <w:cols w:equalWidth="0" w:num="1">
            <w:col w:w="9360"/>
          </w:cols>
          <w:pgMar w:left="1440" w:top="1422" w:right="1440" w:bottom="897" w:gutter="0" w:footer="0" w:header="0"/>
        </w:sectPr>
      </w:pPr>
    </w:p>
    <w:bookmarkStart w:id="115" w:name="page116"/>
    <w:bookmarkEnd w:id="115"/>
    <w:p>
      <w:pPr>
        <w:jc w:val="both"/>
        <w:spacing w:after="0" w:line="246" w:lineRule="auto"/>
        <w:rPr>
          <w:sz w:val="20"/>
          <w:szCs w:val="20"/>
          <w:color w:val="auto"/>
        </w:rPr>
      </w:pPr>
      <w:r>
        <w:rPr>
          <w:rFonts w:ascii="Times New Roman" w:cs="Times New Roman" w:eastAsia="Times New Roman" w:hAnsi="Times New Roman"/>
          <w:sz w:val="20"/>
          <w:szCs w:val="20"/>
          <w:color w:val="auto"/>
        </w:rPr>
        <w:t>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91" o:spid="_x0000_s16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92" o:spid="_x0000_s161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594" o:spid="_x0000_s1619"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595" o:spid="_x0000_s1620"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reduced disclosure obligations regarding executive compensation. If investors consider our common stock less attractive as a result of our election to use the scaled- back disclosure permitted for smaller reporting companies, there may be a less active trading market for our common stock and our share price may be more volatile.</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Additionally, as a non-accelerated filer, we may continue to take advantage of the exception from compliance with the auditor attestation requirements of Section 404 of the Sarbanes-Oxley Act of 2002, as amended.</w:t>
      </w:r>
    </w:p>
    <w:p>
      <w:pPr>
        <w:spacing w:after="0" w:line="164" w:lineRule="exact"/>
        <w:rPr>
          <w:sz w:val="20"/>
          <w:szCs w:val="20"/>
          <w:color w:val="auto"/>
        </w:rPr>
      </w:pPr>
    </w:p>
    <w:p>
      <w:pPr>
        <w:ind w:right="1200"/>
        <w:spacing w:after="0" w:line="446"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DISCLOSURES ABOUT MARKET RISK </w:t>
      </w:r>
      <w:r>
        <w:rPr>
          <w:rFonts w:ascii="Times New Roman" w:cs="Times New Roman" w:eastAsia="Times New Roman" w:hAnsi="Times New Roman"/>
          <w:sz w:val="20"/>
          <w:szCs w:val="20"/>
          <w:color w:val="auto"/>
        </w:rPr>
        <w:t>Not required for smaller reporting companies.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598" o:spid="_x0000_s1623"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6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1200" w:type="dxa"/>
            <w:vAlign w:val="bottom"/>
          </w:tcPr>
          <w:p>
            <w:pPr>
              <w:spacing w:after="0"/>
              <w:rPr>
                <w:sz w:val="23"/>
                <w:szCs w:val="23"/>
                <w:color w:val="auto"/>
              </w:rPr>
            </w:pPr>
          </w:p>
        </w:tc>
      </w:tr>
      <w:tr>
        <w:trPr>
          <w:trHeight w:val="425"/>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780" w:type="dxa"/>
            <w:vAlign w:val="bottom"/>
            <w:gridSpan w:val="5"/>
          </w:tcPr>
          <w:p>
            <w:pPr>
              <w:jc w:val="center"/>
              <w:ind w:right="1180"/>
              <w:spacing w:after="0"/>
              <w:rPr>
                <w:sz w:val="20"/>
                <w:szCs w:val="20"/>
                <w:color w:val="auto"/>
              </w:rPr>
            </w:pPr>
            <w:r>
              <w:rPr>
                <w:rFonts w:ascii="Times New Roman" w:cs="Times New Roman" w:eastAsia="Times New Roman" w:hAnsi="Times New Roman"/>
                <w:sz w:val="20"/>
                <w:szCs w:val="20"/>
                <w:b w:val="1"/>
                <w:bCs w:val="1"/>
                <w:color w:val="auto"/>
                <w:w w:val="99"/>
              </w:rPr>
              <w:t>TEMPEST THERAPEUTICS, INC.</w:t>
            </w:r>
          </w:p>
        </w:tc>
        <w:tc>
          <w:tcPr>
            <w:tcW w:w="1200" w:type="dxa"/>
            <w:vAlign w:val="bottom"/>
          </w:tcPr>
          <w:p>
            <w:pPr>
              <w:spacing w:after="0"/>
              <w:rPr>
                <w:sz w:val="24"/>
                <w:szCs w:val="24"/>
                <w:color w:val="auto"/>
              </w:rPr>
            </w:pPr>
          </w:p>
        </w:tc>
      </w:tr>
      <w:tr>
        <w:trPr>
          <w:trHeight w:val="273"/>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80" w:type="dxa"/>
            <w:vAlign w:val="bottom"/>
            <w:gridSpan w:val="6"/>
          </w:tcPr>
          <w:p>
            <w:pPr>
              <w:jc w:val="center"/>
              <w:ind w:left="1020"/>
              <w:spacing w:after="0"/>
              <w:rPr>
                <w:sz w:val="20"/>
                <w:szCs w:val="20"/>
                <w:color w:val="auto"/>
              </w:rPr>
            </w:pPr>
            <w:r>
              <w:rPr>
                <w:rFonts w:ascii="Times New Roman" w:cs="Times New Roman" w:eastAsia="Times New Roman" w:hAnsi="Times New Roman"/>
                <w:sz w:val="20"/>
                <w:szCs w:val="20"/>
                <w:b w:val="1"/>
                <w:bCs w:val="1"/>
                <w:color w:val="auto"/>
                <w:w w:val="99"/>
              </w:rPr>
              <w:t>INDEX TO CONSOLIDATED FINANCIAL STATEMENTS</w:t>
            </w:r>
          </w:p>
        </w:tc>
        <w:tc>
          <w:tcPr>
            <w:tcW w:w="1200" w:type="dxa"/>
            <w:vAlign w:val="bottom"/>
          </w:tcPr>
          <w:p>
            <w:pPr>
              <w:spacing w:after="0"/>
              <w:rPr>
                <w:sz w:val="23"/>
                <w:szCs w:val="23"/>
                <w:color w:val="auto"/>
              </w:rPr>
            </w:pPr>
          </w:p>
        </w:tc>
      </w:tr>
      <w:tr>
        <w:trPr>
          <w:trHeight w:val="493"/>
        </w:trPr>
        <w:tc>
          <w:tcPr>
            <w:tcW w:w="6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Times New Roman" w:cs="Times New Roman" w:eastAsia="Times New Roman" w:hAnsi="Times New Roman"/>
                <w:sz w:val="20"/>
                <w:szCs w:val="20"/>
                <w:color w:val="1C2790"/>
              </w:rPr>
              <w:t>Report of Independent Registered Public Accounting Firm (PCAOB ID 42)</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316"/>
        </w:trPr>
        <w:tc>
          <w:tcPr>
            <w:tcW w:w="60" w:type="dxa"/>
            <w:vAlign w:val="bottom"/>
          </w:tcPr>
          <w:p>
            <w:pPr>
              <w:spacing w:after="0"/>
              <w:rPr>
                <w:sz w:val="24"/>
                <w:szCs w:val="24"/>
                <w:color w:val="auto"/>
              </w:rPr>
            </w:pPr>
          </w:p>
        </w:tc>
        <w:tc>
          <w:tcPr>
            <w:tcW w:w="2320" w:type="dxa"/>
            <w:vAlign w:val="bottom"/>
            <w:tcBorders>
              <w:top w:val="single" w:sz="8" w:color="19228E"/>
              <w:bottom w:val="single" w:sz="8" w:color="19228E"/>
            </w:tcBorders>
            <w:gridSpan w:val="2"/>
          </w:tcPr>
          <w:p>
            <w:pPr>
              <w:spacing w:after="0"/>
              <w:rPr>
                <w:sz w:val="20"/>
                <w:szCs w:val="20"/>
                <w:color w:val="auto"/>
              </w:rPr>
            </w:pPr>
            <w:r>
              <w:rPr>
                <w:rFonts w:ascii="Times New Roman" w:cs="Times New Roman" w:eastAsia="Times New Roman" w:hAnsi="Times New Roman"/>
                <w:sz w:val="20"/>
                <w:szCs w:val="20"/>
                <w:color w:val="1C2790"/>
                <w:w w:val="99"/>
              </w:rPr>
              <w:t>Consolidated Balance Sheets</w:t>
            </w:r>
          </w:p>
        </w:tc>
        <w:tc>
          <w:tcPr>
            <w:tcW w:w="2360" w:type="dxa"/>
            <w:vAlign w:val="bottom"/>
            <w:tcBorders>
              <w:top w:val="single" w:sz="8" w:color="19228E"/>
            </w:tcBorders>
            <w:gridSpan w:val="4"/>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14"/>
        </w:trPr>
        <w:tc>
          <w:tcPr>
            <w:tcW w:w="60" w:type="dxa"/>
            <w:vAlign w:val="bottom"/>
          </w:tcPr>
          <w:p>
            <w:pPr>
              <w:spacing w:after="0"/>
              <w:rPr>
                <w:sz w:val="24"/>
                <w:szCs w:val="24"/>
                <w:color w:val="auto"/>
              </w:rPr>
            </w:pPr>
          </w:p>
        </w:tc>
        <w:tc>
          <w:tcPr>
            <w:tcW w:w="3180" w:type="dxa"/>
            <w:vAlign w:val="bottom"/>
            <w:tcBorders>
              <w:bottom w:val="single" w:sz="8" w:color="19228E"/>
            </w:tcBorders>
            <w:gridSpan w:val="3"/>
          </w:tcPr>
          <w:p>
            <w:pPr>
              <w:spacing w:after="0"/>
              <w:rPr>
                <w:sz w:val="20"/>
                <w:szCs w:val="20"/>
                <w:color w:val="auto"/>
              </w:rPr>
            </w:pPr>
            <w:r>
              <w:rPr>
                <w:rFonts w:ascii="Times New Roman" w:cs="Times New Roman" w:eastAsia="Times New Roman" w:hAnsi="Times New Roman"/>
                <w:sz w:val="20"/>
                <w:szCs w:val="20"/>
                <w:color w:val="1C2790"/>
              </w:rPr>
              <w:t>Consolidated Statements of Operations</w:t>
            </w:r>
          </w:p>
        </w:tc>
        <w:tc>
          <w:tcPr>
            <w:tcW w:w="4920" w:type="dxa"/>
            <w:vAlign w:val="bottom"/>
            <w:gridSpan w:val="4"/>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16"/>
        </w:trPr>
        <w:tc>
          <w:tcPr>
            <w:tcW w:w="60" w:type="dxa"/>
            <w:vAlign w:val="bottom"/>
          </w:tcPr>
          <w:p>
            <w:pPr>
              <w:spacing w:after="0"/>
              <w:rPr>
                <w:sz w:val="24"/>
                <w:szCs w:val="24"/>
                <w:color w:val="auto"/>
              </w:rPr>
            </w:pPr>
          </w:p>
        </w:tc>
        <w:tc>
          <w:tcPr>
            <w:tcW w:w="3980" w:type="dxa"/>
            <w:vAlign w:val="bottom"/>
            <w:tcBorders>
              <w:bottom w:val="single" w:sz="8" w:color="19228E"/>
            </w:tcBorders>
            <w:gridSpan w:val="5"/>
          </w:tcPr>
          <w:p>
            <w:pPr>
              <w:spacing w:after="0"/>
              <w:rPr>
                <w:sz w:val="20"/>
                <w:szCs w:val="20"/>
                <w:color w:val="auto"/>
              </w:rPr>
            </w:pPr>
            <w:r>
              <w:rPr>
                <w:rFonts w:ascii="Times New Roman" w:cs="Times New Roman" w:eastAsia="Times New Roman" w:hAnsi="Times New Roman"/>
                <w:sz w:val="20"/>
                <w:szCs w:val="20"/>
                <w:color w:val="1C2790"/>
              </w:rPr>
              <w:t>Consolidated Statements of Stockholders’ Equity</w:t>
            </w:r>
          </w:p>
        </w:tc>
        <w:tc>
          <w:tcPr>
            <w:tcW w:w="412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16"/>
        </w:trPr>
        <w:tc>
          <w:tcPr>
            <w:tcW w:w="60" w:type="dxa"/>
            <w:vAlign w:val="bottom"/>
          </w:tcPr>
          <w:p>
            <w:pPr>
              <w:spacing w:after="0"/>
              <w:rPr>
                <w:sz w:val="24"/>
                <w:szCs w:val="24"/>
                <w:color w:val="auto"/>
              </w:rPr>
            </w:pPr>
          </w:p>
        </w:tc>
        <w:tc>
          <w:tcPr>
            <w:tcW w:w="3180" w:type="dxa"/>
            <w:vAlign w:val="bottom"/>
            <w:tcBorders>
              <w:bottom w:val="single" w:sz="8" w:color="19228E"/>
            </w:tcBorders>
            <w:gridSpan w:val="3"/>
          </w:tcPr>
          <w:p>
            <w:pPr>
              <w:spacing w:after="0"/>
              <w:rPr>
                <w:sz w:val="20"/>
                <w:szCs w:val="20"/>
                <w:color w:val="auto"/>
              </w:rPr>
            </w:pPr>
            <w:r>
              <w:rPr>
                <w:rFonts w:ascii="Times New Roman" w:cs="Times New Roman" w:eastAsia="Times New Roman" w:hAnsi="Times New Roman"/>
                <w:sz w:val="20"/>
                <w:szCs w:val="20"/>
                <w:color w:val="1C2790"/>
                <w:w w:val="99"/>
              </w:rPr>
              <w:t>Consolidated Statements of Cash Flows</w:t>
            </w:r>
          </w:p>
        </w:tc>
        <w:tc>
          <w:tcPr>
            <w:tcW w:w="4920" w:type="dxa"/>
            <w:vAlign w:val="bottom"/>
            <w:gridSpan w:val="4"/>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14"/>
        </w:trPr>
        <w:tc>
          <w:tcPr>
            <w:tcW w:w="60" w:type="dxa"/>
            <w:vAlign w:val="bottom"/>
          </w:tcPr>
          <w:p>
            <w:pPr>
              <w:spacing w:after="0"/>
              <w:rPr>
                <w:sz w:val="24"/>
                <w:szCs w:val="24"/>
                <w:color w:val="auto"/>
              </w:rPr>
            </w:pPr>
          </w:p>
        </w:tc>
        <w:tc>
          <w:tcPr>
            <w:tcW w:w="8100" w:type="dxa"/>
            <w:vAlign w:val="bottom"/>
            <w:gridSpan w:val="7"/>
          </w:tcPr>
          <w:p>
            <w:pPr>
              <w:spacing w:after="0"/>
              <w:rPr>
                <w:sz w:val="20"/>
                <w:szCs w:val="20"/>
                <w:color w:val="auto"/>
              </w:rPr>
            </w:pPr>
            <w:r>
              <w:rPr>
                <w:rFonts w:ascii="Times New Roman" w:cs="Times New Roman" w:eastAsia="Times New Roman" w:hAnsi="Times New Roman"/>
                <w:sz w:val="20"/>
                <w:szCs w:val="20"/>
                <w:color w:val="1C2790"/>
              </w:rPr>
              <w:t>Notes to Consolidated 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858"/>
        </w:trPr>
        <w:tc>
          <w:tcPr>
            <w:tcW w:w="80" w:type="dxa"/>
            <w:vAlign w:val="bottom"/>
            <w:gridSpan w:val="2"/>
          </w:tcPr>
          <w:p>
            <w:pPr>
              <w:spacing w:after="0"/>
              <w:rPr>
                <w:sz w:val="24"/>
                <w:szCs w:val="24"/>
                <w:color w:val="auto"/>
              </w:rPr>
            </w:pPr>
          </w:p>
        </w:tc>
        <w:tc>
          <w:tcPr>
            <w:tcW w:w="3480" w:type="dxa"/>
            <w:vAlign w:val="bottom"/>
            <w:tcBorders>
              <w:top w:val="single" w:sz="8" w:color="19228E"/>
            </w:tcBorders>
            <w:gridSpan w:val="3"/>
          </w:tcPr>
          <w:p>
            <w:pPr>
              <w:spacing w:after="0"/>
              <w:rPr>
                <w:sz w:val="24"/>
                <w:szCs w:val="24"/>
                <w:color w:val="auto"/>
              </w:rPr>
            </w:pPr>
          </w:p>
        </w:tc>
        <w:tc>
          <w:tcPr>
            <w:tcW w:w="4600" w:type="dxa"/>
            <w:vAlign w:val="bottom"/>
            <w:gridSpan w:val="3"/>
          </w:tcPr>
          <w:p>
            <w:pPr>
              <w:jc w:val="center"/>
              <w:ind w:right="2360"/>
              <w:spacing w:after="0"/>
              <w:rPr>
                <w:sz w:val="20"/>
                <w:szCs w:val="20"/>
                <w:color w:val="auto"/>
              </w:rPr>
            </w:pPr>
            <w:r>
              <w:rPr>
                <w:rFonts w:ascii="Times New Roman" w:cs="Times New Roman" w:eastAsia="Times New Roman" w:hAnsi="Times New Roman"/>
                <w:sz w:val="20"/>
                <w:szCs w:val="20"/>
                <w:color w:val="auto"/>
              </w:rPr>
              <w:t>105</w:t>
            </w:r>
          </w:p>
        </w:tc>
        <w:tc>
          <w:tcPr>
            <w:tcW w:w="1200" w:type="dxa"/>
            <w:vAlign w:val="bottom"/>
          </w:tcPr>
          <w:p>
            <w:pPr>
              <w:spacing w:after="0"/>
              <w:rPr>
                <w:sz w:val="24"/>
                <w:szCs w:val="24"/>
                <w:color w:val="auto"/>
              </w:rPr>
            </w:pPr>
          </w:p>
        </w:tc>
      </w:tr>
      <w:tr>
        <w:trPr>
          <w:trHeight w:val="189"/>
        </w:trPr>
        <w:tc>
          <w:tcPr>
            <w:tcW w:w="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30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3420" w:type="dxa"/>
            <w:vAlign w:val="bottom"/>
            <w:tcBorders>
              <w:bottom w:val="single" w:sz="8" w:color="808080"/>
            </w:tcBorders>
          </w:tcPr>
          <w:p>
            <w:pPr>
              <w:spacing w:after="0"/>
              <w:rPr>
                <w:sz w:val="16"/>
                <w:szCs w:val="16"/>
                <w:color w:val="auto"/>
              </w:rPr>
            </w:pPr>
          </w:p>
        </w:tc>
        <w:tc>
          <w:tcPr>
            <w:tcW w:w="12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-19685</wp:posOffset>
                </wp:positionV>
                <wp:extent cx="0" cy="19685"/>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5499pt" to="0.1pt,0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-24765</wp:posOffset>
                </wp:positionV>
                <wp:extent cx="13335" cy="13335"/>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3E3"/>
                        </a:solidFill>
                      </wps:spPr>
                      <wps:bodyPr/>
                    </wps:wsp>
                  </a:graphicData>
                </a:graphic>
              </wp:anchor>
            </w:drawing>
          </mc:Choice>
          <mc:Fallback>
            <w:pict>
              <v:rect id="Shape 602" o:spid="_x0000_s1627" style="position:absolute;margin-left:467.45pt;margin-top:-1.9499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-16510</wp:posOffset>
                </wp:positionV>
                <wp:extent cx="0" cy="1651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2999pt" to="467.95pt,0pt" o:allowincell="f" strokecolor="#E3E3E3" strokeweight="0.2399pt"/>
            </w:pict>
          </mc:Fallback>
        </mc:AlternateContent>
      </w:r>
    </w:p>
    <w:p>
      <w:pPr>
        <w:spacing w:after="0" w:line="239" w:lineRule="exact"/>
        <w:rPr>
          <w:sz w:val="20"/>
          <w:szCs w:val="20"/>
          <w:color w:val="auto"/>
        </w:rPr>
      </w:pPr>
    </w:p>
    <w:p>
      <w:pPr>
        <w:ind w:right="2180" w:firstLine="2174"/>
        <w:spacing w:after="0" w:line="479"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Tempest Therapeutics,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5"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Tempest Therapeutics, Inc. (the Company) as of December 31, 2025 and 2024, the related consolidated statements of operations, stockholders' equity and cash flows for each of the two years in the period ended December 31, 2025, and the related notes (collectively referred to as</w:t>
      </w:r>
    </w:p>
    <w:p>
      <w:pPr>
        <w:sectPr>
          <w:pgSz w:w="12240" w:h="15840" w:orient="portrait"/>
          <w:cols w:equalWidth="0" w:num="1">
            <w:col w:w="9360"/>
          </w:cols>
          <w:pgMar w:left="1440" w:top="1422" w:right="1440" w:bottom="1028" w:gutter="0" w:footer="0" w:header="0"/>
        </w:sectPr>
      </w:pPr>
    </w:p>
    <w:bookmarkStart w:id="116" w:name="page117"/>
    <w:bookmarkEnd w:id="116"/>
    <w:p>
      <w:pPr>
        <w:ind w:right="220"/>
        <w:spacing w:after="0" w:line="251" w:lineRule="auto"/>
        <w:rPr>
          <w:sz w:val="20"/>
          <w:szCs w:val="20"/>
          <w:color w:val="auto"/>
        </w:rPr>
      </w:pPr>
      <w:r>
        <w:rPr>
          <w:rFonts w:ascii="Times New Roman" w:cs="Times New Roman" w:eastAsia="Times New Roman" w:hAnsi="Times New Roman"/>
          <w:sz w:val="20"/>
          <w:szCs w:val="20"/>
          <w:color w:val="auto"/>
        </w:rPr>
        <w:t>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Ability to Continue as a Going Concern</w:t>
      </w:r>
    </w:p>
    <w:p>
      <w:pPr>
        <w:spacing w:after="0" w:line="23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financial statements, the Company has incurred operating losses since inception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32"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606" o:spid="_x0000_s1631"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607" name="Shape 6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07" o:spid="_x0000_s16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w:r>
    </w:p>
    <w:p>
      <w:pPr>
        <w:sectPr>
          <w:pgSz w:w="12240" w:h="15840" w:orient="portrait"/>
          <w:cols w:equalWidth="0" w:num="1">
            <w:col w:w="9360"/>
          </w:cols>
          <w:pgMar w:left="1440" w:top="1422" w:right="1440" w:bottom="1440" w:gutter="0" w:footer="0" w:header="0"/>
        </w:sectPr>
      </w:pPr>
    </w:p>
    <w:bookmarkStart w:id="117" w:name="page118"/>
    <w:bookmarkEnd w:id="117"/>
    <w:p>
      <w:pPr>
        <w:spacing w:after="0" w:line="200" w:lineRule="exact"/>
        <w:rPr>
          <w:sz w:val="20"/>
          <w:szCs w:val="20"/>
          <w:color w:val="auto"/>
        </w:rPr>
      </w:pPr>
    </w:p>
    <w:p>
      <w:pPr>
        <w:spacing w:after="0" w:line="337"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right="320"/>
        <w:spacing w:after="0" w:line="252" w:lineRule="auto"/>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left="3"/>
        <w:spacing w:after="0"/>
        <w:rPr>
          <w:sz w:val="20"/>
          <w:szCs w:val="20"/>
          <w:color w:val="auto"/>
        </w:rPr>
      </w:pPr>
      <w:r>
        <w:rPr>
          <w:rFonts w:ascii="Times New Roman" w:cs="Times New Roman" w:eastAsia="Times New Roman" w:hAnsi="Times New Roman"/>
          <w:sz w:val="20"/>
          <w:szCs w:val="20"/>
          <w:b w:val="1"/>
          <w:bCs w:val="1"/>
          <w:i w:val="1"/>
          <w:iCs w:val="1"/>
          <w:color w:val="auto"/>
        </w:rPr>
        <w:t>Valuation of modified stock-based compensation awards</w:t>
      </w:r>
    </w:p>
    <w:p>
      <w:pPr>
        <w:spacing w:after="0" w:line="231" w:lineRule="exact"/>
        <w:rPr>
          <w:sz w:val="20"/>
          <w:szCs w:val="20"/>
          <w:color w:val="auto"/>
        </w:rPr>
      </w:pPr>
    </w:p>
    <w:p>
      <w:pPr>
        <w:jc w:val="both"/>
        <w:ind w:left="3" w:right="120"/>
        <w:spacing w:after="0" w:line="261" w:lineRule="auto"/>
        <w:rPr>
          <w:sz w:val="20"/>
          <w:szCs w:val="20"/>
          <w:color w:val="auto"/>
        </w:rPr>
      </w:pPr>
      <w:r>
        <w:rPr>
          <w:rFonts w:ascii="Times New Roman" w:cs="Times New Roman" w:eastAsia="Times New Roman" w:hAnsi="Times New Roman"/>
          <w:sz w:val="19"/>
          <w:szCs w:val="19"/>
          <w:color w:val="auto"/>
        </w:rPr>
        <w:t>As described in Note 8 to the financial statements under the caption “Stock-based compensation,” in the fourth quarter of 2025, the Company modified 416,005 stock options to extend the post-termination exercise period. The modifications of current and former employees' stock option grants resulted in modification accounting under ASC 718, Compensation - Stock Compensation. During the year ended December 31, 2025, the Company recognized $0.8 million in stock-based compensation expense due to modifications, a portion of which related to the modification of stock options in the fourth quarter.</w:t>
      </w:r>
    </w:p>
    <w:p>
      <w:pPr>
        <w:spacing w:after="0" w:line="106" w:lineRule="exact"/>
        <w:rPr>
          <w:sz w:val="20"/>
          <w:szCs w:val="20"/>
          <w:color w:val="auto"/>
        </w:rPr>
      </w:pPr>
    </w:p>
    <w:p>
      <w:pPr>
        <w:jc w:val="both"/>
        <w:ind w:left="3" w:right="120"/>
        <w:spacing w:after="0" w:line="247" w:lineRule="auto"/>
        <w:rPr>
          <w:sz w:val="20"/>
          <w:szCs w:val="20"/>
          <w:color w:val="auto"/>
        </w:rPr>
      </w:pPr>
      <w:r>
        <w:rPr>
          <w:rFonts w:ascii="Times New Roman" w:cs="Times New Roman" w:eastAsia="Times New Roman" w:hAnsi="Times New Roman"/>
          <w:sz w:val="20"/>
          <w:szCs w:val="20"/>
          <w:color w:val="auto"/>
        </w:rPr>
        <w:t>Auditing the Company’s valuation of certain stock options modified in the fourth quarter, including the derived service period, was complex and required significant auditor judgment due to the subjectivity in estimating the fair value of the modified awards and the fair value of the original awards immediately before they were modified, including the adjustment to the stock price on the modification date for the fair value of the warrant dividend and the expected stock price volatility.</w:t>
      </w:r>
    </w:p>
    <w:p>
      <w:pPr>
        <w:spacing w:after="0" w:line="121" w:lineRule="exact"/>
        <w:rPr>
          <w:sz w:val="20"/>
          <w:szCs w:val="20"/>
          <w:color w:val="auto"/>
        </w:rPr>
      </w:pPr>
    </w:p>
    <w:p>
      <w:pPr>
        <w:jc w:val="both"/>
        <w:ind w:left="3" w:right="120"/>
        <w:spacing w:after="0" w:line="256" w:lineRule="auto"/>
        <w:rPr>
          <w:sz w:val="20"/>
          <w:szCs w:val="20"/>
          <w:color w:val="auto"/>
        </w:rPr>
      </w:pPr>
      <w:r>
        <w:rPr>
          <w:rFonts w:ascii="Times New Roman" w:cs="Times New Roman" w:eastAsia="Times New Roman" w:hAnsi="Times New Roman"/>
          <w:sz w:val="19"/>
          <w:szCs w:val="19"/>
          <w:color w:val="auto"/>
        </w:rPr>
        <w:t>To test the valuation of certain stock options modified in the fourth quarter, our audit procedures included, among others, assessing the completeness of the awards modified, evaluating the key terms and conditions of the awards modified to assess the accounting treatment, and testing the clerical accuracy of the calculation related to the expense recorded. Also, our procedures included evaluating the methodologies used to estimate the fair value of the modified awards and the original awards immediately before they were modified. Additionally, we involved our internal valuation specialists to (i) calculate the adjustments to the stock price by assessing the fair value of the warrant dividend on the modification date,</w:t>
      </w:r>
    </w:p>
    <w:p>
      <w:pPr>
        <w:spacing w:after="0" w:line="4" w:lineRule="exact"/>
        <w:rPr>
          <w:sz w:val="20"/>
          <w:szCs w:val="20"/>
          <w:color w:val="auto"/>
        </w:rPr>
      </w:pPr>
    </w:p>
    <w:p>
      <w:pPr>
        <w:jc w:val="both"/>
        <w:ind w:left="3" w:right="120" w:hanging="3"/>
        <w:spacing w:after="0" w:line="242" w:lineRule="auto"/>
        <w:tabs>
          <w:tab w:leader="none" w:pos="29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an independent estimate of the volatility by utilizing third party historical data of closing stock prices, and (iii) perform a Monte Carlo simulation to assess the fair value of the awards after modification and the derived service period over which the compensation expense will be attributed.</w:t>
      </w:r>
    </w:p>
    <w:p>
      <w:pPr>
        <w:spacing w:after="0" w:line="125" w:lineRule="exact"/>
        <w:rPr>
          <w:sz w:val="20"/>
          <w:szCs w:val="20"/>
          <w:color w:val="auto"/>
        </w:rPr>
      </w:pPr>
    </w:p>
    <w:p>
      <w:pPr>
        <w:sectPr>
          <w:pgSz w:w="12240" w:h="15840" w:orient="portrait"/>
          <w:cols w:equalWidth="0" w:num="2">
            <w:col w:w="1560" w:space="257"/>
            <w:col w:w="7543"/>
          </w:cols>
          <w:pgMar w:left="1440" w:top="1422" w:right="1440" w:bottom="1440" w:gutter="0" w:footer="0" w:header="0"/>
        </w:sect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30, 2026</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11" name="Shape 6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11" o:spid="_x0000_s163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613" name="Shape 6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613" o:spid="_x0000_s1638"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614" o:spid="_x0000_s1639"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1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ectPr>
          <w:pgSz w:w="12240" w:h="15840" w:orient="portrait"/>
          <w:cols w:equalWidth="0" w:num="1">
            <w:col w:w="9360"/>
          </w:cols>
          <w:pgMar w:left="1440" w:top="1422" w:right="1440"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53"/>
        </w:trPr>
        <w:tc>
          <w:tcPr>
            <w:tcW w:w="7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20" w:type="dxa"/>
            <w:vAlign w:val="bottom"/>
            <w:gridSpan w:val="8"/>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38"/>
        </w:trPr>
        <w:tc>
          <w:tcPr>
            <w:tcW w:w="7380" w:type="dxa"/>
            <w:vAlign w:val="bottom"/>
            <w:tcBorders>
              <w:bottom w:val="single" w:sz="8" w:color="D4EFF3"/>
            </w:tcBorders>
          </w:tcPr>
          <w:p>
            <w:pPr>
              <w:spacing w:after="0"/>
              <w:rPr>
                <w:sz w:val="20"/>
                <w:szCs w:val="20"/>
                <w:color w:val="auto"/>
              </w:rPr>
            </w:pPr>
          </w:p>
        </w:tc>
        <w:tc>
          <w:tcPr>
            <w:tcW w:w="60" w:type="dxa"/>
            <w:vAlign w:val="bottom"/>
            <w:tcBorders>
              <w:bottom w:val="single" w:sz="8" w:color="D4EFF3"/>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top w:val="single" w:sz="8" w:color="auto"/>
              <w:bottom w:val="single" w:sz="8" w:color="D4EFF3"/>
            </w:tcBorders>
          </w:tcPr>
          <w:p>
            <w:pPr>
              <w:spacing w:after="0"/>
              <w:rPr>
                <w:sz w:val="20"/>
                <w:szCs w:val="20"/>
                <w:color w:val="auto"/>
              </w:rPr>
            </w:pPr>
          </w:p>
        </w:tc>
        <w:tc>
          <w:tcPr>
            <w:tcW w:w="80" w:type="dxa"/>
            <w:vAlign w:val="bottom"/>
            <w:tcBorders>
              <w:top w:val="single" w:sz="8" w:color="auto"/>
              <w:bottom w:val="single" w:sz="8" w:color="D4EFF3"/>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D4EFF3"/>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380" w:type="dxa"/>
            <w:vAlign w:val="bottom"/>
            <w:shd w:val="clear" w:color="auto" w:fill="D4EFF3"/>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Assets</w:t>
            </w:r>
          </w:p>
        </w:tc>
        <w:tc>
          <w:tcPr>
            <w:tcW w:w="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70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74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60" w:type="dxa"/>
            <w:vAlign w:val="bottom"/>
            <w:shd w:val="clear" w:color="auto" w:fill="D4EFF3"/>
          </w:tcPr>
          <w:p>
            <w:pPr>
              <w:spacing w:after="0"/>
              <w:rPr>
                <w:sz w:val="21"/>
                <w:szCs w:val="21"/>
                <w:color w:val="auto"/>
              </w:rPr>
            </w:pPr>
          </w:p>
        </w:tc>
        <w:tc>
          <w:tcPr>
            <w:tcW w:w="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20" w:type="dxa"/>
            <w:vAlign w:val="bottom"/>
          </w:tcPr>
          <w:p>
            <w:pPr>
              <w:spacing w:after="0"/>
              <w:rPr>
                <w:sz w:val="21"/>
                <w:szCs w:val="21"/>
                <w:color w:val="auto"/>
              </w:rPr>
            </w:pPr>
          </w:p>
        </w:tc>
        <w:tc>
          <w:tcPr>
            <w:tcW w:w="7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7,707</w:t>
            </w:r>
          </w:p>
        </w:tc>
        <w:tc>
          <w:tcPr>
            <w:tcW w:w="8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1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7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30,268</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60" w:type="dxa"/>
            <w:vAlign w:val="bottom"/>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8,269</w:t>
            </w:r>
          </w:p>
        </w:tc>
        <w:tc>
          <w:tcPr>
            <w:tcW w:w="8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7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31,474</w:t>
            </w:r>
          </w:p>
        </w:tc>
        <w:tc>
          <w:tcPr>
            <w:tcW w:w="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 net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60" w:type="dxa"/>
            <w:vAlign w:val="bottom"/>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7,540</w:t>
            </w:r>
          </w:p>
        </w:tc>
        <w:tc>
          <w:tcPr>
            <w:tcW w:w="8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7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8,643</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60" w:type="dxa"/>
            <w:vAlign w:val="bottom"/>
            <w:shd w:val="clear" w:color="auto" w:fill="D4EFF3"/>
          </w:tcPr>
          <w:p>
            <w:pPr>
              <w:spacing w:after="0"/>
              <w:rPr>
                <w:sz w:val="20"/>
                <w:szCs w:val="20"/>
                <w:color w:val="auto"/>
              </w:rPr>
            </w:pPr>
          </w:p>
        </w:tc>
        <w:tc>
          <w:tcPr>
            <w:tcW w:w="1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16,931</w:t>
            </w:r>
          </w:p>
        </w:tc>
        <w:tc>
          <w:tcPr>
            <w:tcW w:w="8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1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7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41,488</w:t>
            </w:r>
          </w:p>
        </w:tc>
        <w:tc>
          <w:tcPr>
            <w:tcW w:w="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60" w:type="dxa"/>
            <w:vAlign w:val="bottom"/>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20" w:type="dxa"/>
            <w:vAlign w:val="bottom"/>
            <w:shd w:val="clear" w:color="auto" w:fill="D4EFF3"/>
          </w:tcPr>
          <w:p>
            <w:pPr>
              <w:spacing w:after="0"/>
              <w:rPr>
                <w:sz w:val="21"/>
                <w:szCs w:val="21"/>
                <w:color w:val="auto"/>
              </w:rPr>
            </w:pPr>
          </w:p>
        </w:tc>
        <w:tc>
          <w:tcPr>
            <w:tcW w:w="70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74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18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80" w:type="dxa"/>
            <w:vAlign w:val="bottom"/>
            <w:tcBorders>
              <w:bottom w:val="single" w:sz="8" w:color="D4EFF3"/>
            </w:tcBorders>
          </w:tcPr>
          <w:p>
            <w:pPr>
              <w:spacing w:after="0"/>
              <w:rPr>
                <w:sz w:val="21"/>
                <w:szCs w:val="21"/>
                <w:color w:val="auto"/>
              </w:rPr>
            </w:pPr>
          </w:p>
        </w:tc>
        <w:tc>
          <w:tcPr>
            <w:tcW w:w="18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80" w:type="dxa"/>
            <w:vAlign w:val="bottom"/>
            <w:tcBorders>
              <w:bottom w:val="single" w:sz="8" w:color="D4EF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380" w:type="dxa"/>
            <w:vAlign w:val="bottom"/>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Accrued expenses</w:t>
            </w:r>
          </w:p>
        </w:tc>
        <w:tc>
          <w:tcPr>
            <w:tcW w:w="60" w:type="dxa"/>
            <w:vAlign w:val="bottom"/>
            <w:shd w:val="clear" w:color="auto" w:fill="D4EFF3"/>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937</w:t>
            </w:r>
          </w:p>
        </w:tc>
        <w:tc>
          <w:tcPr>
            <w:tcW w:w="8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74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2,726</w:t>
            </w:r>
          </w:p>
        </w:tc>
        <w:tc>
          <w:tcPr>
            <w:tcW w:w="8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Current loan payable (net of discount and issuance costs of nil and $74, respectively)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Current operating lease liabilities</w:t>
            </w:r>
          </w:p>
        </w:tc>
        <w:tc>
          <w:tcPr>
            <w:tcW w:w="60" w:type="dxa"/>
            <w:vAlign w:val="bottom"/>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8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7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869</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Interest payable</w:t>
            </w:r>
          </w:p>
        </w:tc>
        <w:tc>
          <w:tcPr>
            <w:tcW w:w="60" w:type="dxa"/>
            <w:vAlign w:val="bottom"/>
            <w:shd w:val="clear" w:color="auto" w:fill="D4EFF3"/>
          </w:tcPr>
          <w:p>
            <w:pPr>
              <w:spacing w:after="0"/>
              <w:rPr>
                <w:sz w:val="21"/>
                <w:szCs w:val="21"/>
                <w:color w:val="auto"/>
              </w:rPr>
            </w:pPr>
          </w:p>
        </w:tc>
        <w:tc>
          <w:tcPr>
            <w:tcW w:w="120" w:type="dxa"/>
            <w:vAlign w:val="bottom"/>
            <w:tcBorders>
              <w:bottom w:val="single" w:sz="8" w:color="auto"/>
            </w:tcBorders>
            <w:shd w:val="clear" w:color="auto" w:fill="D4EFF3"/>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100" w:type="dxa"/>
            <w:vAlign w:val="bottom"/>
            <w:tcBorders>
              <w:bottom w:val="single" w:sz="8" w:color="auto"/>
            </w:tcBorders>
            <w:shd w:val="clear" w:color="auto" w:fill="D4EFF3"/>
          </w:tcPr>
          <w:p>
            <w:pPr>
              <w:spacing w:after="0"/>
              <w:rPr>
                <w:sz w:val="21"/>
                <w:szCs w:val="21"/>
                <w:color w:val="auto"/>
              </w:rPr>
            </w:pPr>
          </w:p>
        </w:tc>
        <w:tc>
          <w:tcPr>
            <w:tcW w:w="7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3,314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Operating lease liabilities, less current portion</w:t>
            </w:r>
          </w:p>
        </w:tc>
        <w:tc>
          <w:tcPr>
            <w:tcW w:w="60" w:type="dxa"/>
            <w:vAlign w:val="bottom"/>
            <w:shd w:val="clear" w:color="auto" w:fill="D4EFF3"/>
          </w:tcPr>
          <w:p>
            <w:pPr>
              <w:spacing w:after="0"/>
              <w:rPr>
                <w:sz w:val="22"/>
                <w:szCs w:val="22"/>
                <w:color w:val="auto"/>
              </w:rPr>
            </w:pPr>
          </w:p>
        </w:tc>
        <w:tc>
          <w:tcPr>
            <w:tcW w:w="120" w:type="dxa"/>
            <w:vAlign w:val="bottom"/>
            <w:tcBorders>
              <w:bottom w:val="single" w:sz="8" w:color="auto"/>
            </w:tcBorders>
            <w:shd w:val="clear" w:color="auto" w:fill="D4EFF3"/>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6,949</w:t>
            </w:r>
          </w:p>
        </w:tc>
        <w:tc>
          <w:tcPr>
            <w:tcW w:w="80" w:type="dxa"/>
            <w:vAlign w:val="bottom"/>
            <w:shd w:val="clear" w:color="auto" w:fill="D4EFF3"/>
          </w:tcPr>
          <w:p>
            <w:pPr>
              <w:spacing w:after="0"/>
              <w:rPr>
                <w:sz w:val="22"/>
                <w:szCs w:val="22"/>
                <w:color w:val="auto"/>
              </w:rPr>
            </w:pPr>
          </w:p>
        </w:tc>
        <w:tc>
          <w:tcPr>
            <w:tcW w:w="80" w:type="dxa"/>
            <w:vAlign w:val="bottom"/>
            <w:shd w:val="clear" w:color="auto" w:fill="D4EFF3"/>
          </w:tcPr>
          <w:p>
            <w:pPr>
              <w:spacing w:after="0"/>
              <w:rPr>
                <w:sz w:val="22"/>
                <w:szCs w:val="22"/>
                <w:color w:val="auto"/>
              </w:rPr>
            </w:pPr>
          </w:p>
        </w:tc>
        <w:tc>
          <w:tcPr>
            <w:tcW w:w="100" w:type="dxa"/>
            <w:vAlign w:val="bottom"/>
            <w:tcBorders>
              <w:bottom w:val="single" w:sz="8" w:color="auto"/>
            </w:tcBorders>
            <w:shd w:val="clear" w:color="auto" w:fill="D4EFF3"/>
          </w:tcPr>
          <w:p>
            <w:pPr>
              <w:spacing w:after="0"/>
              <w:rPr>
                <w:sz w:val="22"/>
                <w:szCs w:val="22"/>
                <w:color w:val="auto"/>
              </w:rPr>
            </w:pPr>
          </w:p>
        </w:tc>
        <w:tc>
          <w:tcPr>
            <w:tcW w:w="7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8,142</w:t>
            </w:r>
          </w:p>
        </w:tc>
        <w:tc>
          <w:tcPr>
            <w:tcW w:w="80" w:type="dxa"/>
            <w:vAlign w:val="bottom"/>
            <w:shd w:val="clear" w:color="auto" w:fill="D4EFF3"/>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380" w:type="dxa"/>
            <w:vAlign w:val="bottom"/>
            <w:tcBorders>
              <w:bottom w:val="single" w:sz="8" w:color="D4EFF3"/>
            </w:tcBorders>
          </w:tcPr>
          <w:p>
            <w:pPr>
              <w:spacing w:after="0" w:line="213" w:lineRule="exact"/>
              <w:rPr>
                <w:sz w:val="20"/>
                <w:szCs w:val="20"/>
                <w:color w:val="auto"/>
              </w:rPr>
            </w:pPr>
            <w:r>
              <w:rPr>
                <w:rFonts w:ascii="Times New Roman" w:cs="Times New Roman" w:eastAsia="Times New Roman" w:hAnsi="Times New Roman"/>
                <w:sz w:val="20"/>
                <w:szCs w:val="20"/>
                <w:color w:val="auto"/>
              </w:rPr>
              <w:t>Total liabilities</w:t>
            </w:r>
          </w:p>
        </w:tc>
        <w:tc>
          <w:tcPr>
            <w:tcW w:w="60" w:type="dxa"/>
            <w:vAlign w:val="bottom"/>
            <w:tcBorders>
              <w:bottom w:val="single" w:sz="8" w:color="D4EFF3"/>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10,263</w:t>
            </w:r>
          </w:p>
        </w:tc>
        <w:tc>
          <w:tcPr>
            <w:tcW w:w="80" w:type="dxa"/>
            <w:vAlign w:val="bottom"/>
            <w:tcBorders>
              <w:bottom w:val="single" w:sz="8" w:color="D4EFF3"/>
            </w:tcBorders>
          </w:tcPr>
          <w:p>
            <w:pPr>
              <w:spacing w:after="0"/>
              <w:rPr>
                <w:sz w:val="18"/>
                <w:szCs w:val="18"/>
                <w:color w:val="auto"/>
              </w:rPr>
            </w:pPr>
          </w:p>
        </w:tc>
        <w:tc>
          <w:tcPr>
            <w:tcW w:w="80" w:type="dxa"/>
            <w:vAlign w:val="bottom"/>
            <w:tcBorders>
              <w:bottom w:val="single" w:sz="8" w:color="D4EFF3"/>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22,362</w:t>
            </w:r>
          </w:p>
        </w:tc>
        <w:tc>
          <w:tcPr>
            <w:tcW w:w="80" w:type="dxa"/>
            <w:vAlign w:val="bottom"/>
            <w:tcBorders>
              <w:bottom w:val="single" w:sz="8" w:color="D4EFF3"/>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Commitments and contingencies (Note 5)</w:t>
            </w:r>
          </w:p>
        </w:tc>
        <w:tc>
          <w:tcPr>
            <w:tcW w:w="60" w:type="dxa"/>
            <w:vAlign w:val="bottom"/>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20" w:type="dxa"/>
            <w:vAlign w:val="bottom"/>
            <w:shd w:val="clear" w:color="auto" w:fill="D4EFF3"/>
          </w:tcPr>
          <w:p>
            <w:pPr>
              <w:spacing w:after="0"/>
              <w:rPr>
                <w:sz w:val="20"/>
                <w:szCs w:val="20"/>
                <w:color w:val="auto"/>
              </w:rPr>
            </w:pPr>
          </w:p>
        </w:tc>
        <w:tc>
          <w:tcPr>
            <w:tcW w:w="70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74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shd w:val="clear" w:color="auto" w:fill="D4EFF3"/>
              </w:rPr>
              <w:t>Common stock, $0.001 par value; 100,000,000 shares authorized; 4,927,161 and 3,382,432</w:t>
            </w:r>
          </w:p>
        </w:tc>
        <w:tc>
          <w:tcPr>
            <w:tcW w:w="60" w:type="dxa"/>
            <w:vAlign w:val="bottom"/>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74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shares issued and outstanding at December 31, 2025 and December 31, 2024,</w:t>
            </w:r>
          </w:p>
        </w:tc>
        <w:tc>
          <w:tcPr>
            <w:tcW w:w="60" w:type="dxa"/>
            <w:vAlign w:val="bottom"/>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74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respectively</w:t>
            </w:r>
            <w:r>
              <w:rPr>
                <w:rFonts w:ascii="Times New Roman" w:cs="Times New Roman" w:eastAsia="Times New Roman" w:hAnsi="Times New Roman"/>
                <w:sz w:val="12"/>
                <w:szCs w:val="12"/>
                <w:color w:val="auto"/>
              </w:rPr>
              <w:t>(1)</w:t>
            </w:r>
          </w:p>
        </w:tc>
        <w:tc>
          <w:tcPr>
            <w:tcW w:w="60" w:type="dxa"/>
            <w:vAlign w:val="bottom"/>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7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r>
              <w:rPr>
                <w:rFonts w:ascii="Times New Roman" w:cs="Times New Roman" w:eastAsia="Times New Roman" w:hAnsi="Times New Roman"/>
                <w:sz w:val="12"/>
                <w:szCs w:val="12"/>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240,031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226,229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60" w:type="dxa"/>
            <w:vAlign w:val="bottom"/>
            <w:shd w:val="clear" w:color="auto" w:fill="D4EFF3"/>
          </w:tcPr>
          <w:p>
            <w:pPr>
              <w:spacing w:after="0"/>
              <w:rPr>
                <w:sz w:val="21"/>
                <w:szCs w:val="21"/>
                <w:color w:val="auto"/>
              </w:rPr>
            </w:pPr>
          </w:p>
        </w:tc>
        <w:tc>
          <w:tcPr>
            <w:tcW w:w="120" w:type="dxa"/>
            <w:vAlign w:val="bottom"/>
            <w:tcBorders>
              <w:bottom w:val="single" w:sz="8" w:color="auto"/>
            </w:tcBorders>
            <w:shd w:val="clear" w:color="auto" w:fill="D4EFF3"/>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94"/>
              </w:rPr>
              <w:t>(233,368</w:t>
            </w:r>
          </w:p>
        </w:tc>
        <w:tc>
          <w:tcPr>
            <w:tcW w:w="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3"/>
              </w:rPr>
              <w:t>)</w:t>
            </w:r>
          </w:p>
        </w:tc>
        <w:tc>
          <w:tcPr>
            <w:tcW w:w="80" w:type="dxa"/>
            <w:vAlign w:val="bottom"/>
            <w:shd w:val="clear" w:color="auto" w:fill="D4EFF3"/>
          </w:tcPr>
          <w:p>
            <w:pPr>
              <w:spacing w:after="0"/>
              <w:rPr>
                <w:sz w:val="21"/>
                <w:szCs w:val="21"/>
                <w:color w:val="auto"/>
              </w:rPr>
            </w:pPr>
          </w:p>
        </w:tc>
        <w:tc>
          <w:tcPr>
            <w:tcW w:w="100" w:type="dxa"/>
            <w:vAlign w:val="bottom"/>
            <w:tcBorders>
              <w:bottom w:val="single" w:sz="8" w:color="auto"/>
            </w:tcBorders>
            <w:shd w:val="clear" w:color="auto" w:fill="D4EFF3"/>
          </w:tcPr>
          <w:p>
            <w:pPr>
              <w:spacing w:after="0"/>
              <w:rPr>
                <w:sz w:val="21"/>
                <w:szCs w:val="21"/>
                <w:color w:val="auto"/>
              </w:rPr>
            </w:pPr>
          </w:p>
        </w:tc>
        <w:tc>
          <w:tcPr>
            <w:tcW w:w="7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97"/>
              </w:rPr>
              <w:t>(207,106</w:t>
            </w:r>
          </w:p>
        </w:tc>
        <w:tc>
          <w:tcPr>
            <w:tcW w:w="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D4EFF3"/>
              </w:rPr>
              <w:t>)</w:t>
            </w:r>
          </w:p>
        </w:tc>
        <w:tc>
          <w:tcPr>
            <w:tcW w:w="0" w:type="dxa"/>
            <w:vAlign w:val="bottom"/>
          </w:tcPr>
          <w:p>
            <w:pPr>
              <w:spacing w:after="0"/>
              <w:rPr>
                <w:sz w:val="1"/>
                <w:szCs w:val="1"/>
                <w:color w:val="auto"/>
              </w:rPr>
            </w:pPr>
          </w:p>
        </w:tc>
      </w:tr>
      <w:tr>
        <w:trPr>
          <w:trHeight w:val="233"/>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Total stockholders’ equity</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3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60" w:type="dxa"/>
            <w:vAlign w:val="bottom"/>
            <w:shd w:val="clear" w:color="auto" w:fill="D4EFF3"/>
          </w:tcPr>
          <w:p>
            <w:pPr>
              <w:spacing w:after="0"/>
              <w:rPr>
                <w:sz w:val="22"/>
                <w:szCs w:val="22"/>
                <w:color w:val="auto"/>
              </w:rPr>
            </w:pPr>
          </w:p>
        </w:tc>
        <w:tc>
          <w:tcPr>
            <w:tcW w:w="1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16,931</w:t>
            </w:r>
          </w:p>
        </w:tc>
        <w:tc>
          <w:tcPr>
            <w:tcW w:w="80" w:type="dxa"/>
            <w:vAlign w:val="bottom"/>
            <w:shd w:val="clear" w:color="auto" w:fill="D4EFF3"/>
          </w:tcPr>
          <w:p>
            <w:pPr>
              <w:spacing w:after="0"/>
              <w:rPr>
                <w:sz w:val="22"/>
                <w:szCs w:val="22"/>
                <w:color w:val="auto"/>
              </w:rPr>
            </w:pPr>
          </w:p>
        </w:tc>
        <w:tc>
          <w:tcPr>
            <w:tcW w:w="80" w:type="dxa"/>
            <w:vAlign w:val="bottom"/>
            <w:shd w:val="clear" w:color="auto" w:fill="D4EFF3"/>
          </w:tcPr>
          <w:p>
            <w:pPr>
              <w:spacing w:after="0"/>
              <w:rPr>
                <w:sz w:val="22"/>
                <w:szCs w:val="22"/>
                <w:color w:val="auto"/>
              </w:rPr>
            </w:pPr>
          </w:p>
        </w:tc>
        <w:tc>
          <w:tcPr>
            <w:tcW w:w="10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7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41,488</w:t>
            </w:r>
          </w:p>
        </w:tc>
        <w:tc>
          <w:tcPr>
            <w:tcW w:w="80" w:type="dxa"/>
            <w:vAlign w:val="bottom"/>
            <w:shd w:val="clear" w:color="auto" w:fill="D4EFF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-4417060</wp:posOffset>
                </wp:positionV>
                <wp:extent cx="5260340" cy="0"/>
                <wp:wrapNone/>
                <wp:docPr id="615" name="Shape 6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603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5" o:spid="_x0000_s16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7.7999pt" to="414.2pt,-347.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-4105910</wp:posOffset>
                </wp:positionV>
                <wp:extent cx="5944870" cy="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3.2999pt" to="468.1pt,-323.2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-2205355</wp:posOffset>
                </wp:positionV>
                <wp:extent cx="5944870"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3.6499pt" to="468.1pt,-173.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-1572895</wp:posOffset>
                </wp:positionV>
                <wp:extent cx="5944870" cy="0"/>
                <wp:wrapNone/>
                <wp:docPr id="618" name="Shape 6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8" o:spid="_x0000_s16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8499pt" to="468.1pt,-123.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-655320</wp:posOffset>
                </wp:positionV>
                <wp:extent cx="5944870" cy="0"/>
                <wp:wrapNone/>
                <wp:docPr id="619" name="Shape 6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9" o:spid="_x0000_s16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5999pt" to="468.1pt,-51.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-337820</wp:posOffset>
                </wp:positionV>
                <wp:extent cx="5944870" cy="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20" o:spid="_x0000_s16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5999pt" to="468.1pt,-26.5999pt" o:allowincell="f" strokecolor="#FFFFFF" strokeweight="0.7199pt"/>
            </w:pict>
          </mc:Fallback>
        </mc:AlternateContent>
      </w:r>
    </w:p>
    <w:p>
      <w:pPr>
        <w:ind w:right="400"/>
        <w:spacing w:after="0" w:line="258" w:lineRule="auto"/>
        <w:tabs>
          <w:tab w:leader="none" w:pos="28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including shares issued and outstanding have been adjusted to reflect the one-for-thirteen stock split effected in April 2025. See Note 1, Organization and Description of the Business, for details.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23" o:spid="_x0000_s1648"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625" o:spid="_x0000_s1650"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626" o:spid="_x0000_s1651"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1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ectPr>
          <w:pgSz w:w="12240" w:h="15840" w:orient="portrait"/>
          <w:cols w:equalWidth="0" w:num="1">
            <w:col w:w="9360"/>
          </w:cols>
          <w:pgMar w:left="1440" w:top="1432"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123"/>
              <w:spacing w:after="0"/>
              <w:rPr>
                <w:sz w:val="20"/>
                <w:szCs w:val="20"/>
                <w:color w:val="auto"/>
              </w:rPr>
            </w:pPr>
            <w:r>
              <w:rPr>
                <w:rFonts w:ascii="Times New Roman" w:cs="Times New Roman" w:eastAsia="Times New Roman" w:hAnsi="Times New Roman"/>
                <w:sz w:val="20"/>
                <w:szCs w:val="20"/>
                <w:b w:val="1"/>
                <w:bCs w:val="1"/>
                <w:color w:val="auto"/>
                <w:w w:val="98"/>
              </w:rPr>
              <w:t>Year Ended December</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31,</w:t>
            </w:r>
          </w:p>
        </w:tc>
        <w:tc>
          <w:tcPr>
            <w:tcW w:w="8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20"/>
              <w:spacing w:after="0" w:line="220" w:lineRule="exact"/>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Borders>
              <w:right w:val="single" w:sz="8" w:color="D4EFF3"/>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Operating expenses:</w:t>
            </w:r>
          </w:p>
        </w:tc>
        <w:tc>
          <w:tcPr>
            <w:tcW w:w="120" w:type="dxa"/>
            <w:vAlign w:val="bottom"/>
            <w:shd w:val="clear" w:color="auto" w:fill="D4EFF3"/>
          </w:tcPr>
          <w:p>
            <w:pPr>
              <w:spacing w:after="0"/>
              <w:rPr>
                <w:sz w:val="19"/>
                <w:szCs w:val="19"/>
                <w:color w:val="auto"/>
              </w:rPr>
            </w:pPr>
          </w:p>
        </w:tc>
        <w:tc>
          <w:tcPr>
            <w:tcW w:w="920" w:type="dxa"/>
            <w:vAlign w:val="bottom"/>
            <w:shd w:val="clear" w:color="auto" w:fill="D4EFF3"/>
          </w:tcPr>
          <w:p>
            <w:pPr>
              <w:spacing w:after="0"/>
              <w:rPr>
                <w:sz w:val="19"/>
                <w:szCs w:val="19"/>
                <w:color w:val="auto"/>
              </w:rPr>
            </w:pPr>
          </w:p>
        </w:tc>
        <w:tc>
          <w:tcPr>
            <w:tcW w:w="120" w:type="dxa"/>
            <w:vAlign w:val="bottom"/>
            <w:tcBorders>
              <w:right w:val="single" w:sz="8" w:color="D4EFF3"/>
            </w:tcBorders>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860" w:type="dxa"/>
            <w:vAlign w:val="bottom"/>
            <w:shd w:val="clear" w:color="auto" w:fill="D4EFF3"/>
          </w:tcPr>
          <w:p>
            <w:pPr>
              <w:spacing w:after="0"/>
              <w:rPr>
                <w:sz w:val="19"/>
                <w:szCs w:val="19"/>
                <w:color w:val="auto"/>
              </w:rPr>
            </w:pPr>
          </w:p>
        </w:tc>
        <w:tc>
          <w:tcPr>
            <w:tcW w:w="6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Research and development</w:t>
            </w:r>
          </w:p>
        </w:tc>
        <w:tc>
          <w:tcPr>
            <w:tcW w:w="1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12,606</w:t>
            </w:r>
          </w:p>
        </w:tc>
        <w:tc>
          <w:tcPr>
            <w:tcW w:w="120" w:type="dxa"/>
            <w:vAlign w:val="bottom"/>
          </w:tcPr>
          <w:p>
            <w:pPr>
              <w:spacing w:after="0"/>
              <w:rPr>
                <w:sz w:val="19"/>
                <w:szCs w:val="19"/>
                <w:color w:val="auto"/>
              </w:rPr>
            </w:pPr>
          </w:p>
        </w:tc>
        <w:tc>
          <w:tcPr>
            <w:tcW w:w="1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28,476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Borders>
              <w:right w:val="single" w:sz="8" w:color="D4EFF3"/>
            </w:tcBorders>
            <w:shd w:val="clear" w:color="auto" w:fill="D4EFF3"/>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20" w:type="dxa"/>
            <w:vAlign w:val="bottom"/>
            <w:tcBorders>
              <w:bottom w:val="single" w:sz="8" w:color="auto"/>
            </w:tcBorders>
            <w:shd w:val="clear" w:color="auto" w:fill="D1EEF5"/>
          </w:tcPr>
          <w:p>
            <w:pPr>
              <w:spacing w:after="0"/>
              <w:rPr>
                <w:sz w:val="20"/>
                <w:szCs w:val="20"/>
                <w:color w:val="auto"/>
              </w:rPr>
            </w:pPr>
          </w:p>
        </w:tc>
        <w:tc>
          <w:tcPr>
            <w:tcW w:w="9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13,969</w:t>
            </w:r>
          </w:p>
        </w:tc>
        <w:tc>
          <w:tcPr>
            <w:tcW w:w="120" w:type="dxa"/>
            <w:vAlign w:val="bottom"/>
            <w:tcBorders>
              <w:right w:val="single" w:sz="8" w:color="D4EFF3"/>
            </w:tcBorders>
            <w:shd w:val="clear" w:color="auto" w:fill="D1EEF5"/>
          </w:tcPr>
          <w:p>
            <w:pPr>
              <w:spacing w:after="0"/>
              <w:rPr>
                <w:sz w:val="20"/>
                <w:szCs w:val="20"/>
                <w:color w:val="auto"/>
              </w:rPr>
            </w:pPr>
          </w:p>
        </w:tc>
        <w:tc>
          <w:tcPr>
            <w:tcW w:w="180" w:type="dxa"/>
            <w:vAlign w:val="bottom"/>
            <w:tcBorders>
              <w:bottom w:val="single" w:sz="8" w:color="auto"/>
            </w:tcBorders>
            <w:shd w:val="clear" w:color="auto" w:fill="D1EEF5"/>
          </w:tcPr>
          <w:p>
            <w:pPr>
              <w:spacing w:after="0"/>
              <w:rPr>
                <w:sz w:val="20"/>
                <w:szCs w:val="20"/>
                <w:color w:val="auto"/>
              </w:rPr>
            </w:pPr>
          </w:p>
        </w:tc>
        <w:tc>
          <w:tcPr>
            <w:tcW w:w="8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13,550</w:t>
            </w:r>
          </w:p>
        </w:tc>
        <w:tc>
          <w:tcPr>
            <w:tcW w:w="60" w:type="dxa"/>
            <w:vAlign w:val="bottom"/>
            <w:shd w:val="clear" w:color="auto" w:fill="D1EEF5"/>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Operating loss</w:t>
            </w:r>
          </w:p>
        </w:tc>
        <w:tc>
          <w:tcPr>
            <w:tcW w:w="120" w:type="dxa"/>
            <w:vAlign w:val="bottom"/>
          </w:tcPr>
          <w:p>
            <w:pPr>
              <w:spacing w:after="0"/>
              <w:rPr>
                <w:sz w:val="19"/>
                <w:szCs w:val="19"/>
                <w:color w:val="auto"/>
              </w:rPr>
            </w:pPr>
          </w:p>
        </w:tc>
        <w:tc>
          <w:tcPr>
            <w:tcW w:w="9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(42,026)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Borders>
              <w:right w:val="single" w:sz="8" w:color="D4EFF3"/>
            </w:tcBorders>
            <w:shd w:val="clear" w:color="auto" w:fill="D4EFF3"/>
          </w:tcPr>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tc>
        <w:tc>
          <w:tcPr>
            <w:tcW w:w="120" w:type="dxa"/>
            <w:vAlign w:val="bottom"/>
            <w:shd w:val="clear" w:color="auto" w:fill="D4EFF3"/>
          </w:tcPr>
          <w:p>
            <w:pPr>
              <w:spacing w:after="0"/>
              <w:rPr>
                <w:sz w:val="20"/>
                <w:szCs w:val="20"/>
                <w:color w:val="auto"/>
              </w:rPr>
            </w:pPr>
          </w:p>
        </w:tc>
        <w:tc>
          <w:tcPr>
            <w:tcW w:w="920" w:type="dxa"/>
            <w:vAlign w:val="bottom"/>
            <w:shd w:val="clear" w:color="auto" w:fill="D4EFF3"/>
          </w:tcPr>
          <w:p>
            <w:pPr>
              <w:spacing w:after="0"/>
              <w:rPr>
                <w:sz w:val="20"/>
                <w:szCs w:val="20"/>
                <w:color w:val="auto"/>
              </w:rPr>
            </w:pPr>
          </w:p>
        </w:tc>
        <w:tc>
          <w:tcPr>
            <w:tcW w:w="120" w:type="dxa"/>
            <w:vAlign w:val="bottom"/>
            <w:tcBorders>
              <w:right w:val="single" w:sz="8" w:color="D4EFF3"/>
            </w:tcBorders>
            <w:shd w:val="clear" w:color="auto" w:fill="D4EFF3"/>
          </w:tcPr>
          <w:p>
            <w:pPr>
              <w:spacing w:after="0"/>
              <w:rPr>
                <w:sz w:val="20"/>
                <w:szCs w:val="20"/>
                <w:color w:val="auto"/>
              </w:rPr>
            </w:pPr>
          </w:p>
        </w:tc>
        <w:tc>
          <w:tcPr>
            <w:tcW w:w="180" w:type="dxa"/>
            <w:vAlign w:val="bottom"/>
            <w:shd w:val="clear" w:color="auto" w:fill="D4EFF3"/>
          </w:tcPr>
          <w:p>
            <w:pPr>
              <w:spacing w:after="0"/>
              <w:rPr>
                <w:sz w:val="20"/>
                <w:szCs w:val="20"/>
                <w:color w:val="auto"/>
              </w:rPr>
            </w:pPr>
          </w:p>
        </w:tc>
        <w:tc>
          <w:tcPr>
            <w:tcW w:w="860" w:type="dxa"/>
            <w:vAlign w:val="bottom"/>
            <w:shd w:val="clear" w:color="auto" w:fill="D4EFF3"/>
          </w:tcPr>
          <w:p>
            <w:pPr>
              <w:spacing w:after="0"/>
              <w:rPr>
                <w:sz w:val="20"/>
                <w:szCs w:val="20"/>
                <w:color w:val="auto"/>
              </w:rPr>
            </w:pPr>
          </w:p>
        </w:tc>
        <w:tc>
          <w:tcPr>
            <w:tcW w:w="6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Borders>
              <w:right w:val="single" w:sz="8" w:color="D4EFF3"/>
            </w:tcBorders>
            <w:shd w:val="clear" w:color="auto" w:fill="D4EFF3"/>
          </w:tcPr>
          <w:p>
            <w:pPr>
              <w:spacing w:after="0"/>
              <w:rPr>
                <w:sz w:val="20"/>
                <w:szCs w:val="20"/>
                <w:color w:val="auto"/>
              </w:rPr>
            </w:pPr>
            <w:r>
              <w:rPr>
                <w:rFonts w:ascii="Times New Roman" w:cs="Times New Roman" w:eastAsia="Times New Roman" w:hAnsi="Times New Roman"/>
                <w:sz w:val="20"/>
                <w:szCs w:val="20"/>
                <w:color w:val="auto"/>
              </w:rPr>
              <w:t>Interest income and other income (expense), net</w:t>
            </w:r>
          </w:p>
        </w:tc>
        <w:tc>
          <w:tcPr>
            <w:tcW w:w="120" w:type="dxa"/>
            <w:vAlign w:val="bottom"/>
            <w:tcBorders>
              <w:bottom w:val="single" w:sz="8" w:color="auto"/>
            </w:tcBorders>
            <w:shd w:val="clear" w:color="auto" w:fill="D1EEF5"/>
          </w:tcPr>
          <w:p>
            <w:pPr>
              <w:spacing w:after="0"/>
              <w:rPr>
                <w:sz w:val="20"/>
                <w:szCs w:val="20"/>
                <w:color w:val="auto"/>
              </w:rPr>
            </w:pPr>
          </w:p>
        </w:tc>
        <w:tc>
          <w:tcPr>
            <w:tcW w:w="92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120" w:type="dxa"/>
            <w:vAlign w:val="bottom"/>
            <w:tcBorders>
              <w:right w:val="single" w:sz="8" w:color="D4EFF3"/>
            </w:tcBorders>
            <w:shd w:val="clear" w:color="auto" w:fill="D1EEF5"/>
          </w:tcPr>
          <w:p>
            <w:pPr>
              <w:spacing w:after="0"/>
              <w:rPr>
                <w:sz w:val="20"/>
                <w:szCs w:val="20"/>
                <w:color w:val="auto"/>
              </w:rPr>
            </w:pPr>
          </w:p>
        </w:tc>
        <w:tc>
          <w:tcPr>
            <w:tcW w:w="180" w:type="dxa"/>
            <w:vAlign w:val="bottom"/>
            <w:tcBorders>
              <w:bottom w:val="single" w:sz="8" w:color="auto"/>
            </w:tcBorders>
            <w:shd w:val="clear" w:color="auto" w:fill="D1EEF5"/>
          </w:tcPr>
          <w:p>
            <w:pPr>
              <w:spacing w:after="0"/>
              <w:rPr>
                <w:sz w:val="20"/>
                <w:szCs w:val="20"/>
                <w:color w:val="auto"/>
              </w:rPr>
            </w:pPr>
          </w:p>
        </w:tc>
        <w:tc>
          <w:tcPr>
            <w:tcW w:w="86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1,499</w:t>
            </w:r>
          </w:p>
        </w:tc>
        <w:tc>
          <w:tcPr>
            <w:tcW w:w="60" w:type="dxa"/>
            <w:vAlign w:val="bottom"/>
            <w:shd w:val="clear" w:color="auto" w:fill="D1EEF5"/>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Other income (expense), net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80" w:type="dxa"/>
            <w:vAlign w:val="bottom"/>
            <w:tcBorders>
              <w:right w:val="single" w:sz="8" w:color="D4EFF3"/>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Provision for income taxes</w:t>
            </w:r>
          </w:p>
        </w:tc>
        <w:tc>
          <w:tcPr>
            <w:tcW w:w="120" w:type="dxa"/>
            <w:vAlign w:val="bottom"/>
            <w:tcBorders>
              <w:bottom w:val="single" w:sz="8" w:color="auto"/>
            </w:tcBorders>
            <w:shd w:val="clear" w:color="auto" w:fill="D1EEF5"/>
          </w:tcPr>
          <w:p>
            <w:pPr>
              <w:spacing w:after="0"/>
              <w:rPr>
                <w:sz w:val="19"/>
                <w:szCs w:val="19"/>
                <w:color w:val="auto"/>
              </w:rPr>
            </w:pPr>
          </w:p>
        </w:tc>
        <w:tc>
          <w:tcPr>
            <w:tcW w:w="920" w:type="dxa"/>
            <w:vAlign w:val="bottom"/>
            <w:tcBorders>
              <w:bottom w:val="single" w:sz="8" w:color="auto"/>
            </w:tcBorders>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right w:val="single" w:sz="8" w:color="D4EFF3"/>
            </w:tcBorders>
            <w:shd w:val="clear" w:color="auto" w:fill="D1EEF5"/>
          </w:tcPr>
          <w:p>
            <w:pPr>
              <w:spacing w:after="0"/>
              <w:rPr>
                <w:sz w:val="19"/>
                <w:szCs w:val="19"/>
                <w:color w:val="auto"/>
              </w:rPr>
            </w:pPr>
          </w:p>
        </w:tc>
        <w:tc>
          <w:tcPr>
            <w:tcW w:w="180" w:type="dxa"/>
            <w:vAlign w:val="bottom"/>
            <w:tcBorders>
              <w:bottom w:val="single" w:sz="8" w:color="auto"/>
            </w:tcBorders>
            <w:shd w:val="clear" w:color="auto" w:fill="D1EEF5"/>
          </w:tcPr>
          <w:p>
            <w:pPr>
              <w:spacing w:after="0"/>
              <w:rPr>
                <w:sz w:val="19"/>
                <w:szCs w:val="19"/>
                <w:color w:val="auto"/>
              </w:rPr>
            </w:pPr>
          </w:p>
        </w:tc>
        <w:tc>
          <w:tcPr>
            <w:tcW w:w="860" w:type="dxa"/>
            <w:vAlign w:val="bottom"/>
            <w:tcBorders>
              <w:bottom w:val="single" w:sz="8" w:color="auto"/>
            </w:tcBorders>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1EEF5"/>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Net loss</w:t>
            </w:r>
          </w:p>
        </w:tc>
        <w:tc>
          <w:tcPr>
            <w:tcW w:w="1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(26,262</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(41,843</w:t>
            </w:r>
          </w:p>
        </w:tc>
        <w:tc>
          <w:tcPr>
            <w:tcW w:w="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Borders>
              <w:right w:val="single" w:sz="8" w:color="D4EFF3"/>
            </w:tcBorders>
            <w:shd w:val="clear" w:color="auto" w:fill="D4EFF3"/>
          </w:tcPr>
          <w:p>
            <w:pPr>
              <w:spacing w:after="0" w:line="216" w:lineRule="exact"/>
              <w:rPr>
                <w:sz w:val="20"/>
                <w:szCs w:val="20"/>
                <w:color w:val="auto"/>
              </w:rPr>
            </w:pPr>
            <w:r>
              <w:rPr>
                <w:rFonts w:ascii="Times New Roman" w:cs="Times New Roman" w:eastAsia="Times New Roman" w:hAnsi="Times New Roman"/>
                <w:sz w:val="20"/>
                <w:szCs w:val="20"/>
                <w:color w:val="auto"/>
              </w:rPr>
              <w:t>Net loss per share of common stock and pre-funded warrants, basic and diluted</w:t>
            </w:r>
            <w:r>
              <w:rPr>
                <w:rFonts w:ascii="Times New Roman" w:cs="Times New Roman" w:eastAsia="Times New Roman" w:hAnsi="Times New Roman"/>
                <w:sz w:val="12"/>
                <w:szCs w:val="12"/>
                <w:color w:val="auto"/>
              </w:rPr>
              <w:t>(1)</w:t>
            </w:r>
          </w:p>
        </w:tc>
        <w:tc>
          <w:tcPr>
            <w:tcW w:w="120" w:type="dxa"/>
            <w:vAlign w:val="bottom"/>
            <w:shd w:val="clear" w:color="auto" w:fill="D1EEF5"/>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1EEF5"/>
          </w:tcPr>
          <w:p>
            <w:pPr>
              <w:jc w:val="right"/>
              <w:spacing w:after="0" w:line="216" w:lineRule="exact"/>
              <w:rPr>
                <w:sz w:val="20"/>
                <w:szCs w:val="20"/>
                <w:color w:val="auto"/>
              </w:rPr>
            </w:pPr>
            <w:r>
              <w:rPr>
                <w:rFonts w:ascii="Times New Roman" w:cs="Times New Roman" w:eastAsia="Times New Roman" w:hAnsi="Times New Roman"/>
                <w:sz w:val="20"/>
                <w:szCs w:val="20"/>
                <w:color w:val="auto"/>
              </w:rPr>
              <w:t>(6.33)</w:t>
            </w:r>
          </w:p>
        </w:tc>
        <w:tc>
          <w:tcPr>
            <w:tcW w:w="120" w:type="dxa"/>
            <w:vAlign w:val="bottom"/>
            <w:tcBorders>
              <w:right w:val="single" w:sz="8" w:color="D4EFF3"/>
            </w:tcBorders>
            <w:shd w:val="clear" w:color="auto" w:fill="D1EEF5"/>
          </w:tcPr>
          <w:p>
            <w:pPr>
              <w:spacing w:after="0"/>
              <w:rPr>
                <w:sz w:val="18"/>
                <w:szCs w:val="18"/>
                <w:color w:val="auto"/>
              </w:rPr>
            </w:pPr>
          </w:p>
        </w:tc>
        <w:tc>
          <w:tcPr>
            <w:tcW w:w="180" w:type="dxa"/>
            <w:vAlign w:val="bottom"/>
            <w:shd w:val="clear" w:color="auto" w:fill="D1EEF5"/>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shd w:val="clear" w:color="auto" w:fill="D1EEF5"/>
          </w:tcPr>
          <w:p>
            <w:pPr>
              <w:jc w:val="right"/>
              <w:spacing w:after="0" w:line="216" w:lineRule="exact"/>
              <w:rPr>
                <w:sz w:val="20"/>
                <w:szCs w:val="20"/>
                <w:color w:val="auto"/>
              </w:rPr>
            </w:pPr>
            <w:r>
              <w:rPr>
                <w:rFonts w:ascii="Times New Roman" w:cs="Times New Roman" w:eastAsia="Times New Roman" w:hAnsi="Times New Roman"/>
                <w:sz w:val="20"/>
                <w:szCs w:val="20"/>
                <w:color w:val="auto"/>
              </w:rPr>
              <w:t>(19.50)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of common stock and pre-funded warrants outstanding,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diluted</w:t>
            </w:r>
            <w:r>
              <w:rPr>
                <w:rFonts w:ascii="Times New Roman" w:cs="Times New Roman" w:eastAsia="Times New Roman" w:hAnsi="Times New Roman"/>
                <w:sz w:val="12"/>
                <w:szCs w:val="12"/>
                <w:color w:val="auto"/>
              </w:rPr>
              <w:t>(1)</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4,149,733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2,146,276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right="80"/>
        <w:spacing w:after="0" w:line="245" w:lineRule="auto"/>
        <w:tabs>
          <w:tab w:leader="none" w:pos="28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including shares of common stock, have been adjusted to reflect the one-for-thirteen stock split effected in April 2025. See Note 1, Organization and Description of the Business, for details.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627" o:spid="_x0000_s16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28" o:spid="_x0000_s16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29" name="Shape 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29" o:spid="_x0000_s165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631" o:spid="_x0000_s1656"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632" o:spid="_x0000_s1657"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1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01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4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2"/>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r>
      <w:tr>
        <w:trPr>
          <w:trHeight w:val="209"/>
        </w:trPr>
        <w:tc>
          <w:tcPr>
            <w:tcW w:w="4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6"/>
                <w:szCs w:val="16"/>
                <w:b w:val="1"/>
                <w:bCs w:val="1"/>
                <w:color w:val="auto"/>
              </w:rPr>
              <w:t xml:space="preserve">    Amount</w:t>
            </w: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Capital</w:t>
            </w: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8"/>
                <w:szCs w:val="18"/>
                <w:color w:val="auto"/>
              </w:rPr>
            </w:pPr>
          </w:p>
        </w:tc>
        <w:tc>
          <w:tcPr>
            <w:tcW w:w="2260" w:type="dxa"/>
            <w:vAlign w:val="bottom"/>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Equity (Deficit)</w:t>
            </w:r>
          </w:p>
        </w:tc>
      </w:tr>
      <w:tr>
        <w:trPr>
          <w:trHeight w:val="166"/>
        </w:trPr>
        <w:tc>
          <w:tcPr>
            <w:tcW w:w="4440" w:type="dxa"/>
            <w:vAlign w:val="bottom"/>
            <w:tcBorders>
              <w:top w:val="single" w:sz="8" w:color="D4EFF3"/>
            </w:tcBorders>
            <w:shd w:val="clear" w:color="auto" w:fill="D4EFF3"/>
          </w:tcPr>
          <w:p>
            <w:pPr>
              <w:spacing w:after="0" w:line="167" w:lineRule="exact"/>
              <w:rPr>
                <w:sz w:val="20"/>
                <w:szCs w:val="20"/>
                <w:color w:val="auto"/>
              </w:rPr>
            </w:pPr>
            <w:r>
              <w:rPr>
                <w:rFonts w:ascii="Times New Roman" w:cs="Times New Roman" w:eastAsia="Times New Roman" w:hAnsi="Times New Roman"/>
                <w:sz w:val="16"/>
                <w:szCs w:val="16"/>
                <w:color w:val="auto"/>
              </w:rPr>
              <w:t>BALANCE - December 31, 2023</w:t>
            </w:r>
          </w:p>
        </w:tc>
        <w:tc>
          <w:tcPr>
            <w:tcW w:w="60" w:type="dxa"/>
            <w:vAlign w:val="bottom"/>
            <w:tcBorders>
              <w:top w:val="single" w:sz="8" w:color="D4EFF3"/>
            </w:tcBorders>
            <w:shd w:val="clear" w:color="auto" w:fill="D4EFF3"/>
          </w:tcPr>
          <w:p>
            <w:pPr>
              <w:spacing w:after="0"/>
              <w:rPr>
                <w:sz w:val="14"/>
                <w:szCs w:val="14"/>
                <w:color w:val="auto"/>
              </w:rPr>
            </w:pPr>
          </w:p>
        </w:tc>
        <w:tc>
          <w:tcPr>
            <w:tcW w:w="60" w:type="dxa"/>
            <w:vAlign w:val="bottom"/>
            <w:tcBorders>
              <w:top w:val="single" w:sz="8" w:color="auto"/>
            </w:tcBorders>
            <w:shd w:val="clear" w:color="auto" w:fill="D4EFF3"/>
          </w:tcPr>
          <w:p>
            <w:pPr>
              <w:spacing w:after="0"/>
              <w:rPr>
                <w:sz w:val="14"/>
                <w:szCs w:val="14"/>
                <w:color w:val="auto"/>
              </w:rPr>
            </w:pPr>
          </w:p>
        </w:tc>
        <w:tc>
          <w:tcPr>
            <w:tcW w:w="720" w:type="dxa"/>
            <w:vAlign w:val="bottom"/>
            <w:tcBorders>
              <w:top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shd w:val="clear" w:color="auto" w:fill="D4EFF3"/>
              </w:rPr>
              <w:t>1,695,788</w:t>
            </w:r>
          </w:p>
        </w:tc>
        <w:tc>
          <w:tcPr>
            <w:tcW w:w="120" w:type="dxa"/>
            <w:vAlign w:val="bottom"/>
            <w:tcBorders>
              <w:top w:val="single" w:sz="8" w:color="D4EFF3"/>
            </w:tcBorders>
            <w:shd w:val="clear" w:color="auto" w:fill="D4EFF3"/>
          </w:tcPr>
          <w:p>
            <w:pPr>
              <w:spacing w:after="0"/>
              <w:rPr>
                <w:sz w:val="14"/>
                <w:szCs w:val="14"/>
                <w:color w:val="auto"/>
              </w:rPr>
            </w:pPr>
          </w:p>
        </w:tc>
        <w:tc>
          <w:tcPr>
            <w:tcW w:w="350" w:type="dxa"/>
            <w:vAlign w:val="bottom"/>
            <w:tcBorders>
              <w:top w:val="single" w:sz="8" w:color="auto"/>
            </w:tcBorders>
            <w:shd w:val="clear" w:color="auto" w:fill="D4EFF3"/>
          </w:tcPr>
          <w:p>
            <w:pPr>
              <w:jc w:val="right"/>
              <w:ind w:right="19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70" w:type="dxa"/>
            <w:vAlign w:val="bottom"/>
            <w:tcBorders>
              <w:top w:val="single" w:sz="8" w:color="auto"/>
            </w:tcBorders>
            <w:shd w:val="clear" w:color="auto" w:fill="D4EFF3"/>
          </w:tcPr>
          <w:p>
            <w:pPr>
              <w:spacing w:after="0"/>
              <w:rPr>
                <w:sz w:val="14"/>
                <w:szCs w:val="14"/>
                <w:color w:val="auto"/>
              </w:rPr>
            </w:pPr>
          </w:p>
        </w:tc>
        <w:tc>
          <w:tcPr>
            <w:tcW w:w="200" w:type="dxa"/>
            <w:vAlign w:val="bottom"/>
            <w:tcBorders>
              <w:top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D4EFF3"/>
            </w:tcBorders>
            <w:shd w:val="clear" w:color="auto" w:fill="D4EFF3"/>
          </w:tcPr>
          <w:p>
            <w:pPr>
              <w:spacing w:after="0"/>
              <w:rPr>
                <w:sz w:val="14"/>
                <w:szCs w:val="14"/>
                <w:color w:val="auto"/>
              </w:rPr>
            </w:pPr>
          </w:p>
        </w:tc>
        <w:tc>
          <w:tcPr>
            <w:tcW w:w="120" w:type="dxa"/>
            <w:vAlign w:val="bottom"/>
            <w:tcBorders>
              <w:top w:val="single" w:sz="8" w:color="auto"/>
            </w:tcBorders>
            <w:shd w:val="clear" w:color="auto" w:fill="D4EFF3"/>
          </w:tcPr>
          <w:p>
            <w:pPr>
              <w:spacing w:after="0" w:line="167" w:lineRule="exact"/>
              <w:rPr>
                <w:sz w:val="20"/>
                <w:szCs w:val="20"/>
                <w:color w:val="auto"/>
              </w:rPr>
            </w:pPr>
            <w:r>
              <w:rPr>
                <w:rFonts w:ascii="Times New Roman" w:cs="Times New Roman" w:eastAsia="Times New Roman" w:hAnsi="Times New Roman"/>
                <w:sz w:val="16"/>
                <w:szCs w:val="16"/>
                <w:color w:val="auto"/>
                <w:shd w:val="clear" w:color="auto" w:fill="D4EFF3"/>
              </w:rPr>
              <w:t>$</w:t>
            </w:r>
          </w:p>
        </w:tc>
        <w:tc>
          <w:tcPr>
            <w:tcW w:w="20" w:type="dxa"/>
            <w:vAlign w:val="bottom"/>
            <w:tcBorders>
              <w:top w:val="single" w:sz="8" w:color="auto"/>
            </w:tcBorders>
            <w:shd w:val="clear" w:color="auto" w:fill="D4EFF3"/>
          </w:tcPr>
          <w:p>
            <w:pPr>
              <w:spacing w:after="0"/>
              <w:rPr>
                <w:sz w:val="14"/>
                <w:szCs w:val="14"/>
                <w:color w:val="auto"/>
              </w:rPr>
            </w:pPr>
          </w:p>
        </w:tc>
        <w:tc>
          <w:tcPr>
            <w:tcW w:w="640" w:type="dxa"/>
            <w:vAlign w:val="bottom"/>
            <w:tcBorders>
              <w:top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rPr>
              <w:t>192,029</w:t>
            </w:r>
          </w:p>
        </w:tc>
        <w:tc>
          <w:tcPr>
            <w:tcW w:w="100" w:type="dxa"/>
            <w:vAlign w:val="bottom"/>
            <w:tcBorders>
              <w:top w:val="single" w:sz="8" w:color="D4EFF3"/>
            </w:tcBorders>
            <w:shd w:val="clear" w:color="auto" w:fill="D4EFF3"/>
          </w:tcPr>
          <w:p>
            <w:pPr>
              <w:spacing w:after="0"/>
              <w:rPr>
                <w:sz w:val="14"/>
                <w:szCs w:val="14"/>
                <w:color w:val="auto"/>
              </w:rPr>
            </w:pPr>
          </w:p>
        </w:tc>
        <w:tc>
          <w:tcPr>
            <w:tcW w:w="120" w:type="dxa"/>
            <w:vAlign w:val="bottom"/>
            <w:tcBorders>
              <w:top w:val="single" w:sz="8" w:color="auto"/>
            </w:tcBorders>
            <w:shd w:val="clear" w:color="auto" w:fill="D4EFF3"/>
          </w:tcPr>
          <w:p>
            <w:pPr>
              <w:spacing w:after="0" w:line="167" w:lineRule="exact"/>
              <w:rPr>
                <w:sz w:val="20"/>
                <w:szCs w:val="20"/>
                <w:color w:val="auto"/>
              </w:rPr>
            </w:pPr>
            <w:r>
              <w:rPr>
                <w:rFonts w:ascii="Times New Roman" w:cs="Times New Roman" w:eastAsia="Times New Roman" w:hAnsi="Times New Roman"/>
                <w:sz w:val="16"/>
                <w:szCs w:val="16"/>
                <w:color w:val="auto"/>
                <w:shd w:val="clear" w:color="auto" w:fill="D4EFF3"/>
              </w:rPr>
              <w:t>$</w:t>
            </w:r>
          </w:p>
        </w:tc>
        <w:tc>
          <w:tcPr>
            <w:tcW w:w="840" w:type="dxa"/>
            <w:vAlign w:val="bottom"/>
            <w:tcBorders>
              <w:top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rPr>
              <w:t>(165,263</w:t>
            </w:r>
          </w:p>
        </w:tc>
        <w:tc>
          <w:tcPr>
            <w:tcW w:w="60" w:type="dxa"/>
            <w:vAlign w:val="bottom"/>
            <w:tcBorders>
              <w:top w:val="single" w:sz="8" w:color="D4EFF3"/>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shd w:val="clear" w:color="auto" w:fill="D4EFF3"/>
              </w:rPr>
              <w:t>)</w:t>
            </w:r>
          </w:p>
        </w:tc>
        <w:tc>
          <w:tcPr>
            <w:tcW w:w="60" w:type="dxa"/>
            <w:vAlign w:val="bottom"/>
            <w:tcBorders>
              <w:top w:val="single" w:sz="8" w:color="D4EFF3"/>
            </w:tcBorders>
            <w:shd w:val="clear" w:color="auto" w:fill="D4EFF3"/>
          </w:tcPr>
          <w:p>
            <w:pPr>
              <w:spacing w:after="0"/>
              <w:rPr>
                <w:sz w:val="14"/>
                <w:szCs w:val="14"/>
                <w:color w:val="auto"/>
              </w:rPr>
            </w:pPr>
          </w:p>
        </w:tc>
        <w:tc>
          <w:tcPr>
            <w:tcW w:w="80" w:type="dxa"/>
            <w:vAlign w:val="bottom"/>
            <w:tcBorders>
              <w:top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shd w:val="clear" w:color="auto" w:fill="D4EFF3"/>
              </w:rPr>
              <w:t>$</w:t>
            </w:r>
          </w:p>
        </w:tc>
        <w:tc>
          <w:tcPr>
            <w:tcW w:w="90" w:type="dxa"/>
            <w:vAlign w:val="bottom"/>
            <w:tcBorders>
              <w:top w:val="single" w:sz="8" w:color="auto"/>
            </w:tcBorders>
            <w:shd w:val="clear" w:color="auto" w:fill="D4EFF3"/>
          </w:tcPr>
          <w:p>
            <w:pPr>
              <w:spacing w:after="0"/>
              <w:rPr>
                <w:sz w:val="14"/>
                <w:szCs w:val="14"/>
                <w:color w:val="auto"/>
              </w:rPr>
            </w:pPr>
          </w:p>
        </w:tc>
        <w:tc>
          <w:tcPr>
            <w:tcW w:w="950" w:type="dxa"/>
            <w:vAlign w:val="bottom"/>
            <w:tcBorders>
              <w:top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rPr>
              <w:t>26,768</w:t>
            </w:r>
          </w:p>
        </w:tc>
        <w:tc>
          <w:tcPr>
            <w:tcW w:w="60" w:type="dxa"/>
            <w:vAlign w:val="bottom"/>
            <w:tcBorders>
              <w:top w:val="single" w:sz="8" w:color="D4EFF3"/>
            </w:tcBorders>
            <w:shd w:val="clear" w:color="auto" w:fill="D4EFF3"/>
          </w:tcPr>
          <w:p>
            <w:pPr>
              <w:spacing w:after="0"/>
              <w:rPr>
                <w:sz w:val="14"/>
                <w:szCs w:val="14"/>
                <w:color w:val="auto"/>
              </w:rPr>
            </w:pPr>
          </w:p>
        </w:tc>
      </w:tr>
      <w:tr>
        <w:trPr>
          <w:trHeight w:val="199"/>
        </w:trPr>
        <w:tc>
          <w:tcPr>
            <w:tcW w:w="444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16"/>
                <w:szCs w:val="16"/>
                <w:color w:val="auto"/>
              </w:rPr>
              <w:t>Issuance of common stock for cash (net of issuance cost of $1,105)</w:t>
            </w:r>
          </w:p>
        </w:tc>
        <w:tc>
          <w:tcPr>
            <w:tcW w:w="60" w:type="dxa"/>
            <w:vAlign w:val="bottom"/>
            <w:tcBorders>
              <w:bottom w:val="single" w:sz="8" w:color="D4EFF3"/>
            </w:tcBorders>
          </w:tcPr>
          <w:p>
            <w:pPr>
              <w:spacing w:after="0"/>
              <w:rPr>
                <w:sz w:val="17"/>
                <w:szCs w:val="17"/>
                <w:color w:val="auto"/>
              </w:rPr>
            </w:pPr>
          </w:p>
        </w:tc>
        <w:tc>
          <w:tcPr>
            <w:tcW w:w="60" w:type="dxa"/>
            <w:vAlign w:val="bottom"/>
            <w:tcBorders>
              <w:bottom w:val="single" w:sz="8" w:color="D4EFF3"/>
            </w:tcBorders>
          </w:tcPr>
          <w:p>
            <w:pPr>
              <w:spacing w:after="0"/>
              <w:rPr>
                <w:sz w:val="17"/>
                <w:szCs w:val="17"/>
                <w:color w:val="auto"/>
              </w:rPr>
            </w:pPr>
          </w:p>
        </w:tc>
        <w:tc>
          <w:tcPr>
            <w:tcW w:w="72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highlight w:val="white"/>
              </w:rPr>
              <w:t>1,663,554</w:t>
            </w:r>
          </w:p>
        </w:tc>
        <w:tc>
          <w:tcPr>
            <w:tcW w:w="120" w:type="dxa"/>
            <w:vAlign w:val="bottom"/>
            <w:tcBorders>
              <w:bottom w:val="single" w:sz="8" w:color="D4EFF3"/>
            </w:tcBorders>
          </w:tcPr>
          <w:p>
            <w:pPr>
              <w:spacing w:after="0"/>
              <w:rPr>
                <w:sz w:val="17"/>
                <w:szCs w:val="17"/>
                <w:color w:val="auto"/>
              </w:rPr>
            </w:pPr>
          </w:p>
        </w:tc>
        <w:tc>
          <w:tcPr>
            <w:tcW w:w="350" w:type="dxa"/>
            <w:vAlign w:val="bottom"/>
            <w:tcBorders>
              <w:bottom w:val="single" w:sz="8" w:color="D4EFF3"/>
            </w:tcBorders>
          </w:tcPr>
          <w:p>
            <w:pPr>
              <w:spacing w:after="0"/>
              <w:rPr>
                <w:sz w:val="17"/>
                <w:szCs w:val="17"/>
                <w:color w:val="auto"/>
              </w:rPr>
            </w:pPr>
          </w:p>
        </w:tc>
        <w:tc>
          <w:tcPr>
            <w:tcW w:w="170" w:type="dxa"/>
            <w:vAlign w:val="bottom"/>
            <w:tcBorders>
              <w:bottom w:val="single" w:sz="8" w:color="D4EFF3"/>
            </w:tcBorders>
          </w:tcPr>
          <w:p>
            <w:pPr>
              <w:spacing w:after="0"/>
              <w:rPr>
                <w:sz w:val="17"/>
                <w:szCs w:val="17"/>
                <w:color w:val="auto"/>
              </w:rPr>
            </w:pPr>
          </w:p>
        </w:tc>
        <w:tc>
          <w:tcPr>
            <w:tcW w:w="20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D4EFF3"/>
            </w:tcBorders>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20" w:type="dxa"/>
            <w:vAlign w:val="bottom"/>
            <w:tcBorders>
              <w:bottom w:val="single" w:sz="8" w:color="D4EFF3"/>
            </w:tcBorders>
          </w:tcPr>
          <w:p>
            <w:pPr>
              <w:spacing w:after="0"/>
              <w:rPr>
                <w:sz w:val="17"/>
                <w:szCs w:val="17"/>
                <w:color w:val="auto"/>
              </w:rPr>
            </w:pPr>
          </w:p>
        </w:tc>
        <w:tc>
          <w:tcPr>
            <w:tcW w:w="6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28,590</w:t>
            </w:r>
          </w:p>
        </w:tc>
        <w:tc>
          <w:tcPr>
            <w:tcW w:w="100" w:type="dxa"/>
            <w:vAlign w:val="bottom"/>
            <w:tcBorders>
              <w:bottom w:val="single" w:sz="8" w:color="D4EFF3"/>
            </w:tcBorders>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8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4EFF3"/>
            </w:tcBorders>
          </w:tcPr>
          <w:p>
            <w:pPr>
              <w:spacing w:after="0"/>
              <w:rPr>
                <w:sz w:val="17"/>
                <w:szCs w:val="17"/>
                <w:color w:val="auto"/>
              </w:rPr>
            </w:pPr>
          </w:p>
        </w:tc>
        <w:tc>
          <w:tcPr>
            <w:tcW w:w="60" w:type="dxa"/>
            <w:vAlign w:val="bottom"/>
            <w:tcBorders>
              <w:bottom w:val="single" w:sz="8" w:color="D4EFF3"/>
            </w:tcBorders>
          </w:tcPr>
          <w:p>
            <w:pPr>
              <w:spacing w:after="0"/>
              <w:rPr>
                <w:sz w:val="17"/>
                <w:szCs w:val="17"/>
                <w:color w:val="auto"/>
              </w:rPr>
            </w:pPr>
          </w:p>
        </w:tc>
        <w:tc>
          <w:tcPr>
            <w:tcW w:w="80" w:type="dxa"/>
            <w:vAlign w:val="bottom"/>
            <w:tcBorders>
              <w:bottom w:val="single" w:sz="8" w:color="D4EFF3"/>
            </w:tcBorders>
          </w:tcPr>
          <w:p>
            <w:pPr>
              <w:spacing w:after="0"/>
              <w:rPr>
                <w:sz w:val="17"/>
                <w:szCs w:val="17"/>
                <w:color w:val="auto"/>
              </w:rPr>
            </w:pPr>
          </w:p>
        </w:tc>
        <w:tc>
          <w:tcPr>
            <w:tcW w:w="90" w:type="dxa"/>
            <w:vAlign w:val="bottom"/>
            <w:tcBorders>
              <w:bottom w:val="single" w:sz="8" w:color="D4EFF3"/>
            </w:tcBorders>
          </w:tcPr>
          <w:p>
            <w:pPr>
              <w:spacing w:after="0"/>
              <w:rPr>
                <w:sz w:val="17"/>
                <w:szCs w:val="17"/>
                <w:color w:val="auto"/>
              </w:rPr>
            </w:pPr>
          </w:p>
        </w:tc>
        <w:tc>
          <w:tcPr>
            <w:tcW w:w="95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28,591</w:t>
            </w:r>
          </w:p>
        </w:tc>
        <w:tc>
          <w:tcPr>
            <w:tcW w:w="60" w:type="dxa"/>
            <w:vAlign w:val="bottom"/>
            <w:tcBorders>
              <w:bottom w:val="single" w:sz="8" w:color="D4EFF3"/>
            </w:tcBorders>
          </w:tcPr>
          <w:p>
            <w:pPr>
              <w:spacing w:after="0"/>
              <w:rPr>
                <w:sz w:val="17"/>
                <w:szCs w:val="17"/>
                <w:color w:val="auto"/>
              </w:rPr>
            </w:pPr>
          </w:p>
        </w:tc>
      </w:tr>
      <w:tr>
        <w:trPr>
          <w:trHeight w:val="177"/>
        </w:trPr>
        <w:tc>
          <w:tcPr>
            <w:tcW w:w="4440" w:type="dxa"/>
            <w:vAlign w:val="bottom"/>
            <w:shd w:val="clear" w:color="auto" w:fill="D4EFF3"/>
          </w:tcPr>
          <w:p>
            <w:pPr>
              <w:spacing w:after="0" w:line="177" w:lineRule="exact"/>
              <w:rPr>
                <w:sz w:val="20"/>
                <w:szCs w:val="20"/>
                <w:color w:val="auto"/>
              </w:rPr>
            </w:pPr>
            <w:r>
              <w:rPr>
                <w:rFonts w:ascii="Times New Roman" w:cs="Times New Roman" w:eastAsia="Times New Roman" w:hAnsi="Times New Roman"/>
                <w:sz w:val="16"/>
                <w:szCs w:val="16"/>
                <w:color w:val="auto"/>
              </w:rPr>
              <w:t>Share-based compensation</w:t>
            </w:r>
          </w:p>
        </w:tc>
        <w:tc>
          <w:tcPr>
            <w:tcW w:w="60" w:type="dxa"/>
            <w:vAlign w:val="bottom"/>
            <w:shd w:val="clear" w:color="auto" w:fill="D4EFF3"/>
          </w:tcPr>
          <w:p>
            <w:pPr>
              <w:spacing w:after="0"/>
              <w:rPr>
                <w:sz w:val="15"/>
                <w:szCs w:val="15"/>
                <w:color w:val="auto"/>
              </w:rPr>
            </w:pPr>
          </w:p>
        </w:tc>
        <w:tc>
          <w:tcPr>
            <w:tcW w:w="60" w:type="dxa"/>
            <w:vAlign w:val="bottom"/>
            <w:shd w:val="clear" w:color="auto" w:fill="D4EFF3"/>
          </w:tcPr>
          <w:p>
            <w:pPr>
              <w:spacing w:after="0"/>
              <w:rPr>
                <w:sz w:val="15"/>
                <w:szCs w:val="15"/>
                <w:color w:val="auto"/>
              </w:rPr>
            </w:pPr>
          </w:p>
        </w:tc>
        <w:tc>
          <w:tcPr>
            <w:tcW w:w="72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4EFF3"/>
          </w:tcPr>
          <w:p>
            <w:pPr>
              <w:spacing w:after="0"/>
              <w:rPr>
                <w:sz w:val="15"/>
                <w:szCs w:val="15"/>
                <w:color w:val="auto"/>
              </w:rPr>
            </w:pPr>
          </w:p>
        </w:tc>
        <w:tc>
          <w:tcPr>
            <w:tcW w:w="350" w:type="dxa"/>
            <w:vAlign w:val="bottom"/>
            <w:shd w:val="clear" w:color="auto" w:fill="D4EFF3"/>
          </w:tcPr>
          <w:p>
            <w:pPr>
              <w:spacing w:after="0"/>
              <w:rPr>
                <w:sz w:val="15"/>
                <w:szCs w:val="15"/>
                <w:color w:val="auto"/>
              </w:rPr>
            </w:pPr>
          </w:p>
        </w:tc>
        <w:tc>
          <w:tcPr>
            <w:tcW w:w="170" w:type="dxa"/>
            <w:vAlign w:val="bottom"/>
            <w:shd w:val="clear" w:color="auto" w:fill="D4EFF3"/>
          </w:tcPr>
          <w:p>
            <w:pPr>
              <w:spacing w:after="0"/>
              <w:rPr>
                <w:sz w:val="15"/>
                <w:szCs w:val="15"/>
                <w:color w:val="auto"/>
              </w:rPr>
            </w:pPr>
          </w:p>
        </w:tc>
        <w:tc>
          <w:tcPr>
            <w:tcW w:w="20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4EFF3"/>
          </w:tcPr>
          <w:p>
            <w:pPr>
              <w:spacing w:after="0"/>
              <w:rPr>
                <w:sz w:val="15"/>
                <w:szCs w:val="15"/>
                <w:color w:val="auto"/>
              </w:rPr>
            </w:pPr>
          </w:p>
        </w:tc>
        <w:tc>
          <w:tcPr>
            <w:tcW w:w="120" w:type="dxa"/>
            <w:vAlign w:val="bottom"/>
            <w:shd w:val="clear" w:color="auto" w:fill="D4EFF3"/>
          </w:tcPr>
          <w:p>
            <w:pPr>
              <w:spacing w:after="0"/>
              <w:rPr>
                <w:sz w:val="15"/>
                <w:szCs w:val="15"/>
                <w:color w:val="auto"/>
              </w:rPr>
            </w:pPr>
          </w:p>
        </w:tc>
        <w:tc>
          <w:tcPr>
            <w:tcW w:w="20" w:type="dxa"/>
            <w:vAlign w:val="bottom"/>
            <w:shd w:val="clear" w:color="auto" w:fill="D4EFF3"/>
          </w:tcPr>
          <w:p>
            <w:pPr>
              <w:spacing w:after="0"/>
              <w:rPr>
                <w:sz w:val="15"/>
                <w:szCs w:val="15"/>
                <w:color w:val="auto"/>
              </w:rPr>
            </w:pPr>
          </w:p>
        </w:tc>
        <w:tc>
          <w:tcPr>
            <w:tcW w:w="64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5,303</w:t>
            </w:r>
          </w:p>
        </w:tc>
        <w:tc>
          <w:tcPr>
            <w:tcW w:w="100" w:type="dxa"/>
            <w:vAlign w:val="bottom"/>
            <w:shd w:val="clear" w:color="auto" w:fill="D4EFF3"/>
          </w:tcPr>
          <w:p>
            <w:pPr>
              <w:spacing w:after="0"/>
              <w:rPr>
                <w:sz w:val="15"/>
                <w:szCs w:val="15"/>
                <w:color w:val="auto"/>
              </w:rPr>
            </w:pPr>
          </w:p>
        </w:tc>
        <w:tc>
          <w:tcPr>
            <w:tcW w:w="120" w:type="dxa"/>
            <w:vAlign w:val="bottom"/>
            <w:shd w:val="clear" w:color="auto" w:fill="D4EFF3"/>
          </w:tcPr>
          <w:p>
            <w:pPr>
              <w:spacing w:after="0"/>
              <w:rPr>
                <w:sz w:val="15"/>
                <w:szCs w:val="15"/>
                <w:color w:val="auto"/>
              </w:rPr>
            </w:pPr>
          </w:p>
        </w:tc>
        <w:tc>
          <w:tcPr>
            <w:tcW w:w="84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4EFF3"/>
          </w:tcPr>
          <w:p>
            <w:pPr>
              <w:spacing w:after="0"/>
              <w:rPr>
                <w:sz w:val="15"/>
                <w:szCs w:val="15"/>
                <w:color w:val="auto"/>
              </w:rPr>
            </w:pPr>
          </w:p>
        </w:tc>
        <w:tc>
          <w:tcPr>
            <w:tcW w:w="60" w:type="dxa"/>
            <w:vAlign w:val="bottom"/>
            <w:shd w:val="clear" w:color="auto" w:fill="D4EFF3"/>
          </w:tcPr>
          <w:p>
            <w:pPr>
              <w:spacing w:after="0"/>
              <w:rPr>
                <w:sz w:val="15"/>
                <w:szCs w:val="15"/>
                <w:color w:val="auto"/>
              </w:rPr>
            </w:pPr>
          </w:p>
        </w:tc>
        <w:tc>
          <w:tcPr>
            <w:tcW w:w="80" w:type="dxa"/>
            <w:vAlign w:val="bottom"/>
            <w:shd w:val="clear" w:color="auto" w:fill="D4EFF3"/>
          </w:tcPr>
          <w:p>
            <w:pPr>
              <w:spacing w:after="0"/>
              <w:rPr>
                <w:sz w:val="15"/>
                <w:szCs w:val="15"/>
                <w:color w:val="auto"/>
              </w:rPr>
            </w:pPr>
          </w:p>
        </w:tc>
        <w:tc>
          <w:tcPr>
            <w:tcW w:w="90" w:type="dxa"/>
            <w:vAlign w:val="bottom"/>
            <w:shd w:val="clear" w:color="auto" w:fill="D4EFF3"/>
          </w:tcPr>
          <w:p>
            <w:pPr>
              <w:spacing w:after="0"/>
              <w:rPr>
                <w:sz w:val="15"/>
                <w:szCs w:val="15"/>
                <w:color w:val="auto"/>
              </w:rPr>
            </w:pPr>
          </w:p>
        </w:tc>
        <w:tc>
          <w:tcPr>
            <w:tcW w:w="95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5,303</w:t>
            </w:r>
          </w:p>
        </w:tc>
        <w:tc>
          <w:tcPr>
            <w:tcW w:w="60" w:type="dxa"/>
            <w:vAlign w:val="bottom"/>
            <w:shd w:val="clear" w:color="auto" w:fill="D4EFF3"/>
          </w:tcPr>
          <w:p>
            <w:pPr>
              <w:spacing w:after="0"/>
              <w:rPr>
                <w:sz w:val="15"/>
                <w:szCs w:val="15"/>
                <w:color w:val="auto"/>
              </w:rPr>
            </w:pPr>
          </w:p>
        </w:tc>
      </w:tr>
      <w:tr>
        <w:trPr>
          <w:trHeight w:val="199"/>
        </w:trPr>
        <w:tc>
          <w:tcPr>
            <w:tcW w:w="444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16"/>
                <w:szCs w:val="16"/>
                <w:color w:val="auto"/>
              </w:rPr>
              <w:t>Issuance of common stock under equity plan awards</w:t>
            </w:r>
          </w:p>
        </w:tc>
        <w:tc>
          <w:tcPr>
            <w:tcW w:w="60" w:type="dxa"/>
            <w:vAlign w:val="bottom"/>
            <w:tcBorders>
              <w:bottom w:val="single" w:sz="8" w:color="D4EFF3"/>
            </w:tcBorders>
          </w:tcPr>
          <w:p>
            <w:pPr>
              <w:spacing w:after="0"/>
              <w:rPr>
                <w:sz w:val="17"/>
                <w:szCs w:val="17"/>
                <w:color w:val="auto"/>
              </w:rPr>
            </w:pPr>
          </w:p>
        </w:tc>
        <w:tc>
          <w:tcPr>
            <w:tcW w:w="60" w:type="dxa"/>
            <w:vAlign w:val="bottom"/>
            <w:tcBorders>
              <w:bottom w:val="single" w:sz="8" w:color="D4EFF3"/>
            </w:tcBorders>
          </w:tcPr>
          <w:p>
            <w:pPr>
              <w:spacing w:after="0"/>
              <w:rPr>
                <w:sz w:val="17"/>
                <w:szCs w:val="17"/>
                <w:color w:val="auto"/>
              </w:rPr>
            </w:pPr>
          </w:p>
        </w:tc>
        <w:tc>
          <w:tcPr>
            <w:tcW w:w="72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23,090</w:t>
            </w:r>
          </w:p>
        </w:tc>
        <w:tc>
          <w:tcPr>
            <w:tcW w:w="120" w:type="dxa"/>
            <w:vAlign w:val="bottom"/>
            <w:tcBorders>
              <w:bottom w:val="single" w:sz="8" w:color="D4EFF3"/>
            </w:tcBorders>
          </w:tcPr>
          <w:p>
            <w:pPr>
              <w:spacing w:after="0"/>
              <w:rPr>
                <w:sz w:val="17"/>
                <w:szCs w:val="17"/>
                <w:color w:val="auto"/>
              </w:rPr>
            </w:pPr>
          </w:p>
        </w:tc>
        <w:tc>
          <w:tcPr>
            <w:tcW w:w="350" w:type="dxa"/>
            <w:vAlign w:val="bottom"/>
            <w:tcBorders>
              <w:bottom w:val="single" w:sz="8" w:color="D4EFF3"/>
            </w:tcBorders>
          </w:tcPr>
          <w:p>
            <w:pPr>
              <w:spacing w:after="0"/>
              <w:rPr>
                <w:sz w:val="17"/>
                <w:szCs w:val="17"/>
                <w:color w:val="auto"/>
              </w:rPr>
            </w:pPr>
          </w:p>
        </w:tc>
        <w:tc>
          <w:tcPr>
            <w:tcW w:w="170" w:type="dxa"/>
            <w:vAlign w:val="bottom"/>
            <w:tcBorders>
              <w:bottom w:val="single" w:sz="8" w:color="D4EFF3"/>
            </w:tcBorders>
          </w:tcPr>
          <w:p>
            <w:pPr>
              <w:spacing w:after="0"/>
              <w:rPr>
                <w:sz w:val="17"/>
                <w:szCs w:val="17"/>
                <w:color w:val="auto"/>
              </w:rPr>
            </w:pPr>
          </w:p>
        </w:tc>
        <w:tc>
          <w:tcPr>
            <w:tcW w:w="20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D4EFF3"/>
            </w:tcBorders>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20" w:type="dxa"/>
            <w:vAlign w:val="bottom"/>
            <w:tcBorders>
              <w:bottom w:val="single" w:sz="8" w:color="D4EFF3"/>
            </w:tcBorders>
          </w:tcPr>
          <w:p>
            <w:pPr>
              <w:spacing w:after="0"/>
              <w:rPr>
                <w:sz w:val="17"/>
                <w:szCs w:val="17"/>
                <w:color w:val="auto"/>
              </w:rPr>
            </w:pPr>
          </w:p>
        </w:tc>
        <w:tc>
          <w:tcPr>
            <w:tcW w:w="6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D4EFF3"/>
            </w:tcBorders>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8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4EFF3"/>
            </w:tcBorders>
          </w:tcPr>
          <w:p>
            <w:pPr>
              <w:spacing w:after="0"/>
              <w:rPr>
                <w:sz w:val="17"/>
                <w:szCs w:val="17"/>
                <w:color w:val="auto"/>
              </w:rPr>
            </w:pPr>
          </w:p>
        </w:tc>
        <w:tc>
          <w:tcPr>
            <w:tcW w:w="60" w:type="dxa"/>
            <w:vAlign w:val="bottom"/>
            <w:tcBorders>
              <w:bottom w:val="single" w:sz="8" w:color="D4EFF3"/>
            </w:tcBorders>
          </w:tcPr>
          <w:p>
            <w:pPr>
              <w:spacing w:after="0"/>
              <w:rPr>
                <w:sz w:val="17"/>
                <w:szCs w:val="17"/>
                <w:color w:val="auto"/>
              </w:rPr>
            </w:pPr>
          </w:p>
        </w:tc>
        <w:tc>
          <w:tcPr>
            <w:tcW w:w="80" w:type="dxa"/>
            <w:vAlign w:val="bottom"/>
            <w:tcBorders>
              <w:bottom w:val="single" w:sz="8" w:color="D4EFF3"/>
            </w:tcBorders>
          </w:tcPr>
          <w:p>
            <w:pPr>
              <w:spacing w:after="0"/>
              <w:rPr>
                <w:sz w:val="17"/>
                <w:szCs w:val="17"/>
                <w:color w:val="auto"/>
              </w:rPr>
            </w:pPr>
          </w:p>
        </w:tc>
        <w:tc>
          <w:tcPr>
            <w:tcW w:w="90" w:type="dxa"/>
            <w:vAlign w:val="bottom"/>
            <w:tcBorders>
              <w:bottom w:val="single" w:sz="8" w:color="D4EFF3"/>
            </w:tcBorders>
          </w:tcPr>
          <w:p>
            <w:pPr>
              <w:spacing w:after="0"/>
              <w:rPr>
                <w:sz w:val="17"/>
                <w:szCs w:val="17"/>
                <w:color w:val="auto"/>
              </w:rPr>
            </w:pPr>
          </w:p>
        </w:tc>
        <w:tc>
          <w:tcPr>
            <w:tcW w:w="95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60" w:type="dxa"/>
            <w:vAlign w:val="bottom"/>
            <w:tcBorders>
              <w:bottom w:val="single" w:sz="8" w:color="D4EFF3"/>
            </w:tcBorders>
          </w:tcPr>
          <w:p>
            <w:pPr>
              <w:spacing w:after="0"/>
              <w:rPr>
                <w:sz w:val="17"/>
                <w:szCs w:val="17"/>
                <w:color w:val="auto"/>
              </w:rPr>
            </w:pPr>
          </w:p>
        </w:tc>
      </w:tr>
      <w:tr>
        <w:trPr>
          <w:trHeight w:val="199"/>
        </w:trPr>
        <w:tc>
          <w:tcPr>
            <w:tcW w:w="4440" w:type="dxa"/>
            <w:vAlign w:val="bottom"/>
            <w:tcBorders>
              <w:bottom w:val="single" w:sz="8" w:color="D4EFF3"/>
            </w:tcBorders>
            <w:shd w:val="clear" w:color="auto" w:fill="D4EFF3"/>
          </w:tcPr>
          <w:p>
            <w:pPr>
              <w:spacing w:after="0" w:line="179" w:lineRule="exact"/>
              <w:rPr>
                <w:sz w:val="20"/>
                <w:szCs w:val="20"/>
                <w:color w:val="auto"/>
              </w:rPr>
            </w:pPr>
            <w:r>
              <w:rPr>
                <w:rFonts w:ascii="Times New Roman" w:cs="Times New Roman" w:eastAsia="Times New Roman" w:hAnsi="Times New Roman"/>
                <w:sz w:val="16"/>
                <w:szCs w:val="16"/>
                <w:color w:val="auto"/>
              </w:rPr>
              <w:t>Net loss</w:t>
            </w:r>
          </w:p>
        </w:tc>
        <w:tc>
          <w:tcPr>
            <w:tcW w:w="60" w:type="dxa"/>
            <w:vAlign w:val="bottom"/>
            <w:tcBorders>
              <w:bottom w:val="single" w:sz="8" w:color="D4EFF3"/>
            </w:tcBorders>
            <w:shd w:val="clear" w:color="auto" w:fill="D4EFF3"/>
          </w:tcPr>
          <w:p>
            <w:pPr>
              <w:spacing w:after="0"/>
              <w:rPr>
                <w:sz w:val="17"/>
                <w:szCs w:val="17"/>
                <w:color w:val="auto"/>
              </w:rPr>
            </w:pPr>
          </w:p>
        </w:tc>
        <w:tc>
          <w:tcPr>
            <w:tcW w:w="60" w:type="dxa"/>
            <w:vAlign w:val="bottom"/>
            <w:tcBorders>
              <w:bottom w:val="single" w:sz="8" w:color="auto"/>
            </w:tcBorders>
            <w:shd w:val="clear" w:color="auto" w:fill="D4EFF3"/>
          </w:tcPr>
          <w:p>
            <w:pPr>
              <w:spacing w:after="0"/>
              <w:rPr>
                <w:sz w:val="17"/>
                <w:szCs w:val="17"/>
                <w:color w:val="auto"/>
              </w:rPr>
            </w:pPr>
          </w:p>
        </w:tc>
        <w:tc>
          <w:tcPr>
            <w:tcW w:w="720" w:type="dxa"/>
            <w:vAlign w:val="bottom"/>
            <w:tcBorders>
              <w:bottom w:val="single" w:sz="8" w:color="auto"/>
            </w:tcBorders>
            <w:shd w:val="clear" w:color="auto" w:fill="D4EFF3"/>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D4EFF3"/>
            </w:tcBorders>
            <w:shd w:val="clear" w:color="auto" w:fill="D4EFF3"/>
          </w:tcPr>
          <w:p>
            <w:pPr>
              <w:spacing w:after="0"/>
              <w:rPr>
                <w:sz w:val="17"/>
                <w:szCs w:val="17"/>
                <w:color w:val="auto"/>
              </w:rPr>
            </w:pPr>
          </w:p>
        </w:tc>
        <w:tc>
          <w:tcPr>
            <w:tcW w:w="350" w:type="dxa"/>
            <w:vAlign w:val="bottom"/>
            <w:tcBorders>
              <w:bottom w:val="single" w:sz="8" w:color="auto"/>
            </w:tcBorders>
            <w:shd w:val="clear" w:color="auto" w:fill="D4EFF3"/>
          </w:tcPr>
          <w:p>
            <w:pPr>
              <w:spacing w:after="0"/>
              <w:rPr>
                <w:sz w:val="17"/>
                <w:szCs w:val="17"/>
                <w:color w:val="auto"/>
              </w:rPr>
            </w:pPr>
          </w:p>
        </w:tc>
        <w:tc>
          <w:tcPr>
            <w:tcW w:w="170" w:type="dxa"/>
            <w:vAlign w:val="bottom"/>
            <w:tcBorders>
              <w:bottom w:val="single" w:sz="8" w:color="auto"/>
            </w:tcBorders>
            <w:shd w:val="clear" w:color="auto" w:fill="D4EFF3"/>
          </w:tcPr>
          <w:p>
            <w:pPr>
              <w:spacing w:after="0"/>
              <w:rPr>
                <w:sz w:val="17"/>
                <w:szCs w:val="17"/>
                <w:color w:val="auto"/>
              </w:rPr>
            </w:pPr>
          </w:p>
        </w:tc>
        <w:tc>
          <w:tcPr>
            <w:tcW w:w="200" w:type="dxa"/>
            <w:vAlign w:val="bottom"/>
            <w:tcBorders>
              <w:bottom w:val="single" w:sz="8" w:color="auto"/>
            </w:tcBorders>
            <w:shd w:val="clear" w:color="auto" w:fill="D4EFF3"/>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D4EFF3"/>
            </w:tcBorders>
            <w:shd w:val="clear" w:color="auto" w:fill="D4EFF3"/>
          </w:tcPr>
          <w:p>
            <w:pPr>
              <w:spacing w:after="0"/>
              <w:rPr>
                <w:sz w:val="17"/>
                <w:szCs w:val="17"/>
                <w:color w:val="auto"/>
              </w:rPr>
            </w:pPr>
          </w:p>
        </w:tc>
        <w:tc>
          <w:tcPr>
            <w:tcW w:w="120" w:type="dxa"/>
            <w:vAlign w:val="bottom"/>
            <w:tcBorders>
              <w:bottom w:val="single" w:sz="8" w:color="auto"/>
            </w:tcBorders>
            <w:shd w:val="clear" w:color="auto" w:fill="D4EFF3"/>
          </w:tcPr>
          <w:p>
            <w:pPr>
              <w:spacing w:after="0"/>
              <w:rPr>
                <w:sz w:val="17"/>
                <w:szCs w:val="17"/>
                <w:color w:val="auto"/>
              </w:rPr>
            </w:pPr>
          </w:p>
        </w:tc>
        <w:tc>
          <w:tcPr>
            <w:tcW w:w="20" w:type="dxa"/>
            <w:vAlign w:val="bottom"/>
            <w:tcBorders>
              <w:bottom w:val="single" w:sz="8" w:color="auto"/>
            </w:tcBorders>
            <w:shd w:val="clear" w:color="auto" w:fill="D4EFF3"/>
          </w:tcPr>
          <w:p>
            <w:pPr>
              <w:spacing w:after="0"/>
              <w:rPr>
                <w:sz w:val="17"/>
                <w:szCs w:val="17"/>
                <w:color w:val="auto"/>
              </w:rPr>
            </w:pPr>
          </w:p>
        </w:tc>
        <w:tc>
          <w:tcPr>
            <w:tcW w:w="640" w:type="dxa"/>
            <w:vAlign w:val="bottom"/>
            <w:tcBorders>
              <w:bottom w:val="single" w:sz="8" w:color="auto"/>
            </w:tcBorders>
            <w:shd w:val="clear" w:color="auto" w:fill="D4EFF3"/>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D4EFF3"/>
            </w:tcBorders>
            <w:shd w:val="clear" w:color="auto" w:fill="D4EFF3"/>
          </w:tcPr>
          <w:p>
            <w:pPr>
              <w:spacing w:after="0"/>
              <w:rPr>
                <w:sz w:val="17"/>
                <w:szCs w:val="17"/>
                <w:color w:val="auto"/>
              </w:rPr>
            </w:pPr>
          </w:p>
        </w:tc>
        <w:tc>
          <w:tcPr>
            <w:tcW w:w="120" w:type="dxa"/>
            <w:vAlign w:val="bottom"/>
            <w:tcBorders>
              <w:bottom w:val="single" w:sz="8" w:color="auto"/>
            </w:tcBorders>
            <w:shd w:val="clear" w:color="auto" w:fill="D4EFF3"/>
          </w:tcPr>
          <w:p>
            <w:pPr>
              <w:spacing w:after="0"/>
              <w:rPr>
                <w:sz w:val="17"/>
                <w:szCs w:val="17"/>
                <w:color w:val="auto"/>
              </w:rPr>
            </w:pPr>
          </w:p>
        </w:tc>
        <w:tc>
          <w:tcPr>
            <w:tcW w:w="840" w:type="dxa"/>
            <w:vAlign w:val="bottom"/>
            <w:tcBorders>
              <w:bottom w:val="single" w:sz="8" w:color="auto"/>
            </w:tcBorders>
            <w:shd w:val="clear" w:color="auto" w:fill="D4EFF3"/>
          </w:tcPr>
          <w:p>
            <w:pPr>
              <w:jc w:val="right"/>
              <w:spacing w:after="0" w:line="179" w:lineRule="exact"/>
              <w:rPr>
                <w:sz w:val="20"/>
                <w:szCs w:val="20"/>
                <w:color w:val="auto"/>
              </w:rPr>
            </w:pPr>
            <w:r>
              <w:rPr>
                <w:rFonts w:ascii="Times New Roman" w:cs="Times New Roman" w:eastAsia="Times New Roman" w:hAnsi="Times New Roman"/>
                <w:sz w:val="16"/>
                <w:szCs w:val="16"/>
                <w:color w:val="auto"/>
              </w:rPr>
              <w:t>(41,843</w:t>
            </w:r>
          </w:p>
        </w:tc>
        <w:tc>
          <w:tcPr>
            <w:tcW w:w="60" w:type="dxa"/>
            <w:vAlign w:val="bottom"/>
            <w:tcBorders>
              <w:bottom w:val="single" w:sz="8" w:color="D4EFF3"/>
            </w:tcBorders>
            <w:shd w:val="clear" w:color="auto" w:fill="D4EFF3"/>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shd w:val="clear" w:color="auto" w:fill="D4EFF3"/>
              </w:rPr>
              <w:t>)</w:t>
            </w:r>
          </w:p>
        </w:tc>
        <w:tc>
          <w:tcPr>
            <w:tcW w:w="60" w:type="dxa"/>
            <w:vAlign w:val="bottom"/>
            <w:tcBorders>
              <w:bottom w:val="single" w:sz="8" w:color="D4EFF3"/>
            </w:tcBorders>
            <w:shd w:val="clear" w:color="auto" w:fill="D4EFF3"/>
          </w:tcPr>
          <w:p>
            <w:pPr>
              <w:spacing w:after="0"/>
              <w:rPr>
                <w:sz w:val="17"/>
                <w:szCs w:val="17"/>
                <w:color w:val="auto"/>
              </w:rPr>
            </w:pPr>
          </w:p>
        </w:tc>
        <w:tc>
          <w:tcPr>
            <w:tcW w:w="80" w:type="dxa"/>
            <w:vAlign w:val="bottom"/>
            <w:tcBorders>
              <w:bottom w:val="single" w:sz="8" w:color="auto"/>
            </w:tcBorders>
            <w:shd w:val="clear" w:color="auto" w:fill="D4EFF3"/>
          </w:tcPr>
          <w:p>
            <w:pPr>
              <w:spacing w:after="0"/>
              <w:rPr>
                <w:sz w:val="17"/>
                <w:szCs w:val="17"/>
                <w:color w:val="auto"/>
              </w:rPr>
            </w:pPr>
          </w:p>
        </w:tc>
        <w:tc>
          <w:tcPr>
            <w:tcW w:w="90" w:type="dxa"/>
            <w:vAlign w:val="bottom"/>
            <w:tcBorders>
              <w:bottom w:val="single" w:sz="8" w:color="auto"/>
            </w:tcBorders>
            <w:shd w:val="clear" w:color="auto" w:fill="D4EFF3"/>
          </w:tcPr>
          <w:p>
            <w:pPr>
              <w:spacing w:after="0"/>
              <w:rPr>
                <w:sz w:val="17"/>
                <w:szCs w:val="17"/>
                <w:color w:val="auto"/>
              </w:rPr>
            </w:pPr>
          </w:p>
        </w:tc>
        <w:tc>
          <w:tcPr>
            <w:tcW w:w="950" w:type="dxa"/>
            <w:vAlign w:val="bottom"/>
            <w:tcBorders>
              <w:bottom w:val="single" w:sz="8" w:color="auto"/>
            </w:tcBorders>
            <w:shd w:val="clear" w:color="auto" w:fill="D4EFF3"/>
          </w:tcPr>
          <w:p>
            <w:pPr>
              <w:jc w:val="right"/>
              <w:spacing w:after="0" w:line="179" w:lineRule="exact"/>
              <w:rPr>
                <w:sz w:val="20"/>
                <w:szCs w:val="20"/>
                <w:color w:val="auto"/>
              </w:rPr>
            </w:pPr>
            <w:r>
              <w:rPr>
                <w:rFonts w:ascii="Times New Roman" w:cs="Times New Roman" w:eastAsia="Times New Roman" w:hAnsi="Times New Roman"/>
                <w:sz w:val="16"/>
                <w:szCs w:val="16"/>
                <w:color w:val="auto"/>
              </w:rPr>
              <w:t>(41,843</w:t>
            </w:r>
          </w:p>
        </w:tc>
        <w:tc>
          <w:tcPr>
            <w:tcW w:w="60" w:type="dxa"/>
            <w:vAlign w:val="bottom"/>
            <w:tcBorders>
              <w:bottom w:val="single" w:sz="8" w:color="D4EFF3"/>
            </w:tcBorders>
            <w:shd w:val="clear" w:color="auto" w:fill="D4EFF3"/>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4EFF3"/>
              </w:rPr>
              <w:t>)</w:t>
            </w:r>
          </w:p>
        </w:tc>
      </w:tr>
      <w:tr>
        <w:trPr>
          <w:trHeight w:val="166"/>
        </w:trPr>
        <w:tc>
          <w:tcPr>
            <w:tcW w:w="45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BALANCE - December 31, 2024</w:t>
            </w:r>
          </w:p>
        </w:tc>
        <w:tc>
          <w:tcPr>
            <w:tcW w:w="78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3,382,432</w:t>
            </w:r>
          </w:p>
        </w:tc>
        <w:tc>
          <w:tcPr>
            <w:tcW w:w="120" w:type="dxa"/>
            <w:vAlign w:val="bottom"/>
          </w:tcPr>
          <w:p>
            <w:pPr>
              <w:spacing w:after="0"/>
              <w:rPr>
                <w:sz w:val="14"/>
                <w:szCs w:val="14"/>
                <w:color w:val="auto"/>
              </w:rPr>
            </w:pPr>
          </w:p>
        </w:tc>
        <w:tc>
          <w:tcPr>
            <w:tcW w:w="350" w:type="dxa"/>
            <w:vAlign w:val="bottom"/>
            <w:tcBorders>
              <w:bottom w:val="single" w:sz="8" w:color="auto"/>
            </w:tcBorders>
          </w:tcPr>
          <w:p>
            <w:pPr>
              <w:jc w:val="right"/>
              <w:ind w:right="19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7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226,229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(207,106</w:t>
            </w:r>
          </w:p>
        </w:tc>
        <w:tc>
          <w:tcPr>
            <w:tcW w:w="12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19,126</w:t>
            </w:r>
          </w:p>
        </w:tc>
        <w:tc>
          <w:tcPr>
            <w:tcW w:w="60" w:type="dxa"/>
            <w:vAlign w:val="bottom"/>
          </w:tcPr>
          <w:p>
            <w:pPr>
              <w:spacing w:after="0"/>
              <w:rPr>
                <w:sz w:val="14"/>
                <w:szCs w:val="14"/>
                <w:color w:val="auto"/>
              </w:rPr>
            </w:pPr>
          </w:p>
        </w:tc>
      </w:tr>
      <w:tr>
        <w:trPr>
          <w:trHeight w:val="40"/>
        </w:trPr>
        <w:tc>
          <w:tcPr>
            <w:tcW w:w="4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0" w:type="dxa"/>
            <w:vAlign w:val="bottom"/>
            <w:tcBorders>
              <w:bottom w:val="single" w:sz="8" w:color="auto"/>
            </w:tcBorders>
          </w:tcPr>
          <w:p>
            <w:pPr>
              <w:spacing w:after="0"/>
              <w:rPr>
                <w:sz w:val="3"/>
                <w:szCs w:val="3"/>
                <w:color w:val="auto"/>
              </w:rPr>
            </w:pPr>
          </w:p>
        </w:tc>
        <w:tc>
          <w:tcPr>
            <w:tcW w:w="17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 w:type="dxa"/>
            <w:vAlign w:val="bottom"/>
            <w:tcBorders>
              <w:bottom w:val="single" w:sz="8" w:color="auto"/>
            </w:tcBorders>
          </w:tcPr>
          <w:p>
            <w:pPr>
              <w:spacing w:after="0"/>
              <w:rPr>
                <w:sz w:val="3"/>
                <w:szCs w:val="3"/>
                <w:color w:val="auto"/>
              </w:rPr>
            </w:pPr>
          </w:p>
        </w:tc>
        <w:tc>
          <w:tcPr>
            <w:tcW w:w="95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2"/>
        </w:trPr>
        <w:tc>
          <w:tcPr>
            <w:tcW w:w="4440" w:type="dxa"/>
            <w:vAlign w:val="bottom"/>
            <w:tcBorders>
              <w:top w:val="single" w:sz="8" w:color="D4EFF3"/>
            </w:tcBorders>
            <w:shd w:val="clear" w:color="auto" w:fill="D4EFF3"/>
          </w:tcPr>
          <w:p>
            <w:pPr>
              <w:spacing w:after="0" w:line="162" w:lineRule="exact"/>
              <w:rPr>
                <w:sz w:val="20"/>
                <w:szCs w:val="20"/>
                <w:color w:val="auto"/>
              </w:rPr>
            </w:pPr>
            <w:r>
              <w:rPr>
                <w:rFonts w:ascii="Times New Roman" w:cs="Times New Roman" w:eastAsia="Times New Roman" w:hAnsi="Times New Roman"/>
                <w:sz w:val="16"/>
                <w:szCs w:val="16"/>
                <w:color w:val="auto"/>
              </w:rPr>
              <w:t>Issuance of common stock for cash (net of issuance cost of $535)</w:t>
            </w:r>
          </w:p>
        </w:tc>
        <w:tc>
          <w:tcPr>
            <w:tcW w:w="60" w:type="dxa"/>
            <w:vAlign w:val="bottom"/>
            <w:tcBorders>
              <w:top w:val="single" w:sz="8" w:color="D4EFF3"/>
            </w:tcBorders>
            <w:shd w:val="clear" w:color="auto" w:fill="D4EFF3"/>
          </w:tcPr>
          <w:p>
            <w:pPr>
              <w:spacing w:after="0"/>
              <w:rPr>
                <w:sz w:val="14"/>
                <w:szCs w:val="14"/>
                <w:color w:val="auto"/>
              </w:rPr>
            </w:pPr>
          </w:p>
        </w:tc>
        <w:tc>
          <w:tcPr>
            <w:tcW w:w="60" w:type="dxa"/>
            <w:vAlign w:val="bottom"/>
            <w:tcBorders>
              <w:top w:val="single" w:sz="8" w:color="D4EFF3"/>
            </w:tcBorders>
            <w:shd w:val="clear" w:color="auto" w:fill="D4EFF3"/>
          </w:tcPr>
          <w:p>
            <w:pPr>
              <w:spacing w:after="0"/>
              <w:rPr>
                <w:sz w:val="14"/>
                <w:szCs w:val="14"/>
                <w:color w:val="auto"/>
              </w:rPr>
            </w:pPr>
          </w:p>
        </w:tc>
        <w:tc>
          <w:tcPr>
            <w:tcW w:w="720" w:type="dxa"/>
            <w:vAlign w:val="bottom"/>
            <w:tcBorders>
              <w:top w:val="single" w:sz="8" w:color="D4EFF3"/>
            </w:tcBorders>
            <w:shd w:val="clear" w:color="auto" w:fill="D4EFF3"/>
          </w:tcPr>
          <w:p>
            <w:pPr>
              <w:jc w:val="right"/>
              <w:spacing w:after="0" w:line="162" w:lineRule="exact"/>
              <w:rPr>
                <w:sz w:val="20"/>
                <w:szCs w:val="20"/>
                <w:color w:val="auto"/>
              </w:rPr>
            </w:pPr>
            <w:r>
              <w:rPr>
                <w:rFonts w:ascii="Times New Roman" w:cs="Times New Roman" w:eastAsia="Times New Roman" w:hAnsi="Times New Roman"/>
                <w:sz w:val="16"/>
                <w:szCs w:val="16"/>
                <w:color w:val="auto"/>
                <w:shd w:val="clear" w:color="auto" w:fill="D4EFF3"/>
              </w:rPr>
              <w:t>1,204,774</w:t>
            </w:r>
          </w:p>
        </w:tc>
        <w:tc>
          <w:tcPr>
            <w:tcW w:w="120" w:type="dxa"/>
            <w:vAlign w:val="bottom"/>
            <w:tcBorders>
              <w:top w:val="single" w:sz="8" w:color="D4EFF3"/>
            </w:tcBorders>
            <w:shd w:val="clear" w:color="auto" w:fill="D4EFF3"/>
          </w:tcPr>
          <w:p>
            <w:pPr>
              <w:spacing w:after="0"/>
              <w:rPr>
                <w:sz w:val="14"/>
                <w:szCs w:val="14"/>
                <w:color w:val="auto"/>
              </w:rPr>
            </w:pPr>
          </w:p>
        </w:tc>
        <w:tc>
          <w:tcPr>
            <w:tcW w:w="350" w:type="dxa"/>
            <w:vAlign w:val="bottom"/>
            <w:tcBorders>
              <w:top w:val="single" w:sz="8" w:color="D4EFF3"/>
            </w:tcBorders>
            <w:shd w:val="clear" w:color="auto" w:fill="D4EFF3"/>
          </w:tcPr>
          <w:p>
            <w:pPr>
              <w:spacing w:after="0"/>
              <w:rPr>
                <w:sz w:val="14"/>
                <w:szCs w:val="14"/>
                <w:color w:val="auto"/>
              </w:rPr>
            </w:pPr>
          </w:p>
        </w:tc>
        <w:tc>
          <w:tcPr>
            <w:tcW w:w="170" w:type="dxa"/>
            <w:vAlign w:val="bottom"/>
            <w:tcBorders>
              <w:top w:val="single" w:sz="8" w:color="D4EFF3"/>
            </w:tcBorders>
            <w:shd w:val="clear" w:color="auto" w:fill="D4EFF3"/>
          </w:tcPr>
          <w:p>
            <w:pPr>
              <w:spacing w:after="0"/>
              <w:rPr>
                <w:sz w:val="14"/>
                <w:szCs w:val="14"/>
                <w:color w:val="auto"/>
              </w:rPr>
            </w:pPr>
          </w:p>
        </w:tc>
        <w:tc>
          <w:tcPr>
            <w:tcW w:w="200" w:type="dxa"/>
            <w:vAlign w:val="bottom"/>
            <w:tcBorders>
              <w:top w:val="single" w:sz="8" w:color="D4EFF3"/>
            </w:tcBorders>
            <w:shd w:val="clear" w:color="auto" w:fill="D4EFF3"/>
          </w:tcPr>
          <w:p>
            <w:pPr>
              <w:jc w:val="right"/>
              <w:spacing w:after="0" w:line="162"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D4EFF3"/>
            </w:tcBorders>
            <w:shd w:val="clear" w:color="auto" w:fill="D4EFF3"/>
          </w:tcPr>
          <w:p>
            <w:pPr>
              <w:spacing w:after="0"/>
              <w:rPr>
                <w:sz w:val="14"/>
                <w:szCs w:val="14"/>
                <w:color w:val="auto"/>
              </w:rPr>
            </w:pPr>
          </w:p>
        </w:tc>
        <w:tc>
          <w:tcPr>
            <w:tcW w:w="120" w:type="dxa"/>
            <w:vAlign w:val="bottom"/>
            <w:tcBorders>
              <w:top w:val="single" w:sz="8" w:color="D4EFF3"/>
            </w:tcBorders>
            <w:shd w:val="clear" w:color="auto" w:fill="D4EFF3"/>
          </w:tcPr>
          <w:p>
            <w:pPr>
              <w:spacing w:after="0"/>
              <w:rPr>
                <w:sz w:val="14"/>
                <w:szCs w:val="14"/>
                <w:color w:val="auto"/>
              </w:rPr>
            </w:pPr>
          </w:p>
        </w:tc>
        <w:tc>
          <w:tcPr>
            <w:tcW w:w="20" w:type="dxa"/>
            <w:vAlign w:val="bottom"/>
            <w:tcBorders>
              <w:top w:val="single" w:sz="8" w:color="D4EFF3"/>
            </w:tcBorders>
            <w:shd w:val="clear" w:color="auto" w:fill="D4EFF3"/>
          </w:tcPr>
          <w:p>
            <w:pPr>
              <w:spacing w:after="0"/>
              <w:rPr>
                <w:sz w:val="14"/>
                <w:szCs w:val="14"/>
                <w:color w:val="auto"/>
              </w:rPr>
            </w:pPr>
          </w:p>
        </w:tc>
        <w:tc>
          <w:tcPr>
            <w:tcW w:w="640" w:type="dxa"/>
            <w:vAlign w:val="bottom"/>
            <w:tcBorders>
              <w:top w:val="single" w:sz="8" w:color="D4EFF3"/>
            </w:tcBorders>
            <w:shd w:val="clear" w:color="auto" w:fill="D4EFF3"/>
          </w:tcPr>
          <w:p>
            <w:pPr>
              <w:jc w:val="right"/>
              <w:spacing w:after="0" w:line="162" w:lineRule="exact"/>
              <w:rPr>
                <w:sz w:val="20"/>
                <w:szCs w:val="20"/>
                <w:color w:val="auto"/>
              </w:rPr>
            </w:pPr>
            <w:r>
              <w:rPr>
                <w:rFonts w:ascii="Times New Roman" w:cs="Times New Roman" w:eastAsia="Times New Roman" w:hAnsi="Times New Roman"/>
                <w:sz w:val="16"/>
                <w:szCs w:val="16"/>
                <w:color w:val="auto"/>
              </w:rPr>
              <w:t>6,045</w:t>
            </w:r>
          </w:p>
        </w:tc>
        <w:tc>
          <w:tcPr>
            <w:tcW w:w="100" w:type="dxa"/>
            <w:vAlign w:val="bottom"/>
            <w:tcBorders>
              <w:top w:val="single" w:sz="8" w:color="D4EFF3"/>
            </w:tcBorders>
            <w:shd w:val="clear" w:color="auto" w:fill="D4EFF3"/>
          </w:tcPr>
          <w:p>
            <w:pPr>
              <w:spacing w:after="0"/>
              <w:rPr>
                <w:sz w:val="14"/>
                <w:szCs w:val="14"/>
                <w:color w:val="auto"/>
              </w:rPr>
            </w:pPr>
          </w:p>
        </w:tc>
        <w:tc>
          <w:tcPr>
            <w:tcW w:w="120" w:type="dxa"/>
            <w:vAlign w:val="bottom"/>
            <w:tcBorders>
              <w:top w:val="single" w:sz="8" w:color="D4EFF3"/>
            </w:tcBorders>
            <w:shd w:val="clear" w:color="auto" w:fill="D4EFF3"/>
          </w:tcPr>
          <w:p>
            <w:pPr>
              <w:spacing w:after="0"/>
              <w:rPr>
                <w:sz w:val="14"/>
                <w:szCs w:val="14"/>
                <w:color w:val="auto"/>
              </w:rPr>
            </w:pPr>
          </w:p>
        </w:tc>
        <w:tc>
          <w:tcPr>
            <w:tcW w:w="840" w:type="dxa"/>
            <w:vAlign w:val="bottom"/>
            <w:tcBorders>
              <w:top w:val="single" w:sz="8" w:color="D4EFF3"/>
            </w:tcBorders>
            <w:shd w:val="clear" w:color="auto" w:fill="D4EFF3"/>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D4EFF3"/>
            </w:tcBorders>
            <w:shd w:val="clear" w:color="auto" w:fill="D4EFF3"/>
          </w:tcPr>
          <w:p>
            <w:pPr>
              <w:spacing w:after="0"/>
              <w:rPr>
                <w:sz w:val="14"/>
                <w:szCs w:val="14"/>
                <w:color w:val="auto"/>
              </w:rPr>
            </w:pPr>
          </w:p>
        </w:tc>
        <w:tc>
          <w:tcPr>
            <w:tcW w:w="60" w:type="dxa"/>
            <w:vAlign w:val="bottom"/>
            <w:tcBorders>
              <w:top w:val="single" w:sz="8" w:color="D4EFF3"/>
            </w:tcBorders>
            <w:shd w:val="clear" w:color="auto" w:fill="D4EFF3"/>
          </w:tcPr>
          <w:p>
            <w:pPr>
              <w:spacing w:after="0"/>
              <w:rPr>
                <w:sz w:val="14"/>
                <w:szCs w:val="14"/>
                <w:color w:val="auto"/>
              </w:rPr>
            </w:pPr>
          </w:p>
        </w:tc>
        <w:tc>
          <w:tcPr>
            <w:tcW w:w="80" w:type="dxa"/>
            <w:vAlign w:val="bottom"/>
            <w:tcBorders>
              <w:top w:val="single" w:sz="8" w:color="D4EFF3"/>
            </w:tcBorders>
            <w:shd w:val="clear" w:color="auto" w:fill="D4EFF3"/>
          </w:tcPr>
          <w:p>
            <w:pPr>
              <w:spacing w:after="0"/>
              <w:rPr>
                <w:sz w:val="14"/>
                <w:szCs w:val="14"/>
                <w:color w:val="auto"/>
              </w:rPr>
            </w:pPr>
          </w:p>
        </w:tc>
        <w:tc>
          <w:tcPr>
            <w:tcW w:w="90" w:type="dxa"/>
            <w:vAlign w:val="bottom"/>
            <w:tcBorders>
              <w:top w:val="single" w:sz="8" w:color="D4EFF3"/>
            </w:tcBorders>
            <w:shd w:val="clear" w:color="auto" w:fill="D4EFF3"/>
          </w:tcPr>
          <w:p>
            <w:pPr>
              <w:spacing w:after="0"/>
              <w:rPr>
                <w:sz w:val="14"/>
                <w:szCs w:val="14"/>
                <w:color w:val="auto"/>
              </w:rPr>
            </w:pPr>
          </w:p>
        </w:tc>
        <w:tc>
          <w:tcPr>
            <w:tcW w:w="950" w:type="dxa"/>
            <w:vAlign w:val="bottom"/>
            <w:tcBorders>
              <w:top w:val="single" w:sz="8" w:color="D4EFF3"/>
            </w:tcBorders>
            <w:shd w:val="clear" w:color="auto" w:fill="D4EFF3"/>
          </w:tcPr>
          <w:p>
            <w:pPr>
              <w:jc w:val="right"/>
              <w:spacing w:after="0" w:line="162" w:lineRule="exact"/>
              <w:rPr>
                <w:sz w:val="20"/>
                <w:szCs w:val="20"/>
                <w:color w:val="auto"/>
              </w:rPr>
            </w:pPr>
            <w:r>
              <w:rPr>
                <w:rFonts w:ascii="Times New Roman" w:cs="Times New Roman" w:eastAsia="Times New Roman" w:hAnsi="Times New Roman"/>
                <w:sz w:val="16"/>
                <w:szCs w:val="16"/>
                <w:color w:val="auto"/>
              </w:rPr>
              <w:t>6,047</w:t>
            </w:r>
          </w:p>
        </w:tc>
        <w:tc>
          <w:tcPr>
            <w:tcW w:w="60" w:type="dxa"/>
            <w:vAlign w:val="bottom"/>
            <w:tcBorders>
              <w:top w:val="single" w:sz="8" w:color="D4EFF3"/>
            </w:tcBorders>
            <w:shd w:val="clear" w:color="auto" w:fill="D4EFF3"/>
          </w:tcPr>
          <w:p>
            <w:pPr>
              <w:spacing w:after="0"/>
              <w:rPr>
                <w:sz w:val="14"/>
                <w:szCs w:val="14"/>
                <w:color w:val="auto"/>
              </w:rPr>
            </w:pPr>
          </w:p>
        </w:tc>
      </w:tr>
      <w:tr>
        <w:trPr>
          <w:trHeight w:val="199"/>
        </w:trPr>
        <w:tc>
          <w:tcPr>
            <w:tcW w:w="4500" w:type="dxa"/>
            <w:vAlign w:val="bottom"/>
            <w:tcBorders>
              <w:bottom w:val="single" w:sz="8" w:color="D4EFF3"/>
            </w:tcBorders>
            <w:gridSpan w:val="2"/>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78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D4EFF3"/>
            </w:tcBorders>
          </w:tcPr>
          <w:p>
            <w:pPr>
              <w:spacing w:after="0"/>
              <w:rPr>
                <w:sz w:val="17"/>
                <w:szCs w:val="17"/>
                <w:color w:val="auto"/>
              </w:rPr>
            </w:pPr>
          </w:p>
        </w:tc>
        <w:tc>
          <w:tcPr>
            <w:tcW w:w="350" w:type="dxa"/>
            <w:vAlign w:val="bottom"/>
            <w:tcBorders>
              <w:bottom w:val="single" w:sz="8" w:color="D4EFF3"/>
            </w:tcBorders>
          </w:tcPr>
          <w:p>
            <w:pPr>
              <w:spacing w:after="0"/>
              <w:rPr>
                <w:sz w:val="17"/>
                <w:szCs w:val="17"/>
                <w:color w:val="auto"/>
              </w:rPr>
            </w:pPr>
          </w:p>
        </w:tc>
        <w:tc>
          <w:tcPr>
            <w:tcW w:w="170" w:type="dxa"/>
            <w:vAlign w:val="bottom"/>
            <w:tcBorders>
              <w:bottom w:val="single" w:sz="8" w:color="D4EFF3"/>
            </w:tcBorders>
          </w:tcPr>
          <w:p>
            <w:pPr>
              <w:spacing w:after="0"/>
              <w:rPr>
                <w:sz w:val="17"/>
                <w:szCs w:val="17"/>
                <w:color w:val="auto"/>
              </w:rPr>
            </w:pPr>
          </w:p>
        </w:tc>
        <w:tc>
          <w:tcPr>
            <w:tcW w:w="20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D4EFF3"/>
            </w:tcBorders>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66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100" w:type="dxa"/>
            <w:vAlign w:val="bottom"/>
            <w:tcBorders>
              <w:bottom w:val="single" w:sz="8" w:color="D4EFF3"/>
            </w:tcBorders>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8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4EFF3"/>
            </w:tcBorders>
          </w:tcPr>
          <w:p>
            <w:pPr>
              <w:spacing w:after="0"/>
              <w:rPr>
                <w:sz w:val="17"/>
                <w:szCs w:val="17"/>
                <w:color w:val="auto"/>
              </w:rPr>
            </w:pPr>
          </w:p>
        </w:tc>
        <w:tc>
          <w:tcPr>
            <w:tcW w:w="60" w:type="dxa"/>
            <w:vAlign w:val="bottom"/>
            <w:tcBorders>
              <w:bottom w:val="single" w:sz="8" w:color="D4EFF3"/>
            </w:tcBorders>
          </w:tcPr>
          <w:p>
            <w:pPr>
              <w:spacing w:after="0"/>
              <w:rPr>
                <w:sz w:val="17"/>
                <w:szCs w:val="17"/>
                <w:color w:val="auto"/>
              </w:rPr>
            </w:pPr>
          </w:p>
        </w:tc>
        <w:tc>
          <w:tcPr>
            <w:tcW w:w="80" w:type="dxa"/>
            <w:vAlign w:val="bottom"/>
            <w:tcBorders>
              <w:bottom w:val="single" w:sz="8" w:color="D4EFF3"/>
            </w:tcBorders>
          </w:tcPr>
          <w:p>
            <w:pPr>
              <w:spacing w:after="0"/>
              <w:rPr>
                <w:sz w:val="17"/>
                <w:szCs w:val="17"/>
                <w:color w:val="auto"/>
              </w:rPr>
            </w:pPr>
          </w:p>
        </w:tc>
        <w:tc>
          <w:tcPr>
            <w:tcW w:w="104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60" w:type="dxa"/>
            <w:vAlign w:val="bottom"/>
            <w:tcBorders>
              <w:bottom w:val="single" w:sz="8" w:color="D4EFF3"/>
            </w:tcBorders>
          </w:tcPr>
          <w:p>
            <w:pPr>
              <w:spacing w:after="0"/>
              <w:rPr>
                <w:sz w:val="17"/>
                <w:szCs w:val="17"/>
                <w:color w:val="auto"/>
              </w:rPr>
            </w:pPr>
          </w:p>
        </w:tc>
      </w:tr>
      <w:tr>
        <w:trPr>
          <w:trHeight w:val="177"/>
        </w:trPr>
        <w:tc>
          <w:tcPr>
            <w:tcW w:w="4440" w:type="dxa"/>
            <w:vAlign w:val="bottom"/>
            <w:shd w:val="clear" w:color="auto" w:fill="D4EFF3"/>
          </w:tcPr>
          <w:p>
            <w:pPr>
              <w:spacing w:after="0" w:line="177" w:lineRule="exact"/>
              <w:rPr>
                <w:sz w:val="20"/>
                <w:szCs w:val="20"/>
                <w:color w:val="auto"/>
              </w:rPr>
            </w:pPr>
            <w:r>
              <w:rPr>
                <w:rFonts w:ascii="Times New Roman" w:cs="Times New Roman" w:eastAsia="Times New Roman" w:hAnsi="Times New Roman"/>
                <w:sz w:val="16"/>
                <w:szCs w:val="16"/>
                <w:color w:val="auto"/>
              </w:rPr>
              <w:t>Issuance of pre-funded warrants (net of issuance cost of $416)</w:t>
            </w:r>
          </w:p>
        </w:tc>
        <w:tc>
          <w:tcPr>
            <w:tcW w:w="60" w:type="dxa"/>
            <w:vAlign w:val="bottom"/>
            <w:shd w:val="clear" w:color="auto" w:fill="D4EFF3"/>
          </w:tcPr>
          <w:p>
            <w:pPr>
              <w:spacing w:after="0"/>
              <w:rPr>
                <w:sz w:val="15"/>
                <w:szCs w:val="15"/>
                <w:color w:val="auto"/>
              </w:rPr>
            </w:pPr>
          </w:p>
        </w:tc>
        <w:tc>
          <w:tcPr>
            <w:tcW w:w="60" w:type="dxa"/>
            <w:vAlign w:val="bottom"/>
            <w:shd w:val="clear" w:color="auto" w:fill="D4EFF3"/>
          </w:tcPr>
          <w:p>
            <w:pPr>
              <w:spacing w:after="0"/>
              <w:rPr>
                <w:sz w:val="15"/>
                <w:szCs w:val="15"/>
                <w:color w:val="auto"/>
              </w:rPr>
            </w:pPr>
          </w:p>
        </w:tc>
        <w:tc>
          <w:tcPr>
            <w:tcW w:w="72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334,000</w:t>
            </w:r>
          </w:p>
        </w:tc>
        <w:tc>
          <w:tcPr>
            <w:tcW w:w="120" w:type="dxa"/>
            <w:vAlign w:val="bottom"/>
            <w:shd w:val="clear" w:color="auto" w:fill="D4EFF3"/>
          </w:tcPr>
          <w:p>
            <w:pPr>
              <w:spacing w:after="0"/>
              <w:rPr>
                <w:sz w:val="15"/>
                <w:szCs w:val="15"/>
                <w:color w:val="auto"/>
              </w:rPr>
            </w:pPr>
          </w:p>
        </w:tc>
        <w:tc>
          <w:tcPr>
            <w:tcW w:w="350" w:type="dxa"/>
            <w:vAlign w:val="bottom"/>
            <w:shd w:val="clear" w:color="auto" w:fill="D4EFF3"/>
          </w:tcPr>
          <w:p>
            <w:pPr>
              <w:spacing w:after="0"/>
              <w:rPr>
                <w:sz w:val="15"/>
                <w:szCs w:val="15"/>
                <w:color w:val="auto"/>
              </w:rPr>
            </w:pPr>
          </w:p>
        </w:tc>
        <w:tc>
          <w:tcPr>
            <w:tcW w:w="170" w:type="dxa"/>
            <w:vAlign w:val="bottom"/>
            <w:shd w:val="clear" w:color="auto" w:fill="D4EFF3"/>
          </w:tcPr>
          <w:p>
            <w:pPr>
              <w:spacing w:after="0"/>
              <w:rPr>
                <w:sz w:val="15"/>
                <w:szCs w:val="15"/>
                <w:color w:val="auto"/>
              </w:rPr>
            </w:pPr>
          </w:p>
        </w:tc>
        <w:tc>
          <w:tcPr>
            <w:tcW w:w="20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4EFF3"/>
          </w:tcPr>
          <w:p>
            <w:pPr>
              <w:spacing w:after="0"/>
              <w:rPr>
                <w:sz w:val="15"/>
                <w:szCs w:val="15"/>
                <w:color w:val="auto"/>
              </w:rPr>
            </w:pPr>
          </w:p>
        </w:tc>
        <w:tc>
          <w:tcPr>
            <w:tcW w:w="120" w:type="dxa"/>
            <w:vAlign w:val="bottom"/>
            <w:shd w:val="clear" w:color="auto" w:fill="D4EFF3"/>
          </w:tcPr>
          <w:p>
            <w:pPr>
              <w:spacing w:after="0"/>
              <w:rPr>
                <w:sz w:val="15"/>
                <w:szCs w:val="15"/>
                <w:color w:val="auto"/>
              </w:rPr>
            </w:pPr>
          </w:p>
        </w:tc>
        <w:tc>
          <w:tcPr>
            <w:tcW w:w="20" w:type="dxa"/>
            <w:vAlign w:val="bottom"/>
            <w:shd w:val="clear" w:color="auto" w:fill="D4EFF3"/>
          </w:tcPr>
          <w:p>
            <w:pPr>
              <w:spacing w:after="0"/>
              <w:rPr>
                <w:sz w:val="15"/>
                <w:szCs w:val="15"/>
                <w:color w:val="auto"/>
              </w:rPr>
            </w:pPr>
          </w:p>
        </w:tc>
        <w:tc>
          <w:tcPr>
            <w:tcW w:w="64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3,309</w:t>
            </w:r>
          </w:p>
        </w:tc>
        <w:tc>
          <w:tcPr>
            <w:tcW w:w="100" w:type="dxa"/>
            <w:vAlign w:val="bottom"/>
            <w:shd w:val="clear" w:color="auto" w:fill="D4EFF3"/>
          </w:tcPr>
          <w:p>
            <w:pPr>
              <w:spacing w:after="0"/>
              <w:rPr>
                <w:sz w:val="15"/>
                <w:szCs w:val="15"/>
                <w:color w:val="auto"/>
              </w:rPr>
            </w:pPr>
          </w:p>
        </w:tc>
        <w:tc>
          <w:tcPr>
            <w:tcW w:w="120" w:type="dxa"/>
            <w:vAlign w:val="bottom"/>
            <w:shd w:val="clear" w:color="auto" w:fill="D4EFF3"/>
          </w:tcPr>
          <w:p>
            <w:pPr>
              <w:spacing w:after="0"/>
              <w:rPr>
                <w:sz w:val="15"/>
                <w:szCs w:val="15"/>
                <w:color w:val="auto"/>
              </w:rPr>
            </w:pPr>
          </w:p>
        </w:tc>
        <w:tc>
          <w:tcPr>
            <w:tcW w:w="84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4EFF3"/>
          </w:tcPr>
          <w:p>
            <w:pPr>
              <w:spacing w:after="0"/>
              <w:rPr>
                <w:sz w:val="15"/>
                <w:szCs w:val="15"/>
                <w:color w:val="auto"/>
              </w:rPr>
            </w:pPr>
          </w:p>
        </w:tc>
        <w:tc>
          <w:tcPr>
            <w:tcW w:w="60" w:type="dxa"/>
            <w:vAlign w:val="bottom"/>
            <w:shd w:val="clear" w:color="auto" w:fill="D4EFF3"/>
          </w:tcPr>
          <w:p>
            <w:pPr>
              <w:spacing w:after="0"/>
              <w:rPr>
                <w:sz w:val="15"/>
                <w:szCs w:val="15"/>
                <w:color w:val="auto"/>
              </w:rPr>
            </w:pPr>
          </w:p>
        </w:tc>
        <w:tc>
          <w:tcPr>
            <w:tcW w:w="80" w:type="dxa"/>
            <w:vAlign w:val="bottom"/>
            <w:shd w:val="clear" w:color="auto" w:fill="D4EFF3"/>
          </w:tcPr>
          <w:p>
            <w:pPr>
              <w:spacing w:after="0"/>
              <w:rPr>
                <w:sz w:val="15"/>
                <w:szCs w:val="15"/>
                <w:color w:val="auto"/>
              </w:rPr>
            </w:pPr>
          </w:p>
        </w:tc>
        <w:tc>
          <w:tcPr>
            <w:tcW w:w="90" w:type="dxa"/>
            <w:vAlign w:val="bottom"/>
            <w:shd w:val="clear" w:color="auto" w:fill="D4EFF3"/>
          </w:tcPr>
          <w:p>
            <w:pPr>
              <w:spacing w:after="0"/>
              <w:rPr>
                <w:sz w:val="15"/>
                <w:szCs w:val="15"/>
                <w:color w:val="auto"/>
              </w:rPr>
            </w:pPr>
          </w:p>
        </w:tc>
        <w:tc>
          <w:tcPr>
            <w:tcW w:w="95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3,309</w:t>
            </w:r>
          </w:p>
        </w:tc>
        <w:tc>
          <w:tcPr>
            <w:tcW w:w="60" w:type="dxa"/>
            <w:vAlign w:val="bottom"/>
            <w:shd w:val="clear" w:color="auto" w:fill="D4EFF3"/>
          </w:tcPr>
          <w:p>
            <w:pPr>
              <w:spacing w:after="0"/>
              <w:rPr>
                <w:sz w:val="15"/>
                <w:szCs w:val="15"/>
                <w:color w:val="auto"/>
              </w:rPr>
            </w:pPr>
          </w:p>
        </w:tc>
      </w:tr>
      <w:tr>
        <w:trPr>
          <w:trHeight w:val="199"/>
        </w:trPr>
        <w:tc>
          <w:tcPr>
            <w:tcW w:w="444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16"/>
                <w:szCs w:val="16"/>
                <w:color w:val="auto"/>
              </w:rPr>
              <w:t>Issuance of common stock warrants (net of issuance cost of $165)</w:t>
            </w:r>
          </w:p>
        </w:tc>
        <w:tc>
          <w:tcPr>
            <w:tcW w:w="60" w:type="dxa"/>
            <w:vAlign w:val="bottom"/>
            <w:tcBorders>
              <w:bottom w:val="single" w:sz="8" w:color="D4EFF3"/>
            </w:tcBorders>
          </w:tcPr>
          <w:p>
            <w:pPr>
              <w:spacing w:after="0"/>
              <w:rPr>
                <w:sz w:val="17"/>
                <w:szCs w:val="17"/>
                <w:color w:val="auto"/>
              </w:rPr>
            </w:pPr>
          </w:p>
        </w:tc>
        <w:tc>
          <w:tcPr>
            <w:tcW w:w="60" w:type="dxa"/>
            <w:vAlign w:val="bottom"/>
            <w:tcBorders>
              <w:bottom w:val="single" w:sz="8" w:color="D4EFF3"/>
            </w:tcBorders>
          </w:tcPr>
          <w:p>
            <w:pPr>
              <w:spacing w:after="0"/>
              <w:rPr>
                <w:sz w:val="17"/>
                <w:szCs w:val="17"/>
                <w:color w:val="auto"/>
              </w:rPr>
            </w:pPr>
          </w:p>
        </w:tc>
        <w:tc>
          <w:tcPr>
            <w:tcW w:w="72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D4EFF3"/>
            </w:tcBorders>
          </w:tcPr>
          <w:p>
            <w:pPr>
              <w:spacing w:after="0"/>
              <w:rPr>
                <w:sz w:val="17"/>
                <w:szCs w:val="17"/>
                <w:color w:val="auto"/>
              </w:rPr>
            </w:pPr>
          </w:p>
        </w:tc>
        <w:tc>
          <w:tcPr>
            <w:tcW w:w="350" w:type="dxa"/>
            <w:vAlign w:val="bottom"/>
            <w:tcBorders>
              <w:bottom w:val="single" w:sz="8" w:color="D4EFF3"/>
            </w:tcBorders>
          </w:tcPr>
          <w:p>
            <w:pPr>
              <w:spacing w:after="0"/>
              <w:rPr>
                <w:sz w:val="17"/>
                <w:szCs w:val="17"/>
                <w:color w:val="auto"/>
              </w:rPr>
            </w:pPr>
          </w:p>
        </w:tc>
        <w:tc>
          <w:tcPr>
            <w:tcW w:w="170" w:type="dxa"/>
            <w:vAlign w:val="bottom"/>
            <w:tcBorders>
              <w:bottom w:val="single" w:sz="8" w:color="D4EFF3"/>
            </w:tcBorders>
          </w:tcPr>
          <w:p>
            <w:pPr>
              <w:spacing w:after="0"/>
              <w:rPr>
                <w:sz w:val="17"/>
                <w:szCs w:val="17"/>
                <w:color w:val="auto"/>
              </w:rPr>
            </w:pPr>
          </w:p>
        </w:tc>
        <w:tc>
          <w:tcPr>
            <w:tcW w:w="20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D4EFF3"/>
            </w:tcBorders>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20" w:type="dxa"/>
            <w:vAlign w:val="bottom"/>
            <w:tcBorders>
              <w:bottom w:val="single" w:sz="8" w:color="D4EFF3"/>
            </w:tcBorders>
          </w:tcPr>
          <w:p>
            <w:pPr>
              <w:spacing w:after="0"/>
              <w:rPr>
                <w:sz w:val="17"/>
                <w:szCs w:val="17"/>
                <w:color w:val="auto"/>
              </w:rPr>
            </w:pPr>
          </w:p>
        </w:tc>
        <w:tc>
          <w:tcPr>
            <w:tcW w:w="6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tcBorders>
              <w:bottom w:val="single" w:sz="8" w:color="D4EFF3"/>
            </w:tcBorders>
          </w:tcPr>
          <w:p>
            <w:pPr>
              <w:spacing w:after="0"/>
              <w:rPr>
                <w:sz w:val="17"/>
                <w:szCs w:val="17"/>
                <w:color w:val="auto"/>
              </w:rPr>
            </w:pPr>
          </w:p>
        </w:tc>
        <w:tc>
          <w:tcPr>
            <w:tcW w:w="120" w:type="dxa"/>
            <w:vAlign w:val="bottom"/>
            <w:tcBorders>
              <w:bottom w:val="single" w:sz="8" w:color="D4EFF3"/>
            </w:tcBorders>
          </w:tcPr>
          <w:p>
            <w:pPr>
              <w:spacing w:after="0"/>
              <w:rPr>
                <w:sz w:val="17"/>
                <w:szCs w:val="17"/>
                <w:color w:val="auto"/>
              </w:rPr>
            </w:pPr>
          </w:p>
        </w:tc>
        <w:tc>
          <w:tcPr>
            <w:tcW w:w="8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D4EFF3"/>
            </w:tcBorders>
          </w:tcPr>
          <w:p>
            <w:pPr>
              <w:spacing w:after="0"/>
              <w:rPr>
                <w:sz w:val="17"/>
                <w:szCs w:val="17"/>
                <w:color w:val="auto"/>
              </w:rPr>
            </w:pPr>
          </w:p>
        </w:tc>
        <w:tc>
          <w:tcPr>
            <w:tcW w:w="60" w:type="dxa"/>
            <w:vAlign w:val="bottom"/>
            <w:tcBorders>
              <w:bottom w:val="single" w:sz="8" w:color="D4EFF3"/>
            </w:tcBorders>
          </w:tcPr>
          <w:p>
            <w:pPr>
              <w:spacing w:after="0"/>
              <w:rPr>
                <w:sz w:val="17"/>
                <w:szCs w:val="17"/>
                <w:color w:val="auto"/>
              </w:rPr>
            </w:pPr>
          </w:p>
        </w:tc>
        <w:tc>
          <w:tcPr>
            <w:tcW w:w="80" w:type="dxa"/>
            <w:vAlign w:val="bottom"/>
            <w:tcBorders>
              <w:bottom w:val="single" w:sz="8" w:color="D4EFF3"/>
            </w:tcBorders>
          </w:tcPr>
          <w:p>
            <w:pPr>
              <w:spacing w:after="0"/>
              <w:rPr>
                <w:sz w:val="17"/>
                <w:szCs w:val="17"/>
                <w:color w:val="auto"/>
              </w:rPr>
            </w:pPr>
          </w:p>
        </w:tc>
        <w:tc>
          <w:tcPr>
            <w:tcW w:w="90" w:type="dxa"/>
            <w:vAlign w:val="bottom"/>
            <w:tcBorders>
              <w:bottom w:val="single" w:sz="8" w:color="D4EFF3"/>
            </w:tcBorders>
          </w:tcPr>
          <w:p>
            <w:pPr>
              <w:spacing w:after="0"/>
              <w:rPr>
                <w:sz w:val="17"/>
                <w:szCs w:val="17"/>
                <w:color w:val="auto"/>
              </w:rPr>
            </w:pPr>
          </w:p>
        </w:tc>
        <w:tc>
          <w:tcPr>
            <w:tcW w:w="95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60" w:type="dxa"/>
            <w:vAlign w:val="bottom"/>
            <w:tcBorders>
              <w:bottom w:val="single" w:sz="8" w:color="D4EFF3"/>
            </w:tcBorders>
          </w:tcPr>
          <w:p>
            <w:pPr>
              <w:spacing w:after="0"/>
              <w:rPr>
                <w:sz w:val="17"/>
                <w:szCs w:val="17"/>
                <w:color w:val="auto"/>
              </w:rPr>
            </w:pPr>
          </w:p>
        </w:tc>
      </w:tr>
      <w:tr>
        <w:trPr>
          <w:trHeight w:val="177"/>
        </w:trPr>
        <w:tc>
          <w:tcPr>
            <w:tcW w:w="4440" w:type="dxa"/>
            <w:vAlign w:val="bottom"/>
            <w:shd w:val="clear" w:color="auto" w:fill="D4EFF3"/>
          </w:tcPr>
          <w:p>
            <w:pPr>
              <w:spacing w:after="0" w:line="177" w:lineRule="exact"/>
              <w:rPr>
                <w:sz w:val="20"/>
                <w:szCs w:val="20"/>
                <w:color w:val="auto"/>
              </w:rPr>
            </w:pPr>
            <w:r>
              <w:rPr>
                <w:rFonts w:ascii="Times New Roman" w:cs="Times New Roman" w:eastAsia="Times New Roman" w:hAnsi="Times New Roman"/>
                <w:sz w:val="16"/>
                <w:szCs w:val="16"/>
                <w:color w:val="auto"/>
              </w:rPr>
              <w:t>Issuance of common stock under equity plan awards</w:t>
            </w:r>
          </w:p>
        </w:tc>
        <w:tc>
          <w:tcPr>
            <w:tcW w:w="60" w:type="dxa"/>
            <w:vAlign w:val="bottom"/>
            <w:shd w:val="clear" w:color="auto" w:fill="D4EFF3"/>
          </w:tcPr>
          <w:p>
            <w:pPr>
              <w:spacing w:after="0"/>
              <w:rPr>
                <w:sz w:val="15"/>
                <w:szCs w:val="15"/>
                <w:color w:val="auto"/>
              </w:rPr>
            </w:pPr>
          </w:p>
        </w:tc>
        <w:tc>
          <w:tcPr>
            <w:tcW w:w="60" w:type="dxa"/>
            <w:vAlign w:val="bottom"/>
            <w:shd w:val="clear" w:color="auto" w:fill="D4EFF3"/>
          </w:tcPr>
          <w:p>
            <w:pPr>
              <w:spacing w:after="0"/>
              <w:rPr>
                <w:sz w:val="15"/>
                <w:szCs w:val="15"/>
                <w:color w:val="auto"/>
              </w:rPr>
            </w:pPr>
          </w:p>
        </w:tc>
        <w:tc>
          <w:tcPr>
            <w:tcW w:w="72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5,955</w:t>
            </w:r>
          </w:p>
        </w:tc>
        <w:tc>
          <w:tcPr>
            <w:tcW w:w="120" w:type="dxa"/>
            <w:vAlign w:val="bottom"/>
            <w:shd w:val="clear" w:color="auto" w:fill="D4EFF3"/>
          </w:tcPr>
          <w:p>
            <w:pPr>
              <w:spacing w:after="0"/>
              <w:rPr>
                <w:sz w:val="15"/>
                <w:szCs w:val="15"/>
                <w:color w:val="auto"/>
              </w:rPr>
            </w:pPr>
          </w:p>
        </w:tc>
        <w:tc>
          <w:tcPr>
            <w:tcW w:w="350" w:type="dxa"/>
            <w:vAlign w:val="bottom"/>
            <w:shd w:val="clear" w:color="auto" w:fill="D4EFF3"/>
          </w:tcPr>
          <w:p>
            <w:pPr>
              <w:spacing w:after="0"/>
              <w:rPr>
                <w:sz w:val="15"/>
                <w:szCs w:val="15"/>
                <w:color w:val="auto"/>
              </w:rPr>
            </w:pPr>
          </w:p>
        </w:tc>
        <w:tc>
          <w:tcPr>
            <w:tcW w:w="170" w:type="dxa"/>
            <w:vAlign w:val="bottom"/>
            <w:shd w:val="clear" w:color="auto" w:fill="D4EFF3"/>
          </w:tcPr>
          <w:p>
            <w:pPr>
              <w:spacing w:after="0"/>
              <w:rPr>
                <w:sz w:val="15"/>
                <w:szCs w:val="15"/>
                <w:color w:val="auto"/>
              </w:rPr>
            </w:pPr>
          </w:p>
        </w:tc>
        <w:tc>
          <w:tcPr>
            <w:tcW w:w="20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D4EFF3"/>
          </w:tcPr>
          <w:p>
            <w:pPr>
              <w:spacing w:after="0"/>
              <w:rPr>
                <w:sz w:val="15"/>
                <w:szCs w:val="15"/>
                <w:color w:val="auto"/>
              </w:rPr>
            </w:pPr>
          </w:p>
        </w:tc>
        <w:tc>
          <w:tcPr>
            <w:tcW w:w="120" w:type="dxa"/>
            <w:vAlign w:val="bottom"/>
            <w:shd w:val="clear" w:color="auto" w:fill="D4EFF3"/>
          </w:tcPr>
          <w:p>
            <w:pPr>
              <w:spacing w:after="0"/>
              <w:rPr>
                <w:sz w:val="15"/>
                <w:szCs w:val="15"/>
                <w:color w:val="auto"/>
              </w:rPr>
            </w:pPr>
          </w:p>
        </w:tc>
        <w:tc>
          <w:tcPr>
            <w:tcW w:w="20" w:type="dxa"/>
            <w:vAlign w:val="bottom"/>
            <w:shd w:val="clear" w:color="auto" w:fill="D4EFF3"/>
          </w:tcPr>
          <w:p>
            <w:pPr>
              <w:spacing w:after="0"/>
              <w:rPr>
                <w:sz w:val="15"/>
                <w:szCs w:val="15"/>
                <w:color w:val="auto"/>
              </w:rPr>
            </w:pPr>
          </w:p>
        </w:tc>
        <w:tc>
          <w:tcPr>
            <w:tcW w:w="64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D4EFF3"/>
          </w:tcPr>
          <w:p>
            <w:pPr>
              <w:spacing w:after="0"/>
              <w:rPr>
                <w:sz w:val="15"/>
                <w:szCs w:val="15"/>
                <w:color w:val="auto"/>
              </w:rPr>
            </w:pPr>
          </w:p>
        </w:tc>
        <w:tc>
          <w:tcPr>
            <w:tcW w:w="120" w:type="dxa"/>
            <w:vAlign w:val="bottom"/>
            <w:shd w:val="clear" w:color="auto" w:fill="D4EFF3"/>
          </w:tcPr>
          <w:p>
            <w:pPr>
              <w:spacing w:after="0"/>
              <w:rPr>
                <w:sz w:val="15"/>
                <w:szCs w:val="15"/>
                <w:color w:val="auto"/>
              </w:rPr>
            </w:pPr>
          </w:p>
        </w:tc>
        <w:tc>
          <w:tcPr>
            <w:tcW w:w="84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4EFF3"/>
          </w:tcPr>
          <w:p>
            <w:pPr>
              <w:spacing w:after="0"/>
              <w:rPr>
                <w:sz w:val="15"/>
                <w:szCs w:val="15"/>
                <w:color w:val="auto"/>
              </w:rPr>
            </w:pPr>
          </w:p>
        </w:tc>
        <w:tc>
          <w:tcPr>
            <w:tcW w:w="60" w:type="dxa"/>
            <w:vAlign w:val="bottom"/>
            <w:shd w:val="clear" w:color="auto" w:fill="D4EFF3"/>
          </w:tcPr>
          <w:p>
            <w:pPr>
              <w:spacing w:after="0"/>
              <w:rPr>
                <w:sz w:val="15"/>
                <w:szCs w:val="15"/>
                <w:color w:val="auto"/>
              </w:rPr>
            </w:pPr>
          </w:p>
        </w:tc>
        <w:tc>
          <w:tcPr>
            <w:tcW w:w="80" w:type="dxa"/>
            <w:vAlign w:val="bottom"/>
            <w:shd w:val="clear" w:color="auto" w:fill="D4EFF3"/>
          </w:tcPr>
          <w:p>
            <w:pPr>
              <w:spacing w:after="0"/>
              <w:rPr>
                <w:sz w:val="15"/>
                <w:szCs w:val="15"/>
                <w:color w:val="auto"/>
              </w:rPr>
            </w:pPr>
          </w:p>
        </w:tc>
        <w:tc>
          <w:tcPr>
            <w:tcW w:w="90" w:type="dxa"/>
            <w:vAlign w:val="bottom"/>
            <w:shd w:val="clear" w:color="auto" w:fill="D4EFF3"/>
          </w:tcPr>
          <w:p>
            <w:pPr>
              <w:spacing w:after="0"/>
              <w:rPr>
                <w:sz w:val="15"/>
                <w:szCs w:val="15"/>
                <w:color w:val="auto"/>
              </w:rPr>
            </w:pPr>
          </w:p>
        </w:tc>
        <w:tc>
          <w:tcPr>
            <w:tcW w:w="950" w:type="dxa"/>
            <w:vAlign w:val="bottom"/>
            <w:shd w:val="clear" w:color="auto" w:fill="D4EFF3"/>
          </w:tcPr>
          <w:p>
            <w:pPr>
              <w:jc w:val="right"/>
              <w:spacing w:after="0" w:line="177" w:lineRule="exact"/>
              <w:rPr>
                <w:sz w:val="20"/>
                <w:szCs w:val="20"/>
                <w:color w:val="auto"/>
              </w:rPr>
            </w:pPr>
            <w:r>
              <w:rPr>
                <w:rFonts w:ascii="Times New Roman" w:cs="Times New Roman" w:eastAsia="Times New Roman" w:hAnsi="Times New Roman"/>
                <w:sz w:val="16"/>
                <w:szCs w:val="16"/>
                <w:color w:val="auto"/>
              </w:rPr>
              <w:t>47</w:t>
            </w:r>
          </w:p>
        </w:tc>
        <w:tc>
          <w:tcPr>
            <w:tcW w:w="60" w:type="dxa"/>
            <w:vAlign w:val="bottom"/>
            <w:shd w:val="clear" w:color="auto" w:fill="D4EFF3"/>
          </w:tcPr>
          <w:p>
            <w:pPr>
              <w:spacing w:after="0"/>
              <w:rPr>
                <w:sz w:val="15"/>
                <w:szCs w:val="15"/>
                <w:color w:val="auto"/>
              </w:rPr>
            </w:pPr>
          </w:p>
        </w:tc>
      </w:tr>
      <w:tr>
        <w:trPr>
          <w:trHeight w:val="219"/>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50" w:type="dxa"/>
            <w:vAlign w:val="bottom"/>
            <w:tcBorders>
              <w:bottom w:val="single" w:sz="8" w:color="auto"/>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 w:type="dxa"/>
            <w:vAlign w:val="bottom"/>
            <w:tcBorders>
              <w:bottom w:val="single" w:sz="8" w:color="auto"/>
            </w:tcBorders>
          </w:tcPr>
          <w:p>
            <w:pPr>
              <w:spacing w:after="0"/>
              <w:rPr>
                <w:sz w:val="19"/>
                <w:szCs w:val="19"/>
                <w:color w:val="auto"/>
              </w:rPr>
            </w:pPr>
          </w:p>
        </w:tc>
        <w:tc>
          <w:tcPr>
            <w:tcW w:w="9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(26,262</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r>
      <w:tr>
        <w:trPr>
          <w:trHeight w:val="186"/>
        </w:trPr>
        <w:tc>
          <w:tcPr>
            <w:tcW w:w="4440" w:type="dxa"/>
            <w:vAlign w:val="bottom"/>
            <w:tcBorders>
              <w:top w:val="single" w:sz="8" w:color="D4EFF3"/>
              <w:bottom w:val="single" w:sz="8" w:color="D4EFF3"/>
            </w:tcBorders>
            <w:shd w:val="clear" w:color="auto" w:fill="D4EFF3"/>
          </w:tcPr>
          <w:p>
            <w:pPr>
              <w:spacing w:after="0" w:line="167" w:lineRule="exact"/>
              <w:rPr>
                <w:sz w:val="20"/>
                <w:szCs w:val="20"/>
                <w:color w:val="auto"/>
              </w:rPr>
            </w:pPr>
            <w:r>
              <w:rPr>
                <w:rFonts w:ascii="Times New Roman" w:cs="Times New Roman" w:eastAsia="Times New Roman" w:hAnsi="Times New Roman"/>
                <w:sz w:val="16"/>
                <w:szCs w:val="16"/>
                <w:color w:val="auto"/>
              </w:rPr>
              <w:t>BALANCE - December 31, 2025</w:t>
            </w:r>
          </w:p>
        </w:tc>
        <w:tc>
          <w:tcPr>
            <w:tcW w:w="60" w:type="dxa"/>
            <w:vAlign w:val="bottom"/>
            <w:tcBorders>
              <w:top w:val="single" w:sz="8" w:color="D4EFF3"/>
              <w:bottom w:val="single" w:sz="8" w:color="D4EFF3"/>
            </w:tcBorders>
            <w:shd w:val="clear" w:color="auto" w:fill="D4EFF3"/>
          </w:tcPr>
          <w:p>
            <w:pPr>
              <w:spacing w:after="0"/>
              <w:rPr>
                <w:sz w:val="16"/>
                <w:szCs w:val="16"/>
                <w:color w:val="auto"/>
              </w:rPr>
            </w:pPr>
          </w:p>
        </w:tc>
        <w:tc>
          <w:tcPr>
            <w:tcW w:w="60" w:type="dxa"/>
            <w:vAlign w:val="bottom"/>
            <w:tcBorders>
              <w:top w:val="single" w:sz="8" w:color="D4EFF3"/>
              <w:bottom w:val="single" w:sz="8" w:color="auto"/>
            </w:tcBorders>
            <w:shd w:val="clear" w:color="auto" w:fill="D4EFF3"/>
          </w:tcPr>
          <w:p>
            <w:pPr>
              <w:spacing w:after="0"/>
              <w:rPr>
                <w:sz w:val="16"/>
                <w:szCs w:val="16"/>
                <w:color w:val="auto"/>
              </w:rPr>
            </w:pPr>
          </w:p>
        </w:tc>
        <w:tc>
          <w:tcPr>
            <w:tcW w:w="720" w:type="dxa"/>
            <w:vAlign w:val="bottom"/>
            <w:tcBorders>
              <w:top w:val="single" w:sz="8" w:color="D4EFF3"/>
              <w:bottom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shd w:val="clear" w:color="auto" w:fill="D4EFF3"/>
              </w:rPr>
              <w:t>4,927,161</w:t>
            </w:r>
          </w:p>
        </w:tc>
        <w:tc>
          <w:tcPr>
            <w:tcW w:w="120" w:type="dxa"/>
            <w:vAlign w:val="bottom"/>
            <w:tcBorders>
              <w:top w:val="single" w:sz="8" w:color="D4EFF3"/>
              <w:bottom w:val="single" w:sz="8" w:color="D4EFF3"/>
            </w:tcBorders>
            <w:shd w:val="clear" w:color="auto" w:fill="D4EFF3"/>
          </w:tcPr>
          <w:p>
            <w:pPr>
              <w:spacing w:after="0"/>
              <w:rPr>
                <w:sz w:val="16"/>
                <w:szCs w:val="16"/>
                <w:color w:val="auto"/>
              </w:rPr>
            </w:pPr>
          </w:p>
        </w:tc>
        <w:tc>
          <w:tcPr>
            <w:tcW w:w="350" w:type="dxa"/>
            <w:vAlign w:val="bottom"/>
            <w:tcBorders>
              <w:top w:val="single" w:sz="8" w:color="D4EFF3"/>
              <w:bottom w:val="single" w:sz="8" w:color="auto"/>
            </w:tcBorders>
            <w:shd w:val="clear" w:color="auto" w:fill="D4EFF3"/>
          </w:tcPr>
          <w:p>
            <w:pPr>
              <w:jc w:val="right"/>
              <w:ind w:right="190"/>
              <w:spacing w:after="0" w:line="167" w:lineRule="exact"/>
              <w:rPr>
                <w:sz w:val="20"/>
                <w:szCs w:val="20"/>
                <w:color w:val="auto"/>
              </w:rPr>
            </w:pPr>
            <w:r>
              <w:rPr>
                <w:rFonts w:ascii="Times New Roman" w:cs="Times New Roman" w:eastAsia="Times New Roman" w:hAnsi="Times New Roman"/>
                <w:sz w:val="16"/>
                <w:szCs w:val="16"/>
                <w:color w:val="auto"/>
                <w:w w:val="74"/>
              </w:rPr>
              <w:t>$</w:t>
            </w:r>
          </w:p>
        </w:tc>
        <w:tc>
          <w:tcPr>
            <w:tcW w:w="170" w:type="dxa"/>
            <w:vAlign w:val="bottom"/>
            <w:tcBorders>
              <w:top w:val="single" w:sz="8" w:color="D4EFF3"/>
              <w:bottom w:val="single" w:sz="8" w:color="auto"/>
            </w:tcBorders>
            <w:shd w:val="clear" w:color="auto" w:fill="D4EFF3"/>
          </w:tcPr>
          <w:p>
            <w:pPr>
              <w:spacing w:after="0"/>
              <w:rPr>
                <w:sz w:val="16"/>
                <w:szCs w:val="16"/>
                <w:color w:val="auto"/>
              </w:rPr>
            </w:pPr>
          </w:p>
        </w:tc>
        <w:tc>
          <w:tcPr>
            <w:tcW w:w="200" w:type="dxa"/>
            <w:vAlign w:val="bottom"/>
            <w:tcBorders>
              <w:top w:val="single" w:sz="8" w:color="D4EFF3"/>
              <w:bottom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D4EFF3"/>
              <w:bottom w:val="single" w:sz="8" w:color="D4EFF3"/>
            </w:tcBorders>
            <w:shd w:val="clear" w:color="auto" w:fill="D4EFF3"/>
          </w:tcPr>
          <w:p>
            <w:pPr>
              <w:spacing w:after="0"/>
              <w:rPr>
                <w:sz w:val="16"/>
                <w:szCs w:val="16"/>
                <w:color w:val="auto"/>
              </w:rPr>
            </w:pPr>
          </w:p>
        </w:tc>
        <w:tc>
          <w:tcPr>
            <w:tcW w:w="120" w:type="dxa"/>
            <w:vAlign w:val="bottom"/>
            <w:tcBorders>
              <w:top w:val="single" w:sz="8" w:color="D4EFF3"/>
              <w:bottom w:val="single" w:sz="8" w:color="auto"/>
            </w:tcBorders>
            <w:shd w:val="clear" w:color="auto" w:fill="D4EFF3"/>
          </w:tcPr>
          <w:p>
            <w:pPr>
              <w:spacing w:after="0" w:line="167" w:lineRule="exact"/>
              <w:rPr>
                <w:sz w:val="20"/>
                <w:szCs w:val="20"/>
                <w:color w:val="auto"/>
              </w:rPr>
            </w:pPr>
            <w:r>
              <w:rPr>
                <w:rFonts w:ascii="Times New Roman" w:cs="Times New Roman" w:eastAsia="Times New Roman" w:hAnsi="Times New Roman"/>
                <w:sz w:val="16"/>
                <w:szCs w:val="16"/>
                <w:color w:val="auto"/>
                <w:shd w:val="clear" w:color="auto" w:fill="D4EFF3"/>
              </w:rPr>
              <w:t>$</w:t>
            </w:r>
          </w:p>
        </w:tc>
        <w:tc>
          <w:tcPr>
            <w:tcW w:w="20" w:type="dxa"/>
            <w:vAlign w:val="bottom"/>
            <w:tcBorders>
              <w:top w:val="single" w:sz="8" w:color="D4EFF3"/>
              <w:bottom w:val="single" w:sz="8" w:color="auto"/>
            </w:tcBorders>
            <w:shd w:val="clear" w:color="auto" w:fill="D4EFF3"/>
          </w:tcPr>
          <w:p>
            <w:pPr>
              <w:spacing w:after="0"/>
              <w:rPr>
                <w:sz w:val="16"/>
                <w:szCs w:val="16"/>
                <w:color w:val="auto"/>
              </w:rPr>
            </w:pPr>
          </w:p>
        </w:tc>
        <w:tc>
          <w:tcPr>
            <w:tcW w:w="640" w:type="dxa"/>
            <w:vAlign w:val="bottom"/>
            <w:tcBorders>
              <w:top w:val="single" w:sz="8" w:color="D4EFF3"/>
              <w:bottom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rPr>
              <w:t>240,031</w:t>
            </w:r>
          </w:p>
        </w:tc>
        <w:tc>
          <w:tcPr>
            <w:tcW w:w="100" w:type="dxa"/>
            <w:vAlign w:val="bottom"/>
            <w:tcBorders>
              <w:top w:val="single" w:sz="8" w:color="D4EFF3"/>
              <w:bottom w:val="single" w:sz="8" w:color="D4EFF3"/>
            </w:tcBorders>
            <w:shd w:val="clear" w:color="auto" w:fill="D4EFF3"/>
          </w:tcPr>
          <w:p>
            <w:pPr>
              <w:spacing w:after="0"/>
              <w:rPr>
                <w:sz w:val="16"/>
                <w:szCs w:val="16"/>
                <w:color w:val="auto"/>
              </w:rPr>
            </w:pPr>
          </w:p>
        </w:tc>
        <w:tc>
          <w:tcPr>
            <w:tcW w:w="120" w:type="dxa"/>
            <w:vAlign w:val="bottom"/>
            <w:tcBorders>
              <w:top w:val="single" w:sz="8" w:color="D4EFF3"/>
              <w:bottom w:val="single" w:sz="8" w:color="auto"/>
            </w:tcBorders>
            <w:shd w:val="clear" w:color="auto" w:fill="D4EFF3"/>
          </w:tcPr>
          <w:p>
            <w:pPr>
              <w:spacing w:after="0" w:line="167" w:lineRule="exact"/>
              <w:rPr>
                <w:sz w:val="20"/>
                <w:szCs w:val="20"/>
                <w:color w:val="auto"/>
              </w:rPr>
            </w:pPr>
            <w:r>
              <w:rPr>
                <w:rFonts w:ascii="Times New Roman" w:cs="Times New Roman" w:eastAsia="Times New Roman" w:hAnsi="Times New Roman"/>
                <w:sz w:val="16"/>
                <w:szCs w:val="16"/>
                <w:color w:val="auto"/>
                <w:shd w:val="clear" w:color="auto" w:fill="D4EFF3"/>
              </w:rPr>
              <w:t>$</w:t>
            </w:r>
          </w:p>
        </w:tc>
        <w:tc>
          <w:tcPr>
            <w:tcW w:w="840" w:type="dxa"/>
            <w:vAlign w:val="bottom"/>
            <w:tcBorders>
              <w:top w:val="single" w:sz="8" w:color="D4EFF3"/>
              <w:bottom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rPr>
              <w:t>(233,368</w:t>
            </w:r>
          </w:p>
        </w:tc>
        <w:tc>
          <w:tcPr>
            <w:tcW w:w="60" w:type="dxa"/>
            <w:vAlign w:val="bottom"/>
            <w:tcBorders>
              <w:top w:val="single" w:sz="8" w:color="D4EFF3"/>
              <w:bottom w:val="single" w:sz="8" w:color="D4EFF3"/>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shd w:val="clear" w:color="auto" w:fill="D4EFF3"/>
              </w:rPr>
              <w:t>)</w:t>
            </w:r>
          </w:p>
        </w:tc>
        <w:tc>
          <w:tcPr>
            <w:tcW w:w="60" w:type="dxa"/>
            <w:vAlign w:val="bottom"/>
            <w:tcBorders>
              <w:top w:val="single" w:sz="8" w:color="D4EFF3"/>
              <w:bottom w:val="single" w:sz="8" w:color="D4EFF3"/>
            </w:tcBorders>
            <w:shd w:val="clear" w:color="auto" w:fill="D4EFF3"/>
          </w:tcPr>
          <w:p>
            <w:pPr>
              <w:spacing w:after="0"/>
              <w:rPr>
                <w:sz w:val="16"/>
                <w:szCs w:val="16"/>
                <w:color w:val="auto"/>
              </w:rPr>
            </w:pPr>
          </w:p>
        </w:tc>
        <w:tc>
          <w:tcPr>
            <w:tcW w:w="80" w:type="dxa"/>
            <w:vAlign w:val="bottom"/>
            <w:tcBorders>
              <w:top w:val="single" w:sz="8" w:color="D4EFF3"/>
              <w:bottom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w w:val="74"/>
                <w:shd w:val="clear" w:color="auto" w:fill="D4EFF3"/>
              </w:rPr>
              <w:t>$</w:t>
            </w:r>
          </w:p>
        </w:tc>
        <w:tc>
          <w:tcPr>
            <w:tcW w:w="90" w:type="dxa"/>
            <w:vAlign w:val="bottom"/>
            <w:tcBorders>
              <w:top w:val="single" w:sz="8" w:color="D4EFF3"/>
              <w:bottom w:val="single" w:sz="8" w:color="auto"/>
            </w:tcBorders>
            <w:shd w:val="clear" w:color="auto" w:fill="D4EFF3"/>
          </w:tcPr>
          <w:p>
            <w:pPr>
              <w:spacing w:after="0"/>
              <w:rPr>
                <w:sz w:val="16"/>
                <w:szCs w:val="16"/>
                <w:color w:val="auto"/>
              </w:rPr>
            </w:pPr>
          </w:p>
        </w:tc>
        <w:tc>
          <w:tcPr>
            <w:tcW w:w="950" w:type="dxa"/>
            <w:vAlign w:val="bottom"/>
            <w:tcBorders>
              <w:top w:val="single" w:sz="8" w:color="D4EFF3"/>
              <w:bottom w:val="single" w:sz="8" w:color="auto"/>
            </w:tcBorders>
            <w:shd w:val="clear" w:color="auto" w:fill="D4EFF3"/>
          </w:tcPr>
          <w:p>
            <w:pPr>
              <w:jc w:val="right"/>
              <w:spacing w:after="0" w:line="167" w:lineRule="exact"/>
              <w:rPr>
                <w:sz w:val="20"/>
                <w:szCs w:val="20"/>
                <w:color w:val="auto"/>
              </w:rPr>
            </w:pPr>
            <w:r>
              <w:rPr>
                <w:rFonts w:ascii="Times New Roman" w:cs="Times New Roman" w:eastAsia="Times New Roman" w:hAnsi="Times New Roman"/>
                <w:sz w:val="16"/>
                <w:szCs w:val="16"/>
                <w:color w:val="auto"/>
              </w:rPr>
              <w:t>6,668</w:t>
            </w:r>
          </w:p>
        </w:tc>
        <w:tc>
          <w:tcPr>
            <w:tcW w:w="60" w:type="dxa"/>
            <w:vAlign w:val="bottom"/>
            <w:tcBorders>
              <w:top w:val="single" w:sz="8" w:color="D4EFF3"/>
              <w:bottom w:val="single" w:sz="8" w:color="D4EFF3"/>
            </w:tcBorders>
            <w:shd w:val="clear" w:color="auto" w:fill="D4EFF3"/>
          </w:tcPr>
          <w:p>
            <w:pPr>
              <w:spacing w:after="0"/>
              <w:rPr>
                <w:sz w:val="16"/>
                <w:szCs w:val="16"/>
                <w:color w:val="auto"/>
              </w:rPr>
            </w:pPr>
          </w:p>
        </w:tc>
      </w:tr>
      <w:tr>
        <w:trPr>
          <w:trHeight w:val="20"/>
        </w:trPr>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95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-1570990</wp:posOffset>
                </wp:positionV>
                <wp:extent cx="5944870" cy="0"/>
                <wp:wrapNone/>
                <wp:docPr id="633" name="Shape 6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33" o:spid="_x0000_s16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6999pt" to="468.1pt,-123.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-1319530</wp:posOffset>
                </wp:positionV>
                <wp:extent cx="5944870" cy="0"/>
                <wp:wrapNone/>
                <wp:docPr id="634" name="Shape 6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34" o:spid="_x0000_s16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8999pt" to="468.1pt,-103.8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2821305</wp:posOffset>
                </wp:positionH>
                <wp:positionV relativeFrom="paragraph">
                  <wp:posOffset>-531495</wp:posOffset>
                </wp:positionV>
                <wp:extent cx="2294255" cy="0"/>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4255" cy="4763"/>
                        </a:xfrm>
                        <a:prstGeom prst="line">
                          <a:avLst/>
                        </a:prstGeom>
                        <a:solidFill>
                          <a:srgbClr val="FFFFFF"/>
                        </a:solidFill>
                        <a:ln w="9145">
                          <a:solidFill>
                            <a:srgbClr val="FFFFFF"/>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15pt,-41.8499pt" to="402.8pt,-41.8499pt" o:allowincell="f" strokecolor="#FFFFFF" strokeweight="0.7201pt"/>
            </w:pict>
          </mc:Fallback>
        </mc:AlternateContent>
        <mc:AlternateContent>
          <mc:Choice Requires="wps">
            <w:drawing>
              <wp:anchor simplePos="0" relativeHeight="251657728" behindDoc="1" locked="0" layoutInCell="0" allowOverlap="1">
                <wp:simplePos x="0" y="0"/>
                <wp:positionH relativeFrom="column">
                  <wp:posOffset>2821305</wp:posOffset>
                </wp:positionH>
                <wp:positionV relativeFrom="paragraph">
                  <wp:posOffset>-280035</wp:posOffset>
                </wp:positionV>
                <wp:extent cx="2294255" cy="0"/>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94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36" o:spid="_x0000_s16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15pt,-22.0499pt" to="402.8pt,-22.0499pt" o:allowincell="f" strokecolor="#FFFFFF" strokeweight="0.72pt"/>
            </w:pict>
          </mc:Fallback>
        </mc:AlternateContent>
      </w:r>
    </w:p>
    <w:p>
      <w:pPr>
        <w:ind w:right="80"/>
        <w:spacing w:after="0" w:line="261" w:lineRule="auto"/>
        <w:tabs>
          <w:tab w:leader="none" w:pos="28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including shares of common stock, have been adjusted to reflect the one-for-thirteen stock split effected in April 2025. See Note 1, Organization and Description of the Business, for details.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638" name="Shape 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638" o:spid="_x0000_s1663"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39" name="Shape 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39" o:spid="_x0000_s166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137795</wp:posOffset>
                </wp:positionV>
                <wp:extent cx="13335" cy="13970"/>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970"/>
                        </a:xfrm>
                        <a:prstGeom prst="rect">
                          <a:avLst/>
                        </a:prstGeom>
                        <a:solidFill>
                          <a:srgbClr val="E3E3E3"/>
                        </a:solidFill>
                      </wps:spPr>
                      <wps:bodyPr/>
                    </wps:wsp>
                  </a:graphicData>
                </a:graphic>
              </wp:anchor>
            </w:drawing>
          </mc:Choice>
          <mc:Fallback>
            <w:pict>
              <v:rect id="Shape 641" o:spid="_x0000_s1666" style="position:absolute;margin-left:467.45pt;margin-top:10.85pt;width:1.0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642" o:spid="_x0000_s1667"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643" o:spid="_x0000_s1668"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ectPr>
          <w:pgSz w:w="12240" w:h="15840" w:orient="portrait"/>
          <w:cols w:equalWidth="0" w:num="1">
            <w:col w:w="9360"/>
          </w:cols>
          <w:pgMar w:left="1440" w:top="1418"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8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5944870"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pt" to="468.1pt,2.05pt" o:allowincell="f" strokecolor="#FFFFFF" strokeweight="0.72pt"/>
            </w:pict>
          </mc:Fallback>
        </mc:AlternateConten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tcBorders>
              <w:bottom w:val="single" w:sz="8" w:color="D4EFF3"/>
            </w:tcBorders>
          </w:tcPr>
          <w:p>
            <w:pPr>
              <w:spacing w:after="0"/>
              <w:rPr>
                <w:sz w:val="20"/>
                <w:szCs w:val="20"/>
                <w:color w:val="auto"/>
              </w:rPr>
            </w:pPr>
          </w:p>
        </w:tc>
        <w:tc>
          <w:tcPr>
            <w:tcW w:w="100" w:type="dxa"/>
            <w:vAlign w:val="bottom"/>
            <w:tcBorders>
              <w:bottom w:val="single" w:sz="8" w:color="D4EFF3"/>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20" w:type="dxa"/>
            <w:vAlign w:val="bottom"/>
            <w:tcBorders>
              <w:top w:val="single" w:sz="8" w:color="auto"/>
              <w:bottom w:val="single" w:sz="8" w:color="D4EFF3"/>
            </w:tcBorders>
          </w:tcPr>
          <w:p>
            <w:pPr>
              <w:spacing w:after="0"/>
              <w:rPr>
                <w:sz w:val="20"/>
                <w:szCs w:val="20"/>
                <w:color w:val="auto"/>
              </w:rPr>
            </w:pPr>
          </w:p>
        </w:tc>
        <w:tc>
          <w:tcPr>
            <w:tcW w:w="100" w:type="dxa"/>
            <w:vAlign w:val="bottom"/>
            <w:tcBorders>
              <w:top w:val="single" w:sz="8" w:color="auto"/>
              <w:bottom w:val="single" w:sz="8" w:color="D4EFF3"/>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bottom w:val="single" w:sz="8" w:color="D4EFF3"/>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100" w:type="dxa"/>
            <w:vAlign w:val="bottom"/>
            <w:tcBorders>
              <w:right w:val="single" w:sz="8" w:color="D4EFF3"/>
            </w:tcBorders>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980" w:type="dxa"/>
            <w:vAlign w:val="bottom"/>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160" w:type="dxa"/>
            <w:vAlign w:val="bottom"/>
            <w:shd w:val="clear" w:color="auto" w:fill="D4EFF3"/>
          </w:tcPr>
          <w:p>
            <w:pPr>
              <w:spacing w:after="0"/>
              <w:rPr>
                <w:sz w:val="20"/>
                <w:szCs w:val="20"/>
                <w:color w:val="auto"/>
              </w:rPr>
            </w:pPr>
          </w:p>
        </w:tc>
        <w:tc>
          <w:tcPr>
            <w:tcW w:w="98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00" w:type="dxa"/>
            <w:vAlign w:val="bottom"/>
            <w:tcBorders>
              <w:right w:val="single" w:sz="8" w:color="D4EFF3"/>
            </w:tcBorders>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980" w:type="dxa"/>
            <w:vAlign w:val="bottom"/>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160" w:type="dxa"/>
            <w:vAlign w:val="bottom"/>
            <w:shd w:val="clear" w:color="auto" w:fill="D4EFF3"/>
          </w:tcPr>
          <w:p>
            <w:pPr>
              <w:spacing w:after="0"/>
              <w:rPr>
                <w:sz w:val="21"/>
                <w:szCs w:val="21"/>
                <w:color w:val="auto"/>
              </w:rPr>
            </w:pPr>
          </w:p>
        </w:tc>
        <w:tc>
          <w:tcPr>
            <w:tcW w:w="98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expense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00" w:type="dxa"/>
            <w:vAlign w:val="bottom"/>
            <w:tcBorders>
              <w:right w:val="single" w:sz="8" w:color="D4EFF3"/>
            </w:tcBorders>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3,118</w:t>
            </w:r>
          </w:p>
        </w:tc>
        <w:tc>
          <w:tcPr>
            <w:tcW w:w="12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16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5,303</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Noncash lease expense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Noncash interest and other expense, net</w:t>
            </w:r>
          </w:p>
        </w:tc>
        <w:tc>
          <w:tcPr>
            <w:tcW w:w="100" w:type="dxa"/>
            <w:vAlign w:val="bottom"/>
            <w:tcBorders>
              <w:right w:val="single" w:sz="8" w:color="D4EFF3"/>
            </w:tcBorders>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2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16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00" w:type="dxa"/>
            <w:vAlign w:val="bottom"/>
            <w:tcBorders>
              <w:right w:val="single" w:sz="8" w:color="D4EFF3"/>
            </w:tcBorders>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12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16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00" w:type="dxa"/>
            <w:vAlign w:val="bottom"/>
            <w:tcBorders>
              <w:right w:val="single" w:sz="8" w:color="D4EFF3"/>
            </w:tcBorders>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(3,404)</w:t>
            </w:r>
          </w:p>
        </w:tc>
        <w:tc>
          <w:tcPr>
            <w:tcW w:w="12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16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Interest payable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00" w:type="dxa"/>
            <w:vAlign w:val="bottom"/>
            <w:tcBorders>
              <w:right w:val="single" w:sz="8" w:color="D4EFF3"/>
            </w:tcBorders>
            <w:shd w:val="clear" w:color="auto" w:fill="D4EFF3"/>
          </w:tcPr>
          <w:p>
            <w:pPr>
              <w:spacing w:after="0"/>
              <w:rPr>
                <w:sz w:val="21"/>
                <w:szCs w:val="21"/>
                <w:color w:val="auto"/>
              </w:rPr>
            </w:pPr>
          </w:p>
        </w:tc>
        <w:tc>
          <w:tcPr>
            <w:tcW w:w="120" w:type="dxa"/>
            <w:vAlign w:val="bottom"/>
            <w:tcBorders>
              <w:bottom w:val="single" w:sz="8" w:color="auto"/>
            </w:tcBorders>
            <w:shd w:val="clear" w:color="auto" w:fill="D4EFF3"/>
          </w:tcPr>
          <w:p>
            <w:pPr>
              <w:spacing w:after="0"/>
              <w:rPr>
                <w:sz w:val="21"/>
                <w:szCs w:val="21"/>
                <w:color w:val="auto"/>
              </w:rPr>
            </w:pPr>
          </w:p>
        </w:tc>
        <w:tc>
          <w:tcPr>
            <w:tcW w:w="98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12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160" w:type="dxa"/>
            <w:vAlign w:val="bottom"/>
            <w:tcBorders>
              <w:bottom w:val="single" w:sz="8" w:color="auto"/>
            </w:tcBorders>
            <w:shd w:val="clear" w:color="auto" w:fill="D4EFF3"/>
          </w:tcPr>
          <w:p>
            <w:pPr>
              <w:spacing w:after="0"/>
              <w:rPr>
                <w:sz w:val="21"/>
                <w:szCs w:val="21"/>
                <w:color w:val="auto"/>
              </w:rPr>
            </w:pPr>
          </w:p>
        </w:tc>
        <w:tc>
          <w:tcPr>
            <w:tcW w:w="98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2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Cash used in operating activities</w:t>
            </w:r>
          </w:p>
        </w:tc>
        <w:tc>
          <w:tcPr>
            <w:tcW w:w="100" w:type="dxa"/>
            <w:vAlign w:val="bottom"/>
            <w:tcBorders>
              <w:bottom w:val="single" w:sz="8" w:color="D4EFF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(26,820)</w:t>
            </w:r>
          </w:p>
        </w:tc>
        <w:tc>
          <w:tcPr>
            <w:tcW w:w="120" w:type="dxa"/>
            <w:vAlign w:val="bottom"/>
            <w:tcBorders>
              <w:bottom w:val="single" w:sz="8" w:color="D4EFF3"/>
            </w:tcBorders>
          </w:tcPr>
          <w:p>
            <w:pPr>
              <w:spacing w:after="0"/>
              <w:rPr>
                <w:sz w:val="20"/>
                <w:szCs w:val="20"/>
                <w:color w:val="auto"/>
              </w:rPr>
            </w:pPr>
          </w:p>
        </w:tc>
        <w:tc>
          <w:tcPr>
            <w:tcW w:w="100" w:type="dxa"/>
            <w:vAlign w:val="bottom"/>
            <w:tcBorders>
              <w:bottom w:val="single" w:sz="8" w:color="D4EFF3"/>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(33,027)</w:t>
            </w:r>
          </w:p>
        </w:tc>
        <w:tc>
          <w:tcPr>
            <w:tcW w:w="80" w:type="dxa"/>
            <w:vAlign w:val="bottom"/>
            <w:tcBorders>
              <w:bottom w:val="single" w:sz="8" w:color="D4EFF3"/>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100" w:type="dxa"/>
            <w:vAlign w:val="bottom"/>
            <w:tcBorders>
              <w:right w:val="single" w:sz="8" w:color="D4EFF3"/>
            </w:tcBorders>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980" w:type="dxa"/>
            <w:vAlign w:val="bottom"/>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160" w:type="dxa"/>
            <w:vAlign w:val="bottom"/>
            <w:shd w:val="clear" w:color="auto" w:fill="D4EFF3"/>
          </w:tcPr>
          <w:p>
            <w:pPr>
              <w:spacing w:after="0"/>
              <w:rPr>
                <w:sz w:val="20"/>
                <w:szCs w:val="20"/>
                <w:color w:val="auto"/>
              </w:rPr>
            </w:pPr>
          </w:p>
        </w:tc>
        <w:tc>
          <w:tcPr>
            <w:tcW w:w="98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(435)</w:t>
            </w:r>
          </w:p>
        </w:tc>
        <w:tc>
          <w:tcPr>
            <w:tcW w:w="0" w:type="dxa"/>
            <w:vAlign w:val="bottom"/>
          </w:tcPr>
          <w:p>
            <w:pPr>
              <w:spacing w:after="0"/>
              <w:rPr>
                <w:sz w:val="1"/>
                <w:szCs w:val="1"/>
                <w:color w:val="auto"/>
              </w:rPr>
            </w:pPr>
          </w:p>
        </w:tc>
      </w:tr>
      <w:tr>
        <w:trPr>
          <w:trHeight w:val="234"/>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Cash used in investing activities</w:t>
            </w:r>
          </w:p>
        </w:tc>
        <w:tc>
          <w:tcPr>
            <w:tcW w:w="100" w:type="dxa"/>
            <w:vAlign w:val="bottom"/>
            <w:tcBorders>
              <w:right w:val="single" w:sz="8" w:color="D4EFF3"/>
            </w:tcBorders>
            <w:shd w:val="clear" w:color="auto" w:fill="D4EFF3"/>
          </w:tcPr>
          <w:p>
            <w:pPr>
              <w:spacing w:after="0"/>
              <w:rPr>
                <w:sz w:val="20"/>
                <w:szCs w:val="20"/>
                <w:color w:val="auto"/>
              </w:rPr>
            </w:pPr>
          </w:p>
        </w:tc>
        <w:tc>
          <w:tcPr>
            <w:tcW w:w="120" w:type="dxa"/>
            <w:vAlign w:val="bottom"/>
            <w:tcBorders>
              <w:top w:val="single" w:sz="8" w:color="auto"/>
              <w:bottom w:val="single" w:sz="8" w:color="auto"/>
            </w:tcBorders>
            <w:shd w:val="clear" w:color="auto" w:fill="D4EFF3"/>
          </w:tcPr>
          <w:p>
            <w:pPr>
              <w:spacing w:after="0"/>
              <w:rPr>
                <w:sz w:val="20"/>
                <w:szCs w:val="20"/>
                <w:color w:val="auto"/>
              </w:rPr>
            </w:pPr>
          </w:p>
        </w:tc>
        <w:tc>
          <w:tcPr>
            <w:tcW w:w="98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160" w:type="dxa"/>
            <w:vAlign w:val="bottom"/>
            <w:tcBorders>
              <w:top w:val="single" w:sz="8" w:color="auto"/>
              <w:bottom w:val="single" w:sz="8" w:color="auto"/>
            </w:tcBorders>
            <w:shd w:val="clear" w:color="auto" w:fill="D4EFF3"/>
          </w:tcPr>
          <w:p>
            <w:pPr>
              <w:spacing w:after="0"/>
              <w:rPr>
                <w:sz w:val="20"/>
                <w:szCs w:val="20"/>
                <w:color w:val="auto"/>
              </w:rPr>
            </w:pPr>
          </w:p>
        </w:tc>
        <w:tc>
          <w:tcPr>
            <w:tcW w:w="98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Proceeds from the issuance of common stock, net of issuance costs</w:t>
            </w:r>
          </w:p>
        </w:tc>
        <w:tc>
          <w:tcPr>
            <w:tcW w:w="100" w:type="dxa"/>
            <w:vAlign w:val="bottom"/>
            <w:tcBorders>
              <w:right w:val="single" w:sz="8" w:color="D4EFF3"/>
            </w:tcBorders>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6,045</w:t>
            </w:r>
          </w:p>
        </w:tc>
        <w:tc>
          <w:tcPr>
            <w:tcW w:w="12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16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28,591</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the issuance of pre-funded warrants, net of issuance costs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Proceeds from the issuance of common stock warrants, net of issuance costs</w:t>
            </w:r>
          </w:p>
        </w:tc>
        <w:tc>
          <w:tcPr>
            <w:tcW w:w="100" w:type="dxa"/>
            <w:vAlign w:val="bottom"/>
            <w:tcBorders>
              <w:right w:val="single" w:sz="8" w:color="D4EFF3"/>
            </w:tcBorders>
            <w:shd w:val="clear" w:color="auto" w:fill="D4EFF3"/>
          </w:tcPr>
          <w:p>
            <w:pPr>
              <w:spacing w:after="0"/>
              <w:rPr>
                <w:sz w:val="21"/>
                <w:szCs w:val="21"/>
                <w:color w:val="auto"/>
              </w:rPr>
            </w:pPr>
          </w:p>
        </w:tc>
        <w:tc>
          <w:tcPr>
            <w:tcW w:w="12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1,284</w:t>
            </w:r>
          </w:p>
        </w:tc>
        <w:tc>
          <w:tcPr>
            <w:tcW w:w="12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160" w:type="dxa"/>
            <w:vAlign w:val="bottom"/>
            <w:shd w:val="clear" w:color="auto" w:fill="D4EFF3"/>
          </w:tcPr>
          <w:p>
            <w:pPr>
              <w:spacing w:after="0"/>
              <w:rPr>
                <w:sz w:val="21"/>
                <w:szCs w:val="21"/>
                <w:color w:val="auto"/>
              </w:rPr>
            </w:pP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72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Repayment of loan</w:t>
            </w:r>
          </w:p>
        </w:tc>
        <w:tc>
          <w:tcPr>
            <w:tcW w:w="100" w:type="dxa"/>
            <w:vAlign w:val="bottom"/>
            <w:tcBorders>
              <w:bottom w:val="single" w:sz="8" w:color="D4EFF3"/>
            </w:tcBorders>
          </w:tcPr>
          <w:p>
            <w:pPr>
              <w:spacing w:after="0"/>
              <w:rPr>
                <w:sz w:val="21"/>
                <w:szCs w:val="21"/>
                <w:color w:val="auto"/>
              </w:rPr>
            </w:pPr>
          </w:p>
        </w:tc>
        <w:tc>
          <w:tcPr>
            <w:tcW w:w="120" w:type="dxa"/>
            <w:vAlign w:val="bottom"/>
            <w:tcBorders>
              <w:bottom w:val="single" w:sz="8" w:color="D4EFF3"/>
            </w:tcBorders>
          </w:tcPr>
          <w:p>
            <w:pPr>
              <w:spacing w:after="0"/>
              <w:rPr>
                <w:sz w:val="21"/>
                <w:szCs w:val="21"/>
                <w:color w:val="auto"/>
              </w:rPr>
            </w:pPr>
          </w:p>
        </w:tc>
        <w:tc>
          <w:tcPr>
            <w:tcW w:w="98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(6,426)</w:t>
            </w:r>
          </w:p>
        </w:tc>
        <w:tc>
          <w:tcPr>
            <w:tcW w:w="12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160" w:type="dxa"/>
            <w:vAlign w:val="bottom"/>
            <w:tcBorders>
              <w:bottom w:val="single" w:sz="8" w:color="D4EFF3"/>
            </w:tcBorders>
          </w:tcPr>
          <w:p>
            <w:pPr>
              <w:spacing w:after="0"/>
              <w:rPr>
                <w:sz w:val="21"/>
                <w:szCs w:val="21"/>
                <w:color w:val="auto"/>
              </w:rPr>
            </w:pPr>
          </w:p>
        </w:tc>
        <w:tc>
          <w:tcPr>
            <w:tcW w:w="1060" w:type="dxa"/>
            <w:vAlign w:val="bottom"/>
            <w:tcBorders>
              <w:bottom w:val="single" w:sz="8" w:color="D4EFF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(4,398)</w:t>
            </w:r>
          </w:p>
        </w:tc>
        <w:tc>
          <w:tcPr>
            <w:tcW w:w="0" w:type="dxa"/>
            <w:vAlign w:val="bottom"/>
          </w:tcPr>
          <w:p>
            <w:pPr>
              <w:spacing w:after="0"/>
              <w:rPr>
                <w:sz w:val="1"/>
                <w:szCs w:val="1"/>
                <w:color w:val="auto"/>
              </w:rPr>
            </w:pPr>
          </w:p>
        </w:tc>
      </w:tr>
      <w:tr>
        <w:trPr>
          <w:trHeight w:val="225"/>
        </w:trPr>
        <w:tc>
          <w:tcPr>
            <w:tcW w:w="6720" w:type="dxa"/>
            <w:vAlign w:val="bottom"/>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Proceeds from the issuance of common stock under equity plan awards</w:t>
            </w:r>
          </w:p>
        </w:tc>
        <w:tc>
          <w:tcPr>
            <w:tcW w:w="100" w:type="dxa"/>
            <w:vAlign w:val="bottom"/>
            <w:tcBorders>
              <w:right w:val="single" w:sz="8" w:color="D4EFF3"/>
            </w:tcBorders>
            <w:shd w:val="clear" w:color="auto" w:fill="D4EFF3"/>
          </w:tcPr>
          <w:p>
            <w:pPr>
              <w:spacing w:after="0"/>
              <w:rPr>
                <w:sz w:val="19"/>
                <w:szCs w:val="19"/>
                <w:color w:val="auto"/>
              </w:rPr>
            </w:pPr>
          </w:p>
        </w:tc>
        <w:tc>
          <w:tcPr>
            <w:tcW w:w="120" w:type="dxa"/>
            <w:vAlign w:val="bottom"/>
            <w:tcBorders>
              <w:bottom w:val="single" w:sz="8" w:color="auto"/>
            </w:tcBorders>
            <w:shd w:val="clear" w:color="auto" w:fill="D4EFF3"/>
          </w:tcPr>
          <w:p>
            <w:pPr>
              <w:spacing w:after="0"/>
              <w:rPr>
                <w:sz w:val="19"/>
                <w:szCs w:val="19"/>
                <w:color w:val="auto"/>
              </w:rPr>
            </w:pPr>
          </w:p>
        </w:tc>
        <w:tc>
          <w:tcPr>
            <w:tcW w:w="980" w:type="dxa"/>
            <w:vAlign w:val="bottom"/>
            <w:tcBorders>
              <w:bottom w:val="single" w:sz="8" w:color="auto"/>
            </w:tcBorders>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47</w:t>
            </w:r>
          </w:p>
        </w:tc>
        <w:tc>
          <w:tcPr>
            <w:tcW w:w="12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160" w:type="dxa"/>
            <w:vAlign w:val="bottom"/>
            <w:tcBorders>
              <w:bottom w:val="single" w:sz="8" w:color="auto"/>
            </w:tcBorders>
            <w:shd w:val="clear" w:color="auto" w:fill="D4EFF3"/>
          </w:tcPr>
          <w:p>
            <w:pPr>
              <w:spacing w:after="0"/>
              <w:rPr>
                <w:sz w:val="19"/>
                <w:szCs w:val="19"/>
                <w:color w:val="auto"/>
              </w:rPr>
            </w:pPr>
          </w:p>
        </w:tc>
        <w:tc>
          <w:tcPr>
            <w:tcW w:w="980" w:type="dxa"/>
            <w:vAlign w:val="bottom"/>
            <w:tcBorders>
              <w:bottom w:val="single" w:sz="8" w:color="auto"/>
            </w:tcBorders>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307</w:t>
            </w:r>
          </w:p>
        </w:tc>
        <w:tc>
          <w:tcPr>
            <w:tcW w:w="8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Cash provided by financing activities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Net increase in cash and cash equivalents</w:t>
            </w:r>
          </w:p>
        </w:tc>
        <w:tc>
          <w:tcPr>
            <w:tcW w:w="100" w:type="dxa"/>
            <w:vAlign w:val="bottom"/>
            <w:tcBorders>
              <w:right w:val="single" w:sz="8" w:color="D4EFF3"/>
            </w:tcBorders>
            <w:shd w:val="clear" w:color="auto" w:fill="D4EFF3"/>
          </w:tcPr>
          <w:p>
            <w:pPr>
              <w:spacing w:after="0"/>
              <w:rPr>
                <w:sz w:val="20"/>
                <w:szCs w:val="20"/>
                <w:color w:val="auto"/>
              </w:rPr>
            </w:pPr>
          </w:p>
        </w:tc>
        <w:tc>
          <w:tcPr>
            <w:tcW w:w="120" w:type="dxa"/>
            <w:vAlign w:val="bottom"/>
            <w:shd w:val="clear" w:color="auto" w:fill="D1EEF5"/>
          </w:tcPr>
          <w:p>
            <w:pPr>
              <w:spacing w:after="0"/>
              <w:rPr>
                <w:sz w:val="20"/>
                <w:szCs w:val="20"/>
                <w:color w:val="auto"/>
              </w:rPr>
            </w:pPr>
          </w:p>
        </w:tc>
        <w:tc>
          <w:tcPr>
            <w:tcW w:w="9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(22,561)</w:t>
            </w:r>
          </w:p>
        </w:tc>
        <w:tc>
          <w:tcPr>
            <w:tcW w:w="120" w:type="dxa"/>
            <w:vAlign w:val="bottom"/>
            <w:shd w:val="clear" w:color="auto" w:fill="D1EEF5"/>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160" w:type="dxa"/>
            <w:vAlign w:val="bottom"/>
            <w:shd w:val="clear" w:color="auto" w:fill="D1EEF5"/>
          </w:tcPr>
          <w:p>
            <w:pPr>
              <w:spacing w:after="0"/>
              <w:rPr>
                <w:sz w:val="20"/>
                <w:szCs w:val="20"/>
                <w:color w:val="auto"/>
              </w:rPr>
            </w:pPr>
          </w:p>
        </w:tc>
        <w:tc>
          <w:tcPr>
            <w:tcW w:w="9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(8,962)</w:t>
            </w:r>
          </w:p>
        </w:tc>
        <w:tc>
          <w:tcPr>
            <w:tcW w:w="80" w:type="dxa"/>
            <w:vAlign w:val="bottom"/>
            <w:shd w:val="clear" w:color="auto" w:fill="D1EEF5"/>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period</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7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100" w:type="dxa"/>
            <w:vAlign w:val="bottom"/>
            <w:tcBorders>
              <w:right w:val="single" w:sz="8" w:color="D4EFF3"/>
            </w:tcBorders>
            <w:shd w:val="clear" w:color="auto" w:fill="D4EFF3"/>
          </w:tcPr>
          <w:p>
            <w:pPr>
              <w:spacing w:after="0"/>
              <w:rPr>
                <w:sz w:val="20"/>
                <w:szCs w:val="20"/>
                <w:color w:val="auto"/>
              </w:rPr>
            </w:pPr>
          </w:p>
        </w:tc>
        <w:tc>
          <w:tcPr>
            <w:tcW w:w="120" w:type="dxa"/>
            <w:vAlign w:val="bottom"/>
            <w:tcBorders>
              <w:bottom w:val="single" w:sz="8" w:color="auto"/>
            </w:tcBorders>
            <w:shd w:val="clear" w:color="auto" w:fill="D1EEF5"/>
          </w:tcPr>
          <w:p>
            <w:pPr>
              <w:spacing w:after="0"/>
              <w:rPr>
                <w:sz w:val="20"/>
                <w:szCs w:val="20"/>
                <w:color w:val="auto"/>
              </w:rPr>
            </w:pPr>
          </w:p>
        </w:tc>
        <w:tc>
          <w:tcPr>
            <w:tcW w:w="9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8,150</w:t>
            </w:r>
          </w:p>
        </w:tc>
        <w:tc>
          <w:tcPr>
            <w:tcW w:w="120" w:type="dxa"/>
            <w:vAlign w:val="bottom"/>
            <w:shd w:val="clear" w:color="auto" w:fill="D1EEF5"/>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160" w:type="dxa"/>
            <w:vAlign w:val="bottom"/>
            <w:tcBorders>
              <w:bottom w:val="single" w:sz="8" w:color="auto"/>
            </w:tcBorders>
            <w:shd w:val="clear" w:color="auto" w:fill="D1EEF5"/>
          </w:tcPr>
          <w:p>
            <w:pPr>
              <w:spacing w:after="0"/>
              <w:rPr>
                <w:sz w:val="20"/>
                <w:szCs w:val="20"/>
                <w:color w:val="auto"/>
              </w:rPr>
            </w:pPr>
          </w:p>
        </w:tc>
        <w:tc>
          <w:tcPr>
            <w:tcW w:w="98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30,711</w:t>
            </w:r>
          </w:p>
        </w:tc>
        <w:tc>
          <w:tcPr>
            <w:tcW w:w="80" w:type="dxa"/>
            <w:vAlign w:val="bottom"/>
            <w:shd w:val="clear" w:color="auto" w:fill="D1EE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720" w:type="dxa"/>
            <w:vAlign w:val="bottom"/>
            <w:tcBorders>
              <w:bottom w:val="single" w:sz="8" w:color="D4EFF3"/>
            </w:tcBorders>
            <w:shd w:val="clear" w:color="auto" w:fill="D4EFF3"/>
          </w:tcPr>
          <w:p>
            <w:pPr>
              <w:spacing w:after="0"/>
              <w:rPr>
                <w:sz w:val="20"/>
                <w:szCs w:val="20"/>
                <w:color w:val="auto"/>
              </w:rPr>
            </w:pPr>
            <w:r>
              <w:rPr>
                <w:rFonts w:ascii="Times New Roman" w:cs="Times New Roman" w:eastAsia="Times New Roman" w:hAnsi="Times New Roman"/>
                <w:sz w:val="20"/>
                <w:szCs w:val="20"/>
                <w:color w:val="auto"/>
              </w:rPr>
              <w:t>Cash paid for interest</w:t>
            </w:r>
          </w:p>
        </w:tc>
        <w:tc>
          <w:tcPr>
            <w:tcW w:w="100" w:type="dxa"/>
            <w:vAlign w:val="bottom"/>
            <w:tcBorders>
              <w:bottom w:val="single" w:sz="8" w:color="D4EFF3"/>
              <w:right w:val="single" w:sz="8" w:color="D4EFF3"/>
            </w:tcBorders>
            <w:shd w:val="clear" w:color="auto" w:fill="D4EFF3"/>
          </w:tcPr>
          <w:p>
            <w:pPr>
              <w:spacing w:after="0"/>
              <w:rPr>
                <w:sz w:val="21"/>
                <w:szCs w:val="21"/>
                <w:color w:val="auto"/>
              </w:rPr>
            </w:pPr>
          </w:p>
        </w:tc>
        <w:tc>
          <w:tcPr>
            <w:tcW w:w="1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3"/>
              </w:rPr>
              <w:t>$</w:t>
            </w:r>
          </w:p>
        </w:tc>
        <w:tc>
          <w:tcPr>
            <w:tcW w:w="98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120" w:type="dxa"/>
            <w:vAlign w:val="bottom"/>
            <w:tcBorders>
              <w:bottom w:val="single" w:sz="8" w:color="D4EFF3"/>
            </w:tcBorders>
            <w:shd w:val="clear" w:color="auto" w:fill="D4EFF3"/>
          </w:tcPr>
          <w:p>
            <w:pPr>
              <w:spacing w:after="0"/>
              <w:rPr>
                <w:sz w:val="21"/>
                <w:szCs w:val="21"/>
                <w:color w:val="auto"/>
              </w:rPr>
            </w:pPr>
          </w:p>
        </w:tc>
        <w:tc>
          <w:tcPr>
            <w:tcW w:w="100" w:type="dxa"/>
            <w:vAlign w:val="bottom"/>
            <w:tcBorders>
              <w:bottom w:val="single" w:sz="8" w:color="D4EFF3"/>
            </w:tcBorders>
            <w:shd w:val="clear" w:color="auto" w:fill="D4EFF3"/>
          </w:tcPr>
          <w:p>
            <w:pPr>
              <w:spacing w:after="0"/>
              <w:rPr>
                <w:sz w:val="21"/>
                <w:szCs w:val="21"/>
                <w:color w:val="auto"/>
              </w:rPr>
            </w:pPr>
          </w:p>
        </w:tc>
        <w:tc>
          <w:tcPr>
            <w:tcW w:w="16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98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80" w:type="dxa"/>
            <w:vAlign w:val="bottom"/>
            <w:tcBorders>
              <w:bottom w:val="single" w:sz="8" w:color="D4EFF3"/>
            </w:tcBorders>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paid for business taxes</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720" w:type="dxa"/>
            <w:vAlign w:val="bottom"/>
            <w:shd w:val="clear" w:color="auto" w:fill="D4EFF3"/>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 xml:space="preserve">Non-cash investing activities: </w:t>
            </w:r>
            <w:r>
              <w:rPr>
                <w:rFonts w:ascii="Times New Roman" w:cs="Times New Roman" w:eastAsia="Times New Roman" w:hAnsi="Times New Roman"/>
                <w:sz w:val="20"/>
                <w:szCs w:val="20"/>
                <w:color w:val="auto"/>
              </w:rPr>
              <w:t>Property and equipment in accounts payable</w:t>
            </w:r>
          </w:p>
        </w:tc>
        <w:tc>
          <w:tcPr>
            <w:tcW w:w="100" w:type="dxa"/>
            <w:vAlign w:val="bottom"/>
            <w:tcBorders>
              <w:right w:val="single" w:sz="8" w:color="D4EFF3"/>
            </w:tcBorders>
            <w:shd w:val="clear" w:color="auto" w:fill="D4EFF3"/>
          </w:tcPr>
          <w:p>
            <w:pPr>
              <w:spacing w:after="0"/>
              <w:rPr>
                <w:sz w:val="19"/>
                <w:szCs w:val="19"/>
                <w:color w:val="auto"/>
              </w:rPr>
            </w:pPr>
          </w:p>
        </w:tc>
        <w:tc>
          <w:tcPr>
            <w:tcW w:w="1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3"/>
              </w:rPr>
              <w:t>$</w:t>
            </w:r>
          </w:p>
        </w:tc>
        <w:tc>
          <w:tcPr>
            <w:tcW w:w="980" w:type="dxa"/>
            <w:vAlign w:val="bottom"/>
            <w:tcBorders>
              <w:bottom w:val="single" w:sz="8" w:color="auto"/>
            </w:tcBorders>
            <w:shd w:val="clear" w:color="auto" w:fill="D4EFF3"/>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160" w:type="dxa"/>
            <w:vAlign w:val="bottom"/>
            <w:tcBorders>
              <w:bottom w:val="single" w:sz="8" w:color="auto"/>
            </w:tcBorders>
            <w:shd w:val="clear" w:color="auto" w:fill="D4EFF3"/>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980" w:type="dxa"/>
            <w:vAlign w:val="bottom"/>
            <w:tcBorders>
              <w:bottom w:val="single" w:sz="8" w:color="auto"/>
            </w:tcBorders>
            <w:shd w:val="clear" w:color="auto" w:fill="D4EFF3"/>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-4806950</wp:posOffset>
                </wp:positionV>
                <wp:extent cx="5029835" cy="0"/>
                <wp:wrapNone/>
                <wp:docPr id="645" name="Shape 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98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5" o:spid="_x0000_s16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8.4999pt" to="396.05pt,-378.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-4497705</wp:posOffset>
                </wp:positionV>
                <wp:extent cx="5029835" cy="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98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4.1499pt" to="396.05pt,-354.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-3256915</wp:posOffset>
                </wp:positionV>
                <wp:extent cx="5029835" cy="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98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6.4499pt" to="396.05pt,-256.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-2941320</wp:posOffset>
                </wp:positionV>
                <wp:extent cx="5029835" cy="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98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8" o:spid="_x0000_s16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1.5999pt" to="396.05pt,-231.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-2302510</wp:posOffset>
                </wp:positionV>
                <wp:extent cx="5029835" cy="0"/>
                <wp:wrapNone/>
                <wp:docPr id="649" name="Shape 6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98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9" o:spid="_x0000_s16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1.2999pt" to="396.05pt,-181.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-1991995</wp:posOffset>
                </wp:positionV>
                <wp:extent cx="5944870" cy="0"/>
                <wp:wrapNone/>
                <wp:docPr id="650" name="Shape 6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50" o:spid="_x0000_s16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6.8499pt" to="468.1pt,-156.8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-1367155</wp:posOffset>
                </wp:positionV>
                <wp:extent cx="5944870" cy="0"/>
                <wp:wrapNone/>
                <wp:docPr id="651" name="Shape 6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51" o:spid="_x0000_s16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6499pt" to="468.1pt,-107.6499pt" o:allowincell="f" strokecolor="#FFFFFF" strokeweight="0.72pt"/>
            </w:pict>
          </mc:Fallback>
        </mc:AlternateContent>
        <w:drawing>
          <wp:anchor simplePos="0" relativeHeight="251657728" behindDoc="1" locked="0" layoutInCell="0" allowOverlap="1">
            <wp:simplePos x="0" y="0"/>
            <wp:positionH relativeFrom="column">
              <wp:posOffset>0</wp:posOffset>
            </wp:positionH>
            <wp:positionV relativeFrom="paragraph">
              <wp:posOffset>-1209675</wp:posOffset>
            </wp:positionV>
            <wp:extent cx="594487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17">
                      <a:extLst>
                        <a:ext uri="{28A0092B-C50C-407E-A947-70E740481C1C}"/>
                      </a:extLst>
                    </a:blip>
                    <a:srcRect/>
                    <a:stretch>
                      <a:fillRect/>
                    </a:stretch>
                  </pic:blipFill>
                  <pic:spPr bwMode="auto">
                    <a:xfrm>
                      <a:off x="0" y="0"/>
                      <a:ext cx="5944870" cy="8890"/>
                    </a:xfrm>
                    <a:prstGeom prst="rect">
                      <a:avLst/>
                    </a:prstGeom>
                    <a:noFill/>
                  </pic:spPr>
                </pic:pic>
              </a:graphicData>
            </a:graphic>
          </wp:anchor>
        </w:drawing>
      </w:r>
    </w:p>
    <w:p>
      <w:pPr>
        <w:spacing w:after="0" w:line="195" w:lineRule="exact"/>
        <w:rPr>
          <w:sz w:val="20"/>
          <w:szCs w:val="20"/>
          <w:color w:val="auto"/>
        </w:rPr>
      </w:pPr>
    </w:p>
    <w:p>
      <w:pPr>
        <w:ind w:left="4520" w:right="1740" w:hanging="1967"/>
        <w:spacing w:after="0" w:line="402" w:lineRule="auto"/>
        <w:rPr>
          <w:sz w:val="20"/>
          <w:szCs w:val="20"/>
          <w:color w:val="auto"/>
        </w:rPr>
      </w:pPr>
      <w:r>
        <w:rPr>
          <w:rFonts w:ascii="Times New Roman" w:cs="Times New Roman" w:eastAsia="Times New Roman" w:hAnsi="Times New Roman"/>
          <w:sz w:val="20"/>
          <w:szCs w:val="20"/>
          <w:color w:val="auto"/>
        </w:rPr>
        <w:t>See accompanying Notes to Consolidated Financial Statements 111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5943600" cy="0"/>
                <wp:wrapNone/>
                <wp:docPr id="653" name="Shape 6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653" o:spid="_x0000_s16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468pt,1.8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17145</wp:posOffset>
                </wp:positionV>
                <wp:extent cx="0" cy="17145"/>
                <wp:wrapNone/>
                <wp:docPr id="654" name="Shape 6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54" o:spid="_x0000_s16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35pt" to="467.95pt,2.7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5944870" cy="12700"/>
                <wp:wrapNone/>
                <wp:docPr id="655" name="Shape 6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55" o:spid="_x0000_s1680" style="position:absolute;margin-left:0pt;margin-top:0.7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14605</wp:posOffset>
                </wp:positionV>
                <wp:extent cx="0" cy="19685"/>
                <wp:wrapNone/>
                <wp:docPr id="656" name="Shape 6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56" o:spid="_x0000_s16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15pt" to="0.1pt,2.7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32385</wp:posOffset>
                </wp:positionV>
                <wp:extent cx="5944870" cy="0"/>
                <wp:wrapNone/>
                <wp:docPr id="657" name="Shape 6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657" o:spid="_x0000_s16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pt" to="468.1pt,2.55pt" o:allowincell="f" strokecolor="#E3E3E3" strokeweight="0.24pt"/>
            </w:pict>
          </mc:Fallback>
        </mc:AlternateConten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Tempest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of and For the Years Ended December 31, 2025 and 2024</w:t>
      </w:r>
    </w:p>
    <w:p>
      <w:pPr>
        <w:spacing w:after="0" w:line="24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Business</w:t>
      </w:r>
    </w:p>
    <w:p>
      <w:pPr>
        <w:sectPr>
          <w:pgSz w:w="12240" w:h="15840" w:orient="portrait"/>
          <w:cols w:equalWidth="0" w:num="1">
            <w:col w:w="9360"/>
          </w:cols>
          <w:pgMar w:left="1440" w:top="1418" w:right="1440" w:bottom="1130" w:gutter="0" w:footer="0" w:header="0"/>
        </w:sectPr>
      </w:pPr>
    </w:p>
    <w:bookmarkStart w:id="121" w:name="page122"/>
    <w:bookmarkEnd w:id="121"/>
    <w:p>
      <w:pPr>
        <w:jc w:val="both"/>
        <w:spacing w:after="0" w:line="251" w:lineRule="auto"/>
        <w:rPr>
          <w:sz w:val="20"/>
          <w:szCs w:val="20"/>
          <w:color w:val="auto"/>
        </w:rPr>
      </w:pPr>
      <w:r>
        <w:rPr>
          <w:rFonts w:ascii="Times New Roman" w:cs="Times New Roman" w:eastAsia="Times New Roman" w:hAnsi="Times New Roman"/>
          <w:sz w:val="20"/>
          <w:szCs w:val="20"/>
          <w:color w:val="auto"/>
        </w:rPr>
        <w:t>Tempest Therapeutics, Inc. (“Tempest” or the “Company”) is a clinical-stage biotechnology company advancing a diverse portfolio of targeted and immune-mediated product candidates with the potential to be first-in-class to treat a wide range of cancers. Tempest’s portfolio includes both cell therapy and small molecule product candidates spanning discovery through late-stage development. The Company is headquartered in Brisbane, California.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December 3, 2024, the Company’s stockholders approved a proposal to effect an amendment to the Company’s Restated Certificate of Incorporation to implement a reverse stock split. On April 4, 2025, the Company filed a certificate of amendment to the Company’s Restated Certificate of Incorporation with the Secretary of State of the State of Delaware to effect the one-for-thirteen (1:13) reverse stock split of its outstanding common stock (the "Reverse Stock Split").</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April 8, 2025, the Company effected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Going Concern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The Company has incurred operating losses since inception. As of December 31, 2025, the Company had $ 7.7 million of cash and cash equivalents. While the Company implemented cost reductions in 2025, the Company has finite cash resources available to fund its operations. In April 2025, the Company announced plans to explore a full range of strategic alternatives to advance its promising clinical stage programs and maximize stockholder value. The Company retained MTS Health Partners, L.P., an internationally recognized financial advisor with substantial experience in the biotechnology industry, to support it with the strategic evaluation process. As part of the cost reductions, the Company reduced its workforce by 21 of 26 full -time employees, which became effective April 30, 2025. Further, in support of such efforts, on June 5, 2025, each of Stephen Brady, the Company’s Chief Executive Officer and President, Samuel Whiting, the Company’s Executive Vice President and Chief Medical Officer, and Nicholas Maestas, the Company’s Chief Financial Officer and Head of Corporate Strategy, transitioned to consulting arrangements with the Company, pursuant to which they continued to serve the Company in their respective executive roles. The Company incurred $3.2 million of one-time cash severance payments, benefits and other related costs (excluding non-cash charges associated with stock-based compensation), with the majority of such costs incurred in the second quarter of 2025.</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February 3, 2026, the Company closed the Asset Acquisition (as defined below). See Note 13, Subsequent Events. Pursuant to the Asset Purchase Agreement (as defined below), Factor (as defined below) has made the Funding Commitment (as defined below) to provide the Company with financial support for at least 18 months following the closing of the Asset Acquisition, up to a maximum amount of $20.0 million that is inclusive of any amounts raised and received by the Company after the date of the Asset Purchase Agreement, on the terms and subject to the conditions and other provisions of a funding commitment letter contemplated by and entered into concurrently with the Asset Purchase Agreement. However, there is significant uncertainty as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658" name="Shape 6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658" o:spid="_x0000_s16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659" name="Shape 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659" o:spid="_x0000_s1684"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60" name="Shape 6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60" o:spid="_x0000_s168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661" name="Shape 6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61" o:spid="_x0000_s16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662" name="Shape 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662" o:spid="_x0000_s1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663" name="Shape 6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63" o:spid="_x0000_s16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to whether we will be able to satisfy the terms and conditions and other provisions set forth in the funding commitment letter, and, if we are unable to do so, we may be limited in the amount of funding that we are able to access under the Funding Commitment or we may not be able to access any funds under the Funding Commitment. The timing of any additional funding from Factor is uncertain.</w:t>
      </w:r>
    </w:p>
    <w:p>
      <w:pPr>
        <w:sectPr>
          <w:pgSz w:w="12240" w:h="15840" w:orient="portrait"/>
          <w:cols w:equalWidth="0" w:num="1">
            <w:col w:w="9360"/>
          </w:cols>
          <w:pgMar w:left="1440" w:top="1422" w:right="1440" w:bottom="1005" w:gutter="0" w:footer="0" w:header="0"/>
        </w:sectPr>
      </w:pPr>
    </w:p>
    <w:bookmarkStart w:id="122" w:name="page123"/>
    <w:bookmarkEnd w:id="122"/>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expects that its existing cash and cash equivalents will fund the Company’s projected operating expense requirements through less than 12 months from the date our consolidated financial statements were available to be issued. Accordingly, there is substantial doubt about the Company’s ability to continue to operate as a going concern for a period of 12 months from the date of issuance of these consolidated financial statements. The accompanying financial statements were prepared on a going concern basis, which contemplates the realization of assets and the satisfaction of liabilities in the normal course of business. These financial statements do not include any separate adjustments relating to the recovery of recorded assets or the classification of liabilities; however, such adjustments may be necessary in the future when the Company is unable to continue as a going concern.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ATM Program</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 million of its shares of common stock pursuant to the Sales Agreement. On February 6, 2025, the Company filed a prospectus supplement with the SEC limiting the availability under the ATM Program to $14.5 million. On June 11, 2025, in connection with the RDO (as defined below), the Company delivered written notice to Jefferies that it was suspending and terminating the prospectus supplement, dated February 6, 2025, related to the ATM Program (the “ATM Prospectus”).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the year ended December 31, 2025, the Company has sold an aggregate of 312,830 shares of its common stock for proceeds of $2.8 million, pursuant to the ATM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Registered Direct Offerings</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June 11, 2025, the Company sold an aggregate of 405,000 shares of the Company’s common stock and pre-funded warrants to purchase 334,000 shares of its common stock (the “June 2025 Pre-Funded Warrants”) in a registered direct offering (“June RDO”). The offering price was $6.25 per share of common stock and $6.249 per June 2025 Pre-Funded Warrant, which is the price of each share of common stock sold in the RDO, minus the $0.001 exercise price per June 2025 Pre-Funded Warrant. The net proceeds from the RDO were approximately $4.1 million, after deducting placement agent fees and offering expenses payable by the Company. As of December 31, 2025, all June 2025 Pre-Funded Warrants had been exercised.</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November 24, 2025, the Company sold an aggregate of 487,000 shares of the Company's common stock, pre-funded warrants to purchase 685,414 shares of its common stock (the “November 2025 Pre-Funded Warrants”) and warrants to purchase an aggregate of 1,172,414 shares of common stock (the “Common Warrants”) in a registered direct offering (the “November RDO”).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664" name="Shape 6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664" o:spid="_x0000_s16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665" name="Shape 6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65" o:spid="_x0000_s16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66" name="Shape 6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66" o:spid="_x0000_s169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667" name="Shape 6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67" o:spid="_x0000_s16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668" name="Shape 6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668" o:spid="_x0000_s16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ectPr>
          <w:pgSz w:w="12240" w:h="15840" w:orient="portrait"/>
          <w:cols w:equalWidth="0" w:num="1">
            <w:col w:w="9360"/>
          </w:cols>
          <w:pgMar w:left="1440" w:top="1422" w:right="1440" w:bottom="1440" w:gutter="0" w:footer="0" w:header="0"/>
        </w:sectPr>
      </w:pPr>
    </w:p>
    <w:bookmarkStart w:id="123" w:name="page124"/>
    <w:bookmarkEnd w:id="123"/>
    <w:p>
      <w:pPr>
        <w:jc w:val="both"/>
        <w:spacing w:after="0" w:line="246" w:lineRule="auto"/>
        <w:rPr>
          <w:sz w:val="20"/>
          <w:szCs w:val="20"/>
          <w:color w:val="auto"/>
        </w:rPr>
      </w:pPr>
      <w:r>
        <w:rPr>
          <w:rFonts w:ascii="Times New Roman" w:cs="Times New Roman" w:eastAsia="Times New Roman" w:hAnsi="Times New Roman"/>
          <w:sz w:val="20"/>
          <w:szCs w:val="20"/>
          <w:color w:val="auto"/>
        </w:rPr>
        <w:t>The combined purchase price of each share of common stock and accompanying Common Warrant was $3.625. The combined purchase price of each November 2025 Pre -Funded Warrants and accompanying Common Warrant was $3.624 (equal to the combined purchase price per share of common stock and accompanying Common Warrant, minus $0.001) The exercise price of the Common Warrants is $3.50 per share. The net proceeds from the RDO were approximately $3.8 million, after deducting placement agent fees and estimated offering expenses payable by the Company. As of December 31, 2025, all November 2025 Pre-Funded Warrants and Common Warrants remained outstanding. All November 2025 Pre-Funded Warrants were subsequently exercised in January and February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Basis of Presentation</w:t>
      </w:r>
      <w:r>
        <w:rPr>
          <w:rFonts w:ascii="Times New Roman" w:cs="Times New Roman" w:eastAsia="Times New Roman" w:hAnsi="Times New Roman"/>
          <w:sz w:val="20"/>
          <w:szCs w:val="20"/>
          <w:color w:val="auto"/>
        </w:rPr>
        <w:t>-The accompanying Consolidated Financial Statements have been prepared in accordance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 generally accepted accounting principles ("GAAP") and necessarily include amounts based on estimates and assumptions by management.</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Use of Estimates</w:t>
      </w:r>
      <w:r>
        <w:rPr>
          <w:rFonts w:ascii="Times New Roman" w:cs="Times New Roman" w:eastAsia="Times New Roman" w:hAnsi="Times New Roman"/>
          <w:sz w:val="20"/>
          <w:szCs w:val="20"/>
          <w:color w:val="auto"/>
        </w:rPr>
        <w:t>-The preparation of financial statements in conformity with GAAP requires management to make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 lived assets, right-of -use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Segment Information</w:t>
      </w:r>
      <w:r>
        <w:rPr>
          <w:rFonts w:ascii="Times New Roman" w:cs="Times New Roman" w:eastAsia="Times New Roman" w:hAnsi="Times New Roman"/>
          <w:sz w:val="20"/>
          <w:szCs w:val="20"/>
          <w:color w:val="auto"/>
        </w:rPr>
        <w:t>-The Company operates and manages its business as one reportable and operating segment,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is the business of discovery and development of small molecule drugs to treat cancers. All assets and operations are in the U.S. The Company’s Chief Executive Officer, who is the chief operating decision maker (“CODM”), reviews financial information on an aggregate basis for purposes of allocating resources and evaluating financial performance. For additional segment information, see Note 12, Segment Reporting.</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Risks and Uncertainties</w:t>
      </w:r>
      <w:r>
        <w:rPr>
          <w:rFonts w:ascii="Times New Roman" w:cs="Times New Roman" w:eastAsia="Times New Roman" w:hAnsi="Times New Roman"/>
          <w:sz w:val="20"/>
          <w:szCs w:val="20"/>
          <w:color w:val="auto"/>
        </w:rPr>
        <w:t>-The Company is subject to risks and uncertainties common to early-stage companies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biotechnology industry, including, but not limited to, development by 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 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r>
        <w:rPr>
          <w:rFonts w:ascii="Times New Roman" w:cs="Times New Roman" w:eastAsia="Times New Roman" w:hAnsi="Times New Roman"/>
          <w:sz w:val="20"/>
          <w:szCs w:val="20"/>
          <w:color w:val="auto"/>
        </w:rPr>
        <w:t>- Financial instruments, which potentially subject the Company to concentration of risk,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consist principally of cash and money market fund. All of the Company’s cash and money market fund are deposited in accounts with a major financial institution in excess of federally insured limits. The Company is exposed to credit risk in the event of default by the financial institutions holding its cash and cash equivalents to the extent recorded in the balance sheets. The Company has no</w:t>
      </w:r>
    </w:p>
    <w:p>
      <w:pPr>
        <w:sectPr>
          <w:pgSz w:w="12240" w:h="15840" w:orient="portrait"/>
          <w:cols w:equalWidth="0" w:num="1">
            <w:col w:w="9360"/>
          </w:cols>
          <w:pgMar w:left="1440" w:top="1422" w:right="1440" w:bottom="1084" w:gutter="0" w:footer="0" w:header="0"/>
        </w:sectPr>
      </w:pP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360"/>
          </w:cols>
          <w:pgMar w:left="1440" w:top="1422" w:right="1440" w:bottom="1084" w:gutter="0" w:footer="0" w:header="0"/>
          <w:type w:val="continuous"/>
        </w:sectPr>
      </w:pPr>
    </w:p>
    <w:bookmarkStart w:id="124" w:name="page125"/>
    <w:bookmarkEnd w:id="12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914400</wp:posOffset>
                </wp:positionH>
                <wp:positionV relativeFrom="page">
                  <wp:posOffset>1047750</wp:posOffset>
                </wp:positionV>
                <wp:extent cx="5943600" cy="0"/>
                <wp:wrapNone/>
                <wp:docPr id="669" name="Shape 6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669" o:spid="_x0000_s16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82.5pt" to="540pt,82.5pt" o:allowincell="f" strokecolor="#808080" strokeweight="1.5999pt">
                <w10:wrap anchorx="page" anchory="page"/>
              </v:line>
            </w:pict>
          </mc:Fallback>
        </mc:AlternateContent>
        <mc:AlternateContent>
          <mc:Choice Requires="wps">
            <w:drawing>
              <wp:anchor simplePos="0" relativeHeight="251657728" behindDoc="1" locked="0" layoutInCell="0" allowOverlap="1">
                <wp:simplePos x="0" y="0"/>
                <wp:positionH relativeFrom="page">
                  <wp:posOffset>6857365</wp:posOffset>
                </wp:positionH>
                <wp:positionV relativeFrom="page">
                  <wp:posOffset>1040765</wp:posOffset>
                </wp:positionV>
                <wp:extent cx="0" cy="16510"/>
                <wp:wrapNone/>
                <wp:docPr id="670" name="Shape 6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70" o:spid="_x0000_s16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9.95pt,81.95pt" to="539.95pt,83.25pt" o:allowincell="f" strokecolor="#E3E3E3" strokeweight="0.2399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1032510</wp:posOffset>
                </wp:positionV>
                <wp:extent cx="5944870" cy="13335"/>
                <wp:wrapNone/>
                <wp:docPr id="671" name="Shape 6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671" o:spid="_x0000_s1696" style="position:absolute;margin-left:72pt;margin-top:81.3pt;width:468.1pt;height:1.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0A0A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915670</wp:posOffset>
                </wp:positionH>
                <wp:positionV relativeFrom="page">
                  <wp:posOffset>1037590</wp:posOffset>
                </wp:positionV>
                <wp:extent cx="0" cy="19685"/>
                <wp:wrapNone/>
                <wp:docPr id="672" name="Shape 6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72" o:spid="_x0000_s16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1pt,81.7pt" to="72.1pt,83.25pt" o:allowincell="f" strokecolor="#A0A0A0" strokeweight="0.24pt">
                <w10:wrap anchorx="page" anchory="page"/>
              </v:line>
            </w:pict>
          </mc:Fallback>
        </mc:AlternateContent>
        <mc:AlternateContent>
          <mc:Choice Requires="wps">
            <w:drawing>
              <wp:anchor simplePos="0" relativeHeight="251657728" behindDoc="1" locked="0" layoutInCell="0" allowOverlap="1">
                <wp:simplePos x="0" y="0"/>
                <wp:positionH relativeFrom="page">
                  <wp:posOffset>914400</wp:posOffset>
                </wp:positionH>
                <wp:positionV relativeFrom="page">
                  <wp:posOffset>1056005</wp:posOffset>
                </wp:positionV>
                <wp:extent cx="5944870" cy="0"/>
                <wp:wrapNone/>
                <wp:docPr id="673" name="Shape 6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73" o:spid="_x0000_s16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pt,83.15pt" to="540.1pt,83.15pt" o:allowincell="f" strokecolor="#E3E3E3" strokeweight="0.2399pt">
                <w10:wrap anchorx="page" anchory="page"/>
              </v:line>
            </w:pict>
          </mc:Fallback>
        </mc:AlternateContent>
      </w:r>
    </w:p>
    <w:p>
      <w:pPr>
        <w:spacing w:after="0" w:line="2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off-balance sheet concentrations of credit risk, such as foreign currency exchange contracts, option contracts or other hedging arrangements.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Cash and Cash Equivalents</w:t>
      </w:r>
      <w:r>
        <w:rPr>
          <w:rFonts w:ascii="Times New Roman" w:cs="Times New Roman" w:eastAsia="Times New Roman" w:hAnsi="Times New Roman"/>
          <w:sz w:val="20"/>
          <w:szCs w:val="20"/>
          <w:color w:val="auto"/>
        </w:rPr>
        <w:t>-The Company considers all highly liquid investments purchased with original maturities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90 days or less at acquisitions to be cash equivalents. As of December 31, 2025 and 2024, the Company’s cash and cash equivalents consisted of bank deposits and money market funds.</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-The Company determines if an arrangement is a lease at contract inception. A lease exists when a contract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lease liabilities are initially and subsequently measured at the present value of the unpaid lease payments at the lease commencement date. When readily determinable, the Company uses the implicit rate in determining the present value of lease payments. When leases do not provide an implicit rate, the Company uses its incremental borrowing rate based on the information available at the lease commencement date, including the lease term.</w:t>
      </w:r>
    </w:p>
    <w:p>
      <w:pPr>
        <w:spacing w:after="0" w:line="2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right-of -use (“ROU”) asset is initially measured at cost, which comprises the initial amount of the lease liability adjusted for lease payments made at or before the lease commencement date, plus any initial direct costs incurred less any lease incentives received. 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Property and Equipment</w:t>
      </w:r>
      <w:r>
        <w:rPr>
          <w:rFonts w:ascii="Times New Roman" w:cs="Times New Roman" w:eastAsia="Times New Roman" w:hAnsi="Times New Roman"/>
          <w:sz w:val="20"/>
          <w:szCs w:val="20"/>
          <w:color w:val="auto"/>
        </w:rPr>
        <w:t>-Property and equipment is recorded at cost and depreciated over the estimated useful lives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related assets using the straight-line method. Upon disposal of an asset, the related cost and accumulated depreciation are removed from the asset accounts and any resulting gain or loss is included in the consolidated statements of operations. Repair and maintenance costs are expensed as incurred, whereas major improvements are capitalized as additions to property and equipment. The estimated useful lives of the Company’s respective assets are as follows: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65"/>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Computer equipment and software</w:t>
            </w:r>
          </w:p>
        </w:tc>
        <w:tc>
          <w:tcPr>
            <w:tcW w:w="532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7"/>
              </w:rPr>
              <w:t>3 years</w:t>
            </w:r>
          </w:p>
        </w:tc>
      </w:tr>
      <w:tr>
        <w:trPr>
          <w:trHeight w:val="336"/>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532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7"/>
              </w:rPr>
              <w:t>7 years</w:t>
            </w:r>
          </w:p>
        </w:tc>
      </w:tr>
      <w:tr>
        <w:trPr>
          <w:trHeight w:val="336"/>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532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auto"/>
                <w:w w:val="97"/>
              </w:rPr>
              <w:t>5 years</w:t>
            </w:r>
          </w:p>
        </w:tc>
      </w:tr>
      <w:tr>
        <w:trPr>
          <w:trHeight w:val="33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5320" w:type="dxa"/>
            <w:vAlign w:val="bottom"/>
          </w:tcPr>
          <w:p>
            <w:pPr>
              <w:jc w:val="center"/>
              <w:ind w:left="520"/>
              <w:spacing w:after="0"/>
              <w:rPr>
                <w:sz w:val="20"/>
                <w:szCs w:val="20"/>
                <w:color w:val="auto"/>
              </w:rPr>
            </w:pPr>
            <w:r>
              <w:rPr>
                <w:rFonts w:ascii="Times New Roman" w:cs="Times New Roman" w:eastAsia="Times New Roman" w:hAnsi="Times New Roman"/>
                <w:sz w:val="20"/>
                <w:szCs w:val="20"/>
                <w:color w:val="auto"/>
              </w:rPr>
              <w:t>Shorter of the useful life of the asset or the life of the lease</w:t>
            </w:r>
          </w:p>
        </w:tc>
      </w:tr>
    </w:tbl>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Impairment of Long -Lived Assets</w:t>
      </w:r>
      <w:r>
        <w:rPr>
          <w:rFonts w:ascii="Times New Roman" w:cs="Times New Roman" w:eastAsia="Times New Roman" w:hAnsi="Times New Roman"/>
          <w:sz w:val="20"/>
          <w:szCs w:val="20"/>
          <w:color w:val="auto"/>
        </w:rPr>
        <w:t>-Long-lived assets are reviewed for impairment if events or circumstances indicate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carrying amount of these assets 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and Accrued Research and Development</w:t>
      </w:r>
      <w:r>
        <w:rPr>
          <w:rFonts w:ascii="Times New Roman" w:cs="Times New Roman" w:eastAsia="Times New Roman" w:hAnsi="Times New Roman"/>
          <w:sz w:val="20"/>
          <w:szCs w:val="20"/>
          <w:color w:val="auto"/>
        </w:rPr>
        <w:t>-Research and development expenses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charged to expense as incurred. Research and development expenses include certain payroll and personnel expenses including stock-based compensation, laboratory supplies, consulting costs, external contract research and development expenses and facility or lease expenses. In -licensing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ectPr>
          <w:pgSz w:w="12240" w:h="15840" w:orient="portrait"/>
          <w:cols w:equalWidth="0" w:num="1">
            <w:col w:w="9360"/>
          </w:cols>
          <w:pgMar w:left="1440" w:top="1440" w:right="1440" w:bottom="1440" w:gutter="0" w:footer="0" w:header="0"/>
        </w:sectPr>
      </w:pPr>
    </w:p>
    <w:bookmarkStart w:id="125" w:name="page126"/>
    <w:bookmarkEnd w:id="125"/>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674" name="Shape 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674" o:spid="_x0000_s16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675" name="Shape 6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75" o:spid="_x0000_s17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76" name="Shape 6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76" o:spid="_x0000_s170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677" name="Shape 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77" o:spid="_x0000_s1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678" name="Shape 6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78" o:spid="_x0000_s17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Patent Costs</w:t>
      </w:r>
      <w:r>
        <w:rPr>
          <w:rFonts w:ascii="Times New Roman" w:cs="Times New Roman" w:eastAsia="Times New Roman" w:hAnsi="Times New Roman"/>
          <w:sz w:val="20"/>
          <w:szCs w:val="20"/>
          <w:color w:val="auto"/>
        </w:rPr>
        <w:t>-Costs related to filing and pursuing patent applications are expensed as incurred, as recoverability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such expenditures is uncertain. These patent-related legal costs are reported as a component of general and administrative expenses.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r>
        <w:rPr>
          <w:rFonts w:ascii="Times New Roman" w:cs="Times New Roman" w:eastAsia="Times New Roman" w:hAnsi="Times New Roman"/>
          <w:sz w:val="20"/>
          <w:szCs w:val="20"/>
          <w:color w:val="auto"/>
        </w:rPr>
        <w:t>-General and administrative costs are expensed as incurred and include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employee-related expenses including salaries, benefits, travel and stock -based compensation for the Company’s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Fair Value Measurements</w:t>
      </w:r>
      <w:r>
        <w:rPr>
          <w:rFonts w:ascii="Times New Roman" w:cs="Times New Roman" w:eastAsia="Times New Roman" w:hAnsi="Times New Roman"/>
          <w:sz w:val="20"/>
          <w:szCs w:val="20"/>
          <w:color w:val="auto"/>
        </w:rPr>
        <w:t>-Fair value is defined as the price that would be received to sell an asset or paid to transfer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liability in an orderly transaction between market participants at the 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r>
        <w:rPr>
          <w:rFonts w:ascii="Times New Roman" w:cs="Times New Roman" w:eastAsia="Times New Roman" w:hAnsi="Times New Roman"/>
          <w:sz w:val="20"/>
          <w:szCs w:val="20"/>
          <w:color w:val="auto"/>
        </w:rPr>
        <w:t>- The Company accounts for stock -based compensation by measuring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recognizing compensation expense for all share-based payments made to employees, directors and non-employees based on estimated grant -date fair values. The Company uses the straight- line method to allocate compensation cost to reporting periods over each optionee’s requisite service period, which is generally the vesting period.</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estimates the fair value of stock options to employees, directors and non-employees using the Black-Scholes option-valuation model. The Black -Scholes model requires the input of subjective assumptions, including expected volatility, expected dividend yield, expected term, risk-free rate of return, and the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 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ectPr>
          <w:pgSz w:w="12240" w:h="15840" w:orient="portrait"/>
          <w:cols w:equalWidth="0" w:num="1">
            <w:col w:w="9360"/>
          </w:cols>
          <w:pgMar w:left="1440" w:top="1422" w:right="1440" w:bottom="1440" w:gutter="0" w:footer="0" w:header="0"/>
        </w:sectPr>
      </w:pPr>
    </w:p>
    <w:bookmarkStart w:id="126" w:name="page127"/>
    <w:bookmarkEnd w:id="126"/>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Net Loss per Share Attributable to Common Stockholders </w:t>
      </w:r>
      <w:r>
        <w:rPr>
          <w:rFonts w:ascii="Times New Roman" w:cs="Times New Roman" w:eastAsia="Times New Roman" w:hAnsi="Times New Roman"/>
          <w:sz w:val="20"/>
          <w:szCs w:val="20"/>
          <w:color w:val="auto"/>
        </w:rPr>
        <w:t>-The Company follows the two-class method when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 -class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679" name="Shape 6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679" o:spid="_x0000_s17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680" name="Shape 6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80" o:spid="_x0000_s17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81" name="Shape 6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81" o:spid="_x0000_s170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682" name="Shape 6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82" o:spid="_x0000_s17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683" name="Shape 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683" o:spid="_x0000_s17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-The Company accounts for income taxes using the asset and liability method. The Company recognizes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evaluating the ability to recover its deferred income tax assets, the Company considers all available positive and negative evidence, including its operating results, ongoing tax planning and forecasts of future taxable income on a jurisdiction -by-jurisdiction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2025 and 2024, the Company has recorded a full valuation allowance on its deferred tax assets.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r>
        <w:rPr>
          <w:rFonts w:ascii="Times New Roman" w:cs="Times New Roman" w:eastAsia="Times New Roman" w:hAnsi="Times New Roman"/>
          <w:sz w:val="20"/>
          <w:szCs w:val="20"/>
          <w:color w:val="auto"/>
        </w:rPr>
        <w:t>-In December 2023, the Financial Accounting Standards Board issued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Accounting Standards Update (“ASU”) 2023-09, “Income Taxes (Topic 740): Improvements to Income Tax Disclosures,” which requires public entities to disclose specific tax rate reconciliation categories, as well as income taxes paid disaggregated by jurisdiction, amongst other disclosure enhancements. The ASU is effective for financial statements issued for annual periods beginning after December 15, 2024, with early adoption permitted. We adopted the ASU retrospectively for the period ending December 31, 2025, and it affects only our disclosures and does not impact our results of operations or financial condition.</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24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following tables present the Company’s fair value hierarchy for assets and liabilities measured at fair value on a recurring basis (in thousands):</w:t>
      </w:r>
    </w:p>
    <w:p>
      <w:pPr>
        <w:sectPr>
          <w:pgSz w:w="12240" w:h="15840" w:orient="portrait"/>
          <w:cols w:equalWidth="0" w:num="1">
            <w:col w:w="9360"/>
          </w:cols>
          <w:pgMar w:left="1440" w:top="1422"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53"/>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ind w:left="120"/>
              <w:spacing w:after="0" w:line="220" w:lineRule="exact"/>
              <w:rPr>
                <w:sz w:val="20"/>
                <w:szCs w:val="20"/>
                <w:color w:val="auto"/>
              </w:rPr>
            </w:pPr>
            <w:r>
              <w:rPr>
                <w:rFonts w:ascii="Times New Roman" w:cs="Times New Roman" w:eastAsia="Times New Roman" w:hAnsi="Times New Roman"/>
                <w:sz w:val="20"/>
                <w:szCs w:val="20"/>
                <w:b w:val="1"/>
                <w:bCs w:val="1"/>
                <w:color w:val="auto"/>
              </w:rPr>
              <w:t>Level 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b w:val="1"/>
                <w:bCs w:val="1"/>
                <w:color w:val="auto"/>
              </w:rPr>
              <w:t>Level 2</w:t>
            </w:r>
          </w:p>
        </w:tc>
        <w:tc>
          <w:tcPr>
            <w:tcW w:w="100" w:type="dxa"/>
            <w:vAlign w:val="bottom"/>
          </w:tcPr>
          <w:p>
            <w:pPr>
              <w:spacing w:after="0"/>
              <w:rPr>
                <w:sz w:val="19"/>
                <w:szCs w:val="19"/>
                <w:color w:val="auto"/>
              </w:rPr>
            </w:pPr>
          </w:p>
        </w:tc>
        <w:tc>
          <w:tcPr>
            <w:tcW w:w="1000" w:type="dxa"/>
            <w:vAlign w:val="bottom"/>
          </w:tcPr>
          <w:p>
            <w:pPr>
              <w:jc w:val="right"/>
              <w:ind w:right="40"/>
              <w:spacing w:after="0" w:line="220" w:lineRule="exact"/>
              <w:rPr>
                <w:sz w:val="20"/>
                <w:szCs w:val="20"/>
                <w:color w:val="auto"/>
              </w:rPr>
            </w:pPr>
            <w:r>
              <w:rPr>
                <w:rFonts w:ascii="Times New Roman" w:cs="Times New Roman" w:eastAsia="Times New Roman" w:hAnsi="Times New Roman"/>
                <w:sz w:val="20"/>
                <w:szCs w:val="20"/>
                <w:b w:val="1"/>
                <w:bCs w:val="1"/>
                <w:color w:val="auto"/>
              </w:rPr>
              <w:t>Level 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Pr>
          <w:p>
            <w:pPr>
              <w:spacing w:after="0"/>
              <w:rPr>
                <w:sz w:val="19"/>
                <w:szCs w:val="19"/>
                <w:color w:val="auto"/>
              </w:rPr>
            </w:pPr>
          </w:p>
        </w:tc>
      </w:tr>
      <w:tr>
        <w:trPr>
          <w:trHeight w:val="230"/>
        </w:trPr>
        <w:tc>
          <w:tcPr>
            <w:tcW w:w="38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00" w:type="dxa"/>
            <w:vAlign w:val="bottom"/>
            <w:shd w:val="clear" w:color="auto" w:fill="D4EFF3"/>
          </w:tcPr>
          <w:p>
            <w:pPr>
              <w:spacing w:after="0"/>
              <w:rPr>
                <w:sz w:val="20"/>
                <w:szCs w:val="20"/>
                <w:color w:val="auto"/>
              </w:rPr>
            </w:pPr>
          </w:p>
        </w:tc>
        <w:tc>
          <w:tcPr>
            <w:tcW w:w="2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10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7,707</w:t>
            </w:r>
          </w:p>
        </w:tc>
        <w:tc>
          <w:tcPr>
            <w:tcW w:w="2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3"/>
          </w:tcPr>
          <w:p>
            <w:pPr>
              <w:spacing w:after="0"/>
              <w:rPr>
                <w:sz w:val="20"/>
                <w:szCs w:val="20"/>
                <w:color w:val="auto"/>
              </w:rPr>
            </w:pPr>
          </w:p>
        </w:tc>
        <w:tc>
          <w:tcPr>
            <w:tcW w:w="1100" w:type="dxa"/>
            <w:vAlign w:val="bottom"/>
            <w:gridSpan w:val="2"/>
            <w:shd w:val="clear" w:color="auto" w:fill="D4EFF3"/>
          </w:tcPr>
          <w:p>
            <w:pPr>
              <w:jc w:val="right"/>
              <w:ind w:right="8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shd w:val="clear" w:color="auto" w:fill="D4EFF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7,707</w:t>
            </w:r>
          </w:p>
        </w:tc>
        <w:tc>
          <w:tcPr>
            <w:tcW w:w="80" w:type="dxa"/>
            <w:vAlign w:val="bottom"/>
            <w:shd w:val="clear" w:color="auto" w:fill="D4EFF3"/>
          </w:tcPr>
          <w:p>
            <w:pPr>
              <w:spacing w:after="0"/>
              <w:rPr>
                <w:sz w:val="20"/>
                <w:szCs w:val="20"/>
                <w:color w:val="auto"/>
              </w:rPr>
            </w:pPr>
          </w:p>
        </w:tc>
      </w:tr>
      <w:tr>
        <w:trPr>
          <w:trHeight w:val="218"/>
        </w:trPr>
        <w:tc>
          <w:tcPr>
            <w:tcW w:w="380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7,707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0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7,707</w:t>
            </w:r>
          </w:p>
        </w:tc>
        <w:tc>
          <w:tcPr>
            <w:tcW w:w="8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5"/>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8"/>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ind w:left="120"/>
              <w:spacing w:after="0" w:line="218" w:lineRule="exact"/>
              <w:rPr>
                <w:sz w:val="20"/>
                <w:szCs w:val="20"/>
                <w:color w:val="auto"/>
              </w:rPr>
            </w:pPr>
            <w:r>
              <w:rPr>
                <w:rFonts w:ascii="Times New Roman" w:cs="Times New Roman" w:eastAsia="Times New Roman" w:hAnsi="Times New Roman"/>
                <w:sz w:val="20"/>
                <w:szCs w:val="20"/>
                <w:b w:val="1"/>
                <w:bCs w:val="1"/>
                <w:color w:val="auto"/>
              </w:rPr>
              <w:t>Level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20"/>
              <w:spacing w:after="0" w:line="218" w:lineRule="exact"/>
              <w:rPr>
                <w:sz w:val="20"/>
                <w:szCs w:val="20"/>
                <w:color w:val="auto"/>
              </w:rPr>
            </w:pPr>
            <w:r>
              <w:rPr>
                <w:rFonts w:ascii="Times New Roman" w:cs="Times New Roman" w:eastAsia="Times New Roman" w:hAnsi="Times New Roman"/>
                <w:sz w:val="20"/>
                <w:szCs w:val="20"/>
                <w:b w:val="1"/>
                <w:bCs w:val="1"/>
                <w:color w:val="auto"/>
              </w:rPr>
              <w:t>Level 2</w:t>
            </w:r>
          </w:p>
        </w:tc>
        <w:tc>
          <w:tcPr>
            <w:tcW w:w="100" w:type="dxa"/>
            <w:vAlign w:val="bottom"/>
          </w:tcPr>
          <w:p>
            <w:pPr>
              <w:spacing w:after="0"/>
              <w:rPr>
                <w:sz w:val="18"/>
                <w:szCs w:val="18"/>
                <w:color w:val="auto"/>
              </w:rPr>
            </w:pPr>
          </w:p>
        </w:tc>
        <w:tc>
          <w:tcPr>
            <w:tcW w:w="1000" w:type="dxa"/>
            <w:vAlign w:val="bottom"/>
          </w:tcPr>
          <w:p>
            <w:pPr>
              <w:jc w:val="right"/>
              <w:ind w:right="40"/>
              <w:spacing w:after="0" w:line="218" w:lineRule="exact"/>
              <w:rPr>
                <w:sz w:val="20"/>
                <w:szCs w:val="20"/>
                <w:color w:val="auto"/>
              </w:rPr>
            </w:pPr>
            <w:r>
              <w:rPr>
                <w:rFonts w:ascii="Times New Roman" w:cs="Times New Roman" w:eastAsia="Times New Roman" w:hAnsi="Times New Roman"/>
                <w:sz w:val="20"/>
                <w:szCs w:val="20"/>
                <w:b w:val="1"/>
                <w:bCs w:val="1"/>
                <w:color w:val="auto"/>
              </w:rPr>
              <w:t>Level 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20"/>
              <w:spacing w:after="0" w:line="218" w:lineRule="exact"/>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Pr>
          <w:p>
            <w:pPr>
              <w:spacing w:after="0"/>
              <w:rPr>
                <w:sz w:val="18"/>
                <w:szCs w:val="18"/>
                <w:color w:val="auto"/>
              </w:rPr>
            </w:pPr>
          </w:p>
        </w:tc>
      </w:tr>
      <w:tr>
        <w:trPr>
          <w:trHeight w:val="230"/>
        </w:trPr>
        <w:tc>
          <w:tcPr>
            <w:tcW w:w="38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00" w:type="dxa"/>
            <w:vAlign w:val="bottom"/>
            <w:shd w:val="clear" w:color="auto" w:fill="D4EFF3"/>
          </w:tcPr>
          <w:p>
            <w:pPr>
              <w:spacing w:after="0"/>
              <w:rPr>
                <w:sz w:val="20"/>
                <w:szCs w:val="20"/>
                <w:color w:val="auto"/>
              </w:rPr>
            </w:pPr>
          </w:p>
        </w:tc>
        <w:tc>
          <w:tcPr>
            <w:tcW w:w="20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10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30,268</w:t>
            </w:r>
          </w:p>
        </w:tc>
        <w:tc>
          <w:tcPr>
            <w:tcW w:w="2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3"/>
          </w:tcPr>
          <w:p>
            <w:pPr>
              <w:spacing w:after="0"/>
              <w:rPr>
                <w:sz w:val="20"/>
                <w:szCs w:val="20"/>
                <w:color w:val="auto"/>
              </w:rPr>
            </w:pPr>
          </w:p>
        </w:tc>
        <w:tc>
          <w:tcPr>
            <w:tcW w:w="1100" w:type="dxa"/>
            <w:vAlign w:val="bottom"/>
            <w:gridSpan w:val="2"/>
            <w:shd w:val="clear" w:color="auto" w:fill="D4EFF3"/>
          </w:tcPr>
          <w:p>
            <w:pPr>
              <w:jc w:val="right"/>
              <w:ind w:right="8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shd w:val="clear" w:color="auto" w:fill="D4EFF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30,268</w:t>
            </w:r>
          </w:p>
        </w:tc>
        <w:tc>
          <w:tcPr>
            <w:tcW w:w="80" w:type="dxa"/>
            <w:vAlign w:val="bottom"/>
            <w:shd w:val="clear" w:color="auto" w:fill="D4EFF3"/>
          </w:tcPr>
          <w:p>
            <w:pPr>
              <w:spacing w:after="0"/>
              <w:rPr>
                <w:sz w:val="20"/>
                <w:szCs w:val="20"/>
                <w:color w:val="auto"/>
              </w:rPr>
            </w:pPr>
          </w:p>
        </w:tc>
      </w:tr>
      <w:tr>
        <w:trPr>
          <w:trHeight w:val="220"/>
        </w:trPr>
        <w:tc>
          <w:tcPr>
            <w:tcW w:w="38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30,268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30,268</w:t>
            </w:r>
          </w:p>
        </w:tc>
        <w:tc>
          <w:tcPr>
            <w:tcW w:w="8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3"/>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117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38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5942965</wp:posOffset>
                </wp:positionH>
                <wp:positionV relativeFrom="paragraph">
                  <wp:posOffset>-16510</wp:posOffset>
                </wp:positionV>
                <wp:extent cx="0" cy="16510"/>
                <wp:wrapNone/>
                <wp:docPr id="684" name="Shape 6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84" o:spid="_x0000_s17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2999pt" to="467.95pt,0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-19685</wp:posOffset>
                </wp:positionV>
                <wp:extent cx="0" cy="19685"/>
                <wp:wrapNone/>
                <wp:docPr id="685" name="Shape 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85" o:spid="_x0000_s1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5499pt" to="0.1pt,0pt" o:allowincell="f" strokecolor="#A0A0A0" strokeweight="0.24pt"/>
            </w:pict>
          </mc:Fallback>
        </mc:AlternateConten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BALANCE SHEET ITEMS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and other current asset consist of the following as of December 31, 2025 and 2024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1"/>
                <w:szCs w:val="21"/>
                <w:color w:val="auto"/>
              </w:rPr>
            </w:pPr>
          </w:p>
        </w:tc>
      </w:tr>
      <w:tr>
        <w:trPr>
          <w:trHeight w:val="220"/>
        </w:trPr>
        <w:tc>
          <w:tcPr>
            <w:tcW w:w="688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Prepaid expenses</w:t>
            </w:r>
          </w:p>
        </w:tc>
        <w:tc>
          <w:tcPr>
            <w:tcW w:w="120" w:type="dxa"/>
            <w:vAlign w:val="bottom"/>
            <w:shd w:val="clear" w:color="auto" w:fill="D4EFF3"/>
          </w:tcPr>
          <w:p>
            <w:pPr>
              <w:spacing w:after="0"/>
              <w:rPr>
                <w:sz w:val="19"/>
                <w:szCs w:val="19"/>
                <w:color w:val="auto"/>
              </w:rPr>
            </w:pPr>
          </w:p>
        </w:tc>
        <w:tc>
          <w:tcPr>
            <w:tcW w:w="160" w:type="dxa"/>
            <w:vAlign w:val="bottom"/>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196</w:t>
            </w:r>
          </w:p>
        </w:tc>
        <w:tc>
          <w:tcPr>
            <w:tcW w:w="20" w:type="dxa"/>
            <w:vAlign w:val="bottom"/>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240" w:type="dxa"/>
            <w:vAlign w:val="bottom"/>
            <w:shd w:val="clear" w:color="auto" w:fill="D1EEF5"/>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642</w:t>
            </w:r>
          </w:p>
        </w:tc>
        <w:tc>
          <w:tcPr>
            <w:tcW w:w="100" w:type="dxa"/>
            <w:vAlign w:val="bottom"/>
            <w:shd w:val="clear" w:color="auto" w:fill="D1EEF5"/>
          </w:tcPr>
          <w:p>
            <w:pPr>
              <w:spacing w:after="0"/>
              <w:rPr>
                <w:sz w:val="19"/>
                <w:szCs w:val="19"/>
                <w:color w:val="auto"/>
              </w:rPr>
            </w:pPr>
          </w:p>
        </w:tc>
      </w:tr>
      <w:tr>
        <w:trPr>
          <w:trHeight w:val="228"/>
        </w:trPr>
        <w:tc>
          <w:tcPr>
            <w:tcW w:w="68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Prepaid research and development costs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19"/>
                <w:szCs w:val="19"/>
                <w:color w:val="auto"/>
              </w:rPr>
            </w:pPr>
          </w:p>
        </w:tc>
      </w:tr>
      <w:tr>
        <w:trPr>
          <w:trHeight w:val="230"/>
        </w:trPr>
        <w:tc>
          <w:tcPr>
            <w:tcW w:w="68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120" w:type="dxa"/>
            <w:vAlign w:val="bottom"/>
            <w:shd w:val="clear" w:color="auto" w:fill="D4EFF3"/>
          </w:tcPr>
          <w:p>
            <w:pPr>
              <w:spacing w:after="0"/>
              <w:rPr>
                <w:sz w:val="20"/>
                <w:szCs w:val="20"/>
                <w:color w:val="auto"/>
              </w:rPr>
            </w:pPr>
          </w:p>
        </w:tc>
        <w:tc>
          <w:tcPr>
            <w:tcW w:w="160" w:type="dxa"/>
            <w:vAlign w:val="bottom"/>
            <w:tcBorders>
              <w:bottom w:val="single" w:sz="8" w:color="auto"/>
            </w:tcBorders>
            <w:shd w:val="clear" w:color="auto" w:fill="D1EEF5"/>
          </w:tcPr>
          <w:p>
            <w:pPr>
              <w:spacing w:after="0"/>
              <w:rPr>
                <w:sz w:val="20"/>
                <w:szCs w:val="20"/>
                <w:color w:val="auto"/>
              </w:rPr>
            </w:pPr>
          </w:p>
        </w:tc>
        <w:tc>
          <w:tcPr>
            <w:tcW w:w="70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0" w:type="dxa"/>
            <w:vAlign w:val="bottom"/>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240" w:type="dxa"/>
            <w:vAlign w:val="bottom"/>
            <w:tcBorders>
              <w:bottom w:val="single" w:sz="8" w:color="auto"/>
            </w:tcBorders>
            <w:shd w:val="clear" w:color="auto" w:fill="D1EEF5"/>
          </w:tcPr>
          <w:p>
            <w:pPr>
              <w:spacing w:after="0"/>
              <w:rPr>
                <w:sz w:val="20"/>
                <w:szCs w:val="20"/>
                <w:color w:val="auto"/>
              </w:rPr>
            </w:pPr>
          </w:p>
        </w:tc>
        <w:tc>
          <w:tcPr>
            <w:tcW w:w="940" w:type="dxa"/>
            <w:vAlign w:val="bottom"/>
            <w:tcBorders>
              <w:bottom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100" w:type="dxa"/>
            <w:vAlign w:val="bottom"/>
            <w:shd w:val="clear" w:color="auto" w:fill="D1EEF5"/>
          </w:tcPr>
          <w:p>
            <w:pPr>
              <w:spacing w:after="0"/>
              <w:rPr>
                <w:sz w:val="20"/>
                <w:szCs w:val="20"/>
                <w:color w:val="auto"/>
              </w:rPr>
            </w:pPr>
          </w:p>
        </w:tc>
      </w:tr>
      <w:tr>
        <w:trPr>
          <w:trHeight w:val="220"/>
        </w:trPr>
        <w:tc>
          <w:tcPr>
            <w:tcW w:w="6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1,206</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net, consists of the following as of December 31, 2025 and 2024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Pr>
          <w:p>
            <w:pPr>
              <w:spacing w:after="0"/>
              <w:rPr>
                <w:sz w:val="21"/>
                <w:szCs w:val="21"/>
                <w:color w:val="auto"/>
              </w:rPr>
            </w:pPr>
          </w:p>
        </w:tc>
      </w:tr>
      <w:tr>
        <w:trPr>
          <w:trHeight w:val="220"/>
        </w:trPr>
        <w:tc>
          <w:tcPr>
            <w:tcW w:w="62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Computer equipment and software</w:t>
            </w:r>
          </w:p>
        </w:tc>
        <w:tc>
          <w:tcPr>
            <w:tcW w:w="280" w:type="dxa"/>
            <w:vAlign w:val="bottom"/>
            <w:shd w:val="clear" w:color="auto" w:fill="D1EEF5"/>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151</w:t>
            </w:r>
          </w:p>
        </w:tc>
        <w:tc>
          <w:tcPr>
            <w:tcW w:w="20" w:type="dxa"/>
            <w:vAlign w:val="bottom"/>
          </w:tcPr>
          <w:p>
            <w:pPr>
              <w:spacing w:after="0"/>
              <w:rPr>
                <w:sz w:val="19"/>
                <w:szCs w:val="19"/>
                <w:color w:val="auto"/>
              </w:rPr>
            </w:pPr>
          </w:p>
        </w:tc>
        <w:tc>
          <w:tcPr>
            <w:tcW w:w="120" w:type="dxa"/>
            <w:vAlign w:val="bottom"/>
            <w:shd w:val="clear" w:color="auto" w:fill="D1EEF5"/>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280" w:type="dxa"/>
            <w:vAlign w:val="bottom"/>
            <w:shd w:val="clear" w:color="auto" w:fill="D1EEF5"/>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192</w:t>
            </w:r>
          </w:p>
        </w:tc>
        <w:tc>
          <w:tcPr>
            <w:tcW w:w="140" w:type="dxa"/>
            <w:vAlign w:val="bottom"/>
            <w:shd w:val="clear" w:color="auto" w:fill="D1EEF5"/>
          </w:tcPr>
          <w:p>
            <w:pPr>
              <w:spacing w:after="0"/>
              <w:rPr>
                <w:sz w:val="19"/>
                <w:szCs w:val="19"/>
                <w:color w:val="auto"/>
              </w:rPr>
            </w:pPr>
          </w:p>
        </w:tc>
      </w:tr>
      <w:tr>
        <w:trPr>
          <w:trHeight w:val="231"/>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140" w:type="dxa"/>
            <w:vAlign w:val="bottom"/>
          </w:tcPr>
          <w:p>
            <w:pPr>
              <w:spacing w:after="0"/>
              <w:rPr>
                <w:sz w:val="20"/>
                <w:szCs w:val="20"/>
                <w:color w:val="auto"/>
              </w:rPr>
            </w:pPr>
          </w:p>
        </w:tc>
      </w:tr>
      <w:tr>
        <w:trPr>
          <w:trHeight w:val="230"/>
        </w:trPr>
        <w:tc>
          <w:tcPr>
            <w:tcW w:w="62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Lab equipment</w:t>
            </w:r>
          </w:p>
        </w:tc>
        <w:tc>
          <w:tcPr>
            <w:tcW w:w="280" w:type="dxa"/>
            <w:vAlign w:val="bottom"/>
            <w:shd w:val="clear" w:color="auto" w:fill="D1EEF5"/>
          </w:tcPr>
          <w:p>
            <w:pPr>
              <w:spacing w:after="0"/>
              <w:rPr>
                <w:sz w:val="20"/>
                <w:szCs w:val="20"/>
                <w:color w:val="auto"/>
              </w:rPr>
            </w:pPr>
          </w:p>
        </w:tc>
        <w:tc>
          <w:tcPr>
            <w:tcW w:w="10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20" w:type="dxa"/>
            <w:vAlign w:val="bottom"/>
          </w:tcPr>
          <w:p>
            <w:pPr>
              <w:spacing w:after="0"/>
              <w:rPr>
                <w:sz w:val="20"/>
                <w:szCs w:val="20"/>
                <w:color w:val="auto"/>
              </w:rPr>
            </w:pPr>
          </w:p>
        </w:tc>
        <w:tc>
          <w:tcPr>
            <w:tcW w:w="120" w:type="dxa"/>
            <w:vAlign w:val="bottom"/>
            <w:shd w:val="clear" w:color="auto" w:fill="D1EEF5"/>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280" w:type="dxa"/>
            <w:vAlign w:val="bottom"/>
            <w:shd w:val="clear" w:color="auto" w:fill="D1EEF5"/>
          </w:tcPr>
          <w:p>
            <w:pPr>
              <w:spacing w:after="0"/>
              <w:rPr>
                <w:sz w:val="20"/>
                <w:szCs w:val="20"/>
                <w:color w:val="auto"/>
              </w:rPr>
            </w:pPr>
          </w:p>
        </w:tc>
        <w:tc>
          <w:tcPr>
            <w:tcW w:w="108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1,485</w:t>
            </w:r>
          </w:p>
        </w:tc>
        <w:tc>
          <w:tcPr>
            <w:tcW w:w="140" w:type="dxa"/>
            <w:vAlign w:val="bottom"/>
            <w:shd w:val="clear" w:color="auto" w:fill="D1EEF5"/>
          </w:tcPr>
          <w:p>
            <w:pPr>
              <w:spacing w:after="0"/>
              <w:rPr>
                <w:sz w:val="20"/>
                <w:szCs w:val="20"/>
                <w:color w:val="auto"/>
              </w:rPr>
            </w:pP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140" w:type="dxa"/>
            <w:vAlign w:val="bottom"/>
          </w:tcPr>
          <w:p>
            <w:pPr>
              <w:spacing w:after="0"/>
              <w:rPr>
                <w:sz w:val="20"/>
                <w:szCs w:val="20"/>
                <w:color w:val="auto"/>
              </w:rPr>
            </w:pPr>
          </w:p>
        </w:tc>
      </w:tr>
      <w:tr>
        <w:trPr>
          <w:trHeight w:val="220"/>
        </w:trPr>
        <w:tc>
          <w:tcPr>
            <w:tcW w:w="62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Property and equipment</w:t>
            </w:r>
          </w:p>
        </w:tc>
        <w:tc>
          <w:tcPr>
            <w:tcW w:w="280" w:type="dxa"/>
            <w:vAlign w:val="bottom"/>
            <w:shd w:val="clear" w:color="auto" w:fill="D1EEF5"/>
          </w:tcPr>
          <w:p>
            <w:pPr>
              <w:spacing w:after="0"/>
              <w:rPr>
                <w:sz w:val="19"/>
                <w:szCs w:val="19"/>
                <w:color w:val="auto"/>
              </w:rPr>
            </w:pPr>
          </w:p>
        </w:tc>
        <w:tc>
          <w:tcPr>
            <w:tcW w:w="1080" w:type="dxa"/>
            <w:vAlign w:val="bottom"/>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2,058</w:t>
            </w:r>
          </w:p>
        </w:tc>
        <w:tc>
          <w:tcPr>
            <w:tcW w:w="20" w:type="dxa"/>
            <w:vAlign w:val="bottom"/>
          </w:tcPr>
          <w:p>
            <w:pPr>
              <w:spacing w:after="0"/>
              <w:rPr>
                <w:sz w:val="19"/>
                <w:szCs w:val="19"/>
                <w:color w:val="auto"/>
              </w:rPr>
            </w:pPr>
          </w:p>
        </w:tc>
        <w:tc>
          <w:tcPr>
            <w:tcW w:w="120" w:type="dxa"/>
            <w:vAlign w:val="bottom"/>
            <w:shd w:val="clear" w:color="auto" w:fill="D1EEF5"/>
          </w:tcPr>
          <w:p>
            <w:pPr>
              <w:spacing w:after="0"/>
              <w:rPr>
                <w:sz w:val="19"/>
                <w:szCs w:val="19"/>
                <w:color w:val="auto"/>
              </w:rPr>
            </w:pPr>
          </w:p>
        </w:tc>
        <w:tc>
          <w:tcPr>
            <w:tcW w:w="120" w:type="dxa"/>
            <w:vAlign w:val="bottom"/>
            <w:shd w:val="clear" w:color="auto" w:fill="D4EFF3"/>
          </w:tcPr>
          <w:p>
            <w:pPr>
              <w:spacing w:after="0"/>
              <w:rPr>
                <w:sz w:val="19"/>
                <w:szCs w:val="19"/>
                <w:color w:val="auto"/>
              </w:rPr>
            </w:pPr>
          </w:p>
        </w:tc>
        <w:tc>
          <w:tcPr>
            <w:tcW w:w="280" w:type="dxa"/>
            <w:vAlign w:val="bottom"/>
            <w:shd w:val="clear" w:color="auto" w:fill="D1EEF5"/>
          </w:tcPr>
          <w:p>
            <w:pPr>
              <w:spacing w:after="0"/>
              <w:rPr>
                <w:sz w:val="19"/>
                <w:szCs w:val="19"/>
                <w:color w:val="auto"/>
              </w:rPr>
            </w:pPr>
          </w:p>
        </w:tc>
        <w:tc>
          <w:tcPr>
            <w:tcW w:w="1080" w:type="dxa"/>
            <w:vAlign w:val="bottom"/>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2,206</w:t>
            </w:r>
          </w:p>
        </w:tc>
        <w:tc>
          <w:tcPr>
            <w:tcW w:w="140" w:type="dxa"/>
            <w:vAlign w:val="bottom"/>
            <w:shd w:val="clear" w:color="auto" w:fill="D1EEF5"/>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(1,320)</w:t>
            </w:r>
          </w:p>
        </w:tc>
      </w:tr>
      <w:tr>
        <w:trPr>
          <w:trHeight w:val="238"/>
        </w:trPr>
        <w:tc>
          <w:tcPr>
            <w:tcW w:w="6240" w:type="dxa"/>
            <w:vAlign w:val="bottom"/>
            <w:tcBorders>
              <w:bottom w:val="single" w:sz="8" w:color="D4EFF3"/>
            </w:tcBorders>
            <w:shd w:val="clear" w:color="auto" w:fill="D4EFF3"/>
          </w:tcPr>
          <w:p>
            <w:pPr>
              <w:spacing w:after="0" w:line="218" w:lineRule="exact"/>
              <w:rPr>
                <w:sz w:val="20"/>
                <w:szCs w:val="20"/>
                <w:color w:val="auto"/>
              </w:rPr>
            </w:pPr>
            <w:r>
              <w:rPr>
                <w:rFonts w:ascii="Times New Roman" w:cs="Times New Roman" w:eastAsia="Times New Roman" w:hAnsi="Times New Roman"/>
                <w:sz w:val="20"/>
                <w:szCs w:val="20"/>
                <w:color w:val="auto"/>
              </w:rPr>
              <w:t>Property and equipment-net</w:t>
            </w:r>
          </w:p>
        </w:tc>
        <w:tc>
          <w:tcPr>
            <w:tcW w:w="280" w:type="dxa"/>
            <w:vAlign w:val="bottom"/>
            <w:tcBorders>
              <w:top w:val="single" w:sz="8" w:color="auto"/>
              <w:bottom w:val="single" w:sz="8" w:color="auto"/>
            </w:tcBorders>
            <w:shd w:val="clear" w:color="auto" w:fill="D1EEF5"/>
          </w:tcPr>
          <w:p>
            <w:pPr>
              <w:jc w:val="right"/>
              <w:ind w:right="8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D1EEF5"/>
          </w:tcPr>
          <w:p>
            <w:pPr>
              <w:jc w:val="right"/>
              <w:spacing w:after="0" w:line="218" w:lineRule="exact"/>
              <w:rPr>
                <w:sz w:val="20"/>
                <w:szCs w:val="20"/>
                <w:color w:val="auto"/>
              </w:rPr>
            </w:pPr>
            <w:r>
              <w:rPr>
                <w:rFonts w:ascii="Times New Roman" w:cs="Times New Roman" w:eastAsia="Times New Roman" w:hAnsi="Times New Roman"/>
                <w:sz w:val="20"/>
                <w:szCs w:val="20"/>
                <w:color w:val="auto"/>
              </w:rPr>
              <w:t>605</w:t>
            </w:r>
          </w:p>
        </w:tc>
        <w:tc>
          <w:tcPr>
            <w:tcW w:w="20" w:type="dxa"/>
            <w:vAlign w:val="bottom"/>
            <w:tcBorders>
              <w:top w:val="single" w:sz="8" w:color="auto"/>
            </w:tcBorders>
          </w:tcPr>
          <w:p>
            <w:pPr>
              <w:spacing w:after="0"/>
              <w:rPr>
                <w:sz w:val="20"/>
                <w:szCs w:val="20"/>
                <w:color w:val="auto"/>
              </w:rPr>
            </w:pPr>
          </w:p>
        </w:tc>
        <w:tc>
          <w:tcPr>
            <w:tcW w:w="120" w:type="dxa"/>
            <w:vAlign w:val="bottom"/>
            <w:tcBorders>
              <w:bottom w:val="single" w:sz="8" w:color="D1EEF5"/>
            </w:tcBorders>
            <w:shd w:val="clear" w:color="auto" w:fill="D1EEF5"/>
          </w:tcPr>
          <w:p>
            <w:pPr>
              <w:spacing w:after="0"/>
              <w:rPr>
                <w:sz w:val="20"/>
                <w:szCs w:val="20"/>
                <w:color w:val="auto"/>
              </w:rPr>
            </w:pPr>
          </w:p>
        </w:tc>
        <w:tc>
          <w:tcPr>
            <w:tcW w:w="120" w:type="dxa"/>
            <w:vAlign w:val="bottom"/>
            <w:tcBorders>
              <w:bottom w:val="single" w:sz="8" w:color="D4EFF3"/>
            </w:tcBorders>
            <w:shd w:val="clear" w:color="auto" w:fill="D4EFF3"/>
          </w:tcPr>
          <w:p>
            <w:pPr>
              <w:spacing w:after="0"/>
              <w:rPr>
                <w:sz w:val="20"/>
                <w:szCs w:val="20"/>
                <w:color w:val="auto"/>
              </w:rPr>
            </w:pPr>
          </w:p>
        </w:tc>
        <w:tc>
          <w:tcPr>
            <w:tcW w:w="280" w:type="dxa"/>
            <w:vAlign w:val="bottom"/>
            <w:tcBorders>
              <w:top w:val="single" w:sz="8" w:color="auto"/>
              <w:bottom w:val="single" w:sz="8" w:color="auto"/>
            </w:tcBorders>
            <w:shd w:val="clear" w:color="auto" w:fill="D1EEF5"/>
          </w:tcPr>
          <w:p>
            <w:pPr>
              <w:jc w:val="right"/>
              <w:ind w:right="8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D1EEF5"/>
          </w:tcPr>
          <w:p>
            <w:pPr>
              <w:jc w:val="right"/>
              <w:spacing w:after="0" w:line="218" w:lineRule="exact"/>
              <w:rPr>
                <w:sz w:val="20"/>
                <w:szCs w:val="20"/>
                <w:color w:val="auto"/>
              </w:rPr>
            </w:pPr>
            <w:r>
              <w:rPr>
                <w:rFonts w:ascii="Times New Roman" w:cs="Times New Roman" w:eastAsia="Times New Roman" w:hAnsi="Times New Roman"/>
                <w:sz w:val="20"/>
                <w:szCs w:val="20"/>
                <w:color w:val="auto"/>
              </w:rPr>
              <w:t>886</w:t>
            </w:r>
          </w:p>
        </w:tc>
        <w:tc>
          <w:tcPr>
            <w:tcW w:w="140" w:type="dxa"/>
            <w:vAlign w:val="bottom"/>
            <w:tcBorders>
              <w:bottom w:val="single" w:sz="8" w:color="D1EEF5"/>
            </w:tcBorders>
            <w:shd w:val="clear" w:color="auto" w:fill="D1EEF5"/>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for the years ended December 31, 2025 and 2024 was $266 and $389,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liabilities as of December 31, 2025 and 2024 consist of the following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1"/>
                <w:szCs w:val="21"/>
                <w:color w:val="auto"/>
              </w:rPr>
            </w:pPr>
          </w:p>
        </w:tc>
      </w:tr>
      <w:tr>
        <w:trPr>
          <w:trHeight w:val="220"/>
        </w:trPr>
        <w:tc>
          <w:tcPr>
            <w:tcW w:w="63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Accrued other liabilities</w:t>
            </w:r>
          </w:p>
        </w:tc>
        <w:tc>
          <w:tcPr>
            <w:tcW w:w="120" w:type="dxa"/>
            <w:vAlign w:val="bottom"/>
            <w:shd w:val="clear" w:color="auto" w:fill="D4EFF3"/>
          </w:tcPr>
          <w:p>
            <w:pPr>
              <w:spacing w:after="0"/>
              <w:rPr>
                <w:sz w:val="19"/>
                <w:szCs w:val="19"/>
                <w:color w:val="auto"/>
              </w:rPr>
            </w:pPr>
          </w:p>
        </w:tc>
        <w:tc>
          <w:tcPr>
            <w:tcW w:w="760" w:type="dxa"/>
            <w:vAlign w:val="bottom"/>
            <w:tcBorders>
              <w:top w:val="single" w:sz="8" w:color="auto"/>
            </w:tcBorders>
            <w:shd w:val="clear" w:color="auto" w:fill="D1EEF5"/>
          </w:tcPr>
          <w:p>
            <w:pPr>
              <w:jc w:val="right"/>
              <w:ind w:right="5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320" w:type="dxa"/>
            <w:vAlign w:val="bottom"/>
            <w:tcBorders>
              <w:top w:val="single" w:sz="8" w:color="auto"/>
            </w:tcBorders>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627</w:t>
            </w:r>
          </w:p>
        </w:tc>
        <w:tc>
          <w:tcPr>
            <w:tcW w:w="120" w:type="dxa"/>
            <w:vAlign w:val="bottom"/>
            <w:shd w:val="clear" w:color="auto" w:fill="D1EEF5"/>
          </w:tcPr>
          <w:p>
            <w:pPr>
              <w:spacing w:after="0"/>
              <w:rPr>
                <w:sz w:val="19"/>
                <w:szCs w:val="19"/>
                <w:color w:val="auto"/>
              </w:rPr>
            </w:pPr>
          </w:p>
        </w:tc>
        <w:tc>
          <w:tcPr>
            <w:tcW w:w="140" w:type="dxa"/>
            <w:vAlign w:val="bottom"/>
            <w:shd w:val="clear" w:color="auto" w:fill="D4EFF3"/>
          </w:tcPr>
          <w:p>
            <w:pPr>
              <w:spacing w:after="0"/>
              <w:rPr>
                <w:sz w:val="19"/>
                <w:szCs w:val="19"/>
                <w:color w:val="auto"/>
              </w:rPr>
            </w:pPr>
          </w:p>
        </w:tc>
        <w:tc>
          <w:tcPr>
            <w:tcW w:w="320" w:type="dxa"/>
            <w:vAlign w:val="bottom"/>
            <w:tcBorders>
              <w:top w:val="single" w:sz="8" w:color="auto"/>
            </w:tcBorders>
            <w:shd w:val="clear" w:color="auto" w:fill="D1EEF5"/>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1,335</w:t>
            </w:r>
          </w:p>
        </w:tc>
        <w:tc>
          <w:tcPr>
            <w:tcW w:w="120" w:type="dxa"/>
            <w:vAlign w:val="bottom"/>
            <w:shd w:val="clear" w:color="auto" w:fill="D1EEF5"/>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Accrued clinical trial liability</w:t>
            </w: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1,391</w:t>
            </w:r>
          </w:p>
        </w:tc>
        <w:tc>
          <w:tcPr>
            <w:tcW w:w="120" w:type="dxa"/>
            <w:vAlign w:val="bottom"/>
          </w:tcPr>
          <w:p>
            <w:pPr>
              <w:spacing w:after="0"/>
              <w:rPr>
                <w:sz w:val="20"/>
                <w:szCs w:val="20"/>
                <w:color w:val="auto"/>
              </w:rPr>
            </w:pPr>
          </w:p>
        </w:tc>
      </w:tr>
      <w:tr>
        <w:trPr>
          <w:trHeight w:val="238"/>
        </w:trPr>
        <w:tc>
          <w:tcPr>
            <w:tcW w:w="6300" w:type="dxa"/>
            <w:vAlign w:val="bottom"/>
            <w:tcBorders>
              <w:bottom w:val="single" w:sz="8" w:color="D4EFF3"/>
            </w:tcBorders>
            <w:shd w:val="clear" w:color="auto" w:fill="D4EFF3"/>
          </w:tcPr>
          <w:p>
            <w:pPr>
              <w:spacing w:after="0" w:line="218" w:lineRule="exact"/>
              <w:rPr>
                <w:sz w:val="20"/>
                <w:szCs w:val="20"/>
                <w:color w:val="auto"/>
              </w:rPr>
            </w:pPr>
            <w:r>
              <w:rPr>
                <w:rFonts w:ascii="Times New Roman" w:cs="Times New Roman" w:eastAsia="Times New Roman" w:hAnsi="Times New Roman"/>
                <w:sz w:val="20"/>
                <w:szCs w:val="20"/>
                <w:color w:val="auto"/>
              </w:rPr>
              <w:t>Total</w:t>
            </w:r>
          </w:p>
        </w:tc>
        <w:tc>
          <w:tcPr>
            <w:tcW w:w="120" w:type="dxa"/>
            <w:vAlign w:val="bottom"/>
            <w:tcBorders>
              <w:bottom w:val="single" w:sz="8" w:color="D4EFF3"/>
            </w:tcBorders>
            <w:shd w:val="clear" w:color="auto" w:fill="D4EFF3"/>
          </w:tcPr>
          <w:p>
            <w:pPr>
              <w:spacing w:after="0"/>
              <w:rPr>
                <w:sz w:val="20"/>
                <w:szCs w:val="20"/>
                <w:color w:val="auto"/>
              </w:rPr>
            </w:pPr>
          </w:p>
        </w:tc>
        <w:tc>
          <w:tcPr>
            <w:tcW w:w="760" w:type="dxa"/>
            <w:vAlign w:val="bottom"/>
            <w:tcBorders>
              <w:bottom w:val="single" w:sz="8" w:color="auto"/>
            </w:tcBorders>
            <w:shd w:val="clear" w:color="auto" w:fill="D1EEF5"/>
          </w:tcPr>
          <w:p>
            <w:pPr>
              <w:jc w:val="right"/>
              <w:ind w:right="56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320" w:type="dxa"/>
            <w:vAlign w:val="bottom"/>
            <w:tcBorders>
              <w:bottom w:val="single" w:sz="8" w:color="auto"/>
            </w:tcBorders>
            <w:shd w:val="clear" w:color="auto" w:fill="D1EEF5"/>
          </w:tcPr>
          <w:p>
            <w:pPr>
              <w:jc w:val="right"/>
              <w:spacing w:after="0" w:line="218" w:lineRule="exact"/>
              <w:rPr>
                <w:sz w:val="20"/>
                <w:szCs w:val="20"/>
                <w:color w:val="auto"/>
              </w:rPr>
            </w:pPr>
            <w:r>
              <w:rPr>
                <w:rFonts w:ascii="Times New Roman" w:cs="Times New Roman" w:eastAsia="Times New Roman" w:hAnsi="Times New Roman"/>
                <w:sz w:val="20"/>
                <w:szCs w:val="20"/>
                <w:color w:val="auto"/>
                <w:w w:val="99"/>
              </w:rPr>
              <w:t>937</w:t>
            </w:r>
          </w:p>
        </w:tc>
        <w:tc>
          <w:tcPr>
            <w:tcW w:w="120" w:type="dxa"/>
            <w:vAlign w:val="bottom"/>
            <w:tcBorders>
              <w:bottom w:val="single" w:sz="8" w:color="D1EEF5"/>
            </w:tcBorders>
            <w:shd w:val="clear" w:color="auto" w:fill="D1EEF5"/>
          </w:tcPr>
          <w:p>
            <w:pPr>
              <w:spacing w:after="0"/>
              <w:rPr>
                <w:sz w:val="20"/>
                <w:szCs w:val="20"/>
                <w:color w:val="auto"/>
              </w:rPr>
            </w:pPr>
          </w:p>
        </w:tc>
        <w:tc>
          <w:tcPr>
            <w:tcW w:w="140" w:type="dxa"/>
            <w:vAlign w:val="bottom"/>
            <w:tcBorders>
              <w:bottom w:val="single" w:sz="8" w:color="D4EFF3"/>
            </w:tcBorders>
            <w:shd w:val="clear" w:color="auto" w:fill="D4EFF3"/>
          </w:tcPr>
          <w:p>
            <w:pPr>
              <w:spacing w:after="0"/>
              <w:rPr>
                <w:sz w:val="20"/>
                <w:szCs w:val="20"/>
                <w:color w:val="auto"/>
              </w:rPr>
            </w:pPr>
          </w:p>
        </w:tc>
        <w:tc>
          <w:tcPr>
            <w:tcW w:w="320" w:type="dxa"/>
            <w:vAlign w:val="bottom"/>
            <w:tcBorders>
              <w:bottom w:val="single" w:sz="8" w:color="auto"/>
            </w:tcBorders>
            <w:shd w:val="clear" w:color="auto" w:fill="D1EEF5"/>
          </w:tcPr>
          <w:p>
            <w:pPr>
              <w:jc w:val="right"/>
              <w:ind w:right="12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1EEF5"/>
          </w:tcPr>
          <w:p>
            <w:pPr>
              <w:jc w:val="right"/>
              <w:spacing w:after="0" w:line="218" w:lineRule="exact"/>
              <w:rPr>
                <w:sz w:val="20"/>
                <w:szCs w:val="20"/>
                <w:color w:val="auto"/>
              </w:rPr>
            </w:pPr>
            <w:r>
              <w:rPr>
                <w:rFonts w:ascii="Times New Roman" w:cs="Times New Roman" w:eastAsia="Times New Roman" w:hAnsi="Times New Roman"/>
                <w:sz w:val="20"/>
                <w:szCs w:val="20"/>
                <w:color w:val="auto"/>
              </w:rPr>
              <w:t>2,726</w:t>
            </w:r>
          </w:p>
        </w:tc>
        <w:tc>
          <w:tcPr>
            <w:tcW w:w="120" w:type="dxa"/>
            <w:vAlign w:val="bottom"/>
            <w:tcBorders>
              <w:bottom w:val="single" w:sz="8" w:color="D1EEF5"/>
            </w:tcBorders>
            <w:shd w:val="clear" w:color="auto" w:fill="D1EEF5"/>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COMMITMENTS AND CONTINGENCIES</w:t>
      </w:r>
    </w:p>
    <w:p>
      <w:pPr>
        <w:spacing w:after="0" w:line="2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color w:val="auto"/>
        </w:rPr>
        <w:t>Facilities Lease Agreements</w:t>
      </w:r>
      <w:r>
        <w:rPr>
          <w:rFonts w:ascii="Times New Roman" w:cs="Times New Roman" w:eastAsia="Times New Roman" w:hAnsi="Times New Roman"/>
          <w:sz w:val="20"/>
          <w:szCs w:val="20"/>
          <w:color w:val="auto"/>
        </w:rPr>
        <w:t>-In January 2022, the Company entered into an 8-year office lease agreement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20,116 square feet facility in Brisbane, California (“Brisbane Lease”). The lease commenced in December 2022.</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 balance of the operating lease right of use assets were $ 7,540 and $8,643, respectively, and the related operating lease liability were $8,141 and $9,011, respectively, as shown in the accompanying consolidated balance sheets.</w:t>
      </w:r>
    </w:p>
    <w:p>
      <w:pPr>
        <w:sectPr>
          <w:pgSz w:w="12240" w:h="15840" w:orient="portrait"/>
          <w:cols w:equalWidth="0" w:num="1">
            <w:col w:w="9360"/>
          </w:cols>
          <w:pgMar w:left="1440" w:top="1418"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Rent expense was $1,946 and $2,244 for the years ended December 31, 2025 and 2024, respectively.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686" name="Shape 6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686" o:spid="_x0000_s17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687" name="Shape 6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87" o:spid="_x0000_s17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688" name="Shape 6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88" o:spid="_x0000_s1713"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689" name="Shape 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89" o:spid="_x0000_s1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690" name="Shape 6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90" o:spid="_x0000_s17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As of December 31, 2025, future minimum annual lease payments under the Company’s operating lease liabilities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Year Ending</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58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Total Commitment</w:t>
            </w:r>
          </w:p>
        </w:tc>
        <w:tc>
          <w:tcPr>
            <w:tcW w:w="0" w:type="dxa"/>
            <w:vAlign w:val="bottom"/>
          </w:tcPr>
          <w:p>
            <w:pPr>
              <w:spacing w:after="0"/>
              <w:rPr>
                <w:sz w:val="1"/>
                <w:szCs w:val="1"/>
                <w:color w:val="auto"/>
              </w:rPr>
            </w:pPr>
          </w:p>
        </w:tc>
      </w:tr>
      <w:tr>
        <w:trPr>
          <w:trHeight w:val="232"/>
        </w:trPr>
        <w:tc>
          <w:tcPr>
            <w:tcW w:w="6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1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2026</w:t>
            </w:r>
          </w:p>
        </w:tc>
        <w:tc>
          <w:tcPr>
            <w:tcW w:w="120" w:type="dxa"/>
            <w:vAlign w:val="bottom"/>
            <w:shd w:val="clear" w:color="auto" w:fill="D4EFF3"/>
          </w:tcPr>
          <w:p>
            <w:pPr>
              <w:spacing w:after="0"/>
              <w:rPr>
                <w:sz w:val="21"/>
                <w:szCs w:val="21"/>
                <w:color w:val="auto"/>
              </w:rPr>
            </w:pPr>
          </w:p>
        </w:tc>
        <w:tc>
          <w:tcPr>
            <w:tcW w:w="20" w:type="dxa"/>
            <w:vAlign w:val="bottom"/>
            <w:shd w:val="clear" w:color="auto" w:fill="D4EFF3"/>
          </w:tcPr>
          <w:p>
            <w:pPr>
              <w:spacing w:after="0"/>
              <w:rPr>
                <w:sz w:val="21"/>
                <w:szCs w:val="21"/>
                <w:color w:val="auto"/>
              </w:rPr>
            </w:pPr>
          </w:p>
        </w:tc>
        <w:tc>
          <w:tcPr>
            <w:tcW w:w="460" w:type="dxa"/>
            <w:vAlign w:val="bottom"/>
            <w:shd w:val="clear" w:color="auto" w:fill="D4EFF3"/>
          </w:tcPr>
          <w:p>
            <w:pPr>
              <w:spacing w:after="0"/>
              <w:rPr>
                <w:sz w:val="21"/>
                <w:szCs w:val="21"/>
                <w:color w:val="auto"/>
              </w:rPr>
            </w:pPr>
          </w:p>
        </w:tc>
        <w:tc>
          <w:tcPr>
            <w:tcW w:w="244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1,926</w:t>
            </w:r>
          </w:p>
        </w:tc>
        <w:tc>
          <w:tcPr>
            <w:tcW w:w="14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8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2027</w:t>
            </w:r>
          </w:p>
        </w:tc>
        <w:tc>
          <w:tcPr>
            <w:tcW w:w="12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460" w:type="dxa"/>
            <w:vAlign w:val="bottom"/>
            <w:tcBorders>
              <w:bottom w:val="single" w:sz="8" w:color="D4EFF3"/>
            </w:tcBorders>
          </w:tcPr>
          <w:p>
            <w:pPr>
              <w:spacing w:after="0"/>
              <w:rPr>
                <w:sz w:val="21"/>
                <w:szCs w:val="21"/>
                <w:color w:val="auto"/>
              </w:rPr>
            </w:pPr>
          </w:p>
        </w:tc>
        <w:tc>
          <w:tcPr>
            <w:tcW w:w="24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140" w:type="dxa"/>
            <w:vAlign w:val="bottom"/>
            <w:tcBorders>
              <w:bottom w:val="single" w:sz="8" w:color="D4EF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2028</w:t>
            </w:r>
          </w:p>
        </w:tc>
        <w:tc>
          <w:tcPr>
            <w:tcW w:w="12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460" w:type="dxa"/>
            <w:vAlign w:val="bottom"/>
            <w:shd w:val="clear" w:color="auto" w:fill="D4EFF3"/>
          </w:tcPr>
          <w:p>
            <w:pPr>
              <w:spacing w:after="0"/>
              <w:rPr>
                <w:sz w:val="19"/>
                <w:szCs w:val="19"/>
                <w:color w:val="auto"/>
              </w:rPr>
            </w:pPr>
          </w:p>
        </w:tc>
        <w:tc>
          <w:tcPr>
            <w:tcW w:w="244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2,064</w:t>
            </w:r>
          </w:p>
        </w:tc>
        <w:tc>
          <w:tcPr>
            <w:tcW w:w="140" w:type="dxa"/>
            <w:vAlign w:val="bottom"/>
            <w:shd w:val="clear" w:color="auto" w:fill="D4EFF3"/>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2030</w:t>
            </w:r>
          </w:p>
        </w:tc>
        <w:tc>
          <w:tcPr>
            <w:tcW w:w="120" w:type="dxa"/>
            <w:vAlign w:val="bottom"/>
            <w:shd w:val="clear" w:color="auto" w:fill="D4EFF3"/>
          </w:tcPr>
          <w:p>
            <w:pPr>
              <w:spacing w:after="0"/>
              <w:rPr>
                <w:sz w:val="21"/>
                <w:szCs w:val="21"/>
                <w:color w:val="auto"/>
              </w:rPr>
            </w:pPr>
          </w:p>
        </w:tc>
        <w:tc>
          <w:tcPr>
            <w:tcW w:w="20" w:type="dxa"/>
            <w:vAlign w:val="bottom"/>
            <w:shd w:val="clear" w:color="auto" w:fill="D4EFF3"/>
          </w:tcPr>
          <w:p>
            <w:pPr>
              <w:spacing w:after="0"/>
              <w:rPr>
                <w:sz w:val="21"/>
                <w:szCs w:val="21"/>
                <w:color w:val="auto"/>
              </w:rPr>
            </w:pPr>
          </w:p>
        </w:tc>
        <w:tc>
          <w:tcPr>
            <w:tcW w:w="460" w:type="dxa"/>
            <w:vAlign w:val="bottom"/>
            <w:tcBorders>
              <w:bottom w:val="single" w:sz="8" w:color="auto"/>
            </w:tcBorders>
            <w:shd w:val="clear" w:color="auto" w:fill="D4EFF3"/>
          </w:tcPr>
          <w:p>
            <w:pPr>
              <w:spacing w:after="0"/>
              <w:rPr>
                <w:sz w:val="21"/>
                <w:szCs w:val="21"/>
                <w:color w:val="auto"/>
              </w:rPr>
            </w:pPr>
          </w:p>
        </w:tc>
        <w:tc>
          <w:tcPr>
            <w:tcW w:w="24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2,210</w:t>
            </w:r>
          </w:p>
        </w:tc>
        <w:tc>
          <w:tcPr>
            <w:tcW w:w="14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Total minimum lease payments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180" w:type="dxa"/>
            <w:vAlign w:val="bottom"/>
            <w:tcBorders>
              <w:bottom w:val="single" w:sz="8" w:color="D4EFF3"/>
            </w:tcBorders>
            <w:shd w:val="clear" w:color="auto" w:fill="D4EFF3"/>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20" w:type="dxa"/>
            <w:vAlign w:val="bottom"/>
            <w:tcBorders>
              <w:bottom w:val="single" w:sz="8" w:color="D4EFF3"/>
            </w:tcBorders>
            <w:shd w:val="clear" w:color="auto" w:fill="D4EFF3"/>
          </w:tcPr>
          <w:p>
            <w:pPr>
              <w:spacing w:after="0"/>
              <w:rPr>
                <w:sz w:val="23"/>
                <w:szCs w:val="23"/>
                <w:color w:val="auto"/>
              </w:rPr>
            </w:pPr>
          </w:p>
        </w:tc>
        <w:tc>
          <w:tcPr>
            <w:tcW w:w="20" w:type="dxa"/>
            <w:vAlign w:val="bottom"/>
            <w:tcBorders>
              <w:bottom w:val="single" w:sz="8" w:color="D4EFF3"/>
            </w:tcBorders>
            <w:shd w:val="clear" w:color="auto" w:fill="D4EFF3"/>
          </w:tcPr>
          <w:p>
            <w:pPr>
              <w:spacing w:after="0"/>
              <w:rPr>
                <w:sz w:val="23"/>
                <w:szCs w:val="23"/>
                <w:color w:val="auto"/>
              </w:rPr>
            </w:pPr>
          </w:p>
        </w:tc>
        <w:tc>
          <w:tcPr>
            <w:tcW w:w="460" w:type="dxa"/>
            <w:vAlign w:val="bottom"/>
            <w:tcBorders>
              <w:bottom w:val="single" w:sz="8" w:color="auto"/>
            </w:tcBorders>
            <w:shd w:val="clear" w:color="auto" w:fill="D4EFF3"/>
          </w:tcPr>
          <w:p>
            <w:pPr>
              <w:spacing w:after="0"/>
              <w:rPr>
                <w:sz w:val="23"/>
                <w:szCs w:val="23"/>
                <w:color w:val="auto"/>
              </w:rPr>
            </w:pPr>
          </w:p>
        </w:tc>
        <w:tc>
          <w:tcPr>
            <w:tcW w:w="24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(2,189)</w:t>
            </w:r>
          </w:p>
        </w:tc>
        <w:tc>
          <w:tcPr>
            <w:tcW w:w="140" w:type="dxa"/>
            <w:vAlign w:val="bottom"/>
            <w:tcBorders>
              <w:bottom w:val="single" w:sz="8" w:color="D4EFF3"/>
            </w:tcBorders>
            <w:shd w:val="clear" w:color="auto" w:fill="D4EFF3"/>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Present value of operating lease obligations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4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8,141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1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Less: current portion</w:t>
            </w:r>
          </w:p>
        </w:tc>
        <w:tc>
          <w:tcPr>
            <w:tcW w:w="120" w:type="dxa"/>
            <w:vAlign w:val="bottom"/>
            <w:shd w:val="clear" w:color="auto" w:fill="D4EFF3"/>
          </w:tcPr>
          <w:p>
            <w:pPr>
              <w:spacing w:after="0"/>
              <w:rPr>
                <w:sz w:val="21"/>
                <w:szCs w:val="21"/>
                <w:color w:val="auto"/>
              </w:rPr>
            </w:pPr>
          </w:p>
        </w:tc>
        <w:tc>
          <w:tcPr>
            <w:tcW w:w="20" w:type="dxa"/>
            <w:vAlign w:val="bottom"/>
            <w:shd w:val="clear" w:color="auto" w:fill="D4EFF3"/>
          </w:tcPr>
          <w:p>
            <w:pPr>
              <w:spacing w:after="0"/>
              <w:rPr>
                <w:sz w:val="21"/>
                <w:szCs w:val="21"/>
                <w:color w:val="auto"/>
              </w:rPr>
            </w:pPr>
          </w:p>
        </w:tc>
        <w:tc>
          <w:tcPr>
            <w:tcW w:w="460" w:type="dxa"/>
            <w:vAlign w:val="bottom"/>
            <w:tcBorders>
              <w:bottom w:val="single" w:sz="8" w:color="auto"/>
            </w:tcBorders>
            <w:shd w:val="clear" w:color="auto" w:fill="D4EFF3"/>
          </w:tcPr>
          <w:p>
            <w:pPr>
              <w:spacing w:after="0"/>
              <w:rPr>
                <w:sz w:val="21"/>
                <w:szCs w:val="21"/>
                <w:color w:val="auto"/>
              </w:rPr>
            </w:pPr>
          </w:p>
        </w:tc>
        <w:tc>
          <w:tcPr>
            <w:tcW w:w="244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140" w:type="dxa"/>
            <w:vAlign w:val="bottom"/>
            <w:shd w:val="clear" w:color="auto" w:fill="D4EFF3"/>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Noncurrent operating lease obligations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-1744980</wp:posOffset>
                </wp:positionV>
                <wp:extent cx="5852795" cy="0"/>
                <wp:wrapNone/>
                <wp:docPr id="691" name="Shape 6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27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91" o:spid="_x0000_s17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7.3999pt" to="460.85pt,-137.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-1126490</wp:posOffset>
                </wp:positionV>
                <wp:extent cx="5852795" cy="0"/>
                <wp:wrapNone/>
                <wp:docPr id="692" name="Shape 6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27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92" o:spid="_x0000_s17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6999pt" to="460.85pt,-88.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-808990</wp:posOffset>
                </wp:positionV>
                <wp:extent cx="5852795" cy="0"/>
                <wp:wrapNone/>
                <wp:docPr id="693" name="Shape 6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279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693" o:spid="_x0000_s17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6999pt" to="460.85pt,-63.6999pt" o:allowincell="f" strokecolor="#FFFFFF" strokeweight="0.7199pt"/>
            </w:pict>
          </mc:Fallback>
        </mc:AlternateConten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Related to this Brisbane Lease agreement, the Company entered into a letter of credit with a bank to deposit $388 in a separate account that is restricted cash to serve as security rent deposit. This amount is included in other noncurrent assets in the accompanying Consolidated Balance Sheets as of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LOAN PAYABLE</w:t>
      </w:r>
    </w:p>
    <w:p>
      <w:pPr>
        <w:spacing w:after="0" w:line="2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January 15, 2021, the Company entered into a loan agreement with Oxford Finance LLC (the “Lender”) to borrow a term loan amount of $35,000 to be funded in three tranches (as amended, the “Loan Agreement”). Tranche A of $15,000 was wired to the Company on January 15, 2021. Tranche B of $10,000 expired on March 31, 2022. Tranche C of $10,000 was available at the Lender’s option.</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December 23, 2022, the Company entered into a First Amendment to the Loan Agreement. The amendment modified the Loan Agreement as follows: (i) each of the Company and Millendo Therapeutics US, Inc., a Delaware corporation and wholly owned subsidiary of the Company (“Millendo”), were joined as co -borrowers under the Loan Agreement; (ii) the interest-only repayment period was extended through December 31, 2023 (which interest -only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Following the amendment to the Loan Agreement, the term loan had a maturity date of August 1, 2025 and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were required to begin on July 1, 2024. Related to this borrowing, the Company recorded loan discounts totaling $898 and paid $95 of debt issuance costs. These amounts would be amortized as additional interest expense over the life of the loan.</w:t>
      </w:r>
    </w:p>
    <w:p>
      <w:pPr>
        <w:spacing w:after="0" w:line="1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April 8, 2025, using cash on hand, the Company made a repayment of $3.5 million in full satisfaction of the aggregate outstanding amount, including accrued interest and exit fees as of such date, under the Loan Agreement with the Lender. The payoff amount paid by the Company in connection with the termination of the Loan Agreement was pursuant to a payoff letter with the Lender and included payment of $0.6 million as an exit fee. Upon making the repayment, the Loan Agreement was terminated in accordance with its terms and all liens and security interests granted thereunder to secure the obligations were released.</w:t>
      </w:r>
    </w:p>
    <w:p>
      <w:pPr>
        <w:sectPr>
          <w:pgSz w:w="12240" w:h="15840" w:orient="portrait"/>
          <w:cols w:equalWidth="0" w:num="1">
            <w:col w:w="9360"/>
          </w:cols>
          <w:pgMar w:left="1440" w:top="1422" w:right="1440" w:bottom="964" w:gutter="0" w:footer="0" w:header="0"/>
        </w:sectPr>
      </w:pPr>
    </w:p>
    <w:bookmarkStart w:id="129" w:name="page130"/>
    <w:bookmarkEnd w:id="129"/>
    <w:p>
      <w:pPr>
        <w:ind w:left="4520" w:right="720" w:hanging="4528"/>
        <w:spacing w:after="0" w:line="402" w:lineRule="auto"/>
        <w:rPr>
          <w:sz w:val="20"/>
          <w:szCs w:val="20"/>
          <w:color w:val="auto"/>
        </w:rPr>
      </w:pPr>
      <w:r>
        <w:rPr>
          <w:rFonts w:ascii="Times New Roman" w:cs="Times New Roman" w:eastAsia="Times New Roman" w:hAnsi="Times New Roman"/>
          <w:sz w:val="20"/>
          <w:szCs w:val="20"/>
          <w:color w:val="auto"/>
        </w:rPr>
        <w:t>For the years ended December 31, 2025 and 2024, total interest expense was $207 and $1,316, respectively. 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23495</wp:posOffset>
                </wp:positionV>
                <wp:extent cx="5943600" cy="0"/>
                <wp:wrapNone/>
                <wp:docPr id="694" name="Shape 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694" o:spid="_x0000_s17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5pt" to="468pt,1.8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17145</wp:posOffset>
                </wp:positionV>
                <wp:extent cx="0" cy="13970"/>
                <wp:wrapNone/>
                <wp:docPr id="695" name="Shape 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695" o:spid="_x0000_s17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35pt" to="467.95pt,2.4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5944870" cy="12700"/>
                <wp:wrapNone/>
                <wp:docPr id="696" name="Shape 6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696" o:spid="_x0000_s1721" style="position:absolute;margin-left:0pt;margin-top:0.7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14605</wp:posOffset>
                </wp:positionV>
                <wp:extent cx="0" cy="16510"/>
                <wp:wrapNone/>
                <wp:docPr id="697" name="Shape 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697" o:spid="_x0000_s17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15pt" to="0.1pt,2.4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26035</wp:posOffset>
                </wp:positionV>
                <wp:extent cx="13335" cy="13335"/>
                <wp:wrapNone/>
                <wp:docPr id="698" name="Shape 6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698" o:spid="_x0000_s1723" style="position:absolute;margin-left:-0.3999pt;margin-top:2.0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5944870" cy="13335"/>
                <wp:wrapNone/>
                <wp:docPr id="699" name="Shape 6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699" o:spid="_x0000_s1724" style="position:absolute;margin-left:0pt;margin-top:2.0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330" w:lineRule="exact"/>
        <w:rPr>
          <w:sz w:val="20"/>
          <w:szCs w:val="20"/>
          <w:color w:val="auto"/>
        </w:rPr>
      </w:pPr>
    </w:p>
    <w:p>
      <w:pPr>
        <w:ind w:right="6600"/>
        <w:spacing w:after="0" w:line="492" w:lineRule="auto"/>
        <w:tabs>
          <w:tab w:leader="none" w:pos="20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Authorized Stock</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Company is authorized to issue 100,000,000 shares of common stock, par value of $0.001 per share, and 5,000,000 shares of preferred stock, 100,000 of which have been designated as Series A Participating Preferred Stock (the “Series A Preferred Stock”), par value of $0.001 per share pursuant to the Company’s adoption the Rights Plan (as defined below). No shares of the Company’s Series A Participating Preferred Stock were outstanding as of December 31, 2025 and 2024. Stockholders are entitled to dividends as declared by the Board of Directors, subject to rights of holders of all classes of stock outstanding having priority rights as to dividends. There have been no cash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Plan</w:t>
      </w:r>
    </w:p>
    <w:p>
      <w:pPr>
        <w:spacing w:after="0" w:line="2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 thousandth of a preferred share, subject to adjustment. The descriptions and terms of the Rights are set forth in a Rights Agreement, dated as of October 10, 2023 (the “Rights Agreement"), between the Company and Computershare Trust Company, NA.</w:t>
      </w:r>
    </w:p>
    <w:p>
      <w:pPr>
        <w:spacing w:after="0" w:line="2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On October 9, 2024, the Company entered into Amendment No. 1 (the “Amendment”) to the Rights Agreement. The Amendment extends the Final Expiration Date of the Rights Agreement until immediately following the Company’s 2025 Annual Meeting of Stockholders or ,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December 5, 2024, the Company entered into Amendment No. 2 (the “Second Amendment”) to the Rights Agreement. The Second Amendment makes certain technical amendments to the rights and obligations of the Company’s Board of Directors to administer and make determinations with respect to the Rights Agreement and the rights issued thereunder. The Rights Agreement otherwise remains unmodified and in full force and effect in accordance with its terms.</w:t>
      </w:r>
    </w:p>
    <w:p>
      <w:pPr>
        <w:spacing w:after="0" w:line="183" w:lineRule="exact"/>
        <w:rPr>
          <w:sz w:val="20"/>
          <w:szCs w:val="20"/>
          <w:color w:val="auto"/>
        </w:rPr>
      </w:pPr>
    </w:p>
    <w:p>
      <w:pPr>
        <w:ind w:right="6020"/>
        <w:spacing w:after="0" w:line="493" w:lineRule="auto"/>
        <w:tabs>
          <w:tab w:leader="none" w:pos="201"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 Equity Plans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 Prior Plans will remain subject to the terms of the applicable prior plan. As a result of the merger with Millendo, the Tempest Prior Plans were assumed by the Company.</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w:t>
      </w:r>
    </w:p>
    <w:p>
      <w:pPr>
        <w:sectPr>
          <w:pgSz w:w="12240" w:h="15840" w:orient="portrait"/>
          <w:cols w:equalWidth="0" w:num="1">
            <w:col w:w="9360"/>
          </w:cols>
          <w:pgMar w:left="1440" w:top="1422" w:right="1440" w:bottom="870" w:gutter="0" w:footer="0" w:header="0"/>
        </w:sectPr>
      </w:pPr>
    </w:p>
    <w:bookmarkStart w:id="130" w:name="page131"/>
    <w:bookmarkEnd w:id="130"/>
    <w:p>
      <w:pPr>
        <w:jc w:val="both"/>
        <w:spacing w:after="0" w:line="277" w:lineRule="auto"/>
        <w:rPr>
          <w:sz w:val="20"/>
          <w:szCs w:val="20"/>
          <w:color w:val="auto"/>
        </w:rPr>
      </w:pPr>
      <w:r>
        <w:rPr>
          <w:rFonts w:ascii="Times New Roman" w:cs="Times New Roman" w:eastAsia="Times New Roman" w:hAnsi="Times New Roman"/>
          <w:sz w:val="20"/>
          <w:szCs w:val="20"/>
          <w:color w:val="auto"/>
        </w:rPr>
        <w:t>“A&amp;R 2019 Plan”), which amended and restated the 2019 Plan and was the successor to, and replacement of, the 2019 Plan.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700" name="Shape 7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700" o:spid="_x0000_s17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01" name="Shape 7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01" o:spid="_x0000_s17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02" name="Shape 7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02" o:spid="_x0000_s172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04" name="Shape 7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04" o:spid="_x0000_s17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of the preceding calendar year, or a lesser number of shares as may be determined by the Board of Directors. Accordingly, on January 1, 2026, the common stock reserved for issuance was increased by 197,086 shares. As of December 31, 2025, there were 47,745 shares available for future grant under the 2023 Plan. In addition, on January 27, 2026, the Company's stockholders approved the amendment to increase the number of shares issuable under the 2023 Plan by 1,410,000 shares of common stock.</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Board of Tempest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December 31, 2025, there were 67,615 shares available for future grant under the 2023 Inducement Plan.</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measures employee and non -employee stock-based awards at grant date fair value and records compensation expense on a straight-line basis over the vesting period of the award.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Ownership Plan</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Board of Millendo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of the preceding calendar year,</w:t>
      </w:r>
    </w:p>
    <w:p>
      <w:pPr>
        <w:spacing w:after="0" w:line="1" w:lineRule="exact"/>
        <w:rPr>
          <w:sz w:val="20"/>
          <w:szCs w:val="20"/>
          <w:color w:val="auto"/>
        </w:rPr>
      </w:pPr>
    </w:p>
    <w:p>
      <w:pPr>
        <w:jc w:val="both"/>
        <w:spacing w:after="0" w:line="243" w:lineRule="auto"/>
        <w:tabs>
          <w:tab w:leader="none" w:pos="30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 shares of Common Stock, or (iii) such lesser number of shares of Common Stock as determined by the Board of Directors (which may be zero). On January 1, 2026, the common stock reserved for issuance was increased by 38,461 shares.</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of December 31, 2025, 68,608 shares of common stock remained available for future issuance under the 2019 ESPP. During the year ended December 31, 2025, 5,955 shares of common stock had been issued under the 2019 ESPP.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ectPr>
          <w:pgSz w:w="12240" w:h="15840" w:orient="portrait"/>
          <w:cols w:equalWidth="0" w:num="1">
            <w:col w:w="9360"/>
          </w:cols>
          <w:pgMar w:left="1440" w:top="1422" w:right="1440" w:bottom="1440" w:gutter="0" w:footer="0" w:header="0"/>
        </w:sectPr>
      </w:pPr>
    </w:p>
    <w:bookmarkStart w:id="131" w:name="page132"/>
    <w:bookmarkEnd w:id="131"/>
    <w:p>
      <w:pPr>
        <w:jc w:val="both"/>
        <w:spacing w:after="0" w:line="249" w:lineRule="auto"/>
        <w:rPr>
          <w:sz w:val="20"/>
          <w:szCs w:val="20"/>
          <w:color w:val="auto"/>
        </w:rPr>
      </w:pPr>
      <w:r>
        <w:rPr>
          <w:rFonts w:ascii="Times New Roman" w:cs="Times New Roman" w:eastAsia="Times New Roman" w:hAnsi="Times New Roman"/>
          <w:sz w:val="20"/>
          <w:szCs w:val="20"/>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Prior to the merger with Millendo, the grant date fair market value of the shares of common stock underlying stock options was determined by the Company’s Board of Directors. Up until the merger, there had been no public market for the Company’s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705" o:spid="_x0000_s17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06" name="Shape 7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06" o:spid="_x0000_s17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07" o:spid="_x0000_s173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09" name="Shape 7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09" o:spid="_x0000_s17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shows the stock option activities for the years ended December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40" w:type="dxa"/>
            <w:vAlign w:val="bottom"/>
          </w:tcPr>
          <w:p>
            <w:pPr>
              <w:spacing w:after="0"/>
              <w:rPr>
                <w:sz w:val="21"/>
                <w:szCs w:val="21"/>
                <w:color w:val="auto"/>
              </w:rPr>
            </w:pP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Total Options Outstanding</w:t>
            </w:r>
          </w:p>
        </w:tc>
        <w:tc>
          <w:tcPr>
            <w:tcW w:w="200" w:type="dxa"/>
            <w:vAlign w:val="bottom"/>
          </w:tcPr>
          <w:p>
            <w:pPr>
              <w:spacing w:after="0"/>
              <w:rPr>
                <w:sz w:val="21"/>
                <w:szCs w:val="21"/>
                <w:color w:val="auto"/>
              </w:rPr>
            </w:pPr>
          </w:p>
        </w:tc>
        <w:tc>
          <w:tcPr>
            <w:tcW w:w="326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Weighted-Average Exercise Price</w:t>
            </w:r>
          </w:p>
        </w:tc>
        <w:tc>
          <w:tcPr>
            <w:tcW w:w="60" w:type="dxa"/>
            <w:vAlign w:val="bottom"/>
          </w:tcPr>
          <w:p>
            <w:pPr>
              <w:spacing w:after="0"/>
              <w:rPr>
                <w:sz w:val="21"/>
                <w:szCs w:val="21"/>
                <w:color w:val="auto"/>
              </w:rPr>
            </w:pPr>
          </w:p>
        </w:tc>
      </w:tr>
      <w:tr>
        <w:trPr>
          <w:trHeight w:val="220"/>
        </w:trPr>
        <w:tc>
          <w:tcPr>
            <w:tcW w:w="29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Balance-December 31, 2023</w:t>
            </w:r>
          </w:p>
        </w:tc>
        <w:tc>
          <w:tcPr>
            <w:tcW w:w="276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273,393</w:t>
            </w:r>
          </w:p>
        </w:tc>
        <w:tc>
          <w:tcPr>
            <w:tcW w:w="140" w:type="dxa"/>
            <w:vAlign w:val="bottom"/>
            <w:shd w:val="clear" w:color="auto" w:fill="D4EFF3"/>
          </w:tcPr>
          <w:p>
            <w:pPr>
              <w:spacing w:after="0"/>
              <w:rPr>
                <w:sz w:val="19"/>
                <w:szCs w:val="19"/>
                <w:color w:val="auto"/>
              </w:rPr>
            </w:pPr>
          </w:p>
        </w:tc>
        <w:tc>
          <w:tcPr>
            <w:tcW w:w="20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326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94.64</w:t>
            </w:r>
          </w:p>
        </w:tc>
        <w:tc>
          <w:tcPr>
            <w:tcW w:w="60" w:type="dxa"/>
            <w:vAlign w:val="bottom"/>
            <w:shd w:val="clear" w:color="auto" w:fill="D4EFF3"/>
          </w:tcPr>
          <w:p>
            <w:pPr>
              <w:spacing w:after="0"/>
              <w:rPr>
                <w:sz w:val="19"/>
                <w:szCs w:val="19"/>
                <w:color w:val="auto"/>
              </w:rPr>
            </w:pPr>
          </w:p>
        </w:tc>
      </w:tr>
      <w:tr>
        <w:trPr>
          <w:trHeight w:val="228"/>
        </w:trPr>
        <w:tc>
          <w:tcPr>
            <w:tcW w:w="29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Granted</w:t>
            </w:r>
          </w:p>
        </w:tc>
        <w:tc>
          <w:tcPr>
            <w:tcW w:w="27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69,009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51.48</w:t>
            </w:r>
          </w:p>
        </w:tc>
        <w:tc>
          <w:tcPr>
            <w:tcW w:w="60" w:type="dxa"/>
            <w:vAlign w:val="bottom"/>
          </w:tcPr>
          <w:p>
            <w:pPr>
              <w:spacing w:after="0"/>
              <w:rPr>
                <w:sz w:val="19"/>
                <w:szCs w:val="19"/>
                <w:color w:val="auto"/>
              </w:rPr>
            </w:pPr>
          </w:p>
        </w:tc>
      </w:tr>
      <w:tr>
        <w:trPr>
          <w:trHeight w:val="230"/>
        </w:trPr>
        <w:tc>
          <w:tcPr>
            <w:tcW w:w="29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Exercised</w:t>
            </w:r>
          </w:p>
        </w:tc>
        <w:tc>
          <w:tcPr>
            <w:tcW w:w="27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(6,284)</w:t>
            </w:r>
          </w:p>
        </w:tc>
        <w:tc>
          <w:tcPr>
            <w:tcW w:w="140" w:type="dxa"/>
            <w:vAlign w:val="bottom"/>
            <w:shd w:val="clear" w:color="auto" w:fill="D4EFF3"/>
          </w:tcPr>
          <w:p>
            <w:pPr>
              <w:spacing w:after="0"/>
              <w:rPr>
                <w:sz w:val="20"/>
                <w:szCs w:val="20"/>
                <w:color w:val="auto"/>
              </w:rPr>
            </w:pPr>
          </w:p>
        </w:tc>
        <w:tc>
          <w:tcPr>
            <w:tcW w:w="200" w:type="dxa"/>
            <w:vAlign w:val="bottom"/>
            <w:shd w:val="clear" w:color="auto" w:fill="D4EFF3"/>
          </w:tcPr>
          <w:p>
            <w:pPr>
              <w:spacing w:after="0"/>
              <w:rPr>
                <w:sz w:val="20"/>
                <w:szCs w:val="20"/>
                <w:color w:val="auto"/>
              </w:rPr>
            </w:pPr>
          </w:p>
        </w:tc>
        <w:tc>
          <w:tcPr>
            <w:tcW w:w="32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24.83</w:t>
            </w:r>
          </w:p>
        </w:tc>
        <w:tc>
          <w:tcPr>
            <w:tcW w:w="60" w:type="dxa"/>
            <w:vAlign w:val="bottom"/>
            <w:shd w:val="clear" w:color="auto" w:fill="D4EFF3"/>
          </w:tcPr>
          <w:p>
            <w:pPr>
              <w:spacing w:after="0"/>
              <w:rPr>
                <w:sz w:val="20"/>
                <w:szCs w:val="20"/>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Cancelled and forfeited</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(16,028)</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106.99</w:t>
            </w:r>
          </w:p>
        </w:tc>
        <w:tc>
          <w:tcPr>
            <w:tcW w:w="60" w:type="dxa"/>
            <w:vAlign w:val="bottom"/>
          </w:tcPr>
          <w:p>
            <w:pPr>
              <w:spacing w:after="0"/>
              <w:rPr>
                <w:sz w:val="20"/>
                <w:szCs w:val="20"/>
                <w:color w:val="auto"/>
              </w:rPr>
            </w:pPr>
          </w:p>
        </w:tc>
      </w:tr>
      <w:tr>
        <w:trPr>
          <w:trHeight w:val="220"/>
        </w:trPr>
        <w:tc>
          <w:tcPr>
            <w:tcW w:w="294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Balance-December 31, 2024</w:t>
            </w:r>
          </w:p>
        </w:tc>
        <w:tc>
          <w:tcPr>
            <w:tcW w:w="276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320,090</w:t>
            </w:r>
          </w:p>
        </w:tc>
        <w:tc>
          <w:tcPr>
            <w:tcW w:w="140" w:type="dxa"/>
            <w:vAlign w:val="bottom"/>
            <w:shd w:val="clear" w:color="auto" w:fill="D4EFF3"/>
          </w:tcPr>
          <w:p>
            <w:pPr>
              <w:spacing w:after="0"/>
              <w:rPr>
                <w:sz w:val="19"/>
                <w:szCs w:val="19"/>
                <w:color w:val="auto"/>
              </w:rPr>
            </w:pPr>
          </w:p>
        </w:tc>
        <w:tc>
          <w:tcPr>
            <w:tcW w:w="20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326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86.06</w:t>
            </w:r>
          </w:p>
        </w:tc>
        <w:tc>
          <w:tcPr>
            <w:tcW w:w="60" w:type="dxa"/>
            <w:vAlign w:val="bottom"/>
            <w:shd w:val="clear" w:color="auto" w:fill="D4EFF3"/>
          </w:tcPr>
          <w:p>
            <w:pPr>
              <w:spacing w:after="0"/>
              <w:rPr>
                <w:sz w:val="19"/>
                <w:szCs w:val="19"/>
                <w:color w:val="auto"/>
              </w:rPr>
            </w:pPr>
          </w:p>
        </w:tc>
      </w:tr>
      <w:tr>
        <w:trPr>
          <w:trHeight w:val="231"/>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w:t>
            </w:r>
          </w:p>
        </w:tc>
        <w:tc>
          <w:tcPr>
            <w:tcW w:w="60" w:type="dxa"/>
            <w:vAlign w:val="bottom"/>
          </w:tcPr>
          <w:p>
            <w:pPr>
              <w:spacing w:after="0"/>
              <w:rPr>
                <w:sz w:val="20"/>
                <w:szCs w:val="20"/>
                <w:color w:val="auto"/>
              </w:rPr>
            </w:pPr>
          </w:p>
        </w:tc>
      </w:tr>
      <w:tr>
        <w:trPr>
          <w:trHeight w:val="230"/>
        </w:trPr>
        <w:tc>
          <w:tcPr>
            <w:tcW w:w="294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Exercised</w:t>
            </w:r>
          </w:p>
        </w:tc>
        <w:tc>
          <w:tcPr>
            <w:tcW w:w="27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FF3"/>
          </w:tcPr>
          <w:p>
            <w:pPr>
              <w:spacing w:after="0"/>
              <w:rPr>
                <w:sz w:val="20"/>
                <w:szCs w:val="20"/>
                <w:color w:val="auto"/>
              </w:rPr>
            </w:pPr>
          </w:p>
        </w:tc>
        <w:tc>
          <w:tcPr>
            <w:tcW w:w="200" w:type="dxa"/>
            <w:vAlign w:val="bottom"/>
            <w:shd w:val="clear" w:color="auto" w:fill="D4EFF3"/>
          </w:tcPr>
          <w:p>
            <w:pPr>
              <w:spacing w:after="0"/>
              <w:rPr>
                <w:sz w:val="20"/>
                <w:szCs w:val="20"/>
                <w:color w:val="auto"/>
              </w:rPr>
            </w:pPr>
          </w:p>
        </w:tc>
        <w:tc>
          <w:tcPr>
            <w:tcW w:w="32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4EFF3"/>
          </w:tcPr>
          <w:p>
            <w:pPr>
              <w:spacing w:after="0"/>
              <w:rPr>
                <w:sz w:val="20"/>
                <w:szCs w:val="20"/>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Cancelled and forfeited</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38"/>
        </w:trPr>
        <w:tc>
          <w:tcPr>
            <w:tcW w:w="2940" w:type="dxa"/>
            <w:vAlign w:val="bottom"/>
            <w:tcBorders>
              <w:bottom w:val="single" w:sz="8" w:color="D4EFF3"/>
            </w:tcBorders>
            <w:shd w:val="clear" w:color="auto" w:fill="D4EFF3"/>
          </w:tcPr>
          <w:p>
            <w:pPr>
              <w:spacing w:after="0" w:line="218" w:lineRule="exact"/>
              <w:rPr>
                <w:sz w:val="20"/>
                <w:szCs w:val="20"/>
                <w:color w:val="auto"/>
              </w:rPr>
            </w:pPr>
            <w:r>
              <w:rPr>
                <w:rFonts w:ascii="Times New Roman" w:cs="Times New Roman" w:eastAsia="Times New Roman" w:hAnsi="Times New Roman"/>
                <w:sz w:val="20"/>
                <w:szCs w:val="20"/>
                <w:color w:val="auto"/>
              </w:rPr>
              <w:t>Balance-December 31, 2025</w:t>
            </w:r>
          </w:p>
        </w:tc>
        <w:tc>
          <w:tcPr>
            <w:tcW w:w="2760" w:type="dxa"/>
            <w:vAlign w:val="bottom"/>
            <w:tcBorders>
              <w:bottom w:val="single" w:sz="8" w:color="auto"/>
            </w:tcBorders>
            <w:shd w:val="clear" w:color="auto" w:fill="D4EFF3"/>
          </w:tcPr>
          <w:p>
            <w:pPr>
              <w:jc w:val="right"/>
              <w:spacing w:after="0" w:line="218" w:lineRule="exact"/>
              <w:rPr>
                <w:sz w:val="20"/>
                <w:szCs w:val="20"/>
                <w:color w:val="auto"/>
              </w:rPr>
            </w:pPr>
            <w:r>
              <w:rPr>
                <w:rFonts w:ascii="Times New Roman" w:cs="Times New Roman" w:eastAsia="Times New Roman" w:hAnsi="Times New Roman"/>
                <w:sz w:val="20"/>
                <w:szCs w:val="20"/>
                <w:color w:val="auto"/>
              </w:rPr>
              <w:t>450,104</w:t>
            </w:r>
          </w:p>
        </w:tc>
        <w:tc>
          <w:tcPr>
            <w:tcW w:w="140" w:type="dxa"/>
            <w:vAlign w:val="bottom"/>
            <w:tcBorders>
              <w:bottom w:val="single" w:sz="8" w:color="D4EFF3"/>
            </w:tcBorders>
            <w:shd w:val="clear" w:color="auto" w:fill="D4EFF3"/>
          </w:tcPr>
          <w:p>
            <w:pPr>
              <w:spacing w:after="0"/>
              <w:rPr>
                <w:sz w:val="20"/>
                <w:szCs w:val="20"/>
                <w:color w:val="auto"/>
              </w:rPr>
            </w:pPr>
          </w:p>
        </w:tc>
        <w:tc>
          <w:tcPr>
            <w:tcW w:w="200" w:type="dxa"/>
            <w:vAlign w:val="bottom"/>
            <w:tcBorders>
              <w:bottom w:val="single" w:sz="8" w:color="D4EFF3"/>
            </w:tcBorders>
            <w:shd w:val="clear" w:color="auto" w:fill="D4EFF3"/>
          </w:tcPr>
          <w:p>
            <w:pPr>
              <w:spacing w:after="0"/>
              <w:rPr>
                <w:sz w:val="20"/>
                <w:szCs w:val="20"/>
                <w:color w:val="auto"/>
              </w:rPr>
            </w:pPr>
          </w:p>
        </w:tc>
        <w:tc>
          <w:tcPr>
            <w:tcW w:w="3260" w:type="dxa"/>
            <w:vAlign w:val="bottom"/>
            <w:tcBorders>
              <w:bottom w:val="single" w:sz="8" w:color="D4EFF3"/>
            </w:tcBorders>
            <w:shd w:val="clear" w:color="auto" w:fill="D4EFF3"/>
          </w:tcPr>
          <w:p>
            <w:pPr>
              <w:jc w:val="right"/>
              <w:spacing w:after="0" w:line="218" w:lineRule="exact"/>
              <w:rPr>
                <w:sz w:val="20"/>
                <w:szCs w:val="20"/>
                <w:color w:val="auto"/>
              </w:rPr>
            </w:pPr>
            <w:r>
              <w:rPr>
                <w:rFonts w:ascii="Times New Roman" w:cs="Times New Roman" w:eastAsia="Times New Roman" w:hAnsi="Times New Roman"/>
                <w:sz w:val="20"/>
                <w:szCs w:val="20"/>
                <w:color w:val="auto"/>
              </w:rPr>
              <w:t>64.44</w:t>
            </w:r>
          </w:p>
        </w:tc>
        <w:tc>
          <w:tcPr>
            <w:tcW w:w="60" w:type="dxa"/>
            <w:vAlign w:val="bottom"/>
            <w:tcBorders>
              <w:bottom w:val="single" w:sz="8" w:color="D4EFF3"/>
            </w:tcBorders>
            <w:shd w:val="clear" w:color="auto" w:fill="D4EFF3"/>
          </w:tcPr>
          <w:p>
            <w:pPr>
              <w:spacing w:after="0"/>
              <w:rPr>
                <w:sz w:val="20"/>
                <w:szCs w:val="20"/>
                <w:color w:val="auto"/>
              </w:rPr>
            </w:pPr>
          </w:p>
        </w:tc>
      </w:tr>
      <w:tr>
        <w:trPr>
          <w:trHeight w:val="20"/>
        </w:trPr>
        <w:tc>
          <w:tcPr>
            <w:tcW w:w="294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about stock options outstanding at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Weighted Average Remaining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Weighted Average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40" w:type="dxa"/>
            <w:vAlign w:val="bottom"/>
          </w:tcPr>
          <w:p>
            <w:pPr>
              <w:spacing w:after="0"/>
              <w:rPr>
                <w:sz w:val="19"/>
                <w:szCs w:val="19"/>
                <w:color w:val="auto"/>
              </w:rPr>
            </w:pPr>
          </w:p>
        </w:tc>
      </w:tr>
      <w:tr>
        <w:trPr>
          <w:trHeight w:val="255"/>
        </w:trPr>
        <w:tc>
          <w:tcPr>
            <w:tcW w:w="1680" w:type="dxa"/>
            <w:vAlign w:val="bottom"/>
          </w:tcPr>
          <w:p>
            <w:pPr>
              <w:spacing w:after="0"/>
              <w:rPr>
                <w:sz w:val="22"/>
                <w:szCs w:val="22"/>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Pr>
          <w:p>
            <w:pPr>
              <w:spacing w:after="0"/>
              <w:rPr>
                <w:sz w:val="22"/>
                <w:szCs w:val="22"/>
                <w:color w:val="auto"/>
              </w:rPr>
            </w:pPr>
          </w:p>
        </w:tc>
        <w:tc>
          <w:tcPr>
            <w:tcW w:w="31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Contractual Life (In Years)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Exercise Price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Intrinsic Value</w:t>
            </w:r>
          </w:p>
        </w:tc>
        <w:tc>
          <w:tcPr>
            <w:tcW w:w="40" w:type="dxa"/>
            <w:vAlign w:val="bottom"/>
          </w:tcPr>
          <w:p>
            <w:pPr>
              <w:spacing w:after="0"/>
              <w:rPr>
                <w:sz w:val="22"/>
                <w:szCs w:val="22"/>
                <w:color w:val="auto"/>
              </w:rPr>
            </w:pPr>
          </w:p>
        </w:tc>
      </w:tr>
      <w:tr>
        <w:trPr>
          <w:trHeight w:val="218"/>
        </w:trPr>
        <w:tc>
          <w:tcPr>
            <w:tcW w:w="1680" w:type="dxa"/>
            <w:vAlign w:val="bottom"/>
            <w:shd w:val="clear" w:color="auto" w:fill="D4EFF3"/>
          </w:tcPr>
          <w:p>
            <w:pPr>
              <w:spacing w:after="0" w:line="218" w:lineRule="exact"/>
              <w:rPr>
                <w:sz w:val="20"/>
                <w:szCs w:val="20"/>
                <w:color w:val="auto"/>
              </w:rPr>
            </w:pPr>
            <w:r>
              <w:rPr>
                <w:rFonts w:ascii="Times New Roman" w:cs="Times New Roman" w:eastAsia="Times New Roman" w:hAnsi="Times New Roman"/>
                <w:sz w:val="20"/>
                <w:szCs w:val="20"/>
                <w:color w:val="auto"/>
                <w:shd w:val="clear" w:color="auto" w:fill="D4EFF3"/>
              </w:rPr>
              <w:t>Options outstanding</w:t>
            </w:r>
          </w:p>
        </w:tc>
        <w:tc>
          <w:tcPr>
            <w:tcW w:w="700" w:type="dxa"/>
            <w:vAlign w:val="bottom"/>
            <w:shd w:val="clear" w:color="auto" w:fill="D4EFF3"/>
          </w:tcPr>
          <w:p>
            <w:pPr>
              <w:ind w:left="40"/>
              <w:spacing w:after="0" w:line="218" w:lineRule="exact"/>
              <w:rPr>
                <w:sz w:val="20"/>
                <w:szCs w:val="20"/>
                <w:color w:val="auto"/>
              </w:rPr>
            </w:pPr>
            <w:r>
              <w:rPr>
                <w:rFonts w:ascii="Times New Roman" w:cs="Times New Roman" w:eastAsia="Times New Roman" w:hAnsi="Times New Roman"/>
                <w:sz w:val="20"/>
                <w:szCs w:val="20"/>
                <w:color w:val="auto"/>
                <w:w w:val="98"/>
              </w:rPr>
              <w:t>450,104</w:t>
            </w:r>
          </w:p>
        </w:tc>
        <w:tc>
          <w:tcPr>
            <w:tcW w:w="100" w:type="dxa"/>
            <w:vAlign w:val="bottom"/>
            <w:shd w:val="clear" w:color="auto" w:fill="D4EFF3"/>
          </w:tcPr>
          <w:p>
            <w:pPr>
              <w:spacing w:after="0"/>
              <w:rPr>
                <w:sz w:val="18"/>
                <w:szCs w:val="18"/>
                <w:color w:val="auto"/>
              </w:rPr>
            </w:pPr>
          </w:p>
        </w:tc>
        <w:tc>
          <w:tcPr>
            <w:tcW w:w="3140" w:type="dxa"/>
            <w:vAlign w:val="bottom"/>
            <w:shd w:val="clear" w:color="auto" w:fill="D4EFF3"/>
          </w:tcPr>
          <w:p>
            <w:pPr>
              <w:jc w:val="right"/>
              <w:spacing w:after="0" w:line="218" w:lineRule="exact"/>
              <w:rPr>
                <w:sz w:val="20"/>
                <w:szCs w:val="20"/>
                <w:color w:val="auto"/>
              </w:rPr>
            </w:pPr>
            <w:r>
              <w:rPr>
                <w:rFonts w:ascii="Times New Roman" w:cs="Times New Roman" w:eastAsia="Times New Roman" w:hAnsi="Times New Roman"/>
                <w:sz w:val="20"/>
                <w:szCs w:val="20"/>
                <w:color w:val="auto"/>
              </w:rPr>
              <w:t>7.71</w:t>
            </w:r>
          </w:p>
        </w:tc>
        <w:tc>
          <w:tcPr>
            <w:tcW w:w="100" w:type="dxa"/>
            <w:vAlign w:val="bottom"/>
            <w:shd w:val="clear" w:color="auto" w:fill="D4EFF3"/>
          </w:tcPr>
          <w:p>
            <w:pPr>
              <w:spacing w:after="0"/>
              <w:rPr>
                <w:sz w:val="18"/>
                <w:szCs w:val="18"/>
                <w:color w:val="auto"/>
              </w:rPr>
            </w:pPr>
          </w:p>
        </w:tc>
        <w:tc>
          <w:tcPr>
            <w:tcW w:w="120" w:type="dxa"/>
            <w:vAlign w:val="bottom"/>
            <w:shd w:val="clear" w:color="auto" w:fill="D4EFF3"/>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shd w:val="clear" w:color="auto" w:fill="D4EFF3"/>
          </w:tcPr>
          <w:p>
            <w:pPr>
              <w:jc w:val="right"/>
              <w:spacing w:after="0" w:line="218" w:lineRule="exact"/>
              <w:rPr>
                <w:sz w:val="20"/>
                <w:szCs w:val="20"/>
                <w:color w:val="auto"/>
              </w:rPr>
            </w:pPr>
            <w:r>
              <w:rPr>
                <w:rFonts w:ascii="Times New Roman" w:cs="Times New Roman" w:eastAsia="Times New Roman" w:hAnsi="Times New Roman"/>
                <w:sz w:val="20"/>
                <w:szCs w:val="20"/>
                <w:color w:val="auto"/>
              </w:rPr>
              <w:t>64.44</w:t>
            </w:r>
          </w:p>
        </w:tc>
        <w:tc>
          <w:tcPr>
            <w:tcW w:w="100" w:type="dxa"/>
            <w:vAlign w:val="bottom"/>
            <w:shd w:val="clear" w:color="auto" w:fill="D4EFF3"/>
          </w:tcPr>
          <w:p>
            <w:pPr>
              <w:spacing w:after="0"/>
              <w:rPr>
                <w:sz w:val="18"/>
                <w:szCs w:val="18"/>
                <w:color w:val="auto"/>
              </w:rPr>
            </w:pPr>
          </w:p>
        </w:tc>
        <w:tc>
          <w:tcPr>
            <w:tcW w:w="120" w:type="dxa"/>
            <w:vAlign w:val="bottom"/>
            <w:shd w:val="clear" w:color="auto" w:fill="D4EFF3"/>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shd w:val="clear" w:color="auto" w:fill="D4EFF3"/>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4EFF3"/>
          </w:tcPr>
          <w:p>
            <w:pPr>
              <w:spacing w:after="0"/>
              <w:rPr>
                <w:sz w:val="18"/>
                <w:szCs w:val="18"/>
                <w:color w:val="auto"/>
              </w:rPr>
            </w:pPr>
          </w:p>
        </w:tc>
      </w:tr>
      <w:tr>
        <w:trPr>
          <w:trHeight w:val="212"/>
        </w:trPr>
        <w:tc>
          <w:tcPr>
            <w:tcW w:w="16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Vested and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expected to vest</w:t>
            </w:r>
          </w:p>
        </w:tc>
        <w:tc>
          <w:tcPr>
            <w:tcW w:w="7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450,104</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1"/>
                <w:szCs w:val="21"/>
                <w:color w:val="auto"/>
              </w:rPr>
            </w:pPr>
          </w:p>
        </w:tc>
      </w:tr>
      <w:tr>
        <w:trPr>
          <w:trHeight w:val="230"/>
        </w:trPr>
        <w:tc>
          <w:tcPr>
            <w:tcW w:w="1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Exercisable</w:t>
            </w:r>
          </w:p>
        </w:tc>
        <w:tc>
          <w:tcPr>
            <w:tcW w:w="70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w w:val="98"/>
              </w:rPr>
              <w:t>441,792</w:t>
            </w:r>
          </w:p>
        </w:tc>
        <w:tc>
          <w:tcPr>
            <w:tcW w:w="324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100" w:type="dxa"/>
            <w:vAlign w:val="bottom"/>
            <w:shd w:val="clear" w:color="auto" w:fill="D4EFF3"/>
          </w:tcPr>
          <w:p>
            <w:pPr>
              <w:spacing w:after="0"/>
              <w:rPr>
                <w:sz w:val="20"/>
                <w:szCs w:val="20"/>
                <w:color w:val="auto"/>
              </w:rPr>
            </w:pPr>
          </w:p>
        </w:tc>
        <w:tc>
          <w:tcPr>
            <w:tcW w:w="12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64.51</w:t>
            </w:r>
          </w:p>
        </w:tc>
        <w:tc>
          <w:tcPr>
            <w:tcW w:w="220" w:type="dxa"/>
            <w:vAlign w:val="bottom"/>
            <w:gridSpan w:val="2"/>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4EFF3"/>
          </w:tcPr>
          <w:p>
            <w:pPr>
              <w:spacing w:after="0"/>
              <w:rPr>
                <w:sz w:val="20"/>
                <w:szCs w:val="20"/>
                <w:color w:val="auto"/>
              </w:rPr>
            </w:pPr>
          </w:p>
        </w:tc>
      </w:tr>
    </w:tbl>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During the years ended December 31, 2025 and 2024, the Company granted employees and non-employees stock options to purchase 130,014 and 69,009 shares of common stock with a weighted-average grant date fair value of $11.20 and $51.48 per share, respectively. As of December 31, 2025 and 2024, total unrecognized compensation costs related to unvested employee stock options were $389 and $12,352, respectively. These costs are expected to be recognized over a weighted-average period of approximately 1.5 years and 2.6 years, respectively. The fair market value of stock options vested was $2,576 and $5,303 for the years ended December 31, 2025 and 2024, respectively.</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years ended December 31, 2025 and 2024:</w:t>
      </w:r>
    </w:p>
    <w:p>
      <w:pPr>
        <w:sectPr>
          <w:pgSz w:w="12240" w:h="15840" w:orient="portrait"/>
          <w:cols w:equalWidth="0" w:num="1">
            <w:col w:w="9360"/>
          </w:cols>
          <w:pgMar w:left="1440" w:top="1422"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73"/>
        </w:trPr>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r>
      <w:tr>
        <w:trPr>
          <w:trHeight w:val="212"/>
        </w:trPr>
        <w:tc>
          <w:tcPr>
            <w:tcW w:w="3960" w:type="dxa"/>
            <w:vAlign w:val="bottom"/>
            <w:tcBorders>
              <w:top w:val="single" w:sz="8" w:color="D4EFF3"/>
            </w:tcBorders>
            <w:shd w:val="clear" w:color="auto" w:fill="D4EFF3"/>
          </w:tcPr>
          <w:p>
            <w:pPr>
              <w:spacing w:after="0" w:line="212" w:lineRule="exact"/>
              <w:rPr>
                <w:sz w:val="20"/>
                <w:szCs w:val="20"/>
                <w:color w:val="auto"/>
              </w:rPr>
            </w:pPr>
            <w:r>
              <w:rPr>
                <w:rFonts w:ascii="Times New Roman" w:cs="Times New Roman" w:eastAsia="Times New Roman" w:hAnsi="Times New Roman"/>
                <w:sz w:val="20"/>
                <w:szCs w:val="20"/>
                <w:color w:val="auto"/>
              </w:rPr>
              <w:t>Expected term (in years)</w:t>
            </w:r>
          </w:p>
        </w:tc>
        <w:tc>
          <w:tcPr>
            <w:tcW w:w="120" w:type="dxa"/>
            <w:vAlign w:val="bottom"/>
            <w:tcBorders>
              <w:top w:val="single" w:sz="8" w:color="D4EFF3"/>
            </w:tcBorders>
            <w:shd w:val="clear" w:color="auto" w:fill="D4EFF3"/>
          </w:tcPr>
          <w:p>
            <w:pPr>
              <w:spacing w:after="0"/>
              <w:rPr>
                <w:sz w:val="18"/>
                <w:szCs w:val="18"/>
                <w:color w:val="auto"/>
              </w:rPr>
            </w:pPr>
          </w:p>
        </w:tc>
        <w:tc>
          <w:tcPr>
            <w:tcW w:w="2220" w:type="dxa"/>
            <w:vAlign w:val="bottom"/>
            <w:tcBorders>
              <w:top w:val="single" w:sz="8" w:color="D4EFF3"/>
            </w:tcBorders>
            <w:gridSpan w:val="2"/>
            <w:shd w:val="clear" w:color="auto" w:fill="D4EFF3"/>
          </w:tcPr>
          <w:p>
            <w:pPr>
              <w:jc w:val="right"/>
              <w:spacing w:after="0" w:line="212" w:lineRule="exact"/>
              <w:rPr>
                <w:sz w:val="20"/>
                <w:szCs w:val="20"/>
                <w:color w:val="auto"/>
              </w:rPr>
            </w:pPr>
            <w:r>
              <w:rPr>
                <w:rFonts w:ascii="Times New Roman" w:cs="Times New Roman" w:eastAsia="Times New Roman" w:hAnsi="Times New Roman"/>
                <w:sz w:val="20"/>
                <w:szCs w:val="20"/>
                <w:color w:val="auto"/>
              </w:rPr>
              <w:t>6.0</w:t>
            </w:r>
          </w:p>
        </w:tc>
        <w:tc>
          <w:tcPr>
            <w:tcW w:w="360" w:type="dxa"/>
            <w:vAlign w:val="bottom"/>
            <w:tcBorders>
              <w:top w:val="single" w:sz="8" w:color="D4EFF3"/>
            </w:tcBorders>
            <w:shd w:val="clear" w:color="auto" w:fill="D4EFF3"/>
          </w:tcPr>
          <w:p>
            <w:pPr>
              <w:spacing w:after="0"/>
              <w:rPr>
                <w:sz w:val="18"/>
                <w:szCs w:val="18"/>
                <w:color w:val="auto"/>
              </w:rPr>
            </w:pPr>
          </w:p>
        </w:tc>
        <w:tc>
          <w:tcPr>
            <w:tcW w:w="100" w:type="dxa"/>
            <w:vAlign w:val="bottom"/>
            <w:tcBorders>
              <w:top w:val="single" w:sz="8" w:color="D4EFF3"/>
            </w:tcBorders>
            <w:shd w:val="clear" w:color="auto" w:fill="D4EFF3"/>
          </w:tcPr>
          <w:p>
            <w:pPr>
              <w:spacing w:after="0"/>
              <w:rPr>
                <w:sz w:val="18"/>
                <w:szCs w:val="18"/>
                <w:color w:val="auto"/>
              </w:rPr>
            </w:pPr>
          </w:p>
        </w:tc>
        <w:tc>
          <w:tcPr>
            <w:tcW w:w="20" w:type="dxa"/>
            <w:vAlign w:val="bottom"/>
            <w:tcBorders>
              <w:top w:val="single" w:sz="8" w:color="D4EFF3"/>
            </w:tcBorders>
            <w:shd w:val="clear" w:color="auto" w:fill="D4EFF3"/>
          </w:tcPr>
          <w:p>
            <w:pPr>
              <w:spacing w:after="0"/>
              <w:rPr>
                <w:sz w:val="18"/>
                <w:szCs w:val="18"/>
                <w:color w:val="auto"/>
              </w:rPr>
            </w:pPr>
          </w:p>
        </w:tc>
        <w:tc>
          <w:tcPr>
            <w:tcW w:w="2200" w:type="dxa"/>
            <w:vAlign w:val="bottom"/>
            <w:tcBorders>
              <w:top w:val="single" w:sz="8" w:color="D4EFF3"/>
            </w:tcBorders>
            <w:gridSpan w:val="2"/>
            <w:shd w:val="clear" w:color="auto" w:fill="D4EFF3"/>
          </w:tcPr>
          <w:p>
            <w:pPr>
              <w:jc w:val="right"/>
              <w:spacing w:after="0" w:line="212" w:lineRule="exact"/>
              <w:rPr>
                <w:sz w:val="20"/>
                <w:szCs w:val="20"/>
                <w:color w:val="auto"/>
              </w:rPr>
            </w:pPr>
            <w:r>
              <w:rPr>
                <w:rFonts w:ascii="Times New Roman" w:cs="Times New Roman" w:eastAsia="Times New Roman" w:hAnsi="Times New Roman"/>
                <w:sz w:val="20"/>
                <w:szCs w:val="20"/>
                <w:color w:val="auto"/>
              </w:rPr>
              <w:t>5.5 - 6.1</w:t>
            </w:r>
          </w:p>
        </w:tc>
        <w:tc>
          <w:tcPr>
            <w:tcW w:w="20" w:type="dxa"/>
            <w:vAlign w:val="bottom"/>
            <w:tcBorders>
              <w:top w:val="single" w:sz="8" w:color="D4EFF3"/>
            </w:tcBorders>
            <w:shd w:val="clear" w:color="auto" w:fill="D4EFF3"/>
          </w:tcPr>
          <w:p>
            <w:pPr>
              <w:spacing w:after="0"/>
              <w:rPr>
                <w:sz w:val="18"/>
                <w:szCs w:val="18"/>
                <w:color w:val="auto"/>
              </w:rPr>
            </w:pPr>
          </w:p>
        </w:tc>
        <w:tc>
          <w:tcPr>
            <w:tcW w:w="360" w:type="dxa"/>
            <w:vAlign w:val="bottom"/>
            <w:tcBorders>
              <w:top w:val="single" w:sz="8" w:color="D4EFF3"/>
            </w:tcBorders>
            <w:shd w:val="clear" w:color="auto" w:fill="D4EFF3"/>
          </w:tcPr>
          <w:p>
            <w:pPr>
              <w:spacing w:after="0"/>
              <w:rPr>
                <w:sz w:val="18"/>
                <w:szCs w:val="18"/>
                <w:color w:val="auto"/>
              </w:rPr>
            </w:pPr>
          </w:p>
        </w:tc>
      </w:tr>
      <w:tr>
        <w:trPr>
          <w:trHeight w:val="245"/>
        </w:trPr>
        <w:tc>
          <w:tcPr>
            <w:tcW w:w="396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20" w:type="dxa"/>
            <w:vAlign w:val="bottom"/>
            <w:tcBorders>
              <w:bottom w:val="single" w:sz="8" w:color="D4EFF3"/>
            </w:tcBorders>
          </w:tcPr>
          <w:p>
            <w:pPr>
              <w:spacing w:after="0"/>
              <w:rPr>
                <w:sz w:val="21"/>
                <w:szCs w:val="21"/>
                <w:color w:val="auto"/>
              </w:rPr>
            </w:pPr>
          </w:p>
        </w:tc>
        <w:tc>
          <w:tcPr>
            <w:tcW w:w="222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115% - 116%</w:t>
            </w:r>
          </w:p>
        </w:tc>
        <w:tc>
          <w:tcPr>
            <w:tcW w:w="36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2220" w:type="dxa"/>
            <w:vAlign w:val="bottom"/>
            <w:tcBorders>
              <w:bottom w:val="single" w:sz="8" w:color="D4EFF3"/>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109% - 124%</w:t>
            </w:r>
          </w:p>
        </w:tc>
        <w:tc>
          <w:tcPr>
            <w:tcW w:w="360" w:type="dxa"/>
            <w:vAlign w:val="bottom"/>
            <w:tcBorders>
              <w:bottom w:val="single" w:sz="8" w:color="D4EFF3"/>
            </w:tcBorders>
          </w:tcPr>
          <w:p>
            <w:pPr>
              <w:spacing w:after="0"/>
              <w:rPr>
                <w:sz w:val="21"/>
                <w:szCs w:val="21"/>
                <w:color w:val="auto"/>
              </w:rPr>
            </w:pPr>
          </w:p>
        </w:tc>
      </w:tr>
      <w:tr>
        <w:trPr>
          <w:trHeight w:val="225"/>
        </w:trPr>
        <w:tc>
          <w:tcPr>
            <w:tcW w:w="3960" w:type="dxa"/>
            <w:vAlign w:val="bottom"/>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Risk-free interest rate</w:t>
            </w:r>
          </w:p>
        </w:tc>
        <w:tc>
          <w:tcPr>
            <w:tcW w:w="120" w:type="dxa"/>
            <w:vAlign w:val="bottom"/>
            <w:tcBorders>
              <w:bottom w:val="single" w:sz="8" w:color="D4EFF3"/>
            </w:tcBorders>
            <w:shd w:val="clear" w:color="auto" w:fill="D4EFF3"/>
          </w:tcPr>
          <w:p>
            <w:pPr>
              <w:spacing w:after="0"/>
              <w:rPr>
                <w:sz w:val="19"/>
                <w:szCs w:val="19"/>
                <w:color w:val="auto"/>
              </w:rPr>
            </w:pPr>
          </w:p>
        </w:tc>
        <w:tc>
          <w:tcPr>
            <w:tcW w:w="420" w:type="dxa"/>
            <w:vAlign w:val="bottom"/>
            <w:tcBorders>
              <w:bottom w:val="single" w:sz="8" w:color="D4EFF3"/>
            </w:tcBorders>
            <w:shd w:val="clear" w:color="auto" w:fill="D4EFF3"/>
          </w:tcPr>
          <w:p>
            <w:pPr>
              <w:spacing w:after="0"/>
              <w:rPr>
                <w:sz w:val="19"/>
                <w:szCs w:val="19"/>
                <w:color w:val="auto"/>
              </w:rPr>
            </w:pPr>
          </w:p>
        </w:tc>
        <w:tc>
          <w:tcPr>
            <w:tcW w:w="21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4.4%</w:t>
            </w:r>
          </w:p>
        </w:tc>
        <w:tc>
          <w:tcPr>
            <w:tcW w:w="100" w:type="dxa"/>
            <w:vAlign w:val="bottom"/>
            <w:tcBorders>
              <w:bottom w:val="single" w:sz="8" w:color="D4EFF3"/>
            </w:tcBorders>
            <w:shd w:val="clear" w:color="auto" w:fill="D4EFF3"/>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D4EFF3"/>
            </w:tcBorders>
            <w:shd w:val="clear" w:color="auto" w:fill="D4EFF3"/>
          </w:tcPr>
          <w:p>
            <w:pPr>
              <w:spacing w:after="0"/>
              <w:rPr>
                <w:sz w:val="19"/>
                <w:szCs w:val="19"/>
                <w:color w:val="auto"/>
              </w:rPr>
            </w:pPr>
          </w:p>
        </w:tc>
        <w:tc>
          <w:tcPr>
            <w:tcW w:w="122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3.5% - 4.7%</w:t>
            </w:r>
          </w:p>
        </w:tc>
        <w:tc>
          <w:tcPr>
            <w:tcW w:w="20" w:type="dxa"/>
            <w:vAlign w:val="bottom"/>
          </w:tcPr>
          <w:p>
            <w:pPr>
              <w:spacing w:after="0"/>
              <w:rPr>
                <w:sz w:val="19"/>
                <w:szCs w:val="19"/>
                <w:color w:val="auto"/>
              </w:rPr>
            </w:pPr>
          </w:p>
        </w:tc>
        <w:tc>
          <w:tcPr>
            <w:tcW w:w="360" w:type="dxa"/>
            <w:vAlign w:val="bottom"/>
            <w:shd w:val="clear" w:color="auto" w:fill="D4EFF3"/>
          </w:tcPr>
          <w:p>
            <w:pPr>
              <w:spacing w:after="0"/>
              <w:rPr>
                <w:sz w:val="19"/>
                <w:szCs w:val="19"/>
                <w:color w:val="auto"/>
              </w:rPr>
            </w:pPr>
          </w:p>
        </w:tc>
      </w:tr>
      <w:tr>
        <w:trPr>
          <w:trHeight w:val="222"/>
        </w:trPr>
        <w:tc>
          <w:tcPr>
            <w:tcW w:w="39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Dividends</w:t>
            </w:r>
          </w:p>
        </w:tc>
        <w:tc>
          <w:tcPr>
            <w:tcW w:w="120" w:type="dxa"/>
            <w:vAlign w:val="bottom"/>
          </w:tcPr>
          <w:p>
            <w:pPr>
              <w:spacing w:after="0"/>
              <w:rPr>
                <w:sz w:val="19"/>
                <w:szCs w:val="19"/>
                <w:color w:val="auto"/>
              </w:rPr>
            </w:pPr>
          </w:p>
        </w:tc>
        <w:tc>
          <w:tcPr>
            <w:tcW w:w="258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6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w w:val="8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2591435</wp:posOffset>
                </wp:positionH>
                <wp:positionV relativeFrom="paragraph">
                  <wp:posOffset>-308610</wp:posOffset>
                </wp:positionV>
                <wp:extent cx="1407160" cy="155575"/>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160" cy="155575"/>
                        </a:xfrm>
                        <a:prstGeom prst="rect">
                          <a:avLst/>
                        </a:prstGeom>
                        <a:solidFill>
                          <a:srgbClr val="D4EFF3"/>
                        </a:solidFill>
                      </wps:spPr>
                      <wps:bodyPr/>
                    </wps:wsp>
                  </a:graphicData>
                </a:graphic>
              </wp:anchor>
            </w:drawing>
          </mc:Choice>
          <mc:Fallback>
            <w:pict>
              <v:rect id="Shape 710" o:spid="_x0000_s1735" style="position:absolute;margin-left:204.05pt;margin-top:-24.2999pt;width:110.8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2865755</wp:posOffset>
                </wp:positionH>
                <wp:positionV relativeFrom="paragraph">
                  <wp:posOffset>-299720</wp:posOffset>
                </wp:positionV>
                <wp:extent cx="1123315" cy="146050"/>
                <wp:wrapNone/>
                <wp:docPr id="711" name="Shape 7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3315" cy="146050"/>
                        </a:xfrm>
                        <a:prstGeom prst="rect">
                          <a:avLst/>
                        </a:prstGeom>
                        <a:solidFill>
                          <a:srgbClr val="D4EFF3"/>
                        </a:solidFill>
                      </wps:spPr>
                      <wps:bodyPr/>
                    </wps:wsp>
                  </a:graphicData>
                </a:graphic>
              </wp:anchor>
            </w:drawing>
          </mc:Choice>
          <mc:Fallback>
            <w:pict>
              <v:rect id="Shape 711" o:spid="_x0000_s1736" style="position:absolute;margin-left:225.65pt;margin-top:-23.5999pt;width:88.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3998595</wp:posOffset>
                </wp:positionH>
                <wp:positionV relativeFrom="paragraph">
                  <wp:posOffset>-308610</wp:posOffset>
                </wp:positionV>
                <wp:extent cx="1717675" cy="155575"/>
                <wp:wrapNone/>
                <wp:docPr id="712" name="Shape 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7675" cy="155575"/>
                        </a:xfrm>
                        <a:prstGeom prst="rect">
                          <a:avLst/>
                        </a:prstGeom>
                        <a:solidFill>
                          <a:srgbClr val="D4EFF3"/>
                        </a:solidFill>
                      </wps:spPr>
                      <wps:bodyPr/>
                    </wps:wsp>
                  </a:graphicData>
                </a:graphic>
              </wp:anchor>
            </w:drawing>
          </mc:Choice>
          <mc:Fallback>
            <w:pict>
              <v:rect id="Shape 712" o:spid="_x0000_s1737" style="position:absolute;margin-left:314.85pt;margin-top:-24.2999pt;width:135.2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3997960</wp:posOffset>
                </wp:positionH>
                <wp:positionV relativeFrom="paragraph">
                  <wp:posOffset>-299720</wp:posOffset>
                </wp:positionV>
                <wp:extent cx="220980" cy="146050"/>
                <wp:wrapNone/>
                <wp:docPr id="713" name="Shape 7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980" cy="146050"/>
                        </a:xfrm>
                        <a:prstGeom prst="rect">
                          <a:avLst/>
                        </a:prstGeom>
                        <a:solidFill>
                          <a:srgbClr val="D4EFF3"/>
                        </a:solidFill>
                      </wps:spPr>
                      <wps:bodyPr/>
                    </wps:wsp>
                  </a:graphicData>
                </a:graphic>
              </wp:anchor>
            </w:drawing>
          </mc:Choice>
          <mc:Fallback>
            <w:pict>
              <v:rect id="Shape 713" o:spid="_x0000_s1738" style="position:absolute;margin-left:314.8pt;margin-top:-23.5999pt;width:17.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2510155</wp:posOffset>
                </wp:positionH>
                <wp:positionV relativeFrom="paragraph">
                  <wp:posOffset>-149225</wp:posOffset>
                </wp:positionV>
                <wp:extent cx="2419350" cy="0"/>
                <wp:wrapNone/>
                <wp:docPr id="714" name="Shape 7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14" o:spid="_x0000_s17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65pt,-11.7499pt" to="388.15pt,-11.7499pt" o:allowincell="f" strokecolor="#FFFFFF" strokeweight="0.72pt"/>
            </w:pict>
          </mc:Fallback>
        </mc:AlternateConten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Expected Term</w:t>
      </w:r>
      <w:r>
        <w:rPr>
          <w:rFonts w:ascii="Times New Roman" w:cs="Times New Roman" w:eastAsia="Times New Roman" w:hAnsi="Times New Roman"/>
          <w:sz w:val="20"/>
          <w:szCs w:val="20"/>
          <w:color w:val="auto"/>
        </w:rPr>
        <w:t>-The expected term of options granted represents the period of time that the options are expected to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outstanding. Due to the lack of historical exercise history, the expected term of the Company’s employee stock options has been determined utilizing the simplified method for awards that qualify as plain-vanilla options.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715" o:spid="_x0000_s1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16" name="Shape 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16" o:spid="_x0000_s17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17" name="Shape 7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17" o:spid="_x0000_s1742"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18" name="Shape 7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18" o:spid="_x0000_s17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19" name="Shape 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19" o:spid="_x0000_s17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Expected Volatility</w:t>
      </w:r>
      <w:r>
        <w:rPr>
          <w:rFonts w:ascii="Times New Roman" w:cs="Times New Roman" w:eastAsia="Times New Roman" w:hAnsi="Times New Roman"/>
          <w:sz w:val="20"/>
          <w:szCs w:val="20"/>
          <w:color w:val="auto"/>
        </w:rPr>
        <w:t>-The expected stock price volatility assumption was determined by examining the historical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Risk-Free Interest Rate</w:t>
      </w:r>
      <w:r>
        <w:rPr>
          <w:rFonts w:ascii="Times New Roman" w:cs="Times New Roman" w:eastAsia="Times New Roman" w:hAnsi="Times New Roman"/>
          <w:sz w:val="20"/>
          <w:szCs w:val="20"/>
          <w:color w:val="auto"/>
        </w:rPr>
        <w:t>-The risk -free interest rate assumption is based on the U.S. Treasury instruments whose term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was consistent with the expected term of the Company’s stock options.</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Dividends</w:t>
      </w:r>
      <w:r>
        <w:rPr>
          <w:rFonts w:ascii="Times New Roman" w:cs="Times New Roman" w:eastAsia="Times New Roman" w:hAnsi="Times New Roman"/>
          <w:sz w:val="20"/>
          <w:szCs w:val="20"/>
          <w:color w:val="auto"/>
        </w:rPr>
        <w:t>- The Company has not paid any cash dividends on common stock since inception and does not anticipate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paying any dividends in the foreseeable future. Consequently, an expected dividend yield of zero was used.</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year ended December 31, 2025, the Company accelerated the vesting of approximately 266,108 time-based vesting stock options grants previously awarded to the Company's employees, pursuant to the separation agreements entered into with such employees. The Company also extended the post -termination exercise period from 90 days to 180 days immediately following the separation date for any options that were vested, including the options that were accelerated in vesting, as described above. Further, in the fourth quarter of 2025, approximately 416,005 of modified stock options were further modified to extend the post -termination exercise period from either (i) 180 days to December 31, 2026 or (ii) to the earlier of (a) the date that is 90 days following termination of continuous service, and (b) the expiration of the term of the options as set forth in the award agreements.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above modifications to current and former employees stock options grants resulted in modification accounting under ASC 718, Compensation - Stock Compensation. As a result, the Company recognized approximately $0.8 million of stock compensation expense during the year ended December 31, 2025. For vested awards with no future service period required to be provided, the expense was measured on the modification date by calculating the difference between the fair value of the modified award and the fair value of the original award immediately before it was modified with immediate expense recognition. For unvested awards with no future service period required to be provided, the Company reversed any stock compensation expense previously recognized, remeasured the fair value of the modified award and immediately recognized stock compensation expense on the modification date. For stock options that were further modified to extend the post-termination exercise period upon termination of continuous service, the Company measured the expense by calculating the difference between the fair value of the modified award and the fair value of the original award immediately before it was modified. The fair value of those awards included a reduction to the share price for the fair value of the warrant dividend as the holders of the modified stock options were not participants in the warrant dividend. A portion of this modification was recorded as stock compensation expense in the fourth quarter and the remainder to be attributed over the derived service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components of stock -based compensation expense recognized in the Company’s consolidated statements of operations for the years ended December 31, 2025 and 2024:</w:t>
      </w:r>
    </w:p>
    <w:p>
      <w:pPr>
        <w:sectPr>
          <w:pgSz w:w="12240" w:h="15840" w:orient="portrait"/>
          <w:cols w:equalWidth="0" w:num="1">
            <w:col w:w="9360"/>
          </w:cols>
          <w:pgMar w:left="1440" w:top="1432"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Pr>
          <w:p>
            <w:pPr>
              <w:spacing w:after="0"/>
              <w:rPr>
                <w:sz w:val="21"/>
                <w:szCs w:val="21"/>
                <w:color w:val="auto"/>
              </w:rPr>
            </w:pPr>
          </w:p>
        </w:tc>
      </w:tr>
      <w:tr>
        <w:trPr>
          <w:trHeight w:val="220"/>
        </w:trPr>
        <w:tc>
          <w:tcPr>
            <w:tcW w:w="586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120" w:type="dxa"/>
            <w:vAlign w:val="bottom"/>
            <w:shd w:val="clear" w:color="auto" w:fill="D4EFF3"/>
          </w:tcPr>
          <w:p>
            <w:pPr>
              <w:spacing w:after="0"/>
              <w:rPr>
                <w:sz w:val="19"/>
                <w:szCs w:val="19"/>
                <w:color w:val="auto"/>
              </w:rPr>
            </w:pPr>
          </w:p>
        </w:tc>
        <w:tc>
          <w:tcPr>
            <w:tcW w:w="1000" w:type="dxa"/>
            <w:vAlign w:val="bottom"/>
            <w:tcBorders>
              <w:top w:val="single" w:sz="8" w:color="auto"/>
            </w:tcBorders>
            <w:shd w:val="clear" w:color="auto" w:fill="D1EEF5"/>
          </w:tcPr>
          <w:p>
            <w:pPr>
              <w:jc w:val="right"/>
              <w:ind w:right="8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1,179</w:t>
            </w:r>
          </w:p>
        </w:tc>
        <w:tc>
          <w:tcPr>
            <w:tcW w:w="120" w:type="dxa"/>
            <w:vAlign w:val="bottom"/>
            <w:shd w:val="clear" w:color="auto" w:fill="D1EEF5"/>
          </w:tcPr>
          <w:p>
            <w:pPr>
              <w:spacing w:after="0"/>
              <w:rPr>
                <w:sz w:val="19"/>
                <w:szCs w:val="19"/>
                <w:color w:val="auto"/>
              </w:rPr>
            </w:pPr>
          </w:p>
        </w:tc>
        <w:tc>
          <w:tcPr>
            <w:tcW w:w="140" w:type="dxa"/>
            <w:vAlign w:val="bottom"/>
            <w:shd w:val="clear" w:color="auto" w:fill="D4EFF3"/>
          </w:tcPr>
          <w:p>
            <w:pPr>
              <w:spacing w:after="0"/>
              <w:rPr>
                <w:sz w:val="19"/>
                <w:szCs w:val="19"/>
                <w:color w:val="auto"/>
              </w:rPr>
            </w:pPr>
          </w:p>
        </w:tc>
        <w:tc>
          <w:tcPr>
            <w:tcW w:w="320" w:type="dxa"/>
            <w:vAlign w:val="bottom"/>
            <w:tcBorders>
              <w:top w:val="single" w:sz="8" w:color="auto"/>
            </w:tcBorders>
            <w:shd w:val="clear" w:color="auto" w:fill="D1EEF5"/>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D1EEF5"/>
          </w:tcPr>
          <w:p>
            <w:pPr>
              <w:jc w:val="right"/>
              <w:spacing w:after="0" w:line="220" w:lineRule="exact"/>
              <w:rPr>
                <w:sz w:val="20"/>
                <w:szCs w:val="20"/>
                <w:color w:val="auto"/>
              </w:rPr>
            </w:pPr>
            <w:r>
              <w:rPr>
                <w:rFonts w:ascii="Times New Roman" w:cs="Times New Roman" w:eastAsia="Times New Roman" w:hAnsi="Times New Roman"/>
                <w:sz w:val="20"/>
                <w:szCs w:val="20"/>
                <w:color w:val="auto"/>
              </w:rPr>
              <w:t>2,222</w:t>
            </w:r>
          </w:p>
        </w:tc>
        <w:tc>
          <w:tcPr>
            <w:tcW w:w="140" w:type="dxa"/>
            <w:vAlign w:val="bottom"/>
            <w:shd w:val="clear" w:color="auto" w:fill="D1EEF5"/>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w:t>
            </w:r>
          </w:p>
        </w:tc>
        <w:tc>
          <w:tcPr>
            <w:tcW w:w="140" w:type="dxa"/>
            <w:vAlign w:val="bottom"/>
          </w:tcPr>
          <w:p>
            <w:pPr>
              <w:spacing w:after="0"/>
              <w:rPr>
                <w:sz w:val="20"/>
                <w:szCs w:val="20"/>
                <w:color w:val="auto"/>
              </w:rPr>
            </w:pPr>
          </w:p>
        </w:tc>
      </w:tr>
      <w:tr>
        <w:trPr>
          <w:trHeight w:val="238"/>
        </w:trPr>
        <w:tc>
          <w:tcPr>
            <w:tcW w:w="5860" w:type="dxa"/>
            <w:vAlign w:val="bottom"/>
            <w:tcBorders>
              <w:bottom w:val="single" w:sz="8" w:color="D4EFF3"/>
            </w:tcBorders>
            <w:shd w:val="clear" w:color="auto" w:fill="D4EFF3"/>
          </w:tcPr>
          <w:p>
            <w:pPr>
              <w:spacing w:after="0" w:line="218" w:lineRule="exact"/>
              <w:rPr>
                <w:sz w:val="20"/>
                <w:szCs w:val="20"/>
                <w:color w:val="auto"/>
              </w:rPr>
            </w:pPr>
            <w:r>
              <w:rPr>
                <w:rFonts w:ascii="Times New Roman" w:cs="Times New Roman" w:eastAsia="Times New Roman" w:hAnsi="Times New Roman"/>
                <w:sz w:val="20"/>
                <w:szCs w:val="20"/>
                <w:color w:val="auto"/>
              </w:rPr>
              <w:t>Total</w:t>
            </w:r>
          </w:p>
        </w:tc>
        <w:tc>
          <w:tcPr>
            <w:tcW w:w="120" w:type="dxa"/>
            <w:vAlign w:val="bottom"/>
            <w:tcBorders>
              <w:bottom w:val="single" w:sz="8" w:color="D4EFF3"/>
            </w:tcBorders>
            <w:shd w:val="clear" w:color="auto" w:fill="D4EFF3"/>
          </w:tcPr>
          <w:p>
            <w:pPr>
              <w:spacing w:after="0"/>
              <w:rPr>
                <w:sz w:val="20"/>
                <w:szCs w:val="20"/>
                <w:color w:val="auto"/>
              </w:rPr>
            </w:pPr>
          </w:p>
        </w:tc>
        <w:tc>
          <w:tcPr>
            <w:tcW w:w="1000" w:type="dxa"/>
            <w:vAlign w:val="bottom"/>
            <w:tcBorders>
              <w:bottom w:val="single" w:sz="8" w:color="auto"/>
            </w:tcBorders>
            <w:shd w:val="clear" w:color="auto" w:fill="D1EEF5"/>
          </w:tcPr>
          <w:p>
            <w:pPr>
              <w:jc w:val="right"/>
              <w:ind w:right="80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bottom w:val="single" w:sz="8" w:color="auto"/>
            </w:tcBorders>
            <w:shd w:val="clear" w:color="auto" w:fill="D1EEF5"/>
          </w:tcPr>
          <w:p>
            <w:pPr>
              <w:jc w:val="right"/>
              <w:spacing w:after="0" w:line="218" w:lineRule="exact"/>
              <w:rPr>
                <w:sz w:val="20"/>
                <w:szCs w:val="20"/>
                <w:color w:val="auto"/>
              </w:rPr>
            </w:pPr>
            <w:r>
              <w:rPr>
                <w:rFonts w:ascii="Times New Roman" w:cs="Times New Roman" w:eastAsia="Times New Roman" w:hAnsi="Times New Roman"/>
                <w:sz w:val="20"/>
                <w:szCs w:val="20"/>
                <w:color w:val="auto"/>
              </w:rPr>
              <w:t>3,118</w:t>
            </w:r>
          </w:p>
        </w:tc>
        <w:tc>
          <w:tcPr>
            <w:tcW w:w="120" w:type="dxa"/>
            <w:vAlign w:val="bottom"/>
            <w:tcBorders>
              <w:bottom w:val="single" w:sz="8" w:color="D1EEF5"/>
            </w:tcBorders>
            <w:shd w:val="clear" w:color="auto" w:fill="D1EEF5"/>
          </w:tcPr>
          <w:p>
            <w:pPr>
              <w:spacing w:after="0"/>
              <w:rPr>
                <w:sz w:val="20"/>
                <w:szCs w:val="20"/>
                <w:color w:val="auto"/>
              </w:rPr>
            </w:pPr>
          </w:p>
        </w:tc>
        <w:tc>
          <w:tcPr>
            <w:tcW w:w="140" w:type="dxa"/>
            <w:vAlign w:val="bottom"/>
            <w:tcBorders>
              <w:bottom w:val="single" w:sz="8" w:color="D4EFF3"/>
            </w:tcBorders>
            <w:shd w:val="clear" w:color="auto" w:fill="D4EFF3"/>
          </w:tcPr>
          <w:p>
            <w:pPr>
              <w:spacing w:after="0"/>
              <w:rPr>
                <w:sz w:val="20"/>
                <w:szCs w:val="20"/>
                <w:color w:val="auto"/>
              </w:rPr>
            </w:pPr>
          </w:p>
        </w:tc>
        <w:tc>
          <w:tcPr>
            <w:tcW w:w="320" w:type="dxa"/>
            <w:vAlign w:val="bottom"/>
            <w:tcBorders>
              <w:bottom w:val="single" w:sz="8" w:color="auto"/>
            </w:tcBorders>
            <w:shd w:val="clear" w:color="auto" w:fill="D1EEF5"/>
          </w:tcPr>
          <w:p>
            <w:pPr>
              <w:jc w:val="right"/>
              <w:ind w:right="12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1EEF5"/>
          </w:tcPr>
          <w:p>
            <w:pPr>
              <w:jc w:val="right"/>
              <w:spacing w:after="0" w:line="218" w:lineRule="exact"/>
              <w:rPr>
                <w:sz w:val="20"/>
                <w:szCs w:val="20"/>
                <w:color w:val="auto"/>
              </w:rPr>
            </w:pPr>
            <w:r>
              <w:rPr>
                <w:rFonts w:ascii="Times New Roman" w:cs="Times New Roman" w:eastAsia="Times New Roman" w:hAnsi="Times New Roman"/>
                <w:sz w:val="20"/>
                <w:szCs w:val="20"/>
                <w:color w:val="auto"/>
              </w:rPr>
              <w:t>5,303</w:t>
            </w:r>
          </w:p>
        </w:tc>
        <w:tc>
          <w:tcPr>
            <w:tcW w:w="140" w:type="dxa"/>
            <w:vAlign w:val="bottom"/>
            <w:tcBorders>
              <w:bottom w:val="single" w:sz="8" w:color="D1EEF5"/>
            </w:tcBorders>
            <w:shd w:val="clear" w:color="auto" w:fill="D1EEF5"/>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TAXES</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There was no provision for income taxes for the years ended December 31, 2025 and 2024, because the Company has incurred losses since inception. At December 31, 2025 and 2024 the Company concluded it was not more likely than not that it would realize its deferred tax assets, and therefore has recorded a full valuation allowance.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720" name="Shape 7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720" o:spid="_x0000_s17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22" name="Shape 7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22" o:spid="_x0000_s174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23" name="Shape 7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23" o:spid="_x0000_s17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24" name="Shape 7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724" o:spid="_x0000_s17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paid no income taxes for the years ended December 31, 2025 and 2024, respectively.</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years ended December 31, 2025 and 2024, income tax provision (benefit) related to continuing operations differ from the amounts computed by applying the statutory income tax rate of 21% to pre-tax loss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870" w:type="dxa"/>
            <w:vAlign w:val="bottom"/>
          </w:tcPr>
          <w:p>
            <w:pPr>
              <w:spacing w:after="0"/>
              <w:rPr>
                <w:sz w:val="21"/>
                <w:szCs w:val="21"/>
                <w:color w:val="auto"/>
              </w:rPr>
            </w:pPr>
          </w:p>
        </w:tc>
        <w:tc>
          <w:tcPr>
            <w:tcW w:w="2580" w:type="dxa"/>
            <w:vAlign w:val="bottom"/>
            <w:gridSpan w:val="11"/>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w w:val="98"/>
              </w:rPr>
              <w:t>Year Ended December 31,</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620" w:type="dxa"/>
            <w:vAlign w:val="bottom"/>
            <w:tcBorders>
              <w:bottom w:val="single" w:sz="8" w:color="D4EFF3"/>
            </w:tcBorders>
          </w:tcPr>
          <w:p>
            <w:pPr>
              <w:spacing w:after="0"/>
              <w:rPr>
                <w:sz w:val="21"/>
                <w:szCs w:val="21"/>
                <w:color w:val="auto"/>
              </w:rPr>
            </w:pPr>
          </w:p>
        </w:tc>
        <w:tc>
          <w:tcPr>
            <w:tcW w:w="12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150" w:type="dxa"/>
            <w:vAlign w:val="bottom"/>
            <w:tcBorders>
              <w:bottom w:val="single" w:sz="8" w:color="auto"/>
            </w:tcBorders>
          </w:tcPr>
          <w:p>
            <w:pPr>
              <w:spacing w:after="0"/>
              <w:rPr>
                <w:sz w:val="21"/>
                <w:szCs w:val="21"/>
                <w:color w:val="auto"/>
              </w:rPr>
            </w:pPr>
          </w:p>
        </w:tc>
        <w:tc>
          <w:tcPr>
            <w:tcW w:w="109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D4EFF3"/>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b w:val="1"/>
                <w:bCs w:val="1"/>
                <w:color w:val="auto"/>
              </w:rPr>
              <w:t>U.S. federal provision (benefit)</w:t>
            </w:r>
          </w:p>
        </w:tc>
        <w:tc>
          <w:tcPr>
            <w:tcW w:w="120" w:type="dxa"/>
            <w:vAlign w:val="bottom"/>
            <w:shd w:val="clear" w:color="auto" w:fill="D4EFF3"/>
          </w:tcPr>
          <w:p>
            <w:pPr>
              <w:spacing w:after="0"/>
              <w:rPr>
                <w:sz w:val="20"/>
                <w:szCs w:val="20"/>
                <w:color w:val="auto"/>
              </w:rPr>
            </w:pPr>
          </w:p>
        </w:tc>
        <w:tc>
          <w:tcPr>
            <w:tcW w:w="20" w:type="dxa"/>
            <w:vAlign w:val="bottom"/>
            <w:shd w:val="clear" w:color="auto" w:fill="D4EFF3"/>
          </w:tcPr>
          <w:p>
            <w:pPr>
              <w:spacing w:after="0"/>
              <w:rPr>
                <w:sz w:val="20"/>
                <w:szCs w:val="20"/>
                <w:color w:val="auto"/>
              </w:rPr>
            </w:pPr>
          </w:p>
        </w:tc>
        <w:tc>
          <w:tcPr>
            <w:tcW w:w="150" w:type="dxa"/>
            <w:vAlign w:val="bottom"/>
            <w:shd w:val="clear" w:color="auto" w:fill="D4EFF3"/>
          </w:tcPr>
          <w:p>
            <w:pPr>
              <w:spacing w:after="0"/>
              <w:rPr>
                <w:sz w:val="20"/>
                <w:szCs w:val="20"/>
                <w:color w:val="auto"/>
              </w:rPr>
            </w:pPr>
          </w:p>
        </w:tc>
        <w:tc>
          <w:tcPr>
            <w:tcW w:w="870" w:type="dxa"/>
            <w:vAlign w:val="bottom"/>
            <w:tcBorders>
              <w:right w:val="single" w:sz="8" w:color="D4EFF3"/>
            </w:tcBorders>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700" w:type="dxa"/>
            <w:vAlign w:val="bottom"/>
            <w:shd w:val="clear" w:color="auto" w:fill="D4EFF3"/>
          </w:tcPr>
          <w:p>
            <w:pPr>
              <w:spacing w:after="0"/>
              <w:rPr>
                <w:sz w:val="20"/>
                <w:szCs w:val="20"/>
                <w:color w:val="auto"/>
              </w:rPr>
            </w:pPr>
          </w:p>
        </w:tc>
        <w:tc>
          <w:tcPr>
            <w:tcW w:w="20" w:type="dxa"/>
            <w:vAlign w:val="bottom"/>
            <w:shd w:val="clear" w:color="auto" w:fill="D4EFF3"/>
          </w:tcPr>
          <w:p>
            <w:pPr>
              <w:spacing w:after="0"/>
              <w:rPr>
                <w:sz w:val="20"/>
                <w:szCs w:val="20"/>
                <w:color w:val="auto"/>
              </w:rPr>
            </w:pPr>
          </w:p>
        </w:tc>
        <w:tc>
          <w:tcPr>
            <w:tcW w:w="28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180" w:type="dxa"/>
            <w:vAlign w:val="bottom"/>
            <w:shd w:val="clear" w:color="auto" w:fill="D4EFF3"/>
          </w:tcPr>
          <w:p>
            <w:pPr>
              <w:spacing w:after="0"/>
              <w:rPr>
                <w:sz w:val="20"/>
                <w:szCs w:val="20"/>
                <w:color w:val="auto"/>
              </w:rPr>
            </w:pPr>
          </w:p>
        </w:tc>
        <w:tc>
          <w:tcPr>
            <w:tcW w:w="20" w:type="dxa"/>
            <w:vAlign w:val="bottom"/>
            <w:shd w:val="clear" w:color="auto" w:fill="D4EFF3"/>
          </w:tcPr>
          <w:p>
            <w:pPr>
              <w:spacing w:after="0"/>
              <w:rPr>
                <w:sz w:val="20"/>
                <w:szCs w:val="20"/>
                <w:color w:val="auto"/>
              </w:rPr>
            </w:pPr>
          </w:p>
        </w:tc>
        <w:tc>
          <w:tcPr>
            <w:tcW w:w="840" w:type="dxa"/>
            <w:vAlign w:val="bottom"/>
            <w:shd w:val="clear" w:color="auto" w:fill="D4EFF3"/>
          </w:tcPr>
          <w:p>
            <w:pPr>
              <w:spacing w:after="0"/>
              <w:rPr>
                <w:sz w:val="20"/>
                <w:szCs w:val="20"/>
                <w:color w:val="auto"/>
              </w:rPr>
            </w:pPr>
          </w:p>
        </w:tc>
        <w:tc>
          <w:tcPr>
            <w:tcW w:w="14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720" w:type="dxa"/>
            <w:vAlign w:val="bottom"/>
            <w:shd w:val="clear" w:color="auto" w:fill="D4EFF3"/>
          </w:tcPr>
          <w:p>
            <w:pPr>
              <w:spacing w:after="0"/>
              <w:rPr>
                <w:sz w:val="20"/>
                <w:szCs w:val="20"/>
                <w:color w:val="auto"/>
              </w:rPr>
            </w:pPr>
          </w:p>
        </w:tc>
        <w:tc>
          <w:tcPr>
            <w:tcW w:w="28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At statutory rate</w:t>
            </w:r>
          </w:p>
        </w:tc>
        <w:tc>
          <w:tcPr>
            <w:tcW w:w="12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15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87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(5,514)</w:t>
            </w:r>
          </w:p>
        </w:tc>
        <w:tc>
          <w:tcPr>
            <w:tcW w:w="12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1000" w:type="dxa"/>
            <w:vAlign w:val="bottom"/>
            <w:tcBorders>
              <w:bottom w:val="single" w:sz="8" w:color="D4EFF3"/>
            </w:tcBorders>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21.0%</w:t>
            </w:r>
          </w:p>
        </w:tc>
        <w:tc>
          <w:tcPr>
            <w:tcW w:w="100" w:type="dxa"/>
            <w:vAlign w:val="bottom"/>
            <w:tcBorders>
              <w:bottom w:val="single" w:sz="8" w:color="D4EFF3"/>
            </w:tcBorders>
          </w:tcPr>
          <w:p>
            <w:pPr>
              <w:spacing w:after="0"/>
              <w:rPr>
                <w:sz w:val="21"/>
                <w:szCs w:val="21"/>
                <w:color w:val="auto"/>
              </w:rPr>
            </w:pPr>
          </w:p>
        </w:tc>
        <w:tc>
          <w:tcPr>
            <w:tcW w:w="18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4EFF3"/>
            </w:tcBorders>
          </w:tcPr>
          <w:p>
            <w:pPr>
              <w:spacing w:after="0"/>
              <w:rPr>
                <w:sz w:val="21"/>
                <w:szCs w:val="21"/>
                <w:color w:val="auto"/>
              </w:rPr>
            </w:pPr>
          </w:p>
        </w:tc>
        <w:tc>
          <w:tcPr>
            <w:tcW w:w="84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(8,786)</w:t>
            </w:r>
          </w:p>
        </w:tc>
        <w:tc>
          <w:tcPr>
            <w:tcW w:w="140" w:type="dxa"/>
            <w:vAlign w:val="bottom"/>
            <w:tcBorders>
              <w:bottom w:val="single" w:sz="8" w:color="D4EFF3"/>
            </w:tcBorders>
          </w:tcPr>
          <w:p>
            <w:pPr>
              <w:spacing w:after="0"/>
              <w:rPr>
                <w:sz w:val="21"/>
                <w:szCs w:val="21"/>
                <w:color w:val="auto"/>
              </w:rPr>
            </w:pPr>
          </w:p>
        </w:tc>
        <w:tc>
          <w:tcPr>
            <w:tcW w:w="80" w:type="dxa"/>
            <w:vAlign w:val="bottom"/>
            <w:tcBorders>
              <w:bottom w:val="single" w:sz="8" w:color="D4EFF3"/>
            </w:tcBorders>
          </w:tcPr>
          <w:p>
            <w:pPr>
              <w:spacing w:after="0"/>
              <w:rPr>
                <w:sz w:val="21"/>
                <w:szCs w:val="21"/>
                <w:color w:val="auto"/>
              </w:rPr>
            </w:pPr>
          </w:p>
        </w:tc>
        <w:tc>
          <w:tcPr>
            <w:tcW w:w="1000" w:type="dxa"/>
            <w:vAlign w:val="bottom"/>
            <w:tcBorders>
              <w:bottom w:val="single" w:sz="8" w:color="D4EFF3"/>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25"/>
        </w:trPr>
        <w:tc>
          <w:tcPr>
            <w:tcW w:w="4620" w:type="dxa"/>
            <w:vAlign w:val="bottom"/>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Change in valuation allowance</w:t>
            </w:r>
          </w:p>
        </w:tc>
        <w:tc>
          <w:tcPr>
            <w:tcW w:w="12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150" w:type="dxa"/>
            <w:vAlign w:val="bottom"/>
            <w:shd w:val="clear" w:color="auto" w:fill="D4EFF3"/>
          </w:tcPr>
          <w:p>
            <w:pPr>
              <w:spacing w:after="0"/>
              <w:rPr>
                <w:sz w:val="19"/>
                <w:szCs w:val="19"/>
                <w:color w:val="auto"/>
              </w:rPr>
            </w:pPr>
          </w:p>
        </w:tc>
        <w:tc>
          <w:tcPr>
            <w:tcW w:w="870" w:type="dxa"/>
            <w:vAlign w:val="bottom"/>
            <w:tcBorders>
              <w:right w:val="single" w:sz="8" w:color="D4EFF3"/>
            </w:tcBorders>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5,105</w:t>
            </w:r>
          </w:p>
        </w:tc>
        <w:tc>
          <w:tcPr>
            <w:tcW w:w="12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70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D4EFF3"/>
              </w:rPr>
              <w:t>-19.4</w:t>
            </w:r>
          </w:p>
        </w:tc>
        <w:tc>
          <w:tcPr>
            <w:tcW w:w="300" w:type="dxa"/>
            <w:vAlign w:val="bottom"/>
            <w:gridSpan w:val="2"/>
            <w:shd w:val="clear" w:color="auto" w:fill="D4EFF3"/>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95"/>
                <w:shd w:val="clear" w:color="auto" w:fill="D4EFF3"/>
              </w:rPr>
              <w:t>%</w:t>
            </w:r>
          </w:p>
        </w:tc>
        <w:tc>
          <w:tcPr>
            <w:tcW w:w="10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84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9,199</w:t>
            </w:r>
          </w:p>
        </w:tc>
        <w:tc>
          <w:tcPr>
            <w:tcW w:w="14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1000" w:type="dxa"/>
            <w:vAlign w:val="bottom"/>
            <w:gridSpan w:val="2"/>
            <w:shd w:val="clear" w:color="auto" w:fill="D4EFF3"/>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shd w:val="clear" w:color="auto" w:fill="D4EFF3"/>
              </w:rPr>
              <w:t>-22.0%</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2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150" w:type="dxa"/>
            <w:vAlign w:val="bottom"/>
            <w:tcBorders>
              <w:bottom w:val="single" w:sz="8" w:color="D4EFF3"/>
            </w:tcBorders>
          </w:tcPr>
          <w:p>
            <w:pPr>
              <w:spacing w:after="0"/>
              <w:rPr>
                <w:sz w:val="21"/>
                <w:szCs w:val="21"/>
                <w:color w:val="auto"/>
              </w:rPr>
            </w:pPr>
          </w:p>
        </w:tc>
        <w:tc>
          <w:tcPr>
            <w:tcW w:w="870" w:type="dxa"/>
            <w:vAlign w:val="bottom"/>
            <w:tcBorders>
              <w:bottom w:val="single" w:sz="8" w:color="D4EFF3"/>
            </w:tcBorders>
          </w:tcPr>
          <w:p>
            <w:pPr>
              <w:spacing w:after="0"/>
              <w:rPr>
                <w:sz w:val="21"/>
                <w:szCs w:val="21"/>
                <w:color w:val="auto"/>
              </w:rPr>
            </w:pPr>
          </w:p>
        </w:tc>
        <w:tc>
          <w:tcPr>
            <w:tcW w:w="12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70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28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18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840" w:type="dxa"/>
            <w:vAlign w:val="bottom"/>
            <w:tcBorders>
              <w:bottom w:val="single" w:sz="8" w:color="D4EFF3"/>
            </w:tcBorders>
          </w:tcPr>
          <w:p>
            <w:pPr>
              <w:spacing w:after="0"/>
              <w:rPr>
                <w:sz w:val="21"/>
                <w:szCs w:val="21"/>
                <w:color w:val="auto"/>
              </w:rPr>
            </w:pPr>
          </w:p>
        </w:tc>
        <w:tc>
          <w:tcPr>
            <w:tcW w:w="140" w:type="dxa"/>
            <w:vAlign w:val="bottom"/>
            <w:tcBorders>
              <w:bottom w:val="single" w:sz="8" w:color="D4EFF3"/>
            </w:tcBorders>
          </w:tcPr>
          <w:p>
            <w:pPr>
              <w:spacing w:after="0"/>
              <w:rPr>
                <w:sz w:val="21"/>
                <w:szCs w:val="21"/>
                <w:color w:val="auto"/>
              </w:rPr>
            </w:pPr>
          </w:p>
        </w:tc>
        <w:tc>
          <w:tcPr>
            <w:tcW w:w="80" w:type="dxa"/>
            <w:vAlign w:val="bottom"/>
            <w:tcBorders>
              <w:bottom w:val="single" w:sz="8" w:color="D4EFF3"/>
            </w:tcBorders>
          </w:tcPr>
          <w:p>
            <w:pPr>
              <w:spacing w:after="0"/>
              <w:rPr>
                <w:sz w:val="21"/>
                <w:szCs w:val="21"/>
                <w:color w:val="auto"/>
              </w:rPr>
            </w:pPr>
          </w:p>
        </w:tc>
        <w:tc>
          <w:tcPr>
            <w:tcW w:w="720" w:type="dxa"/>
            <w:vAlign w:val="bottom"/>
            <w:tcBorders>
              <w:bottom w:val="single" w:sz="8" w:color="D4EFF3"/>
            </w:tcBorders>
          </w:tcPr>
          <w:p>
            <w:pPr>
              <w:spacing w:after="0"/>
              <w:rPr>
                <w:sz w:val="21"/>
                <w:szCs w:val="21"/>
                <w:color w:val="auto"/>
              </w:rPr>
            </w:pPr>
          </w:p>
        </w:tc>
        <w:tc>
          <w:tcPr>
            <w:tcW w:w="280" w:type="dxa"/>
            <w:vAlign w:val="bottom"/>
            <w:tcBorders>
              <w:bottom w:val="single" w:sz="8" w:color="D4EF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D4EFF3"/>
          </w:tcPr>
          <w:p>
            <w:pPr>
              <w:spacing w:after="0" w:line="226" w:lineRule="exact"/>
              <w:rPr>
                <w:sz w:val="20"/>
                <w:szCs w:val="20"/>
                <w:color w:val="auto"/>
              </w:rPr>
            </w:pPr>
            <w:r>
              <w:rPr>
                <w:rFonts w:ascii="Times New Roman" w:cs="Times New Roman" w:eastAsia="Times New Roman" w:hAnsi="Times New Roman"/>
                <w:sz w:val="20"/>
                <w:szCs w:val="20"/>
                <w:color w:val="auto"/>
              </w:rPr>
              <w:t>Stock-based compensation</w:t>
            </w:r>
          </w:p>
        </w:tc>
        <w:tc>
          <w:tcPr>
            <w:tcW w:w="12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150" w:type="dxa"/>
            <w:vAlign w:val="bottom"/>
            <w:shd w:val="clear" w:color="auto" w:fill="D4EFF3"/>
          </w:tcPr>
          <w:p>
            <w:pPr>
              <w:spacing w:after="0"/>
              <w:rPr>
                <w:sz w:val="19"/>
                <w:szCs w:val="19"/>
                <w:color w:val="auto"/>
              </w:rPr>
            </w:pPr>
          </w:p>
        </w:tc>
        <w:tc>
          <w:tcPr>
            <w:tcW w:w="870" w:type="dxa"/>
            <w:vAlign w:val="bottom"/>
            <w:tcBorders>
              <w:right w:val="single" w:sz="8" w:color="D4EFF3"/>
            </w:tcBorders>
            <w:shd w:val="clear" w:color="auto" w:fill="D4EFF3"/>
          </w:tcPr>
          <w:p>
            <w:pPr>
              <w:jc w:val="right"/>
              <w:spacing w:after="0" w:line="226" w:lineRule="exact"/>
              <w:rPr>
                <w:sz w:val="20"/>
                <w:szCs w:val="20"/>
                <w:color w:val="auto"/>
              </w:rPr>
            </w:pPr>
            <w:r>
              <w:rPr>
                <w:rFonts w:ascii="Times New Roman" w:cs="Times New Roman" w:eastAsia="Times New Roman" w:hAnsi="Times New Roman"/>
                <w:sz w:val="20"/>
                <w:szCs w:val="20"/>
                <w:color w:val="auto"/>
              </w:rPr>
              <w:t>343</w:t>
            </w:r>
          </w:p>
        </w:tc>
        <w:tc>
          <w:tcPr>
            <w:tcW w:w="12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1000" w:type="dxa"/>
            <w:vAlign w:val="bottom"/>
            <w:gridSpan w:val="3"/>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-1.3%</w:t>
            </w:r>
          </w:p>
        </w:tc>
        <w:tc>
          <w:tcPr>
            <w:tcW w:w="10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D4EFF3"/>
          </w:tcPr>
          <w:p>
            <w:pPr>
              <w:jc w:val="right"/>
              <w:spacing w:after="0" w:line="226" w:lineRule="exact"/>
              <w:rPr>
                <w:sz w:val="20"/>
                <w:szCs w:val="20"/>
                <w:color w:val="auto"/>
              </w:rPr>
            </w:pPr>
            <w:r>
              <w:rPr>
                <w:rFonts w:ascii="Times New Roman" w:cs="Times New Roman" w:eastAsia="Times New Roman" w:hAnsi="Times New Roman"/>
                <w:sz w:val="20"/>
                <w:szCs w:val="20"/>
                <w:color w:val="auto"/>
              </w:rPr>
              <w:t>709</w:t>
            </w:r>
          </w:p>
        </w:tc>
        <w:tc>
          <w:tcPr>
            <w:tcW w:w="14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1000" w:type="dxa"/>
            <w:vAlign w:val="bottom"/>
            <w:gridSpan w:val="2"/>
            <w:shd w:val="clear" w:color="auto" w:fill="D4EFF3"/>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Transaction costs</w:t>
            </w:r>
          </w:p>
        </w:tc>
        <w:tc>
          <w:tcPr>
            <w:tcW w:w="12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150" w:type="dxa"/>
            <w:vAlign w:val="bottom"/>
            <w:tcBorders>
              <w:bottom w:val="single" w:sz="8" w:color="D4EFF3"/>
            </w:tcBorders>
          </w:tcPr>
          <w:p>
            <w:pPr>
              <w:spacing w:after="0"/>
              <w:rPr>
                <w:sz w:val="21"/>
                <w:szCs w:val="21"/>
                <w:color w:val="auto"/>
              </w:rPr>
            </w:pPr>
          </w:p>
        </w:tc>
        <w:tc>
          <w:tcPr>
            <w:tcW w:w="870" w:type="dxa"/>
            <w:vAlign w:val="bottom"/>
            <w:tcBorders>
              <w:bottom w:val="single" w:sz="8" w:color="D4EFF3"/>
            </w:tcBorders>
          </w:tcPr>
          <w:p>
            <w:pPr>
              <w:jc w:val="right"/>
              <w:spacing w:after="0"/>
              <w:rPr>
                <w:sz w:val="20"/>
                <w:szCs w:val="20"/>
                <w:color w:val="auto"/>
              </w:rPr>
            </w:pPr>
            <w:r>
              <w:rPr>
                <w:rFonts w:ascii="Times New Roman" w:cs="Times New Roman" w:eastAsia="Times New Roman" w:hAnsi="Times New Roman"/>
                <w:sz w:val="20"/>
                <w:szCs w:val="20"/>
                <w:color w:val="auto"/>
              </w:rPr>
              <w:t>454</w:t>
            </w:r>
          </w:p>
        </w:tc>
        <w:tc>
          <w:tcPr>
            <w:tcW w:w="12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1000" w:type="dxa"/>
            <w:vAlign w:val="bottom"/>
            <w:tcBorders>
              <w:bottom w:val="single" w:sz="8" w:color="D4EFF3"/>
            </w:tcBorders>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Borders>
              <w:bottom w:val="single" w:sz="8" w:color="D4EFF3"/>
            </w:tcBorders>
          </w:tcPr>
          <w:p>
            <w:pPr>
              <w:spacing w:after="0"/>
              <w:rPr>
                <w:sz w:val="21"/>
                <w:szCs w:val="21"/>
                <w:color w:val="auto"/>
              </w:rPr>
            </w:pPr>
          </w:p>
        </w:tc>
        <w:tc>
          <w:tcPr>
            <w:tcW w:w="180" w:type="dxa"/>
            <w:vAlign w:val="bottom"/>
            <w:tcBorders>
              <w:bottom w:val="single" w:sz="8" w:color="D4EFF3"/>
            </w:tcBorders>
          </w:tcPr>
          <w:p>
            <w:pPr>
              <w:spacing w:after="0"/>
              <w:rPr>
                <w:sz w:val="21"/>
                <w:szCs w:val="21"/>
                <w:color w:val="auto"/>
              </w:rPr>
            </w:pPr>
          </w:p>
        </w:tc>
        <w:tc>
          <w:tcPr>
            <w:tcW w:w="860" w:type="dxa"/>
            <w:vAlign w:val="bottom"/>
            <w:tcBorders>
              <w:bottom w:val="single" w:sz="8" w:color="D4EFF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4EFF3"/>
            </w:tcBorders>
          </w:tcPr>
          <w:p>
            <w:pPr>
              <w:spacing w:after="0"/>
              <w:rPr>
                <w:sz w:val="21"/>
                <w:szCs w:val="21"/>
                <w:color w:val="auto"/>
              </w:rPr>
            </w:pPr>
          </w:p>
        </w:tc>
        <w:tc>
          <w:tcPr>
            <w:tcW w:w="80" w:type="dxa"/>
            <w:vAlign w:val="bottom"/>
            <w:tcBorders>
              <w:bottom w:val="single" w:sz="8" w:color="D4EFF3"/>
            </w:tcBorders>
          </w:tcPr>
          <w:p>
            <w:pPr>
              <w:spacing w:after="0"/>
              <w:rPr>
                <w:sz w:val="21"/>
                <w:szCs w:val="21"/>
                <w:color w:val="auto"/>
              </w:rPr>
            </w:pPr>
          </w:p>
        </w:tc>
        <w:tc>
          <w:tcPr>
            <w:tcW w:w="1000" w:type="dxa"/>
            <w:vAlign w:val="bottom"/>
            <w:tcBorders>
              <w:bottom w:val="single" w:sz="8" w:color="D4EFF3"/>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22"/>
        </w:trPr>
        <w:tc>
          <w:tcPr>
            <w:tcW w:w="4620" w:type="dxa"/>
            <w:vAlign w:val="bottom"/>
            <w:shd w:val="clear" w:color="auto" w:fill="D4EFF3"/>
          </w:tcPr>
          <w:p>
            <w:pPr>
              <w:spacing w:after="0" w:line="223" w:lineRule="exact"/>
              <w:rPr>
                <w:sz w:val="20"/>
                <w:szCs w:val="20"/>
                <w:color w:val="auto"/>
              </w:rPr>
            </w:pPr>
            <w:r>
              <w:rPr>
                <w:rFonts w:ascii="Times New Roman" w:cs="Times New Roman" w:eastAsia="Times New Roman" w:hAnsi="Times New Roman"/>
                <w:sz w:val="20"/>
                <w:szCs w:val="20"/>
                <w:color w:val="auto"/>
              </w:rPr>
              <w:t>Nontaxable or nondeductible items</w:t>
            </w:r>
          </w:p>
        </w:tc>
        <w:tc>
          <w:tcPr>
            <w:tcW w:w="12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150" w:type="dxa"/>
            <w:vAlign w:val="bottom"/>
            <w:shd w:val="clear" w:color="auto" w:fill="D4EFF3"/>
          </w:tcPr>
          <w:p>
            <w:pPr>
              <w:spacing w:after="0"/>
              <w:rPr>
                <w:sz w:val="19"/>
                <w:szCs w:val="19"/>
                <w:color w:val="auto"/>
              </w:rPr>
            </w:pPr>
          </w:p>
        </w:tc>
        <w:tc>
          <w:tcPr>
            <w:tcW w:w="870" w:type="dxa"/>
            <w:vAlign w:val="bottom"/>
            <w:tcBorders>
              <w:right w:val="single" w:sz="8" w:color="D4EFF3"/>
            </w:tcBorders>
            <w:shd w:val="clear" w:color="auto" w:fill="D4EFF3"/>
          </w:tcPr>
          <w:p>
            <w:pPr>
              <w:jc w:val="right"/>
              <w:spacing w:after="0" w:line="223" w:lineRule="exact"/>
              <w:rPr>
                <w:sz w:val="20"/>
                <w:szCs w:val="20"/>
                <w:color w:val="auto"/>
              </w:rPr>
            </w:pPr>
            <w:r>
              <w:rPr>
                <w:rFonts w:ascii="Times New Roman" w:cs="Times New Roman" w:eastAsia="Times New Roman" w:hAnsi="Times New Roman"/>
                <w:sz w:val="20"/>
                <w:szCs w:val="20"/>
                <w:color w:val="auto"/>
              </w:rPr>
              <w:t>90</w:t>
            </w:r>
          </w:p>
        </w:tc>
        <w:tc>
          <w:tcPr>
            <w:tcW w:w="12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100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-0.4%</w:t>
            </w:r>
          </w:p>
        </w:tc>
        <w:tc>
          <w:tcPr>
            <w:tcW w:w="10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D4EFF3"/>
          </w:tcPr>
          <w:p>
            <w:pPr>
              <w:jc w:val="right"/>
              <w:spacing w:after="0" w:line="223" w:lineRule="exact"/>
              <w:rPr>
                <w:sz w:val="20"/>
                <w:szCs w:val="20"/>
                <w:color w:val="auto"/>
              </w:rPr>
            </w:pPr>
            <w:r>
              <w:rPr>
                <w:rFonts w:ascii="Times New Roman" w:cs="Times New Roman" w:eastAsia="Times New Roman" w:hAnsi="Times New Roman"/>
                <w:sz w:val="20"/>
                <w:szCs w:val="20"/>
                <w:color w:val="auto"/>
              </w:rPr>
              <w:t>14</w:t>
            </w:r>
          </w:p>
        </w:tc>
        <w:tc>
          <w:tcPr>
            <w:tcW w:w="14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1000" w:type="dxa"/>
            <w:vAlign w:val="bottom"/>
            <w:gridSpan w:val="2"/>
            <w:shd w:val="clear" w:color="auto" w:fill="D4EFF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D4EFF3"/>
            </w:tcBorders>
          </w:tcPr>
          <w:p>
            <w:pPr>
              <w:spacing w:after="0"/>
              <w:rPr>
                <w:sz w:val="20"/>
                <w:szCs w:val="20"/>
                <w:color w:val="auto"/>
              </w:rPr>
            </w:pPr>
            <w:r>
              <w:rPr>
                <w:rFonts w:ascii="Times New Roman" w:cs="Times New Roman" w:eastAsia="Times New Roman" w:hAnsi="Times New Roman"/>
                <w:sz w:val="20"/>
                <w:szCs w:val="20"/>
                <w:color w:val="auto"/>
              </w:rPr>
              <w:t>Tax credits</w:t>
            </w:r>
          </w:p>
        </w:tc>
        <w:tc>
          <w:tcPr>
            <w:tcW w:w="12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150" w:type="dxa"/>
            <w:vAlign w:val="bottom"/>
            <w:tcBorders>
              <w:bottom w:val="single" w:sz="8" w:color="D4EFF3"/>
            </w:tcBorders>
          </w:tcPr>
          <w:p>
            <w:pPr>
              <w:spacing w:after="0"/>
              <w:rPr>
                <w:sz w:val="21"/>
                <w:szCs w:val="21"/>
                <w:color w:val="auto"/>
              </w:rPr>
            </w:pPr>
          </w:p>
        </w:tc>
        <w:tc>
          <w:tcPr>
            <w:tcW w:w="870" w:type="dxa"/>
            <w:vAlign w:val="bottom"/>
            <w:tcBorders>
              <w:bottom w:val="single" w:sz="8" w:color="D4EFF3"/>
            </w:tcBorders>
          </w:tcPr>
          <w:p>
            <w:pPr>
              <w:spacing w:after="0"/>
              <w:rPr>
                <w:sz w:val="21"/>
                <w:szCs w:val="21"/>
                <w:color w:val="auto"/>
              </w:rPr>
            </w:pPr>
          </w:p>
        </w:tc>
        <w:tc>
          <w:tcPr>
            <w:tcW w:w="12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70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280" w:type="dxa"/>
            <w:vAlign w:val="bottom"/>
            <w:tcBorders>
              <w:bottom w:val="single" w:sz="8" w:color="D4EFF3"/>
            </w:tcBorders>
          </w:tcPr>
          <w:p>
            <w:pPr>
              <w:spacing w:after="0"/>
              <w:rPr>
                <w:sz w:val="21"/>
                <w:szCs w:val="21"/>
                <w:color w:val="auto"/>
              </w:rPr>
            </w:pPr>
          </w:p>
        </w:tc>
        <w:tc>
          <w:tcPr>
            <w:tcW w:w="100" w:type="dxa"/>
            <w:vAlign w:val="bottom"/>
            <w:tcBorders>
              <w:bottom w:val="single" w:sz="8" w:color="D4EFF3"/>
            </w:tcBorders>
          </w:tcPr>
          <w:p>
            <w:pPr>
              <w:spacing w:after="0"/>
              <w:rPr>
                <w:sz w:val="21"/>
                <w:szCs w:val="21"/>
                <w:color w:val="auto"/>
              </w:rPr>
            </w:pPr>
          </w:p>
        </w:tc>
        <w:tc>
          <w:tcPr>
            <w:tcW w:w="180" w:type="dxa"/>
            <w:vAlign w:val="bottom"/>
            <w:tcBorders>
              <w:bottom w:val="single" w:sz="8" w:color="D4EFF3"/>
            </w:tcBorders>
          </w:tcPr>
          <w:p>
            <w:pPr>
              <w:spacing w:after="0"/>
              <w:rPr>
                <w:sz w:val="21"/>
                <w:szCs w:val="21"/>
                <w:color w:val="auto"/>
              </w:rPr>
            </w:pPr>
          </w:p>
        </w:tc>
        <w:tc>
          <w:tcPr>
            <w:tcW w:w="20" w:type="dxa"/>
            <w:vAlign w:val="bottom"/>
            <w:tcBorders>
              <w:bottom w:val="single" w:sz="8" w:color="D4EFF3"/>
            </w:tcBorders>
          </w:tcPr>
          <w:p>
            <w:pPr>
              <w:spacing w:after="0"/>
              <w:rPr>
                <w:sz w:val="21"/>
                <w:szCs w:val="21"/>
                <w:color w:val="auto"/>
              </w:rPr>
            </w:pPr>
          </w:p>
        </w:tc>
        <w:tc>
          <w:tcPr>
            <w:tcW w:w="840" w:type="dxa"/>
            <w:vAlign w:val="bottom"/>
            <w:tcBorders>
              <w:bottom w:val="single" w:sz="8" w:color="D4EFF3"/>
            </w:tcBorders>
          </w:tcPr>
          <w:p>
            <w:pPr>
              <w:spacing w:after="0"/>
              <w:rPr>
                <w:sz w:val="21"/>
                <w:szCs w:val="21"/>
                <w:color w:val="auto"/>
              </w:rPr>
            </w:pPr>
          </w:p>
        </w:tc>
        <w:tc>
          <w:tcPr>
            <w:tcW w:w="140" w:type="dxa"/>
            <w:vAlign w:val="bottom"/>
            <w:tcBorders>
              <w:bottom w:val="single" w:sz="8" w:color="D4EFF3"/>
            </w:tcBorders>
          </w:tcPr>
          <w:p>
            <w:pPr>
              <w:spacing w:after="0"/>
              <w:rPr>
                <w:sz w:val="21"/>
                <w:szCs w:val="21"/>
                <w:color w:val="auto"/>
              </w:rPr>
            </w:pPr>
          </w:p>
        </w:tc>
        <w:tc>
          <w:tcPr>
            <w:tcW w:w="80" w:type="dxa"/>
            <w:vAlign w:val="bottom"/>
            <w:tcBorders>
              <w:bottom w:val="single" w:sz="8" w:color="D4EFF3"/>
            </w:tcBorders>
          </w:tcPr>
          <w:p>
            <w:pPr>
              <w:spacing w:after="0"/>
              <w:rPr>
                <w:sz w:val="21"/>
                <w:szCs w:val="21"/>
                <w:color w:val="auto"/>
              </w:rPr>
            </w:pPr>
          </w:p>
        </w:tc>
        <w:tc>
          <w:tcPr>
            <w:tcW w:w="720" w:type="dxa"/>
            <w:vAlign w:val="bottom"/>
            <w:tcBorders>
              <w:bottom w:val="single" w:sz="8" w:color="D4EFF3"/>
            </w:tcBorders>
          </w:tcPr>
          <w:p>
            <w:pPr>
              <w:spacing w:after="0"/>
              <w:rPr>
                <w:sz w:val="21"/>
                <w:szCs w:val="21"/>
                <w:color w:val="auto"/>
              </w:rPr>
            </w:pPr>
          </w:p>
        </w:tc>
        <w:tc>
          <w:tcPr>
            <w:tcW w:w="280" w:type="dxa"/>
            <w:vAlign w:val="bottom"/>
            <w:tcBorders>
              <w:bottom w:val="single" w:sz="8" w:color="D4EFF3"/>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D4EFF3"/>
          </w:tcPr>
          <w:p>
            <w:pPr>
              <w:spacing w:after="0" w:line="225" w:lineRule="exact"/>
              <w:rPr>
                <w:sz w:val="20"/>
                <w:szCs w:val="20"/>
                <w:color w:val="auto"/>
              </w:rPr>
            </w:pPr>
            <w:r>
              <w:rPr>
                <w:rFonts w:ascii="Times New Roman" w:cs="Times New Roman" w:eastAsia="Times New Roman" w:hAnsi="Times New Roman"/>
                <w:sz w:val="20"/>
                <w:szCs w:val="20"/>
                <w:color w:val="auto"/>
              </w:rPr>
              <w:t>Research and development credit</w:t>
            </w:r>
          </w:p>
        </w:tc>
        <w:tc>
          <w:tcPr>
            <w:tcW w:w="120" w:type="dxa"/>
            <w:vAlign w:val="bottom"/>
            <w:shd w:val="clear" w:color="auto" w:fill="D4EFF3"/>
          </w:tcPr>
          <w:p>
            <w:pPr>
              <w:spacing w:after="0"/>
              <w:rPr>
                <w:sz w:val="19"/>
                <w:szCs w:val="19"/>
                <w:color w:val="auto"/>
              </w:rPr>
            </w:pPr>
          </w:p>
        </w:tc>
        <w:tc>
          <w:tcPr>
            <w:tcW w:w="20" w:type="dxa"/>
            <w:vAlign w:val="bottom"/>
            <w:shd w:val="clear" w:color="auto" w:fill="D4EFF3"/>
          </w:tcPr>
          <w:p>
            <w:pPr>
              <w:spacing w:after="0"/>
              <w:rPr>
                <w:sz w:val="19"/>
                <w:szCs w:val="19"/>
                <w:color w:val="auto"/>
              </w:rPr>
            </w:pPr>
          </w:p>
        </w:tc>
        <w:tc>
          <w:tcPr>
            <w:tcW w:w="150" w:type="dxa"/>
            <w:vAlign w:val="bottom"/>
            <w:shd w:val="clear" w:color="auto" w:fill="D4EFF3"/>
          </w:tcPr>
          <w:p>
            <w:pPr>
              <w:spacing w:after="0"/>
              <w:rPr>
                <w:sz w:val="19"/>
                <w:szCs w:val="19"/>
                <w:color w:val="auto"/>
              </w:rPr>
            </w:pPr>
          </w:p>
        </w:tc>
        <w:tc>
          <w:tcPr>
            <w:tcW w:w="870" w:type="dxa"/>
            <w:vAlign w:val="bottom"/>
            <w:tcBorders>
              <w:right w:val="single" w:sz="8" w:color="D4EFF3"/>
            </w:tcBorders>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(478)</w:t>
            </w:r>
          </w:p>
        </w:tc>
        <w:tc>
          <w:tcPr>
            <w:tcW w:w="120" w:type="dxa"/>
            <w:vAlign w:val="bottom"/>
            <w:shd w:val="clear" w:color="auto" w:fill="D4EFF3"/>
          </w:tcPr>
          <w:p>
            <w:pPr>
              <w:spacing w:after="0"/>
              <w:rPr>
                <w:sz w:val="19"/>
                <w:szCs w:val="19"/>
                <w:color w:val="auto"/>
              </w:rPr>
            </w:pPr>
          </w:p>
        </w:tc>
        <w:tc>
          <w:tcPr>
            <w:tcW w:w="100" w:type="dxa"/>
            <w:vAlign w:val="bottom"/>
            <w:shd w:val="clear" w:color="auto" w:fill="D4EFF3"/>
          </w:tcPr>
          <w:p>
            <w:pPr>
              <w:spacing w:after="0"/>
              <w:rPr>
                <w:sz w:val="19"/>
                <w:szCs w:val="19"/>
                <w:color w:val="auto"/>
              </w:rPr>
            </w:pPr>
          </w:p>
        </w:tc>
        <w:tc>
          <w:tcPr>
            <w:tcW w:w="1000" w:type="dxa"/>
            <w:vAlign w:val="bottom"/>
            <w:gridSpan w:val="3"/>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1.8%</w:t>
            </w:r>
          </w:p>
        </w:tc>
        <w:tc>
          <w:tcPr>
            <w:tcW w:w="100" w:type="dxa"/>
            <w:vAlign w:val="bottom"/>
            <w:shd w:val="clear" w:color="auto" w:fill="D4EFF3"/>
          </w:tcPr>
          <w:p>
            <w:pPr>
              <w:spacing w:after="0"/>
              <w:rPr>
                <w:sz w:val="19"/>
                <w:szCs w:val="19"/>
                <w:color w:val="auto"/>
              </w:rPr>
            </w:pPr>
          </w:p>
        </w:tc>
        <w:tc>
          <w:tcPr>
            <w:tcW w:w="180" w:type="dxa"/>
            <w:vAlign w:val="bottom"/>
            <w:shd w:val="clear" w:color="auto" w:fill="D4EFF3"/>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D4EFF3"/>
          </w:tcPr>
          <w:p>
            <w:pPr>
              <w:jc w:val="right"/>
              <w:spacing w:after="0" w:line="225" w:lineRule="exact"/>
              <w:rPr>
                <w:sz w:val="20"/>
                <w:szCs w:val="20"/>
                <w:color w:val="auto"/>
              </w:rPr>
            </w:pPr>
            <w:r>
              <w:rPr>
                <w:rFonts w:ascii="Times New Roman" w:cs="Times New Roman" w:eastAsia="Times New Roman" w:hAnsi="Times New Roman"/>
                <w:sz w:val="20"/>
                <w:szCs w:val="20"/>
                <w:color w:val="auto"/>
              </w:rPr>
              <w:t>(1,136)</w:t>
            </w:r>
          </w:p>
        </w:tc>
        <w:tc>
          <w:tcPr>
            <w:tcW w:w="14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1000" w:type="dxa"/>
            <w:vAlign w:val="bottom"/>
            <w:gridSpan w:val="2"/>
            <w:shd w:val="clear" w:color="auto" w:fill="D4EFF3"/>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87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6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5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87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3669030</wp:posOffset>
                </wp:positionH>
                <wp:positionV relativeFrom="paragraph">
                  <wp:posOffset>-1428115</wp:posOffset>
                </wp:positionV>
                <wp:extent cx="586740" cy="155575"/>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 cy="155575"/>
                        </a:xfrm>
                        <a:prstGeom prst="rect">
                          <a:avLst/>
                        </a:prstGeom>
                        <a:solidFill>
                          <a:srgbClr val="FFFFFF"/>
                        </a:solidFill>
                      </wps:spPr>
                      <wps:bodyPr/>
                    </wps:wsp>
                  </a:graphicData>
                </a:graphic>
              </wp:anchor>
            </w:drawing>
          </mc:Choice>
          <mc:Fallback>
            <w:pict>
              <v:rect id="Shape 725" o:spid="_x0000_s1750" style="position:absolute;margin-left:288.9pt;margin-top:-112.4499pt;width:46.2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3816985</wp:posOffset>
                </wp:positionH>
                <wp:positionV relativeFrom="paragraph">
                  <wp:posOffset>-1418590</wp:posOffset>
                </wp:positionV>
                <wp:extent cx="431165" cy="146050"/>
                <wp:wrapNone/>
                <wp:docPr id="726" name="Shape 7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050"/>
                        </a:xfrm>
                        <a:prstGeom prst="rect">
                          <a:avLst/>
                        </a:prstGeom>
                        <a:solidFill>
                          <a:srgbClr val="FFFFFF"/>
                        </a:solidFill>
                      </wps:spPr>
                      <wps:bodyPr/>
                    </wps:wsp>
                  </a:graphicData>
                </a:graphic>
              </wp:anchor>
            </w:drawing>
          </mc:Choice>
          <mc:Fallback>
            <w:pict>
              <v:rect id="Shape 726" o:spid="_x0000_s1751" style="position:absolute;margin-left:300.55pt;margin-top:-111.6999pt;width:33.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4257675</wp:posOffset>
                </wp:positionH>
                <wp:positionV relativeFrom="paragraph">
                  <wp:posOffset>-1427480</wp:posOffset>
                </wp:positionV>
                <wp:extent cx="914400" cy="155575"/>
                <wp:wrapNone/>
                <wp:docPr id="727" name="Shape 7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155575"/>
                        </a:xfrm>
                        <a:prstGeom prst="rect">
                          <a:avLst/>
                        </a:prstGeom>
                        <a:solidFill>
                          <a:srgbClr val="FFFFFF"/>
                        </a:solidFill>
                      </wps:spPr>
                      <wps:bodyPr/>
                    </wps:wsp>
                  </a:graphicData>
                </a:graphic>
              </wp:anchor>
            </w:drawing>
          </mc:Choice>
          <mc:Fallback>
            <w:pict>
              <v:rect id="Shape 727" o:spid="_x0000_s1752" style="position:absolute;margin-left:335.25pt;margin-top:-112.3999pt;width:72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5320030</wp:posOffset>
                </wp:positionH>
                <wp:positionV relativeFrom="paragraph">
                  <wp:posOffset>-1418590</wp:posOffset>
                </wp:positionV>
                <wp:extent cx="431165" cy="146050"/>
                <wp:wrapNone/>
                <wp:docPr id="728" name="Shape 7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050"/>
                        </a:xfrm>
                        <a:prstGeom prst="rect">
                          <a:avLst/>
                        </a:prstGeom>
                        <a:solidFill>
                          <a:srgbClr val="FFFFFF"/>
                        </a:solidFill>
                      </wps:spPr>
                      <wps:bodyPr/>
                    </wps:wsp>
                  </a:graphicData>
                </a:graphic>
              </wp:anchor>
            </w:drawing>
          </mc:Choice>
          <mc:Fallback>
            <w:pict>
              <v:rect id="Shape 728" o:spid="_x0000_s1753" style="position:absolute;margin-left:418.9pt;margin-top:-111.6999pt;width:33.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-1421765</wp:posOffset>
                </wp:positionV>
                <wp:extent cx="5944870" cy="0"/>
                <wp:wrapNone/>
                <wp:docPr id="729" name="Shape 7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29" o:spid="_x0000_s17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9499pt" to="468.1pt,-111.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5320030</wp:posOffset>
                </wp:positionH>
                <wp:positionV relativeFrom="paragraph">
                  <wp:posOffset>-1263650</wp:posOffset>
                </wp:positionV>
                <wp:extent cx="431165" cy="146685"/>
                <wp:wrapNone/>
                <wp:docPr id="730" name="Shape 7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685"/>
                        </a:xfrm>
                        <a:prstGeom prst="rect">
                          <a:avLst/>
                        </a:prstGeom>
                        <a:solidFill>
                          <a:srgbClr val="D4EFF3"/>
                        </a:solidFill>
                      </wps:spPr>
                      <wps:bodyPr/>
                    </wps:wsp>
                  </a:graphicData>
                </a:graphic>
              </wp:anchor>
            </w:drawing>
          </mc:Choice>
          <mc:Fallback>
            <w:pict>
              <v:rect id="Shape 730" o:spid="_x0000_s1755" style="position:absolute;margin-left:418.9pt;margin-top:-99.4999pt;width:33.9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3669030</wp:posOffset>
                </wp:positionH>
                <wp:positionV relativeFrom="paragraph">
                  <wp:posOffset>-963295</wp:posOffset>
                </wp:positionV>
                <wp:extent cx="586740" cy="155575"/>
                <wp:wrapNone/>
                <wp:docPr id="731" name="Shape 7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 cy="155575"/>
                        </a:xfrm>
                        <a:prstGeom prst="rect">
                          <a:avLst/>
                        </a:prstGeom>
                        <a:solidFill>
                          <a:srgbClr val="D4EFF3"/>
                        </a:solidFill>
                      </wps:spPr>
                      <wps:bodyPr/>
                    </wps:wsp>
                  </a:graphicData>
                </a:graphic>
              </wp:anchor>
            </w:drawing>
          </mc:Choice>
          <mc:Fallback>
            <w:pict>
              <v:rect id="Shape 731" o:spid="_x0000_s1756" style="position:absolute;margin-left:288.9pt;margin-top:-75.8499pt;width:46.2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3816985</wp:posOffset>
                </wp:positionH>
                <wp:positionV relativeFrom="paragraph">
                  <wp:posOffset>-953770</wp:posOffset>
                </wp:positionV>
                <wp:extent cx="431165" cy="146050"/>
                <wp:wrapNone/>
                <wp:docPr id="732" name="Shape 7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050"/>
                        </a:xfrm>
                        <a:prstGeom prst="rect">
                          <a:avLst/>
                        </a:prstGeom>
                        <a:solidFill>
                          <a:srgbClr val="D4EFF3"/>
                        </a:solidFill>
                      </wps:spPr>
                      <wps:bodyPr/>
                    </wps:wsp>
                  </a:graphicData>
                </a:graphic>
              </wp:anchor>
            </w:drawing>
          </mc:Choice>
          <mc:Fallback>
            <w:pict>
              <v:rect id="Shape 732" o:spid="_x0000_s1757" style="position:absolute;margin-left:300.55pt;margin-top:-75.0999pt;width:33.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4257675</wp:posOffset>
                </wp:positionH>
                <wp:positionV relativeFrom="paragraph">
                  <wp:posOffset>-962660</wp:posOffset>
                </wp:positionV>
                <wp:extent cx="914400" cy="155575"/>
                <wp:wrapNone/>
                <wp:docPr id="733" name="Shape 7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155575"/>
                        </a:xfrm>
                        <a:prstGeom prst="rect">
                          <a:avLst/>
                        </a:prstGeom>
                        <a:solidFill>
                          <a:srgbClr val="D4EFF3"/>
                        </a:solidFill>
                      </wps:spPr>
                      <wps:bodyPr/>
                    </wps:wsp>
                  </a:graphicData>
                </a:graphic>
              </wp:anchor>
            </w:drawing>
          </mc:Choice>
          <mc:Fallback>
            <w:pict>
              <v:rect id="Shape 733" o:spid="_x0000_s1758" style="position:absolute;margin-left:335.25pt;margin-top:-75.7999pt;width:72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5320030</wp:posOffset>
                </wp:positionH>
                <wp:positionV relativeFrom="paragraph">
                  <wp:posOffset>-953770</wp:posOffset>
                </wp:positionV>
                <wp:extent cx="431165" cy="146050"/>
                <wp:wrapNone/>
                <wp:docPr id="734" name="Shape 7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050"/>
                        </a:xfrm>
                        <a:prstGeom prst="rect">
                          <a:avLst/>
                        </a:prstGeom>
                        <a:solidFill>
                          <a:srgbClr val="D4EFF3"/>
                        </a:solidFill>
                      </wps:spPr>
                      <wps:bodyPr/>
                    </wps:wsp>
                  </a:graphicData>
                </a:graphic>
              </wp:anchor>
            </w:drawing>
          </mc:Choice>
          <mc:Fallback>
            <w:pict>
              <v:rect id="Shape 734" o:spid="_x0000_s1759" style="position:absolute;margin-left:418.9pt;margin-top:-75.0999pt;width:33.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3669030</wp:posOffset>
                </wp:positionH>
                <wp:positionV relativeFrom="paragraph">
                  <wp:posOffset>-652145</wp:posOffset>
                </wp:positionV>
                <wp:extent cx="586740" cy="155575"/>
                <wp:wrapNone/>
                <wp:docPr id="735" name="Shape 7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 cy="155575"/>
                        </a:xfrm>
                        <a:prstGeom prst="rect">
                          <a:avLst/>
                        </a:prstGeom>
                        <a:solidFill>
                          <a:srgbClr val="D4EFF3"/>
                        </a:solidFill>
                      </wps:spPr>
                      <wps:bodyPr/>
                    </wps:wsp>
                  </a:graphicData>
                </a:graphic>
              </wp:anchor>
            </w:drawing>
          </mc:Choice>
          <mc:Fallback>
            <w:pict>
              <v:rect id="Shape 735" o:spid="_x0000_s1760" style="position:absolute;margin-left:288.9pt;margin-top:-51.3499pt;width:46.2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3816985</wp:posOffset>
                </wp:positionH>
                <wp:positionV relativeFrom="paragraph">
                  <wp:posOffset>-642620</wp:posOffset>
                </wp:positionV>
                <wp:extent cx="431165" cy="146050"/>
                <wp:wrapNone/>
                <wp:docPr id="736" name="Shape 7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050"/>
                        </a:xfrm>
                        <a:prstGeom prst="rect">
                          <a:avLst/>
                        </a:prstGeom>
                        <a:solidFill>
                          <a:srgbClr val="D4EFF3"/>
                        </a:solidFill>
                      </wps:spPr>
                      <wps:bodyPr/>
                    </wps:wsp>
                  </a:graphicData>
                </a:graphic>
              </wp:anchor>
            </w:drawing>
          </mc:Choice>
          <mc:Fallback>
            <w:pict>
              <v:rect id="Shape 736" o:spid="_x0000_s1761" style="position:absolute;margin-left:300.55pt;margin-top:-50.5999pt;width:33.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4257675</wp:posOffset>
                </wp:positionH>
                <wp:positionV relativeFrom="paragraph">
                  <wp:posOffset>-651510</wp:posOffset>
                </wp:positionV>
                <wp:extent cx="914400" cy="155575"/>
                <wp:wrapNone/>
                <wp:docPr id="737" name="Shape 7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155575"/>
                        </a:xfrm>
                        <a:prstGeom prst="rect">
                          <a:avLst/>
                        </a:prstGeom>
                        <a:solidFill>
                          <a:srgbClr val="D4EFF3"/>
                        </a:solidFill>
                      </wps:spPr>
                      <wps:bodyPr/>
                    </wps:wsp>
                  </a:graphicData>
                </a:graphic>
              </wp:anchor>
            </w:drawing>
          </mc:Choice>
          <mc:Fallback>
            <w:pict>
              <v:rect id="Shape 737" o:spid="_x0000_s1762" style="position:absolute;margin-left:335.25pt;margin-top:-51.2999pt;width:72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5320030</wp:posOffset>
                </wp:positionH>
                <wp:positionV relativeFrom="paragraph">
                  <wp:posOffset>-642620</wp:posOffset>
                </wp:positionV>
                <wp:extent cx="431165" cy="146050"/>
                <wp:wrapNone/>
                <wp:docPr id="738" name="Shape 7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050"/>
                        </a:xfrm>
                        <a:prstGeom prst="rect">
                          <a:avLst/>
                        </a:prstGeom>
                        <a:solidFill>
                          <a:srgbClr val="D4EFF3"/>
                        </a:solidFill>
                      </wps:spPr>
                      <wps:bodyPr/>
                    </wps:wsp>
                  </a:graphicData>
                </a:graphic>
              </wp:anchor>
            </w:drawing>
          </mc:Choice>
          <mc:Fallback>
            <w:pict>
              <v:rect id="Shape 738" o:spid="_x0000_s1763" style="position:absolute;margin-left:418.9pt;margin-top:-50.5999pt;width:33.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-492125</wp:posOffset>
                </wp:positionV>
                <wp:extent cx="5944870" cy="0"/>
                <wp:wrapNone/>
                <wp:docPr id="739" name="Shape 7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39" o:spid="_x0000_s17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7499pt" to="468.1pt,-38.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3669030</wp:posOffset>
                </wp:positionH>
                <wp:positionV relativeFrom="paragraph">
                  <wp:posOffset>-342900</wp:posOffset>
                </wp:positionV>
                <wp:extent cx="586740" cy="155575"/>
                <wp:wrapNone/>
                <wp:docPr id="740" name="Shape 7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 cy="155575"/>
                        </a:xfrm>
                        <a:prstGeom prst="rect">
                          <a:avLst/>
                        </a:prstGeom>
                        <a:solidFill>
                          <a:srgbClr val="D4EFF3"/>
                        </a:solidFill>
                      </wps:spPr>
                      <wps:bodyPr/>
                    </wps:wsp>
                  </a:graphicData>
                </a:graphic>
              </wp:anchor>
            </w:drawing>
          </mc:Choice>
          <mc:Fallback>
            <w:pict>
              <v:rect id="Shape 740" o:spid="_x0000_s1765" style="position:absolute;margin-left:288.9pt;margin-top:-27pt;width:46.2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3816985</wp:posOffset>
                </wp:positionH>
                <wp:positionV relativeFrom="paragraph">
                  <wp:posOffset>-333375</wp:posOffset>
                </wp:positionV>
                <wp:extent cx="431165" cy="146050"/>
                <wp:wrapNone/>
                <wp:docPr id="741" name="Shape 7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050"/>
                        </a:xfrm>
                        <a:prstGeom prst="rect">
                          <a:avLst/>
                        </a:prstGeom>
                        <a:solidFill>
                          <a:srgbClr val="D4EFF3"/>
                        </a:solidFill>
                      </wps:spPr>
                      <wps:bodyPr/>
                    </wps:wsp>
                  </a:graphicData>
                </a:graphic>
              </wp:anchor>
            </w:drawing>
          </mc:Choice>
          <mc:Fallback>
            <w:pict>
              <v:rect id="Shape 741" o:spid="_x0000_s1766" style="position:absolute;margin-left:300.55pt;margin-top:-26.2499pt;width:33.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4257675</wp:posOffset>
                </wp:positionH>
                <wp:positionV relativeFrom="paragraph">
                  <wp:posOffset>-342265</wp:posOffset>
                </wp:positionV>
                <wp:extent cx="914400" cy="155575"/>
                <wp:wrapNone/>
                <wp:docPr id="742" name="Shape 7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155575"/>
                        </a:xfrm>
                        <a:prstGeom prst="rect">
                          <a:avLst/>
                        </a:prstGeom>
                        <a:solidFill>
                          <a:srgbClr val="D4EFF3"/>
                        </a:solidFill>
                      </wps:spPr>
                      <wps:bodyPr/>
                    </wps:wsp>
                  </a:graphicData>
                </a:graphic>
              </wp:anchor>
            </w:drawing>
          </mc:Choice>
          <mc:Fallback>
            <w:pict>
              <v:rect id="Shape 742" o:spid="_x0000_s1767" style="position:absolute;margin-left:335.25pt;margin-top:-26.9499pt;width:72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mc:AlternateContent>
          <mc:Choice Requires="wps">
            <w:drawing>
              <wp:anchor simplePos="0" relativeHeight="251657728" behindDoc="1" locked="0" layoutInCell="0" allowOverlap="1">
                <wp:simplePos x="0" y="0"/>
                <wp:positionH relativeFrom="column">
                  <wp:posOffset>5320030</wp:posOffset>
                </wp:positionH>
                <wp:positionV relativeFrom="paragraph">
                  <wp:posOffset>-333375</wp:posOffset>
                </wp:positionV>
                <wp:extent cx="431165" cy="146050"/>
                <wp:wrapNone/>
                <wp:docPr id="743" name="Shape 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1165" cy="146050"/>
                        </a:xfrm>
                        <a:prstGeom prst="rect">
                          <a:avLst/>
                        </a:prstGeom>
                        <a:solidFill>
                          <a:srgbClr val="D4EFF3"/>
                        </a:solidFill>
                      </wps:spPr>
                      <wps:bodyPr/>
                    </wps:wsp>
                  </a:graphicData>
                </a:graphic>
              </wp:anchor>
            </w:drawing>
          </mc:Choice>
          <mc:Fallback>
            <w:pict>
              <v:rect id="Shape 743" o:spid="_x0000_s1768" style="position:absolute;margin-left:418.9pt;margin-top:-26.2499pt;width:33.9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FF3" stroked="f"/>
            </w:pict>
          </mc:Fallback>
        </mc:AlternateContent>
      </w:r>
    </w:p>
    <w:p>
      <w:pPr>
        <w:spacing w:after="0" w:line="2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State income taxes in California comprise the majority of the state income taxes, net of federal effect category for the years ended December 31, 2025 and 2024,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at December 31, 2025 and 2024 are shown below.</w:t>
      </w:r>
    </w:p>
    <w:p>
      <w:pPr>
        <w:sectPr>
          <w:pgSz w:w="12240" w:h="15840" w:orient="portrait"/>
          <w:cols w:equalWidth="0" w:num="1">
            <w:col w:w="9360"/>
          </w:cols>
          <w:pgMar w:left="1440" w:top="1418"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5680" w:type="dxa"/>
            <w:vAlign w:val="bottom"/>
            <w:tcBorders>
              <w:bottom w:val="single" w:sz="8" w:color="D4EFF3"/>
            </w:tcBorders>
          </w:tcPr>
          <w:p>
            <w:pPr>
              <w:spacing w:after="0"/>
              <w:rPr>
                <w:sz w:val="21"/>
                <w:szCs w:val="21"/>
                <w:color w:val="auto"/>
              </w:rPr>
            </w:pPr>
          </w:p>
        </w:tc>
        <w:tc>
          <w:tcPr>
            <w:tcW w:w="120" w:type="dxa"/>
            <w:vAlign w:val="bottom"/>
            <w:tcBorders>
              <w:bottom w:val="single" w:sz="8" w:color="D4EFF3"/>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Borders>
              <w:bottom w:val="single" w:sz="8" w:color="D4EFF3"/>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Borders>
              <w:bottom w:val="single" w:sz="8" w:color="D4EFF3"/>
            </w:tcBorders>
          </w:tcPr>
          <w:p>
            <w:pPr>
              <w:spacing w:after="0"/>
              <w:rPr>
                <w:sz w:val="21"/>
                <w:szCs w:val="21"/>
                <w:color w:val="auto"/>
              </w:rPr>
            </w:pPr>
          </w:p>
        </w:tc>
      </w:tr>
      <w:tr>
        <w:trPr>
          <w:trHeight w:val="232"/>
        </w:trPr>
        <w:tc>
          <w:tcPr>
            <w:tcW w:w="5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120" w:type="dxa"/>
            <w:vAlign w:val="bottom"/>
            <w:shd w:val="clear" w:color="auto" w:fill="D4EFF3"/>
          </w:tcPr>
          <w:p>
            <w:pPr>
              <w:spacing w:after="0"/>
              <w:rPr>
                <w:sz w:val="20"/>
                <w:szCs w:val="20"/>
                <w:color w:val="auto"/>
              </w:rPr>
            </w:pPr>
          </w:p>
        </w:tc>
        <w:tc>
          <w:tcPr>
            <w:tcW w:w="200" w:type="dxa"/>
            <w:vAlign w:val="bottom"/>
            <w:shd w:val="clear" w:color="auto" w:fill="D4EFF3"/>
          </w:tcPr>
          <w:p>
            <w:pPr>
              <w:spacing w:after="0"/>
              <w:rPr>
                <w:sz w:val="20"/>
                <w:szCs w:val="20"/>
                <w:color w:val="auto"/>
              </w:rPr>
            </w:pPr>
          </w:p>
        </w:tc>
        <w:tc>
          <w:tcPr>
            <w:tcW w:w="1360" w:type="dxa"/>
            <w:vAlign w:val="bottom"/>
            <w:shd w:val="clear" w:color="auto" w:fill="D4EFF3"/>
          </w:tcPr>
          <w:p>
            <w:pPr>
              <w:spacing w:after="0"/>
              <w:rPr>
                <w:sz w:val="20"/>
                <w:szCs w:val="20"/>
                <w:color w:val="auto"/>
              </w:rPr>
            </w:pPr>
          </w:p>
        </w:tc>
        <w:tc>
          <w:tcPr>
            <w:tcW w:w="280" w:type="dxa"/>
            <w:vAlign w:val="bottom"/>
            <w:shd w:val="clear" w:color="auto" w:fill="D4EFF3"/>
          </w:tcPr>
          <w:p>
            <w:pPr>
              <w:spacing w:after="0"/>
              <w:rPr>
                <w:sz w:val="20"/>
                <w:szCs w:val="20"/>
                <w:color w:val="auto"/>
              </w:rPr>
            </w:pPr>
          </w:p>
        </w:tc>
        <w:tc>
          <w:tcPr>
            <w:tcW w:w="200" w:type="dxa"/>
            <w:vAlign w:val="bottom"/>
            <w:shd w:val="clear" w:color="auto" w:fill="D4EFF3"/>
          </w:tcPr>
          <w:p>
            <w:pPr>
              <w:spacing w:after="0"/>
              <w:rPr>
                <w:sz w:val="20"/>
                <w:szCs w:val="20"/>
                <w:color w:val="auto"/>
              </w:rPr>
            </w:pPr>
          </w:p>
        </w:tc>
        <w:tc>
          <w:tcPr>
            <w:tcW w:w="1380" w:type="dxa"/>
            <w:vAlign w:val="bottom"/>
            <w:shd w:val="clear" w:color="auto" w:fill="D4EFF3"/>
          </w:tcPr>
          <w:p>
            <w:pPr>
              <w:spacing w:after="0"/>
              <w:rPr>
                <w:sz w:val="20"/>
                <w:szCs w:val="20"/>
                <w:color w:val="auto"/>
              </w:rPr>
            </w:pPr>
          </w:p>
        </w:tc>
        <w:tc>
          <w:tcPr>
            <w:tcW w:w="140" w:type="dxa"/>
            <w:vAlign w:val="bottom"/>
            <w:shd w:val="clear" w:color="auto" w:fill="D4EFF3"/>
          </w:tcPr>
          <w:p>
            <w:pPr>
              <w:spacing w:after="0"/>
              <w:rPr>
                <w:sz w:val="20"/>
                <w:szCs w:val="20"/>
                <w:color w:val="auto"/>
              </w:rPr>
            </w:pPr>
          </w:p>
        </w:tc>
      </w:tr>
      <w:tr>
        <w:trPr>
          <w:trHeight w:val="245"/>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152,074</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143,896</w:t>
            </w:r>
          </w:p>
        </w:tc>
        <w:tc>
          <w:tcPr>
            <w:tcW w:w="140" w:type="dxa"/>
            <w:vAlign w:val="bottom"/>
          </w:tcPr>
          <w:p>
            <w:pPr>
              <w:spacing w:after="0"/>
              <w:rPr>
                <w:sz w:val="21"/>
                <w:szCs w:val="21"/>
                <w:color w:val="auto"/>
              </w:rPr>
            </w:pPr>
          </w:p>
        </w:tc>
      </w:tr>
      <w:tr>
        <w:trPr>
          <w:trHeight w:val="245"/>
        </w:trPr>
        <w:tc>
          <w:tcPr>
            <w:tcW w:w="5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120" w:type="dxa"/>
            <w:vAlign w:val="bottom"/>
            <w:shd w:val="clear" w:color="auto" w:fill="D4EFF3"/>
          </w:tcPr>
          <w:p>
            <w:pPr>
              <w:spacing w:after="0"/>
              <w:rPr>
                <w:sz w:val="21"/>
                <w:szCs w:val="21"/>
                <w:color w:val="auto"/>
              </w:rPr>
            </w:pPr>
          </w:p>
        </w:tc>
        <w:tc>
          <w:tcPr>
            <w:tcW w:w="200" w:type="dxa"/>
            <w:vAlign w:val="bottom"/>
            <w:shd w:val="clear" w:color="auto" w:fill="D4EFF3"/>
          </w:tcPr>
          <w:p>
            <w:pPr>
              <w:spacing w:after="0"/>
              <w:rPr>
                <w:sz w:val="21"/>
                <w:szCs w:val="21"/>
                <w:color w:val="auto"/>
              </w:rPr>
            </w:pPr>
          </w:p>
        </w:tc>
        <w:tc>
          <w:tcPr>
            <w:tcW w:w="13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21,198</w:t>
            </w:r>
          </w:p>
        </w:tc>
        <w:tc>
          <w:tcPr>
            <w:tcW w:w="280" w:type="dxa"/>
            <w:vAlign w:val="bottom"/>
            <w:shd w:val="clear" w:color="auto" w:fill="D4EFF3"/>
          </w:tcPr>
          <w:p>
            <w:pPr>
              <w:spacing w:after="0"/>
              <w:rPr>
                <w:sz w:val="21"/>
                <w:szCs w:val="21"/>
                <w:color w:val="auto"/>
              </w:rPr>
            </w:pPr>
          </w:p>
        </w:tc>
        <w:tc>
          <w:tcPr>
            <w:tcW w:w="200" w:type="dxa"/>
            <w:vAlign w:val="bottom"/>
            <w:shd w:val="clear" w:color="auto" w:fill="D4EFF3"/>
          </w:tcPr>
          <w:p>
            <w:pPr>
              <w:spacing w:after="0"/>
              <w:rPr>
                <w:sz w:val="21"/>
                <w:szCs w:val="21"/>
                <w:color w:val="auto"/>
              </w:rPr>
            </w:pPr>
          </w:p>
        </w:tc>
        <w:tc>
          <w:tcPr>
            <w:tcW w:w="13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20,513</w:t>
            </w:r>
          </w:p>
        </w:tc>
        <w:tc>
          <w:tcPr>
            <w:tcW w:w="140" w:type="dxa"/>
            <w:vAlign w:val="bottom"/>
            <w:shd w:val="clear" w:color="auto" w:fill="D4EFF3"/>
          </w:tcPr>
          <w:p>
            <w:pPr>
              <w:spacing w:after="0"/>
              <w:rPr>
                <w:sz w:val="21"/>
                <w:szCs w:val="21"/>
                <w:color w:val="auto"/>
              </w:rPr>
            </w:pPr>
          </w:p>
        </w:tc>
      </w:tr>
      <w:tr>
        <w:trPr>
          <w:trHeight w:val="242"/>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140" w:type="dxa"/>
            <w:vAlign w:val="bottom"/>
          </w:tcPr>
          <w:p>
            <w:pPr>
              <w:spacing w:after="0"/>
              <w:rPr>
                <w:sz w:val="21"/>
                <w:szCs w:val="21"/>
                <w:color w:val="auto"/>
              </w:rPr>
            </w:pPr>
          </w:p>
        </w:tc>
      </w:tr>
      <w:tr>
        <w:trPr>
          <w:trHeight w:val="245"/>
        </w:trPr>
        <w:tc>
          <w:tcPr>
            <w:tcW w:w="5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20" w:type="dxa"/>
            <w:vAlign w:val="bottom"/>
            <w:shd w:val="clear" w:color="auto" w:fill="D4EFF3"/>
          </w:tcPr>
          <w:p>
            <w:pPr>
              <w:spacing w:after="0"/>
              <w:rPr>
                <w:sz w:val="21"/>
                <w:szCs w:val="21"/>
                <w:color w:val="auto"/>
              </w:rPr>
            </w:pPr>
          </w:p>
        </w:tc>
        <w:tc>
          <w:tcPr>
            <w:tcW w:w="200" w:type="dxa"/>
            <w:vAlign w:val="bottom"/>
            <w:shd w:val="clear" w:color="auto" w:fill="D4EFF3"/>
          </w:tcPr>
          <w:p>
            <w:pPr>
              <w:spacing w:after="0"/>
              <w:rPr>
                <w:sz w:val="21"/>
                <w:szCs w:val="21"/>
                <w:color w:val="auto"/>
              </w:rPr>
            </w:pPr>
          </w:p>
        </w:tc>
        <w:tc>
          <w:tcPr>
            <w:tcW w:w="13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2,354</w:t>
            </w:r>
          </w:p>
        </w:tc>
        <w:tc>
          <w:tcPr>
            <w:tcW w:w="280" w:type="dxa"/>
            <w:vAlign w:val="bottom"/>
            <w:shd w:val="clear" w:color="auto" w:fill="D4EFF3"/>
          </w:tcPr>
          <w:p>
            <w:pPr>
              <w:spacing w:after="0"/>
              <w:rPr>
                <w:sz w:val="21"/>
                <w:szCs w:val="21"/>
                <w:color w:val="auto"/>
              </w:rPr>
            </w:pPr>
          </w:p>
        </w:tc>
        <w:tc>
          <w:tcPr>
            <w:tcW w:w="200" w:type="dxa"/>
            <w:vAlign w:val="bottom"/>
            <w:shd w:val="clear" w:color="auto" w:fill="D4EFF3"/>
          </w:tcPr>
          <w:p>
            <w:pPr>
              <w:spacing w:after="0"/>
              <w:rPr>
                <w:sz w:val="21"/>
                <w:szCs w:val="21"/>
                <w:color w:val="auto"/>
              </w:rPr>
            </w:pPr>
          </w:p>
        </w:tc>
        <w:tc>
          <w:tcPr>
            <w:tcW w:w="13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2,625</w:t>
            </w:r>
          </w:p>
        </w:tc>
        <w:tc>
          <w:tcPr>
            <w:tcW w:w="140" w:type="dxa"/>
            <w:vAlign w:val="bottom"/>
            <w:shd w:val="clear" w:color="auto" w:fill="D4EFF3"/>
          </w:tcPr>
          <w:p>
            <w:pPr>
              <w:spacing w:after="0"/>
              <w:rPr>
                <w:sz w:val="21"/>
                <w:szCs w:val="21"/>
                <w:color w:val="auto"/>
              </w:rPr>
            </w:pPr>
          </w:p>
        </w:tc>
      </w:tr>
      <w:tr>
        <w:trPr>
          <w:trHeight w:val="245"/>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140" w:type="dxa"/>
            <w:vAlign w:val="bottom"/>
          </w:tcPr>
          <w:p>
            <w:pPr>
              <w:spacing w:after="0"/>
              <w:rPr>
                <w:sz w:val="21"/>
                <w:szCs w:val="21"/>
                <w:color w:val="auto"/>
              </w:rPr>
            </w:pPr>
          </w:p>
        </w:tc>
      </w:tr>
      <w:tr>
        <w:trPr>
          <w:trHeight w:val="242"/>
        </w:trPr>
        <w:tc>
          <w:tcPr>
            <w:tcW w:w="5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Other</w:t>
            </w:r>
          </w:p>
        </w:tc>
        <w:tc>
          <w:tcPr>
            <w:tcW w:w="120" w:type="dxa"/>
            <w:vAlign w:val="bottom"/>
            <w:shd w:val="clear" w:color="auto" w:fill="D4EFF3"/>
          </w:tcPr>
          <w:p>
            <w:pPr>
              <w:spacing w:after="0"/>
              <w:rPr>
                <w:sz w:val="21"/>
                <w:szCs w:val="21"/>
                <w:color w:val="auto"/>
              </w:rPr>
            </w:pPr>
          </w:p>
        </w:tc>
        <w:tc>
          <w:tcPr>
            <w:tcW w:w="200" w:type="dxa"/>
            <w:vAlign w:val="bottom"/>
            <w:shd w:val="clear" w:color="auto" w:fill="D4EFF3"/>
          </w:tcPr>
          <w:p>
            <w:pPr>
              <w:spacing w:after="0"/>
              <w:rPr>
                <w:sz w:val="21"/>
                <w:szCs w:val="21"/>
                <w:color w:val="auto"/>
              </w:rPr>
            </w:pPr>
          </w:p>
        </w:tc>
        <w:tc>
          <w:tcPr>
            <w:tcW w:w="13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80" w:type="dxa"/>
            <w:vAlign w:val="bottom"/>
            <w:shd w:val="clear" w:color="auto" w:fill="D4EFF3"/>
          </w:tcPr>
          <w:p>
            <w:pPr>
              <w:spacing w:after="0"/>
              <w:rPr>
                <w:sz w:val="21"/>
                <w:szCs w:val="21"/>
                <w:color w:val="auto"/>
              </w:rPr>
            </w:pPr>
          </w:p>
        </w:tc>
        <w:tc>
          <w:tcPr>
            <w:tcW w:w="200" w:type="dxa"/>
            <w:vAlign w:val="bottom"/>
            <w:shd w:val="clear" w:color="auto" w:fill="D4EFF3"/>
          </w:tcPr>
          <w:p>
            <w:pPr>
              <w:spacing w:after="0"/>
              <w:rPr>
                <w:sz w:val="21"/>
                <w:szCs w:val="21"/>
                <w:color w:val="auto"/>
              </w:rPr>
            </w:pPr>
          </w:p>
        </w:tc>
        <w:tc>
          <w:tcPr>
            <w:tcW w:w="13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140" w:type="dxa"/>
            <w:vAlign w:val="bottom"/>
            <w:shd w:val="clear" w:color="auto" w:fill="D4EFF3"/>
          </w:tcPr>
          <w:p>
            <w:pPr>
              <w:spacing w:after="0"/>
              <w:rPr>
                <w:sz w:val="21"/>
                <w:szCs w:val="21"/>
                <w:color w:val="auto"/>
              </w:rPr>
            </w:pPr>
          </w:p>
        </w:tc>
      </w:tr>
      <w:tr>
        <w:trPr>
          <w:trHeight w:val="245"/>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Capitalized R&amp;D</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7,901</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10,041</w:t>
            </w:r>
          </w:p>
        </w:tc>
        <w:tc>
          <w:tcPr>
            <w:tcW w:w="140" w:type="dxa"/>
            <w:vAlign w:val="bottom"/>
          </w:tcPr>
          <w:p>
            <w:pPr>
              <w:spacing w:after="0"/>
              <w:rPr>
                <w:sz w:val="21"/>
                <w:szCs w:val="21"/>
                <w:color w:val="auto"/>
              </w:rPr>
            </w:pPr>
          </w:p>
        </w:tc>
      </w:tr>
      <w:tr>
        <w:trPr>
          <w:trHeight w:val="234"/>
        </w:trPr>
        <w:tc>
          <w:tcPr>
            <w:tcW w:w="5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120" w:type="dxa"/>
            <w:vAlign w:val="bottom"/>
            <w:shd w:val="clear" w:color="auto" w:fill="D4EFF3"/>
          </w:tcPr>
          <w:p>
            <w:pPr>
              <w:spacing w:after="0"/>
              <w:rPr>
                <w:sz w:val="20"/>
                <w:szCs w:val="20"/>
                <w:color w:val="auto"/>
              </w:rPr>
            </w:pPr>
          </w:p>
        </w:tc>
        <w:tc>
          <w:tcPr>
            <w:tcW w:w="200" w:type="dxa"/>
            <w:vAlign w:val="bottom"/>
            <w:shd w:val="clear" w:color="auto" w:fill="D4EFF3"/>
          </w:tcPr>
          <w:p>
            <w:pPr>
              <w:spacing w:after="0"/>
              <w:rPr>
                <w:sz w:val="20"/>
                <w:szCs w:val="20"/>
                <w:color w:val="auto"/>
              </w:rPr>
            </w:pPr>
          </w:p>
        </w:tc>
        <w:tc>
          <w:tcPr>
            <w:tcW w:w="13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185,697</w:t>
            </w:r>
          </w:p>
        </w:tc>
        <w:tc>
          <w:tcPr>
            <w:tcW w:w="280" w:type="dxa"/>
            <w:vAlign w:val="bottom"/>
            <w:shd w:val="clear" w:color="auto" w:fill="D4EFF3"/>
          </w:tcPr>
          <w:p>
            <w:pPr>
              <w:spacing w:after="0"/>
              <w:rPr>
                <w:sz w:val="20"/>
                <w:szCs w:val="20"/>
                <w:color w:val="auto"/>
              </w:rPr>
            </w:pPr>
          </w:p>
        </w:tc>
        <w:tc>
          <w:tcPr>
            <w:tcW w:w="200" w:type="dxa"/>
            <w:vAlign w:val="bottom"/>
            <w:shd w:val="clear" w:color="auto" w:fill="D4EFF3"/>
          </w:tcPr>
          <w:p>
            <w:pPr>
              <w:spacing w:after="0"/>
              <w:rPr>
                <w:sz w:val="20"/>
                <w:szCs w:val="20"/>
                <w:color w:val="auto"/>
              </w:rPr>
            </w:pPr>
          </w:p>
        </w:tc>
        <w:tc>
          <w:tcPr>
            <w:tcW w:w="13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179,336</w:t>
            </w:r>
          </w:p>
        </w:tc>
        <w:tc>
          <w:tcPr>
            <w:tcW w:w="140" w:type="dxa"/>
            <w:vAlign w:val="bottom"/>
            <w:shd w:val="clear" w:color="auto" w:fill="D4EFF3"/>
          </w:tcPr>
          <w:p>
            <w:pPr>
              <w:spacing w:after="0"/>
              <w:rPr>
                <w:sz w:val="20"/>
                <w:szCs w:val="20"/>
                <w:color w:val="auto"/>
              </w:rPr>
            </w:pPr>
          </w:p>
        </w:tc>
      </w:tr>
      <w:tr>
        <w:trPr>
          <w:trHeight w:val="245"/>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(183,498)</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(176,799)</w:t>
            </w:r>
          </w:p>
        </w:tc>
        <w:tc>
          <w:tcPr>
            <w:tcW w:w="140" w:type="dxa"/>
            <w:vAlign w:val="bottom"/>
          </w:tcPr>
          <w:p>
            <w:pPr>
              <w:spacing w:after="0"/>
              <w:rPr>
                <w:sz w:val="21"/>
                <w:szCs w:val="21"/>
                <w:color w:val="auto"/>
              </w:rPr>
            </w:pPr>
          </w:p>
        </w:tc>
      </w:tr>
      <w:tr>
        <w:trPr>
          <w:trHeight w:val="232"/>
        </w:trPr>
        <w:tc>
          <w:tcPr>
            <w:tcW w:w="5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20" w:type="dxa"/>
            <w:vAlign w:val="bottom"/>
            <w:shd w:val="clear" w:color="auto" w:fill="D4EFF3"/>
          </w:tcPr>
          <w:p>
            <w:pPr>
              <w:spacing w:after="0"/>
              <w:rPr>
                <w:sz w:val="20"/>
                <w:szCs w:val="20"/>
                <w:color w:val="auto"/>
              </w:rPr>
            </w:pPr>
          </w:p>
        </w:tc>
        <w:tc>
          <w:tcPr>
            <w:tcW w:w="200" w:type="dxa"/>
            <w:vAlign w:val="bottom"/>
            <w:tcBorders>
              <w:top w:val="single" w:sz="8" w:color="auto"/>
              <w:bottom w:val="single" w:sz="8" w:color="auto"/>
            </w:tcBorders>
            <w:shd w:val="clear" w:color="auto" w:fill="D4EFF3"/>
          </w:tcPr>
          <w:p>
            <w:pPr>
              <w:spacing w:after="0"/>
              <w:rPr>
                <w:sz w:val="20"/>
                <w:szCs w:val="20"/>
                <w:color w:val="auto"/>
              </w:rPr>
            </w:pPr>
          </w:p>
        </w:tc>
        <w:tc>
          <w:tcPr>
            <w:tcW w:w="136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2,199</w:t>
            </w:r>
          </w:p>
        </w:tc>
        <w:tc>
          <w:tcPr>
            <w:tcW w:w="280" w:type="dxa"/>
            <w:vAlign w:val="bottom"/>
            <w:shd w:val="clear" w:color="auto" w:fill="D4EFF3"/>
          </w:tcPr>
          <w:p>
            <w:pPr>
              <w:spacing w:after="0"/>
              <w:rPr>
                <w:sz w:val="20"/>
                <w:szCs w:val="20"/>
                <w:color w:val="auto"/>
              </w:rPr>
            </w:pPr>
          </w:p>
        </w:tc>
        <w:tc>
          <w:tcPr>
            <w:tcW w:w="200" w:type="dxa"/>
            <w:vAlign w:val="bottom"/>
            <w:tcBorders>
              <w:top w:val="single" w:sz="8" w:color="auto"/>
              <w:bottom w:val="single" w:sz="8" w:color="auto"/>
            </w:tcBorders>
            <w:shd w:val="clear" w:color="auto" w:fill="D4EFF3"/>
          </w:tcPr>
          <w:p>
            <w:pPr>
              <w:spacing w:after="0"/>
              <w:rPr>
                <w:sz w:val="20"/>
                <w:szCs w:val="20"/>
                <w:color w:val="auto"/>
              </w:rPr>
            </w:pPr>
          </w:p>
        </w:tc>
        <w:tc>
          <w:tcPr>
            <w:tcW w:w="138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2,537</w:t>
            </w:r>
          </w:p>
        </w:tc>
        <w:tc>
          <w:tcPr>
            <w:tcW w:w="140" w:type="dxa"/>
            <w:vAlign w:val="bottom"/>
            <w:shd w:val="clear" w:color="auto" w:fill="D4EFF3"/>
          </w:tcPr>
          <w:p>
            <w:pPr>
              <w:spacing w:after="0"/>
              <w:rPr>
                <w:sz w:val="20"/>
                <w:szCs w:val="20"/>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5"/>
        </w:trPr>
        <w:tc>
          <w:tcPr>
            <w:tcW w:w="5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120" w:type="dxa"/>
            <w:vAlign w:val="bottom"/>
            <w:shd w:val="clear" w:color="auto" w:fill="D4EFF3"/>
          </w:tcPr>
          <w:p>
            <w:pPr>
              <w:spacing w:after="0"/>
              <w:rPr>
                <w:sz w:val="21"/>
                <w:szCs w:val="21"/>
                <w:color w:val="auto"/>
              </w:rPr>
            </w:pPr>
          </w:p>
        </w:tc>
        <w:tc>
          <w:tcPr>
            <w:tcW w:w="200" w:type="dxa"/>
            <w:vAlign w:val="bottom"/>
            <w:shd w:val="clear" w:color="auto" w:fill="D4EFF3"/>
          </w:tcPr>
          <w:p>
            <w:pPr>
              <w:spacing w:after="0"/>
              <w:rPr>
                <w:sz w:val="21"/>
                <w:szCs w:val="21"/>
                <w:color w:val="auto"/>
              </w:rPr>
            </w:pPr>
          </w:p>
        </w:tc>
        <w:tc>
          <w:tcPr>
            <w:tcW w:w="136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(2,180)</w:t>
            </w:r>
          </w:p>
        </w:tc>
        <w:tc>
          <w:tcPr>
            <w:tcW w:w="280" w:type="dxa"/>
            <w:vAlign w:val="bottom"/>
            <w:shd w:val="clear" w:color="auto" w:fill="D4EFF3"/>
          </w:tcPr>
          <w:p>
            <w:pPr>
              <w:spacing w:after="0"/>
              <w:rPr>
                <w:sz w:val="21"/>
                <w:szCs w:val="21"/>
                <w:color w:val="auto"/>
              </w:rPr>
            </w:pPr>
          </w:p>
        </w:tc>
        <w:tc>
          <w:tcPr>
            <w:tcW w:w="200" w:type="dxa"/>
            <w:vAlign w:val="bottom"/>
            <w:shd w:val="clear" w:color="auto" w:fill="D4EFF3"/>
          </w:tcPr>
          <w:p>
            <w:pPr>
              <w:spacing w:after="0"/>
              <w:rPr>
                <w:sz w:val="21"/>
                <w:szCs w:val="21"/>
                <w:color w:val="auto"/>
              </w:rPr>
            </w:pPr>
          </w:p>
        </w:tc>
        <w:tc>
          <w:tcPr>
            <w:tcW w:w="1380" w:type="dxa"/>
            <w:vAlign w:val="bottom"/>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(2,518)</w:t>
            </w:r>
          </w:p>
        </w:tc>
        <w:tc>
          <w:tcPr>
            <w:tcW w:w="140" w:type="dxa"/>
            <w:vAlign w:val="bottom"/>
            <w:shd w:val="clear" w:color="auto" w:fill="D4EFF3"/>
          </w:tcPr>
          <w:p>
            <w:pPr>
              <w:spacing w:after="0"/>
              <w:rPr>
                <w:sz w:val="21"/>
                <w:szCs w:val="21"/>
                <w:color w:val="auto"/>
              </w:rPr>
            </w:pPr>
          </w:p>
        </w:tc>
      </w:tr>
      <w:tr>
        <w:trPr>
          <w:trHeight w:val="245"/>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Fixed assets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w:t>
            </w:r>
          </w:p>
        </w:tc>
      </w:tr>
      <w:tr>
        <w:trPr>
          <w:trHeight w:val="233"/>
        </w:trPr>
        <w:tc>
          <w:tcPr>
            <w:tcW w:w="568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Total gross deferred tax liabilities</w:t>
            </w:r>
          </w:p>
        </w:tc>
        <w:tc>
          <w:tcPr>
            <w:tcW w:w="120" w:type="dxa"/>
            <w:vAlign w:val="bottom"/>
            <w:shd w:val="clear" w:color="auto" w:fill="D4EFF3"/>
          </w:tcPr>
          <w:p>
            <w:pPr>
              <w:spacing w:after="0"/>
              <w:rPr>
                <w:sz w:val="20"/>
                <w:szCs w:val="20"/>
                <w:color w:val="auto"/>
              </w:rPr>
            </w:pPr>
          </w:p>
        </w:tc>
        <w:tc>
          <w:tcPr>
            <w:tcW w:w="200" w:type="dxa"/>
            <w:vAlign w:val="bottom"/>
            <w:tcBorders>
              <w:top w:val="single" w:sz="8" w:color="auto"/>
              <w:bottom w:val="single" w:sz="8" w:color="auto"/>
            </w:tcBorders>
            <w:shd w:val="clear" w:color="auto" w:fill="D4EFF3"/>
          </w:tcPr>
          <w:p>
            <w:pPr>
              <w:spacing w:after="0"/>
              <w:rPr>
                <w:sz w:val="20"/>
                <w:szCs w:val="20"/>
                <w:color w:val="auto"/>
              </w:rPr>
            </w:pPr>
          </w:p>
        </w:tc>
        <w:tc>
          <w:tcPr>
            <w:tcW w:w="136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(2,199)</w:t>
            </w:r>
          </w:p>
        </w:tc>
        <w:tc>
          <w:tcPr>
            <w:tcW w:w="280" w:type="dxa"/>
            <w:vAlign w:val="bottom"/>
            <w:shd w:val="clear" w:color="auto" w:fill="D4EFF3"/>
          </w:tcPr>
          <w:p>
            <w:pPr>
              <w:spacing w:after="0"/>
              <w:rPr>
                <w:sz w:val="20"/>
                <w:szCs w:val="20"/>
                <w:color w:val="auto"/>
              </w:rPr>
            </w:pPr>
          </w:p>
        </w:tc>
        <w:tc>
          <w:tcPr>
            <w:tcW w:w="200" w:type="dxa"/>
            <w:vAlign w:val="bottom"/>
            <w:tcBorders>
              <w:top w:val="single" w:sz="8" w:color="auto"/>
              <w:bottom w:val="single" w:sz="8" w:color="auto"/>
            </w:tcBorders>
            <w:shd w:val="clear" w:color="auto" w:fill="D4EFF3"/>
          </w:tcPr>
          <w:p>
            <w:pPr>
              <w:spacing w:after="0"/>
              <w:rPr>
                <w:sz w:val="20"/>
                <w:szCs w:val="20"/>
                <w:color w:val="auto"/>
              </w:rPr>
            </w:pPr>
          </w:p>
        </w:tc>
        <w:tc>
          <w:tcPr>
            <w:tcW w:w="1380" w:type="dxa"/>
            <w:vAlign w:val="bottom"/>
            <w:tcBorders>
              <w:top w:val="single" w:sz="8" w:color="auto"/>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rPr>
              <w:t>(2,537)</w:t>
            </w:r>
          </w:p>
        </w:tc>
        <w:tc>
          <w:tcPr>
            <w:tcW w:w="140" w:type="dxa"/>
            <w:vAlign w:val="bottom"/>
            <w:shd w:val="clear" w:color="auto" w:fill="D4EFF3"/>
          </w:tcPr>
          <w:p>
            <w:pPr>
              <w:spacing w:after="0"/>
              <w:rPr>
                <w:sz w:val="20"/>
                <w:szCs w:val="20"/>
                <w:color w:val="auto"/>
              </w:rPr>
            </w:pPr>
          </w:p>
        </w:tc>
      </w:tr>
      <w:tr>
        <w:trPr>
          <w:trHeight w:val="233"/>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-2068195</wp:posOffset>
                </wp:positionV>
                <wp:extent cx="4850130" cy="0"/>
                <wp:wrapNone/>
                <wp:docPr id="744" name="Shape 7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01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44" o:spid="_x0000_s17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2.8499pt" to="381.9pt,-162.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-1132205</wp:posOffset>
                </wp:positionV>
                <wp:extent cx="4850130"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01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9.1499pt" to="381.9pt,-89.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-809625</wp:posOffset>
                </wp:positionV>
                <wp:extent cx="5944870" cy="0"/>
                <wp:wrapNone/>
                <wp:docPr id="746" name="Shape 7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46" o:spid="_x0000_s17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7499pt" to="468.1pt,-63.7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-176530</wp:posOffset>
                </wp:positionV>
                <wp:extent cx="5944870" cy="0"/>
                <wp:wrapNone/>
                <wp:docPr id="747" name="Shape 7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47" o:spid="_x0000_s17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8999pt" to="468.1pt,-13.8999pt" o:allowincell="f" strokecolor="#FFFFFF" strokeweight="0.72pt"/>
            </w:pict>
          </mc:Fallback>
        </mc:AlternateContent>
      </w:r>
    </w:p>
    <w:p>
      <w:pPr>
        <w:spacing w:after="0" w:line="19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0"/>
          <w:szCs w:val="20"/>
          <w:color w:val="auto"/>
        </w:rPr>
        <w:t>The valuation allowance increased by $6.7 million from December 31, 2024 to December 31, 2025 due primarily to the generation of net operating losses and research and development credits.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2850" w:type="dxa"/>
            <w:vAlign w:val="bottom"/>
            <w:gridSpan w:val="6"/>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860" w:type="dxa"/>
            <w:vAlign w:val="bottom"/>
          </w:tcPr>
          <w:p>
            <w:pPr>
              <w:spacing w:after="0"/>
              <w:rPr>
                <w:sz w:val="22"/>
                <w:szCs w:val="22"/>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80" w:type="dxa"/>
            <w:vAlign w:val="bottom"/>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1500" w:type="dxa"/>
            <w:vAlign w:val="bottom"/>
            <w:shd w:val="clear" w:color="auto" w:fill="D4EFF3"/>
          </w:tcPr>
          <w:p>
            <w:pPr>
              <w:spacing w:after="0"/>
              <w:rPr>
                <w:sz w:val="20"/>
                <w:szCs w:val="20"/>
                <w:color w:val="auto"/>
              </w:rPr>
            </w:pPr>
          </w:p>
        </w:tc>
        <w:tc>
          <w:tcPr>
            <w:tcW w:w="120" w:type="dxa"/>
            <w:vAlign w:val="bottom"/>
            <w:shd w:val="clear" w:color="auto" w:fill="D4EFF3"/>
          </w:tcPr>
          <w:p>
            <w:pPr>
              <w:spacing w:after="0"/>
              <w:rPr>
                <w:sz w:val="20"/>
                <w:szCs w:val="20"/>
                <w:color w:val="auto"/>
              </w:rPr>
            </w:pPr>
          </w:p>
        </w:tc>
        <w:tc>
          <w:tcPr>
            <w:tcW w:w="250" w:type="dxa"/>
            <w:vAlign w:val="bottom"/>
            <w:tcBorders>
              <w:top w:val="single" w:sz="8" w:color="auto"/>
            </w:tcBorders>
            <w:shd w:val="clear" w:color="auto" w:fill="D4EFF3"/>
          </w:tcPr>
          <w:p>
            <w:pPr>
              <w:spacing w:after="0"/>
              <w:rPr>
                <w:sz w:val="20"/>
                <w:szCs w:val="20"/>
                <w:color w:val="auto"/>
              </w:rPr>
            </w:pPr>
          </w:p>
        </w:tc>
        <w:tc>
          <w:tcPr>
            <w:tcW w:w="810" w:type="dxa"/>
            <w:vAlign w:val="bottom"/>
            <w:tcBorders>
              <w:top w:val="single" w:sz="8" w:color="auto"/>
            </w:tcBorders>
            <w:shd w:val="clear" w:color="auto" w:fill="D4EFF3"/>
          </w:tcPr>
          <w:p>
            <w:pPr>
              <w:spacing w:after="0"/>
              <w:rPr>
                <w:sz w:val="20"/>
                <w:szCs w:val="20"/>
                <w:color w:val="auto"/>
              </w:rPr>
            </w:pPr>
          </w:p>
        </w:tc>
        <w:tc>
          <w:tcPr>
            <w:tcW w:w="680" w:type="dxa"/>
            <w:vAlign w:val="bottom"/>
            <w:tcBorders>
              <w:top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98"/>
              </w:rPr>
              <w:t>176,799</w:t>
            </w:r>
          </w:p>
        </w:tc>
        <w:tc>
          <w:tcPr>
            <w:tcW w:w="300" w:type="dxa"/>
            <w:vAlign w:val="bottom"/>
            <w:shd w:val="clear" w:color="auto" w:fill="D4EFF3"/>
          </w:tcPr>
          <w:p>
            <w:pPr>
              <w:spacing w:after="0"/>
              <w:rPr>
                <w:sz w:val="20"/>
                <w:szCs w:val="20"/>
                <w:color w:val="auto"/>
              </w:rPr>
            </w:pPr>
          </w:p>
        </w:tc>
        <w:tc>
          <w:tcPr>
            <w:tcW w:w="260" w:type="dxa"/>
            <w:vAlign w:val="bottom"/>
            <w:tcBorders>
              <w:top w:val="single" w:sz="8" w:color="auto"/>
            </w:tcBorders>
            <w:shd w:val="clear" w:color="auto" w:fill="D4EFF3"/>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shd w:val="clear" w:color="auto" w:fill="D4EFF3"/>
          </w:tcPr>
          <w:p>
            <w:pPr>
              <w:spacing w:after="0"/>
              <w:rPr>
                <w:sz w:val="20"/>
                <w:szCs w:val="20"/>
                <w:color w:val="auto"/>
              </w:rPr>
            </w:pPr>
          </w:p>
        </w:tc>
        <w:tc>
          <w:tcPr>
            <w:tcW w:w="680" w:type="dxa"/>
            <w:vAlign w:val="bottom"/>
            <w:tcBorders>
              <w:top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w w:val="98"/>
              </w:rPr>
              <w:t>164,643</w:t>
            </w:r>
          </w:p>
        </w:tc>
        <w:tc>
          <w:tcPr>
            <w:tcW w:w="100" w:type="dxa"/>
            <w:vAlign w:val="bottom"/>
            <w:shd w:val="clear" w:color="auto" w:fill="D4EFF3"/>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Change related to continuing operations</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0" w:type="dxa"/>
            <w:vAlign w:val="bottom"/>
            <w:tcBorders>
              <w:bottom w:val="single" w:sz="8" w:color="auto"/>
            </w:tcBorders>
          </w:tcPr>
          <w:p>
            <w:pPr>
              <w:spacing w:after="0"/>
              <w:rPr>
                <w:sz w:val="23"/>
                <w:szCs w:val="23"/>
                <w:color w:val="auto"/>
              </w:rPr>
            </w:pPr>
          </w:p>
        </w:tc>
        <w:tc>
          <w:tcPr>
            <w:tcW w:w="81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6,699</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12,156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860" w:type="dxa"/>
            <w:vAlign w:val="bottom"/>
            <w:tcBorders>
              <w:top w:val="single" w:sz="8" w:color="D4EFF3"/>
            </w:tcBorders>
            <w:shd w:val="clear" w:color="auto" w:fill="D4EFF3"/>
          </w:tcPr>
          <w:p>
            <w:pPr>
              <w:spacing w:after="0" w:line="212" w:lineRule="exact"/>
              <w:rPr>
                <w:sz w:val="20"/>
                <w:szCs w:val="20"/>
                <w:color w:val="auto"/>
              </w:rPr>
            </w:pPr>
            <w:r>
              <w:rPr>
                <w:rFonts w:ascii="Times New Roman" w:cs="Times New Roman" w:eastAsia="Times New Roman" w:hAnsi="Times New Roman"/>
                <w:sz w:val="20"/>
                <w:szCs w:val="20"/>
                <w:color w:val="auto"/>
              </w:rPr>
              <w:t>Ending Balance</w:t>
            </w:r>
          </w:p>
        </w:tc>
        <w:tc>
          <w:tcPr>
            <w:tcW w:w="1500" w:type="dxa"/>
            <w:vAlign w:val="bottom"/>
            <w:tcBorders>
              <w:top w:val="single" w:sz="8" w:color="D4EFF3"/>
            </w:tcBorders>
            <w:shd w:val="clear" w:color="auto" w:fill="D4EFF3"/>
          </w:tcPr>
          <w:p>
            <w:pPr>
              <w:spacing w:after="0"/>
              <w:rPr>
                <w:sz w:val="18"/>
                <w:szCs w:val="18"/>
                <w:color w:val="auto"/>
              </w:rPr>
            </w:pPr>
          </w:p>
        </w:tc>
        <w:tc>
          <w:tcPr>
            <w:tcW w:w="120" w:type="dxa"/>
            <w:vAlign w:val="bottom"/>
            <w:tcBorders>
              <w:top w:val="single" w:sz="8" w:color="D4EFF3"/>
            </w:tcBorders>
            <w:shd w:val="clear" w:color="auto" w:fill="D4EFF3"/>
          </w:tcPr>
          <w:p>
            <w:pPr>
              <w:spacing w:after="0"/>
              <w:rPr>
                <w:sz w:val="18"/>
                <w:szCs w:val="18"/>
                <w:color w:val="auto"/>
              </w:rPr>
            </w:pPr>
          </w:p>
        </w:tc>
        <w:tc>
          <w:tcPr>
            <w:tcW w:w="250" w:type="dxa"/>
            <w:vAlign w:val="bottom"/>
            <w:tcBorders>
              <w:top w:val="single" w:sz="8" w:color="D4EFF3"/>
              <w:bottom w:val="single" w:sz="8" w:color="auto"/>
            </w:tcBorders>
            <w:shd w:val="clear" w:color="auto" w:fill="D4EFF3"/>
          </w:tcPr>
          <w:p>
            <w:pPr>
              <w:jc w:val="right"/>
              <w:ind w:right="50"/>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810" w:type="dxa"/>
            <w:vAlign w:val="bottom"/>
            <w:tcBorders>
              <w:top w:val="single" w:sz="8" w:color="D4EFF3"/>
              <w:bottom w:val="single" w:sz="8" w:color="auto"/>
            </w:tcBorders>
            <w:shd w:val="clear" w:color="auto" w:fill="D4EFF3"/>
          </w:tcPr>
          <w:p>
            <w:pPr>
              <w:spacing w:after="0"/>
              <w:rPr>
                <w:sz w:val="18"/>
                <w:szCs w:val="18"/>
                <w:color w:val="auto"/>
              </w:rPr>
            </w:pPr>
          </w:p>
        </w:tc>
        <w:tc>
          <w:tcPr>
            <w:tcW w:w="680" w:type="dxa"/>
            <w:vAlign w:val="bottom"/>
            <w:tcBorders>
              <w:top w:val="single" w:sz="8" w:color="D4EFF3"/>
              <w:bottom w:val="single" w:sz="8" w:color="auto"/>
            </w:tcBorders>
            <w:shd w:val="clear" w:color="auto" w:fill="D4EFF3"/>
          </w:tcPr>
          <w:p>
            <w:pPr>
              <w:jc w:val="right"/>
              <w:spacing w:after="0" w:line="212" w:lineRule="exact"/>
              <w:rPr>
                <w:sz w:val="20"/>
                <w:szCs w:val="20"/>
                <w:color w:val="auto"/>
              </w:rPr>
            </w:pPr>
            <w:r>
              <w:rPr>
                <w:rFonts w:ascii="Times New Roman" w:cs="Times New Roman" w:eastAsia="Times New Roman" w:hAnsi="Times New Roman"/>
                <w:sz w:val="20"/>
                <w:szCs w:val="20"/>
                <w:color w:val="auto"/>
                <w:w w:val="98"/>
              </w:rPr>
              <w:t>183,498</w:t>
            </w:r>
          </w:p>
        </w:tc>
        <w:tc>
          <w:tcPr>
            <w:tcW w:w="300" w:type="dxa"/>
            <w:vAlign w:val="bottom"/>
            <w:tcBorders>
              <w:top w:val="single" w:sz="8" w:color="D4EFF3"/>
            </w:tcBorders>
            <w:shd w:val="clear" w:color="auto" w:fill="D4EFF3"/>
          </w:tcPr>
          <w:p>
            <w:pPr>
              <w:spacing w:after="0"/>
              <w:rPr>
                <w:sz w:val="18"/>
                <w:szCs w:val="18"/>
                <w:color w:val="auto"/>
              </w:rPr>
            </w:pPr>
          </w:p>
        </w:tc>
        <w:tc>
          <w:tcPr>
            <w:tcW w:w="260" w:type="dxa"/>
            <w:vAlign w:val="bottom"/>
            <w:tcBorders>
              <w:top w:val="single" w:sz="8" w:color="D4EFF3"/>
              <w:bottom w:val="single" w:sz="8" w:color="auto"/>
            </w:tcBorders>
            <w:shd w:val="clear" w:color="auto" w:fill="D4EFF3"/>
          </w:tcPr>
          <w:p>
            <w:pPr>
              <w:jc w:val="right"/>
              <w:ind w:right="60"/>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4EFF3"/>
              </w:rPr>
              <w:t>$</w:t>
            </w:r>
          </w:p>
        </w:tc>
        <w:tc>
          <w:tcPr>
            <w:tcW w:w="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D4EFF3"/>
              <w:bottom w:val="single" w:sz="8" w:color="auto"/>
            </w:tcBorders>
            <w:shd w:val="clear" w:color="auto" w:fill="D4EFF3"/>
          </w:tcPr>
          <w:p>
            <w:pPr>
              <w:spacing w:after="0"/>
              <w:rPr>
                <w:sz w:val="18"/>
                <w:szCs w:val="18"/>
                <w:color w:val="auto"/>
              </w:rPr>
            </w:pPr>
          </w:p>
        </w:tc>
        <w:tc>
          <w:tcPr>
            <w:tcW w:w="680" w:type="dxa"/>
            <w:vAlign w:val="bottom"/>
            <w:tcBorders>
              <w:top w:val="single" w:sz="8" w:color="D4EFF3"/>
              <w:bottom w:val="single" w:sz="8" w:color="auto"/>
            </w:tcBorders>
            <w:shd w:val="clear" w:color="auto" w:fill="D4EFF3"/>
          </w:tcPr>
          <w:p>
            <w:pPr>
              <w:jc w:val="right"/>
              <w:spacing w:after="0" w:line="212" w:lineRule="exact"/>
              <w:rPr>
                <w:sz w:val="20"/>
                <w:szCs w:val="20"/>
                <w:color w:val="auto"/>
              </w:rPr>
            </w:pPr>
            <w:r>
              <w:rPr>
                <w:rFonts w:ascii="Times New Roman" w:cs="Times New Roman" w:eastAsia="Times New Roman" w:hAnsi="Times New Roman"/>
                <w:sz w:val="20"/>
                <w:szCs w:val="20"/>
                <w:color w:val="auto"/>
                <w:w w:val="98"/>
              </w:rPr>
              <w:t>176,799</w:t>
            </w:r>
          </w:p>
        </w:tc>
        <w:tc>
          <w:tcPr>
            <w:tcW w:w="100" w:type="dxa"/>
            <w:vAlign w:val="bottom"/>
            <w:tcBorders>
              <w:top w:val="single" w:sz="8" w:color="D4EFF3"/>
            </w:tcBorders>
            <w:shd w:val="clear" w:color="auto" w:fill="D4EFF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00" w:type="dxa"/>
            <w:vAlign w:val="bottom"/>
            <w:vMerge w:val="restart"/>
          </w:tcPr>
          <w:p>
            <w:pPr>
              <w:jc w:val="right"/>
              <w:ind w:right="420"/>
              <w:spacing w:after="0"/>
              <w:rPr>
                <w:sz w:val="20"/>
                <w:szCs w:val="20"/>
                <w:color w:val="auto"/>
              </w:rPr>
            </w:pPr>
            <w:r>
              <w:rPr>
                <w:rFonts w:ascii="Times New Roman" w:cs="Times New Roman" w:eastAsia="Times New Roman" w:hAnsi="Times New Roman"/>
                <w:sz w:val="20"/>
                <w:szCs w:val="20"/>
                <w:color w:val="auto"/>
              </w:rPr>
              <w:t>124</w:t>
            </w:r>
          </w:p>
        </w:tc>
        <w:tc>
          <w:tcPr>
            <w:tcW w:w="120" w:type="dxa"/>
            <w:vAlign w:val="bottom"/>
          </w:tcPr>
          <w:p>
            <w:pPr>
              <w:spacing w:after="0" w:line="20" w:lineRule="exact"/>
              <w:rPr>
                <w:sz w:val="1"/>
                <w:szCs w:val="1"/>
                <w:color w:val="auto"/>
              </w:rPr>
            </w:pPr>
          </w:p>
        </w:tc>
        <w:tc>
          <w:tcPr>
            <w:tcW w:w="25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38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50" w:type="dxa"/>
            <w:vAlign w:val="bottom"/>
            <w:tcBorders>
              <w:bottom w:val="single" w:sz="8" w:color="808080"/>
            </w:tcBorders>
          </w:tcPr>
          <w:p>
            <w:pPr>
              <w:spacing w:after="0"/>
              <w:rPr>
                <w:sz w:val="16"/>
                <w:szCs w:val="16"/>
                <w:color w:val="auto"/>
              </w:rPr>
            </w:pPr>
          </w:p>
        </w:tc>
        <w:tc>
          <w:tcPr>
            <w:tcW w:w="81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5942965</wp:posOffset>
                </wp:positionH>
                <wp:positionV relativeFrom="paragraph">
                  <wp:posOffset>-16510</wp:posOffset>
                </wp:positionV>
                <wp:extent cx="0" cy="16510"/>
                <wp:wrapNone/>
                <wp:docPr id="748" name="Shape 7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48" o:spid="_x0000_s17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2999pt" to="467.95pt,0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-19685</wp:posOffset>
                </wp:positionV>
                <wp:extent cx="0" cy="19685"/>
                <wp:wrapNone/>
                <wp:docPr id="749" name="Shape 7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49" o:spid="_x0000_s17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5499pt" to="0.1pt,0pt" o:allowincell="f" strokecolor="#A0A0A0" strokeweight="0.24pt"/>
            </w:pict>
          </mc:Fallback>
        </mc:AlternateContent>
      </w:r>
    </w:p>
    <w:p>
      <w:pPr>
        <w:spacing w:after="0" w:line="200" w:lineRule="exact"/>
        <w:rPr>
          <w:sz w:val="20"/>
          <w:szCs w:val="20"/>
          <w:color w:val="auto"/>
        </w:rPr>
      </w:pPr>
    </w:p>
    <w:p>
      <w:pPr>
        <w:spacing w:after="0" w:line="2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 had net operating loss carryforwards for federal and state income tax purposes of approximately $534.5 million and $501.9 million, respectively. As of December 31, 2024, the Company had net operating loss carryforwards for federal and state income tax purposes of approximately $502.2 million and $487.8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federal and state net operating loss carryforwards begin to expire in 2031 and 2025, respectively, if not utilized.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net operating losses of $313.3 million are not subject to expiration.</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December 31, 2025, the Company had federal and state research and development carryforwards of approximately $14.7 million and $4.4 million, respectively. The Company also had $7.4 million of Orphan Drug Credit. As of December 31, 2024, the Company had federal and state research and development carryforwards of approximately $14.1 million and $4.1 million, respectively. The federal and state credits begin to expire in 2031 and 2029, respectively, if not utilized; $3.3 million of the state credits can be carried forward indefinitely.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Utilization of some of the federal and state net operating loss and credit carryforwards may be subject to annual limitations due to the “change in ownership” provisions of the Internal Revenue Code of 1986 and similar state provisions. The annual limitations may result in the expiration of net operating losses and credits before utilization.</w:t>
      </w:r>
    </w:p>
    <w:p>
      <w:pPr>
        <w:sectPr>
          <w:pgSz w:w="12240" w:h="15840" w:orient="portrait"/>
          <w:cols w:equalWidth="0" w:num="1">
            <w:col w:w="9360"/>
          </w:cols>
          <w:pgMar w:left="1440" w:top="1432" w:right="1440" w:bottom="894" w:gutter="0" w:footer="0" w:header="0"/>
        </w:sectPr>
      </w:pPr>
    </w:p>
    <w:bookmarkStart w:id="135" w:name="page136"/>
    <w:bookmarkEnd w:id="135"/>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Company has not performed a Section 382 study as of December 31, 2025. At least $455.8 thousand of legacy Millendo federal net operating losses are expected to expire unused due to prior ownership changes.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the following activity relating to unrecognized tax benefits as of December 31, 2025 and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1"/>
                <w:szCs w:val="21"/>
                <w:color w:val="auto"/>
              </w:rPr>
            </w:pPr>
          </w:p>
        </w:tc>
      </w:tr>
      <w:tr>
        <w:trPr>
          <w:trHeight w:val="220"/>
        </w:trPr>
        <w:tc>
          <w:tcPr>
            <w:tcW w:w="70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Beginning balance</w:t>
            </w:r>
          </w:p>
        </w:tc>
        <w:tc>
          <w:tcPr>
            <w:tcW w:w="220" w:type="dxa"/>
            <w:vAlign w:val="bottom"/>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5,239</w:t>
            </w:r>
          </w:p>
        </w:tc>
        <w:tc>
          <w:tcPr>
            <w:tcW w:w="20" w:type="dxa"/>
            <w:vAlign w:val="bottom"/>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220" w:type="dxa"/>
            <w:vAlign w:val="bottom"/>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4,923</w:t>
            </w:r>
          </w:p>
        </w:tc>
        <w:tc>
          <w:tcPr>
            <w:tcW w:w="100" w:type="dxa"/>
            <w:vAlign w:val="bottom"/>
            <w:shd w:val="clear" w:color="auto" w:fill="D4EFF3"/>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 - tax position in current period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100" w:type="dxa"/>
            <w:vAlign w:val="bottom"/>
          </w:tcPr>
          <w:p>
            <w:pPr>
              <w:spacing w:after="0"/>
              <w:rPr>
                <w:sz w:val="20"/>
                <w:szCs w:val="20"/>
                <w:color w:val="auto"/>
              </w:rPr>
            </w:pPr>
          </w:p>
        </w:tc>
      </w:tr>
      <w:tr>
        <w:trPr>
          <w:trHeight w:val="220"/>
        </w:trPr>
        <w:tc>
          <w:tcPr>
            <w:tcW w:w="7000" w:type="dxa"/>
            <w:vAlign w:val="bottom"/>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Ending balance</w:t>
            </w: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5,406</w:t>
            </w:r>
          </w:p>
        </w:tc>
        <w:tc>
          <w:tcPr>
            <w:tcW w:w="20" w:type="dxa"/>
            <w:vAlign w:val="bottom"/>
          </w:tcPr>
          <w:p>
            <w:pPr>
              <w:spacing w:after="0"/>
              <w:rPr>
                <w:sz w:val="19"/>
                <w:szCs w:val="19"/>
                <w:color w:val="auto"/>
              </w:rPr>
            </w:pPr>
          </w:p>
        </w:tc>
        <w:tc>
          <w:tcPr>
            <w:tcW w:w="160" w:type="dxa"/>
            <w:vAlign w:val="bottom"/>
            <w:shd w:val="clear" w:color="auto" w:fill="D4EFF3"/>
          </w:tcPr>
          <w:p>
            <w:pPr>
              <w:spacing w:after="0"/>
              <w:rPr>
                <w:sz w:val="19"/>
                <w:szCs w:val="19"/>
                <w:color w:val="auto"/>
              </w:rPr>
            </w:pPr>
          </w:p>
        </w:tc>
        <w:tc>
          <w:tcPr>
            <w:tcW w:w="220" w:type="dxa"/>
            <w:vAlign w:val="bottom"/>
            <w:tcBorders>
              <w:bottom w:val="single" w:sz="8" w:color="auto"/>
            </w:tcBorders>
            <w:shd w:val="clear" w:color="auto" w:fill="D4EFF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5,239</w:t>
            </w:r>
          </w:p>
        </w:tc>
        <w:tc>
          <w:tcPr>
            <w:tcW w:w="100" w:type="dxa"/>
            <w:vAlign w:val="bottom"/>
            <w:shd w:val="clear" w:color="auto" w:fill="D4EFF3"/>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As of December 31, 2025 and 2024, none of the unrecognized tax benefits would impact the Company's effective tax rate due to the valuation allowance. The Company's practice is to recognize interest and/or penalties related to income tax matters in income tax expense. The Company had no accrual for interest and penalties on the accompanying balance sheet as of December 31, 2025 and 2024, respectively, and has not recognized penalties and/or interest in the accompanying statements of operations for the years ended December 31, 2025 and 2024, respectively.</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is subject to taxation in the United States, California, Massachusetts, and Michigan. The Company's tax years from inception are subject to examination by the IRS and state tax authorities due to the carryforward of unutilized net operating losses and research and development credits.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RETIREMENT PLAN</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year ended December 31, 2025, the Company contributed $124 to the 401(k) Plan. During the year ended December 31, 2024, the Company contributed $161 to the 401(k)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NET LOSS PER SHARE</w:t>
      </w:r>
    </w:p>
    <w:p>
      <w:pPr>
        <w:spacing w:after="0" w:line="24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computation of the Company’s basic and diluted net loss per share for the years ended December 31, 2025 and 2024 (in thousands, except share and per share amounts):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750" name="Shape 7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750" o:spid="_x0000_s17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751" name="Shape 7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51" o:spid="_x0000_s17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52" name="Shape 7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52" o:spid="_x0000_s1777"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753" name="Shape 7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53" o:spid="_x0000_s17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754" name="Shape 7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754" o:spid="_x0000_s1779"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755" name="Shape 7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755" o:spid="_x0000_s1780"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0" w:type="dxa"/>
            <w:vAlign w:val="bottom"/>
            <w:tcBorders>
              <w:bottom w:val="single" w:sz="8" w:color="D1EEF5"/>
            </w:tcBorders>
          </w:tcPr>
          <w:p>
            <w:pPr>
              <w:spacing w:after="0"/>
              <w:rPr>
                <w:sz w:val="21"/>
                <w:szCs w:val="21"/>
                <w:color w:val="auto"/>
              </w:rPr>
            </w:pPr>
          </w:p>
        </w:tc>
        <w:tc>
          <w:tcPr>
            <w:tcW w:w="80" w:type="dxa"/>
            <w:vAlign w:val="bottom"/>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91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1"/>
                <w:szCs w:val="21"/>
                <w:color w:val="auto"/>
              </w:rPr>
            </w:pPr>
          </w:p>
        </w:tc>
      </w:tr>
      <w:tr>
        <w:trPr>
          <w:trHeight w:val="234"/>
        </w:trPr>
        <w:tc>
          <w:tcPr>
            <w:tcW w:w="70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80" w:type="dxa"/>
            <w:vAlign w:val="bottom"/>
            <w:shd w:val="clear" w:color="auto" w:fill="D4EFF3"/>
          </w:tcPr>
          <w:p>
            <w:pPr>
              <w:spacing w:after="0"/>
              <w:rPr>
                <w:sz w:val="20"/>
                <w:szCs w:val="20"/>
                <w:color w:val="auto"/>
              </w:rPr>
            </w:pPr>
          </w:p>
        </w:tc>
        <w:tc>
          <w:tcPr>
            <w:tcW w:w="110" w:type="dxa"/>
            <w:vAlign w:val="bottom"/>
            <w:shd w:val="clear" w:color="auto" w:fill="D4EFF3"/>
          </w:tcPr>
          <w:p>
            <w:pPr>
              <w:spacing w:after="0"/>
              <w:rPr>
                <w:sz w:val="20"/>
                <w:szCs w:val="20"/>
                <w:color w:val="auto"/>
              </w:rPr>
            </w:pPr>
          </w:p>
        </w:tc>
        <w:tc>
          <w:tcPr>
            <w:tcW w:w="91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c>
          <w:tcPr>
            <w:tcW w:w="100" w:type="dxa"/>
            <w:vAlign w:val="bottom"/>
            <w:shd w:val="clear" w:color="auto" w:fill="D4EFF3"/>
          </w:tcPr>
          <w:p>
            <w:pPr>
              <w:spacing w:after="0"/>
              <w:rPr>
                <w:sz w:val="20"/>
                <w:szCs w:val="20"/>
                <w:color w:val="auto"/>
              </w:rPr>
            </w:pPr>
          </w:p>
        </w:tc>
        <w:tc>
          <w:tcPr>
            <w:tcW w:w="920" w:type="dxa"/>
            <w:vAlign w:val="bottom"/>
            <w:shd w:val="clear" w:color="auto" w:fill="D4EFF3"/>
          </w:tcPr>
          <w:p>
            <w:pPr>
              <w:spacing w:after="0"/>
              <w:rPr>
                <w:sz w:val="20"/>
                <w:szCs w:val="20"/>
                <w:color w:val="auto"/>
              </w:rPr>
            </w:pPr>
          </w:p>
        </w:tc>
        <w:tc>
          <w:tcPr>
            <w:tcW w:w="80" w:type="dxa"/>
            <w:vAlign w:val="bottom"/>
            <w:shd w:val="clear" w:color="auto" w:fill="D4EFF3"/>
          </w:tcPr>
          <w:p>
            <w:pPr>
              <w:spacing w:after="0"/>
              <w:rPr>
                <w:sz w:val="20"/>
                <w:szCs w:val="20"/>
                <w:color w:val="auto"/>
              </w:rPr>
            </w:pPr>
          </w:p>
        </w:tc>
      </w:tr>
      <w:tr>
        <w:trPr>
          <w:trHeight w:val="242"/>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9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(26,262)</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(41,843)</w:t>
            </w:r>
          </w:p>
        </w:tc>
      </w:tr>
      <w:tr>
        <w:trPr>
          <w:trHeight w:val="245"/>
        </w:trPr>
        <w:tc>
          <w:tcPr>
            <w:tcW w:w="7000" w:type="dxa"/>
            <w:vAlign w:val="bottom"/>
            <w:shd w:val="clear" w:color="auto" w:fill="D4EFF3"/>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80" w:type="dxa"/>
            <w:vAlign w:val="bottom"/>
            <w:shd w:val="clear" w:color="auto" w:fill="D4EFF3"/>
          </w:tcPr>
          <w:p>
            <w:pPr>
              <w:spacing w:after="0"/>
              <w:rPr>
                <w:sz w:val="21"/>
                <w:szCs w:val="21"/>
                <w:color w:val="auto"/>
              </w:rPr>
            </w:pPr>
          </w:p>
        </w:tc>
        <w:tc>
          <w:tcPr>
            <w:tcW w:w="110" w:type="dxa"/>
            <w:vAlign w:val="bottom"/>
            <w:shd w:val="clear" w:color="auto" w:fill="D4EFF3"/>
          </w:tcPr>
          <w:p>
            <w:pPr>
              <w:spacing w:after="0"/>
              <w:rPr>
                <w:sz w:val="21"/>
                <w:szCs w:val="21"/>
                <w:color w:val="auto"/>
              </w:rPr>
            </w:pPr>
          </w:p>
        </w:tc>
        <w:tc>
          <w:tcPr>
            <w:tcW w:w="91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c>
          <w:tcPr>
            <w:tcW w:w="100" w:type="dxa"/>
            <w:vAlign w:val="bottom"/>
            <w:shd w:val="clear" w:color="auto" w:fill="D4EFF3"/>
          </w:tcPr>
          <w:p>
            <w:pPr>
              <w:spacing w:after="0"/>
              <w:rPr>
                <w:sz w:val="21"/>
                <w:szCs w:val="21"/>
                <w:color w:val="auto"/>
              </w:rPr>
            </w:pPr>
          </w:p>
        </w:tc>
        <w:tc>
          <w:tcPr>
            <w:tcW w:w="920" w:type="dxa"/>
            <w:vAlign w:val="bottom"/>
            <w:shd w:val="clear" w:color="auto" w:fill="D4EFF3"/>
          </w:tcPr>
          <w:p>
            <w:pPr>
              <w:spacing w:after="0"/>
              <w:rPr>
                <w:sz w:val="21"/>
                <w:szCs w:val="21"/>
                <w:color w:val="auto"/>
              </w:rPr>
            </w:pPr>
          </w:p>
        </w:tc>
        <w:tc>
          <w:tcPr>
            <w:tcW w:w="80" w:type="dxa"/>
            <w:vAlign w:val="bottom"/>
            <w:shd w:val="clear" w:color="auto" w:fill="D4EFF3"/>
          </w:tcPr>
          <w:p>
            <w:pPr>
              <w:spacing w:after="0"/>
              <w:rPr>
                <w:sz w:val="21"/>
                <w:szCs w:val="21"/>
                <w:color w:val="auto"/>
              </w:rPr>
            </w:pPr>
          </w:p>
        </w:tc>
      </w:tr>
      <w:tr>
        <w:trPr>
          <w:trHeight w:val="24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80" w:type="dxa"/>
            <w:vAlign w:val="bottom"/>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9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4,149,733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2,146,276</w:t>
            </w:r>
          </w:p>
        </w:tc>
        <w:tc>
          <w:tcPr>
            <w:tcW w:w="80" w:type="dxa"/>
            <w:vAlign w:val="bottom"/>
          </w:tcPr>
          <w:p>
            <w:pPr>
              <w:spacing w:after="0"/>
              <w:rPr>
                <w:sz w:val="21"/>
                <w:szCs w:val="21"/>
                <w:color w:val="auto"/>
              </w:rPr>
            </w:pPr>
          </w:p>
        </w:tc>
      </w:tr>
      <w:tr>
        <w:trPr>
          <w:trHeight w:val="252"/>
        </w:trPr>
        <w:tc>
          <w:tcPr>
            <w:tcW w:w="7000" w:type="dxa"/>
            <w:vAlign w:val="bottom"/>
            <w:tcBorders>
              <w:bottom w:val="single" w:sz="8" w:color="D4EFF3"/>
            </w:tcBorders>
            <w:shd w:val="clear" w:color="auto" w:fill="D4EFF3"/>
          </w:tcPr>
          <w:p>
            <w:pPr>
              <w:spacing w:after="0"/>
              <w:rPr>
                <w:sz w:val="20"/>
                <w:szCs w:val="20"/>
                <w:color w:val="auto"/>
              </w:rPr>
            </w:pPr>
            <w:r>
              <w:rPr>
                <w:rFonts w:ascii="Times New Roman" w:cs="Times New Roman" w:eastAsia="Times New Roman" w:hAnsi="Times New Roman"/>
                <w:sz w:val="20"/>
                <w:szCs w:val="20"/>
                <w:color w:val="auto"/>
              </w:rPr>
              <w:t>Weighted-average shares used in computing basic and diluted net loss per share</w:t>
            </w:r>
          </w:p>
        </w:tc>
        <w:tc>
          <w:tcPr>
            <w:tcW w:w="80" w:type="dxa"/>
            <w:vAlign w:val="bottom"/>
            <w:tcBorders>
              <w:bottom w:val="single" w:sz="8" w:color="D4EFF3"/>
            </w:tcBorders>
            <w:shd w:val="clear" w:color="auto" w:fill="D4EFF3"/>
          </w:tcPr>
          <w:p>
            <w:pPr>
              <w:spacing w:after="0"/>
              <w:rPr>
                <w:sz w:val="21"/>
                <w:szCs w:val="21"/>
                <w:color w:val="auto"/>
              </w:rPr>
            </w:pPr>
          </w:p>
        </w:tc>
        <w:tc>
          <w:tcPr>
            <w:tcW w:w="110" w:type="dxa"/>
            <w:vAlign w:val="bottom"/>
            <w:tcBorders>
              <w:bottom w:val="single" w:sz="8" w:color="auto"/>
            </w:tcBorders>
            <w:shd w:val="clear" w:color="auto" w:fill="D4EFF3"/>
          </w:tcPr>
          <w:p>
            <w:pPr>
              <w:spacing w:after="0"/>
              <w:rPr>
                <w:sz w:val="21"/>
                <w:szCs w:val="21"/>
                <w:color w:val="auto"/>
              </w:rPr>
            </w:pPr>
          </w:p>
        </w:tc>
        <w:tc>
          <w:tcPr>
            <w:tcW w:w="91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shd w:val="clear" w:color="auto" w:fill="D4EFF3"/>
              </w:rPr>
              <w:t>4,149,733</w:t>
            </w:r>
          </w:p>
        </w:tc>
        <w:tc>
          <w:tcPr>
            <w:tcW w:w="80" w:type="dxa"/>
            <w:vAlign w:val="bottom"/>
            <w:tcBorders>
              <w:bottom w:val="single" w:sz="8" w:color="D4EFF3"/>
            </w:tcBorders>
            <w:shd w:val="clear" w:color="auto" w:fill="D4EFF3"/>
          </w:tcPr>
          <w:p>
            <w:pPr>
              <w:spacing w:after="0"/>
              <w:rPr>
                <w:sz w:val="21"/>
                <w:szCs w:val="21"/>
                <w:color w:val="auto"/>
              </w:rPr>
            </w:pPr>
          </w:p>
        </w:tc>
        <w:tc>
          <w:tcPr>
            <w:tcW w:w="80" w:type="dxa"/>
            <w:vAlign w:val="bottom"/>
            <w:tcBorders>
              <w:bottom w:val="single" w:sz="8" w:color="D4EFF3"/>
            </w:tcBorders>
            <w:shd w:val="clear" w:color="auto" w:fill="D4EFF3"/>
          </w:tcPr>
          <w:p>
            <w:pPr>
              <w:spacing w:after="0"/>
              <w:rPr>
                <w:sz w:val="21"/>
                <w:szCs w:val="21"/>
                <w:color w:val="auto"/>
              </w:rPr>
            </w:pPr>
          </w:p>
        </w:tc>
        <w:tc>
          <w:tcPr>
            <w:tcW w:w="100" w:type="dxa"/>
            <w:vAlign w:val="bottom"/>
            <w:tcBorders>
              <w:bottom w:val="single" w:sz="8" w:color="auto"/>
            </w:tcBorders>
            <w:shd w:val="clear" w:color="auto" w:fill="D4EFF3"/>
          </w:tcPr>
          <w:p>
            <w:pPr>
              <w:spacing w:after="0"/>
              <w:rPr>
                <w:sz w:val="21"/>
                <w:szCs w:val="21"/>
                <w:color w:val="auto"/>
              </w:rPr>
            </w:pPr>
          </w:p>
        </w:tc>
        <w:tc>
          <w:tcPr>
            <w:tcW w:w="920" w:type="dxa"/>
            <w:vAlign w:val="bottom"/>
            <w:tcBorders>
              <w:bottom w:val="single" w:sz="8" w:color="auto"/>
            </w:tcBorders>
            <w:shd w:val="clear" w:color="auto" w:fill="D4EFF3"/>
          </w:tcPr>
          <w:p>
            <w:pPr>
              <w:jc w:val="right"/>
              <w:spacing w:after="0"/>
              <w:rPr>
                <w:sz w:val="20"/>
                <w:szCs w:val="20"/>
                <w:color w:val="auto"/>
              </w:rPr>
            </w:pPr>
            <w:r>
              <w:rPr>
                <w:rFonts w:ascii="Times New Roman" w:cs="Times New Roman" w:eastAsia="Times New Roman" w:hAnsi="Times New Roman"/>
                <w:sz w:val="20"/>
                <w:szCs w:val="20"/>
                <w:color w:val="auto"/>
                <w:shd w:val="clear" w:color="auto" w:fill="D4EFF3"/>
              </w:rPr>
              <w:t>2,146,276</w:t>
            </w:r>
          </w:p>
        </w:tc>
        <w:tc>
          <w:tcPr>
            <w:tcW w:w="80" w:type="dxa"/>
            <w:vAlign w:val="bottom"/>
            <w:tcBorders>
              <w:bottom w:val="single" w:sz="8" w:color="D4EFF3"/>
            </w:tcBorders>
            <w:shd w:val="clear" w:color="auto" w:fill="D4EFF3"/>
          </w:tcPr>
          <w:p>
            <w:pPr>
              <w:spacing w:after="0"/>
              <w:rPr>
                <w:sz w:val="21"/>
                <w:szCs w:val="21"/>
                <w:color w:val="auto"/>
              </w:rPr>
            </w:pPr>
          </w:p>
        </w:tc>
      </w:tr>
      <w:tr>
        <w:trPr>
          <w:trHeight w:val="20"/>
        </w:trPr>
        <w:tc>
          <w:tcPr>
            <w:tcW w:w="7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per share attributable to common stockholders-basic and diluted</w:t>
            </w:r>
          </w:p>
        </w:tc>
        <w:tc>
          <w:tcPr>
            <w:tcW w:w="19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w:t>
            </w:r>
          </w:p>
        </w:tc>
        <w:tc>
          <w:tcPr>
            <w:tcW w:w="99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(6.33)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(19.50)</w:t>
            </w:r>
          </w:p>
        </w:tc>
      </w:tr>
      <w:tr>
        <w:trPr>
          <w:trHeight w:val="20"/>
        </w:trPr>
        <w:tc>
          <w:tcPr>
            <w:tcW w:w="7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91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December 31, 2025 and 2024, the Company’s potentially dilutive securities included unvested stock warrants and stock options, which have been excluded from the computation of diluted net loss per share attributable to common stockholders as the effect would be anti -dilutive. The issuance of pre-funded warrants and vested RSUs have been included in the computation of basic and diluted net loss per share attributable to common stockholders. Based on the amounts outstanding as of December 31, 2025 and 2024, the Company excluded the following potential common shares from the computation of diluted net loss per share attributable to common stockholders because including them would have had an anti-dilutive effect:</w:t>
      </w:r>
    </w:p>
    <w:p>
      <w:pPr>
        <w:sectPr>
          <w:pgSz w:w="12240" w:h="15840" w:orient="portrait"/>
          <w:cols w:equalWidth="0" w:num="1">
            <w:col w:w="9360"/>
          </w:cols>
          <w:pgMar w:left="1440" w:top="1422"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5760" w:type="dxa"/>
            <w:vAlign w:val="bottom"/>
            <w:tcBorders>
              <w:top w:val="single" w:sz="8" w:color="D1EEF5"/>
            </w:tcBorders>
            <w:shd w:val="clear" w:color="auto" w:fill="D4EFF3"/>
          </w:tcPr>
          <w:p>
            <w:pPr>
              <w:spacing w:after="0" w:line="220" w:lineRule="exact"/>
              <w:rPr>
                <w:sz w:val="20"/>
                <w:szCs w:val="20"/>
                <w:color w:val="auto"/>
              </w:rPr>
            </w:pPr>
            <w:r>
              <w:rPr>
                <w:rFonts w:ascii="Times New Roman" w:cs="Times New Roman" w:eastAsia="Times New Roman" w:hAnsi="Times New Roman"/>
                <w:sz w:val="20"/>
                <w:szCs w:val="20"/>
                <w:color w:val="auto"/>
              </w:rPr>
              <w:t>Options to purchase common stock</w:t>
            </w:r>
          </w:p>
        </w:tc>
        <w:tc>
          <w:tcPr>
            <w:tcW w:w="100" w:type="dxa"/>
            <w:vAlign w:val="bottom"/>
            <w:shd w:val="clear" w:color="auto" w:fill="D4EFF3"/>
          </w:tcPr>
          <w:p>
            <w:pPr>
              <w:spacing w:after="0"/>
              <w:rPr>
                <w:sz w:val="19"/>
                <w:szCs w:val="19"/>
                <w:color w:val="auto"/>
              </w:rPr>
            </w:pPr>
          </w:p>
        </w:tc>
        <w:tc>
          <w:tcPr>
            <w:tcW w:w="174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450,104</w:t>
            </w:r>
          </w:p>
        </w:tc>
        <w:tc>
          <w:tcPr>
            <w:tcW w:w="200" w:type="dxa"/>
            <w:vAlign w:val="bottom"/>
            <w:shd w:val="clear" w:color="auto" w:fill="D4EFF3"/>
          </w:tcPr>
          <w:p>
            <w:pPr>
              <w:spacing w:after="0"/>
              <w:rPr>
                <w:sz w:val="19"/>
                <w:szCs w:val="19"/>
                <w:color w:val="auto"/>
              </w:rPr>
            </w:pPr>
          </w:p>
        </w:tc>
        <w:tc>
          <w:tcPr>
            <w:tcW w:w="1440" w:type="dxa"/>
            <w:vAlign w:val="bottom"/>
            <w:tcBorders>
              <w:top w:val="single" w:sz="8" w:color="auto"/>
            </w:tcBorders>
            <w:shd w:val="clear" w:color="auto" w:fill="D4EFF3"/>
          </w:tcPr>
          <w:p>
            <w:pPr>
              <w:jc w:val="right"/>
              <w:spacing w:after="0" w:line="220" w:lineRule="exact"/>
              <w:rPr>
                <w:sz w:val="20"/>
                <w:szCs w:val="20"/>
                <w:color w:val="auto"/>
              </w:rPr>
            </w:pPr>
            <w:r>
              <w:rPr>
                <w:rFonts w:ascii="Times New Roman" w:cs="Times New Roman" w:eastAsia="Times New Roman" w:hAnsi="Times New Roman"/>
                <w:sz w:val="20"/>
                <w:szCs w:val="20"/>
                <w:color w:val="auto"/>
              </w:rPr>
              <w:t>320,090</w:t>
            </w:r>
          </w:p>
        </w:tc>
        <w:tc>
          <w:tcPr>
            <w:tcW w:w="100" w:type="dxa"/>
            <w:vAlign w:val="bottom"/>
            <w:shd w:val="clear" w:color="auto" w:fill="D4EFF3"/>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760" w:type="dxa"/>
            <w:vAlign w:val="bottom"/>
            <w:shd w:val="clear" w:color="auto" w:fill="D4EFF3"/>
          </w:tcPr>
          <w:p>
            <w:pPr>
              <w:spacing w:after="0" w:line="228" w:lineRule="exact"/>
              <w:rPr>
                <w:sz w:val="20"/>
                <w:szCs w:val="20"/>
                <w:color w:val="auto"/>
              </w:rPr>
            </w:pPr>
            <w:r>
              <w:rPr>
                <w:rFonts w:ascii="Times New Roman" w:cs="Times New Roman" w:eastAsia="Times New Roman" w:hAnsi="Times New Roman"/>
                <w:sz w:val="20"/>
                <w:szCs w:val="20"/>
                <w:color w:val="auto"/>
              </w:rPr>
              <w:t>Common stock warrants</w:t>
            </w:r>
          </w:p>
        </w:tc>
        <w:tc>
          <w:tcPr>
            <w:tcW w:w="1840" w:type="dxa"/>
            <w:vAlign w:val="bottom"/>
            <w:gridSpan w:val="2"/>
            <w:shd w:val="clear" w:color="auto" w:fill="D4EFF3"/>
          </w:tcPr>
          <w:p>
            <w:pPr>
              <w:jc w:val="right"/>
              <w:spacing w:after="0" w:line="228" w:lineRule="exact"/>
              <w:rPr>
                <w:sz w:val="20"/>
                <w:szCs w:val="20"/>
                <w:color w:val="auto"/>
              </w:rPr>
            </w:pPr>
            <w:r>
              <w:rPr>
                <w:rFonts w:ascii="Times New Roman" w:cs="Times New Roman" w:eastAsia="Times New Roman" w:hAnsi="Times New Roman"/>
                <w:sz w:val="20"/>
                <w:szCs w:val="20"/>
                <w:color w:val="auto"/>
              </w:rPr>
              <w:t>1,172,878</w:t>
            </w:r>
          </w:p>
        </w:tc>
        <w:tc>
          <w:tcPr>
            <w:tcW w:w="200" w:type="dxa"/>
            <w:vAlign w:val="bottom"/>
            <w:shd w:val="clear" w:color="auto" w:fill="D4EFF3"/>
          </w:tcPr>
          <w:p>
            <w:pPr>
              <w:spacing w:after="0"/>
              <w:rPr>
                <w:sz w:val="19"/>
                <w:szCs w:val="19"/>
                <w:color w:val="auto"/>
              </w:rPr>
            </w:pPr>
          </w:p>
        </w:tc>
        <w:tc>
          <w:tcPr>
            <w:tcW w:w="1440" w:type="dxa"/>
            <w:vAlign w:val="bottom"/>
            <w:shd w:val="clear" w:color="auto" w:fill="D4EFF3"/>
          </w:tcPr>
          <w:p>
            <w:pPr>
              <w:jc w:val="right"/>
              <w:spacing w:after="0" w:line="228" w:lineRule="exact"/>
              <w:rPr>
                <w:sz w:val="20"/>
                <w:szCs w:val="20"/>
                <w:color w:val="auto"/>
              </w:rPr>
            </w:pPr>
            <w:r>
              <w:rPr>
                <w:rFonts w:ascii="Times New Roman" w:cs="Times New Roman" w:eastAsia="Times New Roman" w:hAnsi="Times New Roman"/>
                <w:sz w:val="20"/>
                <w:szCs w:val="20"/>
                <w:color w:val="auto"/>
              </w:rPr>
              <w:t>464</w:t>
            </w:r>
          </w:p>
        </w:tc>
        <w:tc>
          <w:tcPr>
            <w:tcW w:w="100" w:type="dxa"/>
            <w:vAlign w:val="bottom"/>
            <w:shd w:val="clear" w:color="auto" w:fill="D4EFF3"/>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1,622,982</w:t>
            </w:r>
          </w:p>
        </w:tc>
        <w:tc>
          <w:tcPr>
            <w:tcW w:w="2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320,554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SEGMENT REPORTING</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operates and manages its business as one reportable and operating segment, which is the business of discovery and development of small molecule drugs to treat cancers. The Company’s chief operating decision maker (“CODM”) is its Chief Executive Officer. The determination of a single business segment is consistent with the consolidated financial information regularly reviewed by the CODM for purposes of assessing performance, allocating resources and planning and forecasting future periods.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the Company has not generated revenue, the CODM assesses Company performance through the achievement of research goals towards advancing the Company’s product candidates through stages of development. As such, the CODM is regularly provided with budgeted and forecasted expense information as well as the Company’s Consolidated Financial Statements which is used to determine the Company’s liquidity needs and pipeline resource allocation.</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years ended December 31, 2025 and 2024. The measure of segment assets is reported on the Consolidated Balance Sheet as total assets. The CODM monitors the Company's cash and cash equivalents as reported on the Consolidated Balance Sheets.</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All financial information required for segment reporting that is provided to the chief operating decision maker is contained within the financial statements and notes to financial statements.</w:t>
      </w:r>
    </w:p>
    <w:p>
      <w:pPr>
        <w:spacing w:after="0" w:line="160" w:lineRule="exact"/>
        <w:rPr>
          <w:sz w:val="20"/>
          <w:szCs w:val="20"/>
          <w:color w:val="auto"/>
        </w:rPr>
      </w:pPr>
    </w:p>
    <w:p>
      <w:pPr>
        <w:ind w:right="6860"/>
        <w:spacing w:after="0" w:line="492" w:lineRule="auto"/>
        <w:tabs>
          <w:tab w:leader="none" w:pos="302"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 Acquisition of Erigen Assets</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November 19, 2025, the Company executed an Asset Purchase Agreement (the “Asset Purchase Agreement”) with Erigen LLC, a Delaware limited liability company (“Erigen”), and Factor Bioscience Inc., a Delaware corporation (together with Erigen, “Sellers”), pursuant to which Sellers agreed to sell and transfer to the Company all right, title and interest of Sellers in and to all</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756" name="Shape 7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756" o:spid="_x0000_s17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757" name="Shape 7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757" o:spid="_x0000_s1782"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58" name="Shape 7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58" o:spid="_x0000_s1783"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59" name="Shape 7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59" o:spid="_x0000_s17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60" name="Shape 7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760" o:spid="_x0000_s17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61" name="Shape 7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61" o:spid="_x0000_s17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of the assets primarily related to (a) the autologous BCMA/CD19 dual-targeting CAR T-cell therapy known as ERI-2003, (b) the autologous CD70/CD70 dual-targeting CAR T-cell therapy known as ERI-2206, (c) the allogeneic BCMA/CD19 dual-targeting CAR T-cell therapy with a gene edit in the TRAC locus that inactivates the T cell receptor known as ERI-3003, and (d) the allogeneic CD70/CD70 dual-targeting CAR T-cell therapy with a gene edit in the TRAC locus that inactivates the T cell receptor known as ERI-3206 (collectively referred to herein as the “Erigen Assets”), in exchange for an aggregate purchase price of 8,268,495 shares of the Company’s common stock to be issued to Erigen on behalf of both Sellers.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February 3, 2026, the Company completed the acquisition of the Erigen Assets (the “Erigen Closing”) under the Asset Purchase Agreement (the “Asset Acquisition”) and issued to Erigen 8,268,495 shares of the Company’s common stock. Based on an assumed common stock price of approximately $2.41 per share, the aggregate</w:t>
      </w:r>
    </w:p>
    <w:p>
      <w:pPr>
        <w:sectPr>
          <w:pgSz w:w="12240" w:h="15840" w:orient="portrait"/>
          <w:cols w:equalWidth="0" w:num="1">
            <w:col w:w="9360"/>
          </w:cols>
          <w:pgMar w:left="1440" w:top="1418" w:right="1440" w:bottom="1440" w:gutter="0" w:footer="0" w:header="0"/>
        </w:sectPr>
      </w:pPr>
    </w:p>
    <w:bookmarkStart w:id="137" w:name="page138"/>
    <w:bookmarkEnd w:id="137"/>
    <w:p>
      <w:pPr>
        <w:jc w:val="both"/>
        <w:spacing w:after="0" w:line="277" w:lineRule="auto"/>
        <w:rPr>
          <w:sz w:val="20"/>
          <w:szCs w:val="20"/>
          <w:color w:val="auto"/>
        </w:rPr>
      </w:pPr>
      <w:r>
        <w:rPr>
          <w:rFonts w:ascii="Times New Roman" w:cs="Times New Roman" w:eastAsia="Times New Roman" w:hAnsi="Times New Roman"/>
          <w:sz w:val="20"/>
          <w:szCs w:val="20"/>
          <w:color w:val="auto"/>
        </w:rPr>
        <w:t>consideration related to the Asset Acquisition is approximately $19.9 million. The Company incurred approximately $6.7 million of transaction costs in connection with the Asset Acquisition.</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expects to account for the Asset Acquisition as an asset acquisition. Transaction costs are expected to be capitalized as part of the total cost of the Asset Acquisition. The Company is in the process of evaluating the assets acquired and any liabilities assumed and has not finalized the allocation of the consideration. Accordingly, the Company cannot reasonably estimate the financial statement impact of the transaction as of the date these consolidated financial statements were issued.</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Asset Purchase Agreement, Factor has made a funding commitment (the “Funding Commitment”) to provide the Company with financial support for at least 18 months following the Erigen Closing, up to a maximum amount of $ 20.0 million that is inclusive of any amounts raised and received by us after the date of the Asset Purchase Agreement, on the terms and subject to the conditions and other provisions of a funding commitment letter contemplated by and entered into concurrently with the Asset Purchase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 Dividend</w:t>
      </w:r>
    </w:p>
    <w:p>
      <w:pPr>
        <w:spacing w:after="0" w:line="2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January 20, 2026, the Company’s Board of Directors declared a record date of January 30, 2026 (the “Record Date”), for the distribution of a dividend (the “Warrant Dividend”) in the form of a warrant to purchase a share of the Company’s common stock (collectively, the “Warrants”) for each share of common stock outstanding on the Record Date at an exercise price of $18.48 per share. The Warrants were issued on the terms and conditions described in the Warrant Agreement, dated February 3, 2026, between the Company, Computershare Inc., and its affiliate, Computershare Trust Company, N.A., as Warrant Agent, on February 3, 2026. In addition, on February 3, 2026, certain warrants that were outstanding on the Record Date also received Warrants on a one-for-one basis, pursuant to the terms of such warrants (together with the Warrant Dividend, the “Warrant Distribution”). In the aggregate, 6,784,989 Warrants were issued pursuant to the Warrant Distribution.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Plan Amendment</w:t>
      </w:r>
    </w:p>
    <w:p>
      <w:pPr>
        <w:spacing w:after="0" w:line="2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On January 27, 2026, the Company’s stockholders approved Amendment No. 1 to the 2023 Plan to increase the number of shares of the Company’s common stock issuable under such plan by 1,410,000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Plan Approval</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January 27, 2026, the Company’s stockholders approved the Company’s Rights Agreement. Such stockholder approval extended the final expiration date of the Rights Agreement until October 10, 2026, unless the rights thereunder are earlier redeemed or exchanged by the Company. The Rights Agreement otherwise remains unmodified and in full force and effect in accordance with its terms.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Agreements</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his appointment as President and Chief Executive Officer of the Company, effective February 3, 2026, the Company entered into an employment agreement with Matthew Angel (the “Angel Employment Agreement”). Pursuant to the</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762" name="Shape 7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762" o:spid="_x0000_s17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2700"/>
                <wp:wrapNone/>
                <wp:docPr id="763" name="Shape 7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763" o:spid="_x0000_s1788" style="position:absolute;margin-left:467.4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64" name="Shape 7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64" o:spid="_x0000_s178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65" name="Shape 7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65" o:spid="_x0000_s17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66" name="Shape 7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66" o:spid="_x0000_s17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67" name="Shape 7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67" o:spid="_x0000_s17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Angel Employment Agreement, Dr. Angel is entitled to receive an annual base salary of $650,000 and will be eligible to receive an annual bonus equal to 50% of his base salary, as determined by the Board in its sole discretion. In addition, on February 3, 2026, Dr. Angel received an option to purchase 269,621 shares of common stock, with an exercise price per share equal to the fair market value on the grant date (the “Option”). The Option vests over a four-year period, with one quarter (1/4) of the shares subject to the Option vesting on the first anniversary of the grant date, and the remaining shares vesting equally over the following 36 months of continuous service.</w:t>
      </w:r>
    </w:p>
    <w:p>
      <w:pPr>
        <w:sectPr>
          <w:pgSz w:w="12240" w:h="15840" w:orient="portrait"/>
          <w:cols w:equalWidth="0" w:num="1">
            <w:col w:w="9360"/>
          </w:cols>
          <w:pgMar w:left="1440" w:top="1422" w:right="1440" w:bottom="1128" w:gutter="0" w:footer="0" w:header="0"/>
        </w:sectPr>
      </w:pPr>
    </w:p>
    <w:bookmarkStart w:id="138" w:name="page139"/>
    <w:bookmarkEnd w:id="138"/>
    <w:p>
      <w:pPr>
        <w:jc w:val="both"/>
        <w:spacing w:after="0" w:line="257" w:lineRule="auto"/>
        <w:rPr>
          <w:sz w:val="20"/>
          <w:szCs w:val="20"/>
          <w:color w:val="auto"/>
        </w:rPr>
      </w:pPr>
      <w:r>
        <w:rPr>
          <w:rFonts w:ascii="Times New Roman" w:cs="Times New Roman" w:eastAsia="Times New Roman" w:hAnsi="Times New Roman"/>
          <w:sz w:val="20"/>
          <w:szCs w:val="20"/>
          <w:color w:val="auto"/>
        </w:rPr>
        <w:t>On February 3, 2026, the Company entered into an employment agreement with Nicholas Maestas (the “Maestas Employment Agreement”), pursuant to which Mr. Maestas is entitled to receive compensation consistent with his previously filed employment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Placement</w:t>
      </w:r>
    </w:p>
    <w:p>
      <w:pPr>
        <w:spacing w:after="0" w:line="2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March 20, 2026, the Company entered into a securities purchase agreement (the “Purchase Agreement”) with (a) two institutional investors (the “Institutional Investors”) and (b) Factor Bioscience Inc. (together with the Institutional Investors, each, an “Investor” and, together, the “Investors”), pursuant to which the Company agreed to issue and sell in a private placement (the “Private Placement”) an aggregate of 462,964 shares (the “Shares”) of the Company’s common stock, and, in lieu of common stock, pre- funded warrants to purchase up to 462,963 shares of common stock (the “2026 Pre-Funded Warrants”), in each case accompanied by (i) Series A warrants to purchase up to 925,927 shares of common stock (the “Series A Warrants”) and (ii) Series B warrants to purchase up to 925,927 shares of common stock (the “Series B Warrants” and, together with the Series A Warrants, the “Common Warrants”). The Shares and the Common Warrants are immediately separable and were issued separately. The combined purchase price per Share and accompanying Common Warrants was $2.16 and the combined purchase price per Pre-Funded Warrant and accompanying Common Warrants was $2.159. The gross proceeds to us from the Private Placement were approximately $2.0 million (excluding up to approximately $4.0 million of aggregate gross proceeds that may be received in the future upon the cash exercise of the Common Warrants), before deducting placement agent fees and other offering expenses payable by the Company.</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Pursuant to the Purchase Agreement, the Company agreed to seek approval from our stockholders for the issuance of the shares issuable upon exercise of the Common Warrants within 90 days following the date of the Purchase Agreement (the “Stockholder Approval”). The Series A Warrants will become exercisable on the effective date of the Stockholder Approval (the “Stockholder Approval Date”) and have a term of five years from the later of the Stockholder Approval Date and the Effectiveness Date (as defined below). The Series B Warrants will become exercisable on the Stockholder Approval Date and have a term of twenty-four months from the later of the Stockholder Approval Date and the Effectiveness Date. The Common Warrants have an exercise price of $2.16 per share. The Pre-Funded Warrants are exercisable immediately following the closing date of the Private Placement have an exercise price of $0.001 per share and may be exercised at any time until exercised in full. In addition, pursuant to the Purchase Agreement, the Company agreed not to sell any shares of the Company’s common stock or any securities convertible into or exercisable or exchangeable into shares of common stock, subject to certain customary exceptions, for a period of thirty (30) days after the Effectiveness Date.</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connection with the Private Placement, the Company entered into a registration rights agreement with the Investors (the “Registration Rights Agreement”), pursuant to which the Company agreed to file registration statements under the Securities Act with the SEC covering the resale of the Shares to be issued in the Private Placement and the shares of the Company’s common stock underlying the Common Warrants and Pre-Funded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(the “Effectiveness Date”).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768" name="Shape 7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768" o:spid="_x0000_s17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69" name="Shape 7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69" o:spid="_x0000_s17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70" name="Shape 7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70" o:spid="_x0000_s179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71" name="Shape 7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71" o:spid="_x0000_s17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772" o:spid="_x0000_s17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8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ectPr>
          <w:pgSz w:w="12240" w:h="15840" w:orient="portrait"/>
          <w:cols w:equalWidth="0" w:num="1">
            <w:col w:w="9360"/>
          </w:cols>
          <w:pgMar w:left="1440" w:top="1422" w:right="1440" w:bottom="1440" w:gutter="0" w:footer="0" w:header="0"/>
        </w:sectPr>
      </w:pPr>
    </w:p>
    <w:bookmarkStart w:id="139" w:name="page140"/>
    <w:bookmarkEnd w:id="139"/>
    <w:p>
      <w:pPr>
        <w:jc w:val="both"/>
        <w:spacing w:after="0" w:line="247" w:lineRule="auto"/>
        <w:rPr>
          <w:sz w:val="20"/>
          <w:szCs w:val="20"/>
          <w:color w:val="auto"/>
        </w:rPr>
      </w:pPr>
      <w:r>
        <w:rPr>
          <w:rFonts w:ascii="Times New Roman" w:cs="Times New Roman" w:eastAsia="Times New Roman" w:hAnsi="Times New Roman"/>
          <w:sz w:val="20"/>
          <w:szCs w:val="20"/>
          <w:color w:val="auto"/>
        </w:rPr>
        <w:t>We maintain “disclosure controls and procedures,” as defined in Rules 13a-15(e) and 15d-15(e) under the Exchange Act,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principal executive and principal financial officers, or persons performing similar functions, as appropriate to allow timely decisions regarding required disclosure.</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(principal executive officer) and Chief Financial Officer &amp; Head of Corporate Strategy (principal financial officer), evaluated the effectiveness of our disclosure controls and procedures (as defined in the Securities Exchange Act of 1934 Rules 13a-15(e) or 15d -15(e)) as required by paragraph (b) of Exchange Act Rules 13a-15 or 15d-15, as of December 31, 2025. Based on the evaluation of our disclosure controls and procedures as of December 31, 2025, our Chief Executive Officer and Chief Financial Officer &amp; Head of Corporate Strategy concluded that, as of such date, our disclosure controls and procedures were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 -15(f) and 15d (f) 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Our management assessed the effectiveness of our internal control over financial reporting as of December 31, 2025. In making this assessment, management used the criteria set forth by the Committee of Sponsoring organizations of the Treadway Commission (COSO) in Internal Control - Integrated Framework (2013). Based on that assessment, our management concluded that, as of December 31, 2025, our internal control over financial reporting was effective.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Attestation Report of the Registered Public Accounting Firm.</w:t>
      </w:r>
    </w:p>
    <w:p>
      <w:pPr>
        <w:spacing w:after="0" w:line="23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We are a smaller reporting company, and therefore our independent registered public accounting firm has not issued a report on the effectiveness of internal control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There were no changes in internal control over financial reporting during the quarter ended December 31, 2025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773" name="Shape 7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773" o:spid="_x0000_s17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3335"/>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3E3"/>
                        </a:solidFill>
                      </wps:spPr>
                      <wps:bodyPr/>
                    </wps:wsp>
                  </a:graphicData>
                </a:graphic>
              </wp:anchor>
            </w:drawing>
          </mc:Choice>
          <mc:Fallback>
            <w:pict>
              <v:rect id="Shape 774" o:spid="_x0000_s1799" style="position:absolute;margin-left:467.45pt;margin-top:10.2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775" name="Shape 7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775" o:spid="_x0000_s1800"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76" name="Shape 7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76" o:spid="_x0000_s18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777" name="Shape 7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77" o:spid="_x0000_s18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778" name="Shape 7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78" o:spid="_x0000_s18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ectPr>
          <w:pgSz w:w="12240" w:h="15840" w:orient="portrait"/>
          <w:cols w:equalWidth="0" w:num="1">
            <w:col w:w="9360"/>
          </w:cols>
          <w:pgMar w:left="1440" w:top="1422" w:right="1440" w:bottom="954"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6"/>
          <w:szCs w:val="16"/>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p>
    <w:p>
      <w:pPr>
        <w:spacing w:after="0" w:line="244" w:lineRule="exact"/>
        <w:rPr>
          <w:sz w:val="20"/>
          <w:szCs w:val="20"/>
          <w:color w:val="auto"/>
        </w:rPr>
      </w:pPr>
    </w:p>
    <w:p>
      <w:pPr>
        <w:ind w:firstLine="408"/>
        <w:spacing w:after="0" w:line="277" w:lineRule="auto"/>
        <w:rPr>
          <w:sz w:val="20"/>
          <w:szCs w:val="20"/>
          <w:color w:val="auto"/>
        </w:rPr>
      </w:pPr>
      <w:r>
        <w:rPr>
          <w:rFonts w:ascii="Times New Roman" w:cs="Times New Roman" w:eastAsia="Times New Roman" w:hAnsi="Times New Roman"/>
          <w:sz w:val="20"/>
          <w:szCs w:val="20"/>
          <w:color w:val="auto"/>
        </w:rPr>
        <w:t>The following table sets forth information regarding each member of our board of directors (the “Board”), including their ages as of March 1, 2026. There are no family relationships among any of our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 w:type="dxa"/>
            <w:vAlign w:val="bottom"/>
          </w:tcPr>
          <w:p>
            <w:pPr>
              <w:spacing w:after="0"/>
              <w:rPr>
                <w:sz w:val="19"/>
                <w:szCs w:val="19"/>
                <w:color w:val="auto"/>
              </w:rPr>
            </w:pPr>
          </w:p>
        </w:tc>
        <w:tc>
          <w:tcPr>
            <w:tcW w:w="204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60" w:type="dxa"/>
            <w:vAlign w:val="bottom"/>
          </w:tcPr>
          <w:p>
            <w:pPr>
              <w:spacing w:after="0"/>
              <w:rPr>
                <w:sz w:val="19"/>
                <w:szCs w:val="19"/>
                <w:color w:val="auto"/>
              </w:rPr>
            </w:pPr>
          </w:p>
        </w:tc>
        <w:tc>
          <w:tcPr>
            <w:tcW w:w="4880" w:type="dxa"/>
            <w:vAlign w:val="bottom"/>
          </w:tcPr>
          <w:p>
            <w:pPr>
              <w:ind w:left="216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Director Since</w:t>
            </w:r>
          </w:p>
        </w:tc>
        <w:tc>
          <w:tcPr>
            <w:tcW w:w="80" w:type="dxa"/>
            <w:vAlign w:val="bottom"/>
          </w:tcPr>
          <w:p>
            <w:pPr>
              <w:spacing w:after="0"/>
              <w:rPr>
                <w:sz w:val="19"/>
                <w:szCs w:val="19"/>
                <w:color w:val="auto"/>
              </w:rPr>
            </w:pPr>
          </w:p>
        </w:tc>
      </w:tr>
      <w:tr>
        <w:trPr>
          <w:trHeight w:val="102"/>
        </w:trPr>
        <w:tc>
          <w:tcPr>
            <w:tcW w:w="8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30"/>
        </w:trPr>
        <w:tc>
          <w:tcPr>
            <w:tcW w:w="80" w:type="dxa"/>
            <w:vAlign w:val="bottom"/>
            <w:shd w:val="clear" w:color="auto" w:fill="D4EFF3"/>
          </w:tcPr>
          <w:p>
            <w:pPr>
              <w:spacing w:after="0"/>
              <w:rPr>
                <w:sz w:val="19"/>
                <w:szCs w:val="19"/>
                <w:color w:val="auto"/>
              </w:rPr>
            </w:pPr>
          </w:p>
        </w:tc>
        <w:tc>
          <w:tcPr>
            <w:tcW w:w="204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Matthew Angel</w:t>
            </w:r>
            <w:r>
              <w:rPr>
                <w:rFonts w:ascii="Times New Roman" w:cs="Times New Roman" w:eastAsia="Times New Roman" w:hAnsi="Times New Roman"/>
                <w:sz w:val="12"/>
                <w:szCs w:val="12"/>
                <w:color w:val="auto"/>
              </w:rPr>
              <w:t>(1)</w:t>
            </w:r>
          </w:p>
        </w:tc>
        <w:tc>
          <w:tcPr>
            <w:tcW w:w="160" w:type="dxa"/>
            <w:vAlign w:val="bottom"/>
            <w:shd w:val="clear" w:color="auto" w:fill="D4EFF3"/>
          </w:tcPr>
          <w:p>
            <w:pPr>
              <w:spacing w:after="0"/>
              <w:rPr>
                <w:sz w:val="19"/>
                <w:szCs w:val="19"/>
                <w:color w:val="auto"/>
              </w:rPr>
            </w:pPr>
          </w:p>
        </w:tc>
        <w:tc>
          <w:tcPr>
            <w:tcW w:w="460" w:type="dxa"/>
            <w:vAlign w:val="bottom"/>
            <w:shd w:val="clear" w:color="auto" w:fill="D4EFF3"/>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c>
          <w:tcPr>
            <w:tcW w:w="160" w:type="dxa"/>
            <w:vAlign w:val="bottom"/>
            <w:shd w:val="clear" w:color="auto" w:fill="D4EFF3"/>
          </w:tcPr>
          <w:p>
            <w:pPr>
              <w:spacing w:after="0"/>
              <w:rPr>
                <w:sz w:val="19"/>
                <w:szCs w:val="19"/>
                <w:color w:val="auto"/>
              </w:rPr>
            </w:pPr>
          </w:p>
        </w:tc>
        <w:tc>
          <w:tcPr>
            <w:tcW w:w="488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Chief Executive Officer, President and Director</w:t>
            </w:r>
          </w:p>
        </w:tc>
        <w:tc>
          <w:tcPr>
            <w:tcW w:w="8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1340" w:type="dxa"/>
            <w:vAlign w:val="bottom"/>
            <w:shd w:val="clear" w:color="auto" w:fill="D4EFF3"/>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80" w:type="dxa"/>
            <w:vAlign w:val="bottom"/>
            <w:shd w:val="clear" w:color="auto" w:fill="D4EFF3"/>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Stephen Brady</w:t>
            </w:r>
            <w:r>
              <w:rPr>
                <w:rFonts w:ascii="Times New Roman" w:cs="Times New Roman" w:eastAsia="Times New Roman" w:hAnsi="Times New Roman"/>
                <w:sz w:val="12"/>
                <w:szCs w:val="12"/>
                <w:color w:val="auto"/>
              </w:rPr>
              <w:t>(2)</w:t>
            </w:r>
          </w:p>
        </w:tc>
        <w:tc>
          <w:tcPr>
            <w:tcW w:w="6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56</w:t>
            </w:r>
          </w:p>
        </w:tc>
        <w:tc>
          <w:tcPr>
            <w:tcW w:w="16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Chair of the Board</w:t>
            </w:r>
          </w:p>
        </w:tc>
        <w:tc>
          <w:tcPr>
            <w:tcW w:w="8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80" w:type="dxa"/>
            <w:vAlign w:val="bottom"/>
          </w:tcPr>
          <w:p>
            <w:pPr>
              <w:spacing w:after="0"/>
              <w:rPr>
                <w:sz w:val="20"/>
                <w:szCs w:val="20"/>
                <w:color w:val="auto"/>
              </w:rPr>
            </w:pPr>
          </w:p>
        </w:tc>
      </w:tr>
      <w:tr>
        <w:trPr>
          <w:trHeight w:val="230"/>
        </w:trPr>
        <w:tc>
          <w:tcPr>
            <w:tcW w:w="80" w:type="dxa"/>
            <w:vAlign w:val="bottom"/>
            <w:shd w:val="clear" w:color="auto" w:fill="D4EFF3"/>
          </w:tcPr>
          <w:p>
            <w:pPr>
              <w:spacing w:after="0"/>
              <w:rPr>
                <w:sz w:val="20"/>
                <w:szCs w:val="20"/>
                <w:color w:val="auto"/>
              </w:rPr>
            </w:pPr>
          </w:p>
        </w:tc>
        <w:tc>
          <w:tcPr>
            <w:tcW w:w="204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Christine Pellizzari</w:t>
            </w:r>
          </w:p>
        </w:tc>
        <w:tc>
          <w:tcPr>
            <w:tcW w:w="620" w:type="dxa"/>
            <w:vAlign w:val="bottom"/>
            <w:gridSpan w:val="2"/>
            <w:shd w:val="clear" w:color="auto" w:fill="D4EFF3"/>
          </w:tcPr>
          <w:p>
            <w:pPr>
              <w:jc w:val="center"/>
              <w:ind w:left="40"/>
              <w:spacing w:after="0"/>
              <w:rPr>
                <w:sz w:val="20"/>
                <w:szCs w:val="20"/>
                <w:color w:val="auto"/>
              </w:rPr>
            </w:pPr>
            <w:r>
              <w:rPr>
                <w:rFonts w:ascii="Times New Roman" w:cs="Times New Roman" w:eastAsia="Times New Roman" w:hAnsi="Times New Roman"/>
                <w:sz w:val="20"/>
                <w:szCs w:val="20"/>
                <w:color w:val="auto"/>
                <w:w w:val="99"/>
              </w:rPr>
              <w:t>58</w:t>
            </w:r>
          </w:p>
        </w:tc>
        <w:tc>
          <w:tcPr>
            <w:tcW w:w="160" w:type="dxa"/>
            <w:vAlign w:val="bottom"/>
            <w:shd w:val="clear" w:color="auto" w:fill="D4EFF3"/>
          </w:tcPr>
          <w:p>
            <w:pPr>
              <w:spacing w:after="0"/>
              <w:rPr>
                <w:sz w:val="20"/>
                <w:szCs w:val="20"/>
                <w:color w:val="auto"/>
              </w:rPr>
            </w:pPr>
          </w:p>
        </w:tc>
        <w:tc>
          <w:tcPr>
            <w:tcW w:w="488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shd w:val="clear" w:color="auto" w:fill="D4EFF3"/>
          </w:tcPr>
          <w:p>
            <w:pPr>
              <w:spacing w:after="0"/>
              <w:rPr>
                <w:sz w:val="20"/>
                <w:szCs w:val="20"/>
                <w:color w:val="auto"/>
              </w:rPr>
            </w:pPr>
          </w:p>
        </w:tc>
        <w:tc>
          <w:tcPr>
            <w:tcW w:w="1420" w:type="dxa"/>
            <w:vAlign w:val="bottom"/>
            <w:gridSpan w:val="2"/>
            <w:shd w:val="clear" w:color="auto" w:fill="D4EFF3"/>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80" w:type="dxa"/>
            <w:vAlign w:val="bottom"/>
            <w:shd w:val="clear" w:color="auto" w:fill="D4EFF3"/>
          </w:tcPr>
          <w:p>
            <w:pPr>
              <w:spacing w:after="0"/>
              <w:rPr>
                <w:sz w:val="20"/>
                <w:szCs w:val="20"/>
                <w:color w:val="auto"/>
              </w:rPr>
            </w:pPr>
          </w:p>
        </w:tc>
      </w:tr>
      <w:tr>
        <w:trPr>
          <w:trHeight w:val="230"/>
        </w:trPr>
        <w:tc>
          <w:tcPr>
            <w:tcW w:w="80" w:type="dxa"/>
            <w:vAlign w:val="bottom"/>
          </w:tcPr>
          <w:p>
            <w:pPr>
              <w:spacing w:after="0"/>
              <w:rPr>
                <w:sz w:val="20"/>
                <w:szCs w:val="20"/>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Michael Raab</w:t>
            </w:r>
            <w:r>
              <w:rPr>
                <w:rFonts w:ascii="Times New Roman" w:cs="Times New Roman" w:eastAsia="Times New Roman" w:hAnsi="Times New Roman"/>
                <w:sz w:val="12"/>
                <w:szCs w:val="12"/>
                <w:color w:val="auto"/>
              </w:rPr>
              <w:t>(2)</w:t>
            </w:r>
          </w:p>
        </w:tc>
        <w:tc>
          <w:tcPr>
            <w:tcW w:w="6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61</w:t>
            </w:r>
          </w:p>
        </w:tc>
        <w:tc>
          <w:tcPr>
            <w:tcW w:w="16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80" w:type="dxa"/>
            <w:vAlign w:val="bottom"/>
          </w:tcPr>
          <w:p>
            <w:pPr>
              <w:spacing w:after="0"/>
              <w:rPr>
                <w:sz w:val="20"/>
                <w:szCs w:val="20"/>
                <w:color w:val="auto"/>
              </w:rPr>
            </w:pPr>
          </w:p>
        </w:tc>
      </w:tr>
      <w:tr>
        <w:trPr>
          <w:trHeight w:val="230"/>
        </w:trPr>
        <w:tc>
          <w:tcPr>
            <w:tcW w:w="80" w:type="dxa"/>
            <w:vAlign w:val="bottom"/>
            <w:shd w:val="clear" w:color="auto" w:fill="D4EFF3"/>
          </w:tcPr>
          <w:p>
            <w:pPr>
              <w:spacing w:after="0"/>
              <w:rPr>
                <w:sz w:val="20"/>
                <w:szCs w:val="20"/>
                <w:color w:val="auto"/>
              </w:rPr>
            </w:pPr>
          </w:p>
        </w:tc>
        <w:tc>
          <w:tcPr>
            <w:tcW w:w="204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Ronit Simantov</w:t>
            </w:r>
          </w:p>
        </w:tc>
        <w:tc>
          <w:tcPr>
            <w:tcW w:w="620" w:type="dxa"/>
            <w:vAlign w:val="bottom"/>
            <w:gridSpan w:val="2"/>
            <w:shd w:val="clear" w:color="auto" w:fill="D4EFF3"/>
          </w:tcPr>
          <w:p>
            <w:pPr>
              <w:jc w:val="center"/>
              <w:ind w:left="40"/>
              <w:spacing w:after="0"/>
              <w:rPr>
                <w:sz w:val="20"/>
                <w:szCs w:val="20"/>
                <w:color w:val="auto"/>
              </w:rPr>
            </w:pPr>
            <w:r>
              <w:rPr>
                <w:rFonts w:ascii="Times New Roman" w:cs="Times New Roman" w:eastAsia="Times New Roman" w:hAnsi="Times New Roman"/>
                <w:sz w:val="20"/>
                <w:szCs w:val="20"/>
                <w:color w:val="auto"/>
                <w:w w:val="99"/>
              </w:rPr>
              <w:t>61</w:t>
            </w:r>
          </w:p>
        </w:tc>
        <w:tc>
          <w:tcPr>
            <w:tcW w:w="160" w:type="dxa"/>
            <w:vAlign w:val="bottom"/>
            <w:shd w:val="clear" w:color="auto" w:fill="D4EFF3"/>
          </w:tcPr>
          <w:p>
            <w:pPr>
              <w:spacing w:after="0"/>
              <w:rPr>
                <w:sz w:val="20"/>
                <w:szCs w:val="20"/>
                <w:color w:val="auto"/>
              </w:rPr>
            </w:pPr>
          </w:p>
        </w:tc>
        <w:tc>
          <w:tcPr>
            <w:tcW w:w="488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80" w:type="dxa"/>
            <w:vAlign w:val="bottom"/>
            <w:shd w:val="clear" w:color="auto" w:fill="D4EFF3"/>
          </w:tcPr>
          <w:p>
            <w:pPr>
              <w:spacing w:after="0"/>
              <w:rPr>
                <w:sz w:val="20"/>
                <w:szCs w:val="20"/>
                <w:color w:val="auto"/>
              </w:rPr>
            </w:pPr>
          </w:p>
        </w:tc>
        <w:tc>
          <w:tcPr>
            <w:tcW w:w="1420" w:type="dxa"/>
            <w:vAlign w:val="bottom"/>
            <w:gridSpan w:val="2"/>
            <w:shd w:val="clear" w:color="auto" w:fill="D4EFF3"/>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80" w:type="dxa"/>
            <w:vAlign w:val="bottom"/>
            <w:shd w:val="clear" w:color="auto" w:fill="D4EFF3"/>
          </w:tcPr>
          <w:p>
            <w:pPr>
              <w:spacing w:after="0"/>
              <w:rPr>
                <w:sz w:val="20"/>
                <w:szCs w:val="20"/>
                <w:color w:val="auto"/>
              </w:rPr>
            </w:pPr>
          </w:p>
        </w:tc>
      </w:tr>
    </w:tbl>
    <w:p>
      <w:pPr>
        <w:spacing w:after="0" w:line="2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(1)Dr. Angel was appointed as the Company’s Chief Executive Officer, President and director, effective immediately following the Closing of the Asset Acquisition.</w:t>
      </w:r>
    </w:p>
    <w:p>
      <w:pPr>
        <w:spacing w:after="0" w:line="3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6"/>
          <w:szCs w:val="16"/>
          <w:color w:val="auto"/>
        </w:rPr>
        <w:t>(2)Mr. Raab, Chair of the Board since 2021, in light of his other professional commitments and in consideration of our current strategic objectives, determined that it would be appropriate to transition the role of Chair of the Board to a successor. Accordingly, Mr. Raab proposed that Mr. Brady succeed him, which the Board approved, effective immediately following the Closing of the Asset Acquisition.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Matthew Angel</w:t>
      </w:r>
    </w:p>
    <w:p>
      <w:pPr>
        <w:spacing w:after="0" w:line="24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Matthew Angel has served as our Chief Executive Officer, President and as a member of our Board since February 2026. Dr. Angel is the Co-Founder and Chairman of the Board of Directors of Factor Bioscience Inc. (“Factor”) and previously served as Factor’s President and Chief Executive Officer from 2011 to February 2026. From January 2023 to December 2023, Dr. Angel served as President and Chief Executive Officer and as a director of Ernexa Therapeutics Inc. (f/k/a Eterna Therapeutics Inc.). From May 2022 to December 2022, Dr. Angel served as Interim President, Chief Executive Officer and as a director of Ernexa Therapeutics Inc. In 2020, Dr. Angel co- founded Exacis Biotherapeutics Inc. (“Exacis”) and served as the Chief Science Officer, Secretary, Treasurer and as a director of Exacis from 2020 until the sale of Exacis in May 2023. Dr. Angel also co-founded and served as the Chief Science Officer, Secretary and as a director of Novellus, Inc., from 2014 until the sale of Novellus in July 2021. Dr. Angel received a Ph.D. from the Massachusetts Institute of Technology in 2012 and a B.S. in Engineering from Princeton University in 2003. Mr. Angel’s role as our Chief Executive Officer, his business expertise and his prior leadership roles in biotechnology companies provides him with the qualifications and skills to serve as a member of our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Stephen Brady</w:t>
      </w:r>
    </w:p>
    <w:p>
      <w:pPr>
        <w:spacing w:after="0" w:line="244" w:lineRule="exact"/>
        <w:rPr>
          <w:sz w:val="20"/>
          <w:szCs w:val="20"/>
          <w:color w:val="auto"/>
        </w:rPr>
      </w:pPr>
    </w:p>
    <w:p>
      <w:pPr>
        <w:jc w:val="both"/>
        <w:ind w:firstLine="408"/>
        <w:spacing w:after="0" w:line="242" w:lineRule="auto"/>
        <w:rPr>
          <w:sz w:val="20"/>
          <w:szCs w:val="20"/>
          <w:color w:val="auto"/>
        </w:rPr>
      </w:pPr>
      <w:r>
        <w:rPr>
          <w:rFonts w:ascii="Times New Roman" w:cs="Times New Roman" w:eastAsia="Times New Roman" w:hAnsi="Times New Roman"/>
          <w:sz w:val="20"/>
          <w:szCs w:val="20"/>
          <w:color w:val="auto"/>
        </w:rPr>
        <w:t>Stephen Brady has served as a member of our Board since June 2021. Mr. Brady served as our Chief Executive Officer from June 2021 until February 2026 and as our President from September 2023 to February 2026. Mr. Brady also served as President and Chief Operating Officer of our legacy company from September 2019 until June 2021. Previously, from September 2013 until April 2019, Mr. Brady served in various leadership positions, most recently as Executive Vice President, Strategy and Finance, at Immune Design, Inc., a biopharmaceutical company that was acquired by Merck &amp; Co., Inc. (“Merck”) in 2019. At Immune Design, Mr. Brady led the general and administrative functions at the company, including strategy, corporate development, finance and investor and public relations.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 Mr. Brady served as a member of the board of directors of Atreca, Inc. from July 2021 to May 2024, and has served as a member of the board of the Biotechnology Innovation Organization (BIO), Emerging Companies Section Governing Board, since 2022. Mr. Brady received a B.A. in English from the University of Oregon, a J.D. from the University of the Pacific and an LL.M. from New York University School of Law. Mr. Brady’s prior role as our Chief Executive Officer, his business expertise and his prior leadership roles in biotechnology companies provides him with the qualifications and skills to serve as a member of our Board.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Christine Pellizzari</w:t>
      </w:r>
    </w:p>
    <w:p>
      <w:pPr>
        <w:sectPr>
          <w:pgSz w:w="12240" w:h="15840" w:orient="portrait"/>
          <w:cols w:equalWidth="0" w:num="1">
            <w:col w:w="9360"/>
          </w:cols>
          <w:pgMar w:left="1440" w:top="1418" w:right="1440" w:bottom="1440" w:gutter="0" w:footer="0" w:header="0"/>
        </w:sectPr>
      </w:pPr>
    </w:p>
    <w:bookmarkStart w:id="141" w:name="page142"/>
    <w:bookmarkEnd w:id="141"/>
    <w:p>
      <w:pPr>
        <w:jc w:val="both"/>
        <w:ind w:firstLine="408"/>
        <w:spacing w:after="0" w:line="258" w:lineRule="auto"/>
        <w:rPr>
          <w:sz w:val="20"/>
          <w:szCs w:val="20"/>
          <w:color w:val="auto"/>
        </w:rPr>
      </w:pPr>
      <w:r>
        <w:rPr>
          <w:rFonts w:ascii="Times New Roman" w:cs="Times New Roman" w:eastAsia="Times New Roman" w:hAnsi="Times New Roman"/>
          <w:sz w:val="20"/>
          <w:szCs w:val="20"/>
          <w:color w:val="auto"/>
        </w:rPr>
        <w:t>Christine Pellizzari has served as a member of our Board since July 2021. Ms. Pellizzari has served as the Chief Legal Officer of Cleerly, Inc. since September 2025 and as the Principal of CAP Strategic Advisory Services since May 2024. Ms. Pellizzari</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81" name="Shape 7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81" o:spid="_x0000_s1806"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82" name="Shape 7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82" o:spid="_x0000_s18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83" name="Shape 7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783" o:spid="_x0000_s18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previously served as the Chief Legal and Human Resources Officer of Science 37 Holdings, Inc. (Science 37) from July 2021 to May 2024. Ms. Pellizzari has served as a director and member of audit and compensation committees of Imunon, Inc. (formerly Celsion Corporation) since June 2021 and a director and member of the audit and compensation committees of Neurosense Therapeutics Ltd. since December 2021. Ms. Pellizzari served as Chief Legal Officer of Insmed, Inc. from 2018 to 2021 and prior to that as the General Counsel and Corporate Secretary from 2013 to 2018. Prior to joining Insmed, Ms. Pellizzari held various legal positions of increasing responsibility at Aegerion Pharmaceuticals, Inc., most recently as Executive Vice President, General Counsel and Secretary. Prior to Aegerion, Ms. Pellizzari served as Senior Vice President, General Counsel and Secretary of Dendrite International, Inc. 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 from the University of Massachusetts, Amherst and her J.D. from the University of Colorado, Boulder. Ms. Pellizzari’s legal, financial and business expertise in the biotechnology industry, including her experience in the capital markets and financial and legal compliance, qualifies her to serve as a member of our Board.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Michael Raab</w:t>
      </w:r>
    </w:p>
    <w:p>
      <w:pPr>
        <w:spacing w:after="0" w:line="242" w:lineRule="exact"/>
        <w:rPr>
          <w:sz w:val="20"/>
          <w:szCs w:val="20"/>
          <w:color w:val="auto"/>
        </w:rPr>
      </w:pPr>
    </w:p>
    <w:p>
      <w:pPr>
        <w:jc w:val="both"/>
        <w:ind w:firstLine="408"/>
        <w:spacing w:after="0" w:line="257" w:lineRule="auto"/>
        <w:rPr>
          <w:sz w:val="20"/>
          <w:szCs w:val="20"/>
          <w:color w:val="auto"/>
        </w:rPr>
      </w:pPr>
      <w:r>
        <w:rPr>
          <w:rFonts w:ascii="Times New Roman" w:cs="Times New Roman" w:eastAsia="Times New Roman" w:hAnsi="Times New Roman"/>
          <w:sz w:val="19"/>
          <w:szCs w:val="19"/>
          <w:color w:val="auto"/>
        </w:rPr>
        <w:t>Michael Raab has served as a member of our Board since June 2021, and served as Chairman of our Board from June 2021 until February 2026 and as a member and Chairman of the board of directors of our legacy company from December 2018 until June 2021. Mr. Raab has served as Ardelyx Inc.’s President and Chief Executive Officer since March 2009 and as a member of the board of directors since 2008. Before Ardelyx, Mr. Raab was a partner at New Enterprise Associates (“NEA”), where he focused on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has been the lead independent director of Amicus Therapeutics, Inc. since 2004. Mr. Raab received his B.A. from DePauw University. Mr. Raab’s industry and investment experience qualifies him to serve as a member of our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Ronit Simantov, M.D.</w:t>
      </w:r>
    </w:p>
    <w:p>
      <w:pPr>
        <w:spacing w:after="0" w:line="24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Ronit Simantov, M.D. has served as member of our Board since August 2021. Dr. Simantov has served as Chief Medical Officer of Gamida Cell Ltd. since July 2017 and as the Chief Scientific Officer since July 2021. From July 2021 to July 2023, Dr. Simantov served as a member of the board of directors of Clovis Oncology, Inc. Prior to joining Gamida Cell, Dr. Simantov served as Vice President, Oncology Global Medical Affairs at Pfizer Inc., where she was responsible for multiple oncology programs in various roles. Prior to Pfizer, Dr. Simantov served as Vice President of Clinical Research at OSI Pharmaceuticals, as Chief Medical Officer at CuraGen Corporation (acquired by Celldex) where she led development of small molecules and antibody-drug conjugates, and at Bayer HealthCare Pharmaceuticals, where she led the Phase 3 study of Nexavar® (sorafenib) resulting in the first approval of a tyrosine kinase inhibitor in renal cell carcinoma. Prior to joining industry, Dr. Simantov spent seven years on the academic faculty at Weill Medical College of Cornell University, where she directed the fellowship program and conducted angiogenesis and vascular biology research. She has authored over 40 peer-reviewed manuscripts. Dr. Simantov holds an M.D. from New York University School of Medicine and a B.A. from Johns Hopkins University. She completed a residency in internal medicine at New York Hospital Cornell Medical Center, and a fellowship in hematology and oncology at Weill Cornell Medicine. Dr. Simantov’s extensive clinical and scientific experience provides her with the qualifications and skills to serve as a member of our Board.</w:t>
      </w:r>
    </w:p>
    <w:p>
      <w:pPr>
        <w:sectPr>
          <w:pgSz w:w="12240" w:h="15840" w:orient="portrait"/>
          <w:cols w:equalWidth="0" w:num="1">
            <w:col w:w="9360"/>
          </w:cols>
          <w:pgMar w:left="1440" w:top="1422"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FFICERS</w:t>
      </w:r>
    </w:p>
    <w:p>
      <w:pPr>
        <w:spacing w:after="0" w:line="244" w:lineRule="exact"/>
        <w:rPr>
          <w:sz w:val="20"/>
          <w:szCs w:val="20"/>
          <w:color w:val="auto"/>
        </w:rPr>
      </w:pPr>
    </w:p>
    <w:p>
      <w:pPr>
        <w:jc w:val="both"/>
        <w:ind w:firstLine="408"/>
        <w:spacing w:after="0" w:line="257" w:lineRule="auto"/>
        <w:rPr>
          <w:sz w:val="20"/>
          <w:szCs w:val="20"/>
          <w:color w:val="auto"/>
        </w:rPr>
      </w:pPr>
      <w:r>
        <w:rPr>
          <w:rFonts w:ascii="Times New Roman" w:cs="Times New Roman" w:eastAsia="Times New Roman" w:hAnsi="Times New Roman"/>
          <w:sz w:val="20"/>
          <w:szCs w:val="20"/>
          <w:color w:val="auto"/>
        </w:rPr>
        <w:t>The following table sets forth information regarding our executive officers who are not listed above as a member of our board of directors, including their ages as of March 1, 2026. There are no family relationships among any of our executive officers.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 w:type="dxa"/>
            <w:vAlign w:val="bottom"/>
          </w:tcPr>
          <w:p>
            <w:pPr>
              <w:spacing w:after="0"/>
              <w:rPr>
                <w:sz w:val="19"/>
                <w:szCs w:val="19"/>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60" w:type="dxa"/>
            <w:vAlign w:val="bottom"/>
          </w:tcPr>
          <w:p>
            <w:pPr>
              <w:spacing w:after="0"/>
              <w:rPr>
                <w:sz w:val="19"/>
                <w:szCs w:val="19"/>
                <w:color w:val="auto"/>
              </w:rPr>
            </w:pPr>
          </w:p>
        </w:tc>
        <w:tc>
          <w:tcPr>
            <w:tcW w:w="5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0" w:type="dxa"/>
            <w:vAlign w:val="bottom"/>
          </w:tcPr>
          <w:p>
            <w:pPr>
              <w:spacing w:after="0"/>
              <w:rPr>
                <w:sz w:val="19"/>
                <w:szCs w:val="19"/>
                <w:color w:val="auto"/>
              </w:rPr>
            </w:pPr>
          </w:p>
        </w:tc>
      </w:tr>
      <w:tr>
        <w:trPr>
          <w:trHeight w:val="102"/>
        </w:trPr>
        <w:tc>
          <w:tcPr>
            <w:tcW w:w="8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30"/>
        </w:trPr>
        <w:tc>
          <w:tcPr>
            <w:tcW w:w="80" w:type="dxa"/>
            <w:vAlign w:val="bottom"/>
            <w:shd w:val="clear" w:color="auto" w:fill="D4EFF3"/>
          </w:tcPr>
          <w:p>
            <w:pPr>
              <w:spacing w:after="0"/>
              <w:rPr>
                <w:sz w:val="19"/>
                <w:szCs w:val="19"/>
                <w:color w:val="auto"/>
              </w:rPr>
            </w:pPr>
          </w:p>
        </w:tc>
        <w:tc>
          <w:tcPr>
            <w:tcW w:w="230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Matthew Angel</w:t>
            </w:r>
            <w:r>
              <w:rPr>
                <w:rFonts w:ascii="Times New Roman" w:cs="Times New Roman" w:eastAsia="Times New Roman" w:hAnsi="Times New Roman"/>
                <w:sz w:val="12"/>
                <w:szCs w:val="12"/>
                <w:color w:val="auto"/>
              </w:rPr>
              <w:t>(1)</w:t>
            </w:r>
          </w:p>
        </w:tc>
        <w:tc>
          <w:tcPr>
            <w:tcW w:w="100" w:type="dxa"/>
            <w:vAlign w:val="bottom"/>
            <w:shd w:val="clear" w:color="auto" w:fill="D4EFF3"/>
          </w:tcPr>
          <w:p>
            <w:pPr>
              <w:spacing w:after="0"/>
              <w:rPr>
                <w:sz w:val="19"/>
                <w:szCs w:val="19"/>
                <w:color w:val="auto"/>
              </w:rPr>
            </w:pPr>
          </w:p>
        </w:tc>
        <w:tc>
          <w:tcPr>
            <w:tcW w:w="80" w:type="dxa"/>
            <w:vAlign w:val="bottom"/>
            <w:shd w:val="clear" w:color="auto" w:fill="D4EFF3"/>
          </w:tcPr>
          <w:p>
            <w:pPr>
              <w:spacing w:after="0"/>
              <w:rPr>
                <w:sz w:val="19"/>
                <w:szCs w:val="19"/>
                <w:color w:val="auto"/>
              </w:rPr>
            </w:pPr>
          </w:p>
        </w:tc>
        <w:tc>
          <w:tcPr>
            <w:tcW w:w="580" w:type="dxa"/>
            <w:vAlign w:val="bottom"/>
            <w:shd w:val="clear" w:color="auto" w:fill="D4EFF3"/>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c>
          <w:tcPr>
            <w:tcW w:w="160" w:type="dxa"/>
            <w:vAlign w:val="bottom"/>
            <w:shd w:val="clear" w:color="auto" w:fill="D4EFF3"/>
          </w:tcPr>
          <w:p>
            <w:pPr>
              <w:spacing w:after="0"/>
              <w:rPr>
                <w:sz w:val="19"/>
                <w:szCs w:val="19"/>
                <w:color w:val="auto"/>
              </w:rPr>
            </w:pPr>
          </w:p>
        </w:tc>
        <w:tc>
          <w:tcPr>
            <w:tcW w:w="5980" w:type="dxa"/>
            <w:vAlign w:val="bottom"/>
            <w:shd w:val="clear" w:color="auto" w:fill="D4EFF3"/>
          </w:tcPr>
          <w:p>
            <w:pPr>
              <w:ind w:left="40"/>
              <w:spacing w:after="0"/>
              <w:rPr>
                <w:sz w:val="20"/>
                <w:szCs w:val="20"/>
                <w:color w:val="auto"/>
              </w:rPr>
            </w:pPr>
            <w:r>
              <w:rPr>
                <w:rFonts w:ascii="Times New Roman" w:cs="Times New Roman" w:eastAsia="Times New Roman" w:hAnsi="Times New Roman"/>
                <w:sz w:val="20"/>
                <w:szCs w:val="20"/>
                <w:color w:val="auto"/>
              </w:rPr>
              <w:t>Chief Executive Officer, President and Director</w:t>
            </w:r>
          </w:p>
        </w:tc>
        <w:tc>
          <w:tcPr>
            <w:tcW w:w="80" w:type="dxa"/>
            <w:vAlign w:val="bottom"/>
            <w:shd w:val="clear" w:color="auto" w:fill="D4EFF3"/>
          </w:tcPr>
          <w:p>
            <w:pPr>
              <w:spacing w:after="0"/>
              <w:rPr>
                <w:sz w:val="19"/>
                <w:szCs w:val="19"/>
                <w:color w:val="auto"/>
              </w:rPr>
            </w:pPr>
          </w:p>
        </w:tc>
      </w:tr>
      <w:tr>
        <w:trPr>
          <w:trHeight w:val="265"/>
        </w:trPr>
        <w:tc>
          <w:tcPr>
            <w:tcW w:w="80" w:type="dxa"/>
            <w:vAlign w:val="bottom"/>
          </w:tcPr>
          <w:p>
            <w:pPr>
              <w:spacing w:after="0"/>
              <w:rPr>
                <w:sz w:val="23"/>
                <w:szCs w:val="23"/>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Nicholas Maestas</w:t>
            </w:r>
          </w:p>
        </w:tc>
        <w:tc>
          <w:tcPr>
            <w:tcW w:w="100" w:type="dxa"/>
            <w:vAlign w:val="bottom"/>
          </w:tcPr>
          <w:p>
            <w:pPr>
              <w:spacing w:after="0"/>
              <w:rPr>
                <w:sz w:val="23"/>
                <w:szCs w:val="23"/>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c>
          <w:tcPr>
            <w:tcW w:w="160" w:type="dxa"/>
            <w:vAlign w:val="bottom"/>
          </w:tcPr>
          <w:p>
            <w:pPr>
              <w:spacing w:after="0"/>
              <w:rPr>
                <w:sz w:val="23"/>
                <w:szCs w:val="23"/>
                <w:color w:val="auto"/>
              </w:rPr>
            </w:pPr>
          </w:p>
        </w:tc>
        <w:tc>
          <w:tcPr>
            <w:tcW w:w="5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 and Corporate Secretary</w:t>
            </w:r>
          </w:p>
        </w:tc>
        <w:tc>
          <w:tcPr>
            <w:tcW w:w="80" w:type="dxa"/>
            <w:vAlign w:val="bottom"/>
          </w:tcPr>
          <w:p>
            <w:pPr>
              <w:spacing w:after="0"/>
              <w:rPr>
                <w:sz w:val="23"/>
                <w:szCs w:val="23"/>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(1)Dr. Angel was appointed as the Company’s Chief Executive Officer, President and director, effective immediately following the Closing.</w:t>
      </w:r>
    </w:p>
    <w:p>
      <w:pPr>
        <w:spacing w:after="0" w:line="354" w:lineRule="exact"/>
        <w:rPr>
          <w:sz w:val="20"/>
          <w:szCs w:val="20"/>
          <w:color w:val="auto"/>
        </w:rPr>
      </w:pPr>
    </w:p>
    <w:p>
      <w:pPr>
        <w:ind w:right="560" w:firstLine="408"/>
        <w:spacing w:after="0" w:line="277" w:lineRule="auto"/>
        <w:rPr>
          <w:sz w:val="20"/>
          <w:szCs w:val="20"/>
          <w:color w:val="auto"/>
        </w:rPr>
      </w:pPr>
      <w:r>
        <w:rPr>
          <w:rFonts w:ascii="Times New Roman" w:cs="Times New Roman" w:eastAsia="Times New Roman" w:hAnsi="Times New Roman"/>
          <w:sz w:val="20"/>
          <w:szCs w:val="20"/>
          <w:color w:val="auto"/>
        </w:rPr>
        <w:t>Biographical information for Dr. Angel is included above with the director biographies under the caption “Board of Directors.”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784" name="Shape 7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784" o:spid="_x0000_s18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85" name="Shape 7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85" o:spid="_x0000_s18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86" name="Shape 7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86" o:spid="_x0000_s181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87" name="Shape 7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87" o:spid="_x0000_s18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88" name="Shape 7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88" o:spid="_x0000_s18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Nicholas Maestas</w:t>
      </w:r>
    </w:p>
    <w:p>
      <w:pPr>
        <w:spacing w:after="0" w:line="242" w:lineRule="exact"/>
        <w:rPr>
          <w:sz w:val="20"/>
          <w:szCs w:val="20"/>
          <w:color w:val="auto"/>
        </w:rPr>
      </w:pPr>
    </w:p>
    <w:p>
      <w:pPr>
        <w:jc w:val="both"/>
        <w:ind w:firstLine="408"/>
        <w:spacing w:after="0" w:line="244" w:lineRule="auto"/>
        <w:rPr>
          <w:sz w:val="20"/>
          <w:szCs w:val="20"/>
          <w:color w:val="auto"/>
        </w:rPr>
      </w:pPr>
      <w:r>
        <w:rPr>
          <w:rFonts w:ascii="Times New Roman" w:cs="Times New Roman" w:eastAsia="Times New Roman" w:hAnsi="Times New Roman"/>
          <w:sz w:val="20"/>
          <w:szCs w:val="20"/>
          <w:color w:val="auto"/>
        </w:rPr>
        <w:t>Mr. Maestas has served as our Chief Financial Officer and Head of Corporate Strategy since January 2025, having previously served as Vice President, Finance and Strategy from July 2021 through December 2024, and has served as our Corporate Secretary since September 2022. Prior to joining us, Mr. Maestas served as the head of FP&amp;A and strategic finance at Alector, a biopharmaceutical company that develops therapies for the treatment of neurodegeneration diseases, from July 2019 to July 2021. Prior to joining Alector, from November 2014 to July 2019, Mr. Maestas served in a variety of roles at Immune Design, an oncology immunotherapy company that was acquired by Merck in 2019, including as Senior Director, Corporate Development &amp; Operations from January to July 2019 and Director, Corporate Development &amp; Operations from January 2017 to December 2018. Mr. Maestas received a B.A. in Molecular and Cell Biology from the University of California, Berkeley and an M.B.A. from The Wharton School, University of Pennsylvania.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ORPORATE</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OVERNANCE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w:t>
      </w:r>
    </w:p>
    <w:p>
      <w:pPr>
        <w:spacing w:after="0" w:line="242" w:lineRule="exact"/>
        <w:rPr>
          <w:sz w:val="20"/>
          <w:szCs w:val="20"/>
          <w:color w:val="auto"/>
        </w:rPr>
      </w:pPr>
    </w:p>
    <w:p>
      <w:pPr>
        <w:jc w:val="both"/>
        <w:ind w:firstLine="408"/>
        <w:spacing w:after="0" w:line="243" w:lineRule="auto"/>
        <w:rPr>
          <w:sz w:val="20"/>
          <w:szCs w:val="20"/>
          <w:color w:val="auto"/>
        </w:rPr>
      </w:pPr>
      <w:r>
        <w:rPr>
          <w:rFonts w:ascii="Times New Roman" w:cs="Times New Roman" w:eastAsia="Times New Roman" w:hAnsi="Times New Roman"/>
          <w:sz w:val="20"/>
          <w:szCs w:val="20"/>
          <w:color w:val="auto"/>
        </w:rPr>
        <w:t>The Board has a separately designated Audit Committee (the “Audit Committee”) established in accordance with Section 3(a)(58)(A) of the Exchange Act to oversee the Company’s corporate accounting and financial reporting processes and audits of its financial statements. Geoff Nichol, Christine Pellizzari and Michael Raab, served as members of the Audit Committee during 2025 with Ms. Pellizzari serving as Chair. On February 3, 2026, Dr. Nichol resigned from the Board and all committees thereof and Ronit Simantov was appointed to the Audit Committee to fill the vacancy created by Dr. Nichol’s resignation. The Board determined that each current member of the Audit Committee satisfies the independence requirements under Nasdaq listing standards and Rule 10A-3(b)(1) of the Exchange Act. Our Board has determined that Ms. Pellizzari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209" w:lineRule="exact"/>
        <w:rPr>
          <w:sz w:val="20"/>
          <w:szCs w:val="20"/>
          <w:color w:val="auto"/>
        </w:rPr>
      </w:pPr>
    </w:p>
    <w:p>
      <w:pPr>
        <w:jc w:val="both"/>
        <w:ind w:firstLine="408"/>
        <w:spacing w:after="0" w:line="258" w:lineRule="auto"/>
        <w:rPr>
          <w:sz w:val="20"/>
          <w:szCs w:val="20"/>
          <w:color w:val="auto"/>
        </w:rPr>
      </w:pPr>
      <w:r>
        <w:rPr>
          <w:rFonts w:ascii="Times New Roman" w:cs="Times New Roman" w:eastAsia="Times New Roman" w:hAnsi="Times New Roman"/>
          <w:sz w:val="20"/>
          <w:szCs w:val="20"/>
          <w:color w:val="auto"/>
        </w:rPr>
        <w:t>The primary purpose of the Audit Committee is to discharge the responsibilities of the Board with respect to the corporate accounting and financial reporting processes, systems of internal control and financial statement audits, and to oversee the independent registered public accounting firm.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ectPr>
          <w:pgSz w:w="12240" w:h="15840" w:orient="portrait"/>
          <w:cols w:equalWidth="0" w:num="1">
            <w:col w:w="9360"/>
          </w:cols>
          <w:pgMar w:left="1440" w:top="1418" w:right="1440" w:bottom="1440" w:gutter="0" w:footer="0" w:header="0"/>
        </w:sectPr>
      </w:pPr>
    </w:p>
    <w:bookmarkStart w:id="143" w:name="page144"/>
    <w:bookmarkEnd w:id="143"/>
    <w:p>
      <w:pPr>
        <w:jc w:val="both"/>
        <w:ind w:left="20" w:right="40" w:firstLine="408"/>
        <w:spacing w:after="0" w:line="243" w:lineRule="auto"/>
        <w:rPr>
          <w:sz w:val="20"/>
          <w:szCs w:val="20"/>
          <w:color w:val="auto"/>
        </w:rPr>
      </w:pPr>
      <w:r>
        <w:rPr>
          <w:rFonts w:ascii="Times New Roman" w:cs="Times New Roman" w:eastAsia="Times New Roman" w:hAnsi="Times New Roman"/>
          <w:sz w:val="20"/>
          <w:szCs w:val="20"/>
          <w:color w:val="auto"/>
        </w:rPr>
        <w:t>We have adopted a Code of Business Conduct that applies to all officers, directors and employees. If we ever were to amend or waive any provision of our Code of Conduct that applies to our principal executive officer, principal financial officer, principal accounting officer or any person performing similar functions, we intend to promptly disclose on our website (i) the date and nature of any amendment (other than technical, administrative or other non-substantive amendments) to the Code of Conduct that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www.tempesttx.com. The reference to our website address does not constitute incorporation by reference of the information contained at or available through our website, and you should not consider it to be a part of this Amendment.</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45" w:lineRule="exact"/>
        <w:rPr>
          <w:sz w:val="20"/>
          <w:szCs w:val="20"/>
          <w:color w:val="auto"/>
        </w:rPr>
      </w:pPr>
    </w:p>
    <w:p>
      <w:pPr>
        <w:jc w:val="both"/>
        <w:ind w:left="20" w:right="40" w:firstLine="408"/>
        <w:spacing w:after="0" w:line="251" w:lineRule="auto"/>
        <w:rPr>
          <w:sz w:val="20"/>
          <w:szCs w:val="20"/>
          <w:color w:val="auto"/>
        </w:rPr>
      </w:pPr>
      <w:r>
        <w:rPr>
          <w:rFonts w:ascii="Times New Roman" w:cs="Times New Roman" w:eastAsia="Times New Roman" w:hAnsi="Times New Roman"/>
          <w:sz w:val="20"/>
          <w:szCs w:val="20"/>
          <w:color w:val="auto"/>
        </w:rPr>
        <w:t>We have adopted an insider trading policy governing the purchase, sale, and/or other dispositions of the Company’s securities by directors, officers, employees and designated consultants that is designed to promote compliance with insider trading laws, rules and regulations, as well as procedures designed to further the foregoing purposes. A copy of our insider trading policy was</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144145</wp:posOffset>
                </wp:positionV>
                <wp:extent cx="5943600" cy="0"/>
                <wp:wrapNone/>
                <wp:docPr id="789" name="Shape 7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789" o:spid="_x0000_s18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1.35pt" to="469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5955665</wp:posOffset>
                </wp:positionH>
                <wp:positionV relativeFrom="paragraph">
                  <wp:posOffset>137795</wp:posOffset>
                </wp:positionV>
                <wp:extent cx="0" cy="17145"/>
                <wp:wrapNone/>
                <wp:docPr id="790" name="Shape 7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90" o:spid="_x0000_s18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95pt,10.85pt" to="468.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130175</wp:posOffset>
                </wp:positionV>
                <wp:extent cx="5944870" cy="12700"/>
                <wp:wrapNone/>
                <wp:docPr id="791" name="Shape 7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91" o:spid="_x0000_s1816" style="position:absolute;margin-left:1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135255</wp:posOffset>
                </wp:positionV>
                <wp:extent cx="0" cy="19685"/>
                <wp:wrapNone/>
                <wp:docPr id="792" name="Shape 7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92" o:spid="_x0000_s18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10.65pt" to="1.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153035</wp:posOffset>
                </wp:positionV>
                <wp:extent cx="5944870" cy="0"/>
                <wp:wrapNone/>
                <wp:docPr id="793" name="Shape 7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93" o:spid="_x0000_s18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2.05pt" to="469.1pt,12.05pt" o:allowincell="f" strokecolor="#E3E3E3" strokeweight="0.2399pt"/>
            </w:pict>
          </mc:Fallback>
        </mc:AlternateContent>
      </w:r>
    </w:p>
    <w:p>
      <w:pPr>
        <w:spacing w:after="0" w:line="200" w:lineRule="exact"/>
        <w:rPr>
          <w:sz w:val="20"/>
          <w:szCs w:val="20"/>
          <w:color w:val="auto"/>
        </w:rPr>
      </w:pPr>
    </w:p>
    <w:p>
      <w:pPr>
        <w:spacing w:after="0" w:line="284" w:lineRule="exact"/>
        <w:rPr>
          <w:sz w:val="20"/>
          <w:szCs w:val="20"/>
          <w:color w:val="auto"/>
        </w:rPr>
      </w:pPr>
    </w:p>
    <w:p>
      <w:pPr>
        <w:jc w:val="both"/>
        <w:ind w:left="20" w:right="40"/>
        <w:spacing w:after="0" w:line="277" w:lineRule="auto"/>
        <w:rPr>
          <w:sz w:val="20"/>
          <w:szCs w:val="20"/>
          <w:color w:val="auto"/>
        </w:rPr>
      </w:pPr>
      <w:r>
        <w:rPr>
          <w:rFonts w:ascii="Times New Roman" w:cs="Times New Roman" w:eastAsia="Times New Roman" w:hAnsi="Times New Roman"/>
          <w:sz w:val="20"/>
          <w:szCs w:val="20"/>
          <w:color w:val="auto"/>
        </w:rPr>
        <w:t>filed as an exhibit to our Annual Report on Form 10-K for our fiscal year ended December 31, 2024, originally filed with the SEC on March 27, 2025.</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jc w:val="both"/>
        <w:ind w:left="20" w:right="40" w:firstLine="408"/>
        <w:spacing w:after="0" w:line="259" w:lineRule="auto"/>
        <w:rPr>
          <w:sz w:val="20"/>
          <w:szCs w:val="20"/>
          <w:color w:val="auto"/>
        </w:rPr>
      </w:pPr>
      <w:r>
        <w:rPr>
          <w:rFonts w:ascii="Times New Roman" w:cs="Times New Roman" w:eastAsia="Times New Roman" w:hAnsi="Times New Roman"/>
          <w:sz w:val="20"/>
          <w:szCs w:val="20"/>
          <w:color w:val="auto"/>
        </w:rPr>
        <w:t>Share numbers included in the following tables and footnotes included in this Executive and Director Compensation section have been adjusted for the 1-for-13 reverse stock split (the “Reverse Stock Split”) of our common stock, on April 8, 2025, as applicable.</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242" w:lineRule="exact"/>
        <w:rPr>
          <w:sz w:val="20"/>
          <w:szCs w:val="20"/>
          <w:color w:val="auto"/>
        </w:rPr>
      </w:pPr>
    </w:p>
    <w:p>
      <w:pPr>
        <w:jc w:val="both"/>
        <w:ind w:left="20" w:right="40" w:firstLine="408"/>
        <w:spacing w:after="0" w:line="258" w:lineRule="auto"/>
        <w:rPr>
          <w:sz w:val="20"/>
          <w:szCs w:val="20"/>
          <w:color w:val="auto"/>
        </w:rPr>
      </w:pPr>
      <w:r>
        <w:rPr>
          <w:rFonts w:ascii="Times New Roman" w:cs="Times New Roman" w:eastAsia="Times New Roman" w:hAnsi="Times New Roman"/>
          <w:sz w:val="20"/>
          <w:szCs w:val="20"/>
          <w:color w:val="auto"/>
        </w:rPr>
        <w:t>The following table sets forth information for each of the last two completed fiscal years regarding compensation awarded to or earned by our Former Chief Executive Officer and the two other most highly compensated executive officers (the “Named Executive Officers”) during the fiscal years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Salary</w:t>
            </w: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6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8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80" w:type="dxa"/>
            <w:vAlign w:val="bottom"/>
            <w:gridSpan w:val="4"/>
          </w:tcPr>
          <w:p>
            <w:pPr>
              <w:jc w:val="center"/>
              <w:ind w:left="7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gridSpan w:val="3"/>
          </w:tcPr>
          <w:p>
            <w:pPr>
              <w:jc w:val="center"/>
              <w:ind w:left="70"/>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1"/>
                <w:szCs w:val="11"/>
                <w:b w:val="1"/>
                <w:bCs w:val="1"/>
                <w:color w:val="auto"/>
                <w:w w:val="99"/>
              </w:rPr>
              <w:t>(2)(3)</w:t>
            </w:r>
          </w:p>
        </w:tc>
        <w:tc>
          <w:tcPr>
            <w:tcW w:w="1200" w:type="dxa"/>
            <w:vAlign w:val="bottom"/>
            <w:gridSpan w:val="3"/>
          </w:tcPr>
          <w:p>
            <w:pPr>
              <w:jc w:val="center"/>
              <w:ind w:left="9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20" w:type="dxa"/>
            <w:vAlign w:val="bottom"/>
            <w:gridSpan w:val="3"/>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1"/>
                <w:szCs w:val="11"/>
                <w:b w:val="1"/>
                <w:bCs w:val="1"/>
                <w:color w:val="auto"/>
              </w:rPr>
              <w:t>(4)</w:t>
            </w:r>
          </w:p>
        </w:tc>
        <w:tc>
          <w:tcPr>
            <w:tcW w:w="1040" w:type="dxa"/>
            <w:vAlign w:val="bottom"/>
            <w:gridSpan w:val="3"/>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shd w:val="clear" w:color="auto" w:fill="D1EEF5"/>
          </w:tcPr>
          <w:p>
            <w:pPr>
              <w:spacing w:after="0"/>
              <w:rPr>
                <w:sz w:val="16"/>
                <w:szCs w:val="16"/>
                <w:color w:val="auto"/>
              </w:rPr>
            </w:pPr>
          </w:p>
        </w:tc>
        <w:tc>
          <w:tcPr>
            <w:tcW w:w="3340" w:type="dxa"/>
            <w:vAlign w:val="bottom"/>
            <w:vMerge w:val="restart"/>
            <w:shd w:val="clear" w:color="auto" w:fill="D1EEF5"/>
          </w:tcPr>
          <w:p>
            <w:pPr>
              <w:ind w:left="40"/>
              <w:spacing w:after="0"/>
              <w:rPr>
                <w:sz w:val="20"/>
                <w:szCs w:val="20"/>
                <w:color w:val="auto"/>
              </w:rPr>
            </w:pPr>
            <w:r>
              <w:rPr>
                <w:rFonts w:ascii="Times New Roman" w:cs="Times New Roman" w:eastAsia="Times New Roman" w:hAnsi="Times New Roman"/>
                <w:sz w:val="20"/>
                <w:szCs w:val="20"/>
                <w:color w:val="auto"/>
              </w:rPr>
              <w:t>Stephen Brady</w:t>
            </w:r>
            <w:r>
              <w:rPr>
                <w:rFonts w:ascii="Times New Roman" w:cs="Times New Roman" w:eastAsia="Times New Roman" w:hAnsi="Times New Roman"/>
                <w:sz w:val="12"/>
                <w:szCs w:val="12"/>
                <w:color w:val="auto"/>
              </w:rPr>
              <w:t>(5)</w:t>
            </w:r>
          </w:p>
        </w:tc>
        <w:tc>
          <w:tcPr>
            <w:tcW w:w="80" w:type="dxa"/>
            <w:vAlign w:val="bottom"/>
            <w:shd w:val="clear" w:color="auto" w:fill="D1EEF5"/>
          </w:tcPr>
          <w:p>
            <w:pPr>
              <w:spacing w:after="0"/>
              <w:rPr>
                <w:sz w:val="16"/>
                <w:szCs w:val="16"/>
                <w:color w:val="auto"/>
              </w:rPr>
            </w:pPr>
          </w:p>
        </w:tc>
        <w:tc>
          <w:tcPr>
            <w:tcW w:w="100" w:type="dxa"/>
            <w:vAlign w:val="bottom"/>
            <w:shd w:val="clear" w:color="auto" w:fill="D1EEF5"/>
          </w:tcPr>
          <w:p>
            <w:pPr>
              <w:spacing w:after="0"/>
              <w:rPr>
                <w:sz w:val="16"/>
                <w:szCs w:val="16"/>
                <w:color w:val="auto"/>
              </w:rPr>
            </w:pPr>
          </w:p>
        </w:tc>
        <w:tc>
          <w:tcPr>
            <w:tcW w:w="460" w:type="dxa"/>
            <w:vAlign w:val="bottom"/>
            <w:vMerge w:val="restart"/>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80" w:type="dxa"/>
            <w:vAlign w:val="bottom"/>
            <w:shd w:val="clear" w:color="auto" w:fill="D1EEF5"/>
          </w:tcPr>
          <w:p>
            <w:pPr>
              <w:spacing w:after="0"/>
              <w:rPr>
                <w:sz w:val="16"/>
                <w:szCs w:val="16"/>
                <w:color w:val="auto"/>
              </w:rPr>
            </w:pPr>
          </w:p>
        </w:tc>
        <w:tc>
          <w:tcPr>
            <w:tcW w:w="80" w:type="dxa"/>
            <w:vAlign w:val="bottom"/>
            <w:shd w:val="clear" w:color="auto" w:fill="D1EEF5"/>
          </w:tcPr>
          <w:p>
            <w:pPr>
              <w:spacing w:after="0"/>
              <w:rPr>
                <w:sz w:val="16"/>
                <w:szCs w:val="16"/>
                <w:color w:val="auto"/>
              </w:rPr>
            </w:pPr>
          </w:p>
        </w:tc>
        <w:tc>
          <w:tcPr>
            <w:tcW w:w="720" w:type="dxa"/>
            <w:vAlign w:val="bottom"/>
            <w:gridSpan w:val="2"/>
            <w:vMerge w:val="restart"/>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8"/>
              </w:rPr>
              <w:t>906,400</w:t>
            </w:r>
          </w:p>
        </w:tc>
        <w:tc>
          <w:tcPr>
            <w:tcW w:w="80" w:type="dxa"/>
            <w:vAlign w:val="bottom"/>
            <w:shd w:val="clear" w:color="auto" w:fill="D1EEF5"/>
          </w:tcPr>
          <w:p>
            <w:pPr>
              <w:spacing w:after="0"/>
              <w:rPr>
                <w:sz w:val="16"/>
                <w:szCs w:val="16"/>
                <w:color w:val="auto"/>
              </w:rPr>
            </w:pPr>
          </w:p>
        </w:tc>
        <w:tc>
          <w:tcPr>
            <w:tcW w:w="80" w:type="dxa"/>
            <w:vAlign w:val="bottom"/>
            <w:shd w:val="clear" w:color="auto" w:fill="D1EEF5"/>
          </w:tcPr>
          <w:p>
            <w:pPr>
              <w:spacing w:after="0"/>
              <w:rPr>
                <w:sz w:val="16"/>
                <w:szCs w:val="16"/>
                <w:color w:val="auto"/>
              </w:rPr>
            </w:pPr>
          </w:p>
        </w:tc>
        <w:tc>
          <w:tcPr>
            <w:tcW w:w="720" w:type="dxa"/>
            <w:vAlign w:val="bottom"/>
            <w:vMerge w:val="restart"/>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8"/>
              </w:rPr>
              <w:t>556,981</w:t>
            </w:r>
          </w:p>
        </w:tc>
        <w:tc>
          <w:tcPr>
            <w:tcW w:w="160" w:type="dxa"/>
            <w:vAlign w:val="bottom"/>
            <w:shd w:val="clear" w:color="auto" w:fill="D1EEF5"/>
          </w:tcPr>
          <w:p>
            <w:pPr>
              <w:spacing w:after="0"/>
              <w:rPr>
                <w:sz w:val="16"/>
                <w:szCs w:val="16"/>
                <w:color w:val="auto"/>
              </w:rPr>
            </w:pPr>
          </w:p>
        </w:tc>
        <w:tc>
          <w:tcPr>
            <w:tcW w:w="40" w:type="dxa"/>
            <w:vAlign w:val="bottom"/>
            <w:vMerge w:val="restart"/>
            <w:shd w:val="clear" w:color="auto" w:fill="D1EEF5"/>
          </w:tcPr>
          <w:p>
            <w:pPr>
              <w:spacing w:after="0"/>
              <w:rPr>
                <w:sz w:val="16"/>
                <w:szCs w:val="16"/>
                <w:color w:val="auto"/>
              </w:rPr>
            </w:pPr>
          </w:p>
        </w:tc>
        <w:tc>
          <w:tcPr>
            <w:tcW w:w="10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1EEF5"/>
          </w:tcPr>
          <w:p>
            <w:pPr>
              <w:spacing w:after="0"/>
              <w:rPr>
                <w:sz w:val="16"/>
                <w:szCs w:val="16"/>
                <w:color w:val="auto"/>
              </w:rPr>
            </w:pPr>
          </w:p>
        </w:tc>
        <w:tc>
          <w:tcPr>
            <w:tcW w:w="1040" w:type="dxa"/>
            <w:vAlign w:val="bottom"/>
            <w:gridSpan w:val="2"/>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836,094</w:t>
            </w:r>
          </w:p>
        </w:tc>
        <w:tc>
          <w:tcPr>
            <w:tcW w:w="100" w:type="dxa"/>
            <w:vAlign w:val="bottom"/>
            <w:shd w:val="clear" w:color="auto" w:fill="D1EEF5"/>
          </w:tcPr>
          <w:p>
            <w:pPr>
              <w:spacing w:after="0"/>
              <w:rPr>
                <w:sz w:val="16"/>
                <w:szCs w:val="16"/>
                <w:color w:val="auto"/>
              </w:rPr>
            </w:pPr>
          </w:p>
        </w:tc>
        <w:tc>
          <w:tcPr>
            <w:tcW w:w="80" w:type="dxa"/>
            <w:vAlign w:val="bottom"/>
            <w:shd w:val="clear" w:color="auto" w:fill="D1EEF5"/>
          </w:tcPr>
          <w:p>
            <w:pPr>
              <w:spacing w:after="0"/>
              <w:rPr>
                <w:sz w:val="16"/>
                <w:szCs w:val="16"/>
                <w:color w:val="auto"/>
              </w:rPr>
            </w:pPr>
          </w:p>
        </w:tc>
        <w:tc>
          <w:tcPr>
            <w:tcW w:w="86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1EEF5"/>
              </w:rPr>
              <w:t>2,299,475</w:t>
            </w:r>
          </w:p>
        </w:tc>
        <w:tc>
          <w:tcPr>
            <w:tcW w:w="80" w:type="dxa"/>
            <w:vAlign w:val="bottom"/>
            <w:shd w:val="clear" w:color="auto" w:fill="D1EEF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33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46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720" w:type="dxa"/>
            <w:vAlign w:val="bottom"/>
            <w:gridSpan w:val="2"/>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720" w:type="dxa"/>
            <w:vAlign w:val="bottom"/>
            <w:vMerge w:val="continue"/>
            <w:shd w:val="clear" w:color="auto" w:fill="D1EEF5"/>
          </w:tcPr>
          <w:p>
            <w:pPr>
              <w:spacing w:after="0"/>
              <w:rPr>
                <w:sz w:val="3"/>
                <w:szCs w:val="3"/>
                <w:color w:val="auto"/>
              </w:rPr>
            </w:pPr>
          </w:p>
        </w:tc>
        <w:tc>
          <w:tcPr>
            <w:tcW w:w="160" w:type="dxa"/>
            <w:vAlign w:val="bottom"/>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1000" w:type="dxa"/>
            <w:vAlign w:val="bottom"/>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104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86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3340" w:type="dxa"/>
            <w:vAlign w:val="bottom"/>
            <w:shd w:val="clear" w:color="auto" w:fill="D1EEF5"/>
          </w:tcPr>
          <w:p>
            <w:pPr>
              <w:ind w:left="40"/>
              <w:spacing w:after="0"/>
              <w:rPr>
                <w:sz w:val="20"/>
                <w:szCs w:val="20"/>
                <w:color w:val="auto"/>
              </w:rPr>
            </w:pPr>
            <w:r>
              <w:rPr>
                <w:rFonts w:ascii="Times New Roman" w:cs="Times New Roman" w:eastAsia="Times New Roman" w:hAnsi="Times New Roman"/>
                <w:sz w:val="20"/>
                <w:szCs w:val="20"/>
                <w:i w:val="1"/>
                <w:iCs w:val="1"/>
                <w:color w:val="auto"/>
              </w:rPr>
              <w:t>Former Chief Executive Officer and</w:t>
            </w:r>
          </w:p>
        </w:tc>
        <w:tc>
          <w:tcPr>
            <w:tcW w:w="80" w:type="dxa"/>
            <w:vAlign w:val="bottom"/>
            <w:shd w:val="clear" w:color="auto" w:fill="D1EEF5"/>
          </w:tcPr>
          <w:p>
            <w:pPr>
              <w:spacing w:after="0"/>
              <w:rPr>
                <w:sz w:val="20"/>
                <w:szCs w:val="20"/>
                <w:color w:val="auto"/>
              </w:rPr>
            </w:pPr>
          </w:p>
        </w:tc>
        <w:tc>
          <w:tcPr>
            <w:tcW w:w="100" w:type="dxa"/>
            <w:vAlign w:val="bottom"/>
            <w:shd w:val="clear" w:color="auto" w:fill="D1EEF5"/>
          </w:tcPr>
          <w:p>
            <w:pPr>
              <w:spacing w:after="0"/>
              <w:rPr>
                <w:sz w:val="20"/>
                <w:szCs w:val="20"/>
                <w:color w:val="auto"/>
              </w:rPr>
            </w:pPr>
          </w:p>
        </w:tc>
        <w:tc>
          <w:tcPr>
            <w:tcW w:w="46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1EEF5"/>
              </w:rPr>
              <w:t>2024</w:t>
            </w:r>
          </w:p>
        </w:tc>
        <w:tc>
          <w:tcPr>
            <w:tcW w:w="80" w:type="dxa"/>
            <w:vAlign w:val="bottom"/>
            <w:shd w:val="clear" w:color="auto" w:fill="D1EEF5"/>
          </w:tcPr>
          <w:p>
            <w:pPr>
              <w:spacing w:after="0"/>
              <w:rPr>
                <w:sz w:val="20"/>
                <w:szCs w:val="20"/>
                <w:color w:val="auto"/>
              </w:rPr>
            </w:pPr>
          </w:p>
        </w:tc>
        <w:tc>
          <w:tcPr>
            <w:tcW w:w="120" w:type="dxa"/>
            <w:vAlign w:val="bottom"/>
            <w:gridSpan w:val="2"/>
            <w:shd w:val="clear" w:color="auto" w:fill="D1EEF5"/>
          </w:tcPr>
          <w:p>
            <w:pPr>
              <w:spacing w:after="0"/>
              <w:rPr>
                <w:sz w:val="20"/>
                <w:szCs w:val="20"/>
                <w:color w:val="auto"/>
              </w:rPr>
            </w:pPr>
          </w:p>
        </w:tc>
        <w:tc>
          <w:tcPr>
            <w:tcW w:w="68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D1EEF5"/>
              </w:rPr>
              <w:t>600,000</w:t>
            </w:r>
          </w:p>
        </w:tc>
        <w:tc>
          <w:tcPr>
            <w:tcW w:w="8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72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8"/>
                <w:shd w:val="clear" w:color="auto" w:fill="D1EEF5"/>
              </w:rPr>
              <w:t>977,999</w:t>
            </w:r>
          </w:p>
        </w:tc>
        <w:tc>
          <w:tcPr>
            <w:tcW w:w="200" w:type="dxa"/>
            <w:vAlign w:val="bottom"/>
            <w:gridSpan w:val="2"/>
            <w:shd w:val="clear" w:color="auto" w:fill="D1EEF5"/>
          </w:tcPr>
          <w:p>
            <w:pPr>
              <w:spacing w:after="0"/>
              <w:rPr>
                <w:sz w:val="20"/>
                <w:szCs w:val="20"/>
                <w:color w:val="auto"/>
              </w:rPr>
            </w:pPr>
          </w:p>
        </w:tc>
        <w:tc>
          <w:tcPr>
            <w:tcW w:w="10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280,500</w:t>
            </w:r>
          </w:p>
        </w:tc>
        <w:tc>
          <w:tcPr>
            <w:tcW w:w="220" w:type="dxa"/>
            <w:vAlign w:val="bottom"/>
            <w:gridSpan w:val="2"/>
            <w:shd w:val="clear" w:color="auto" w:fill="D1EEF5"/>
          </w:tcPr>
          <w:p>
            <w:pPr>
              <w:spacing w:after="0"/>
              <w:rPr>
                <w:sz w:val="20"/>
                <w:szCs w:val="20"/>
                <w:color w:val="auto"/>
              </w:rPr>
            </w:pPr>
          </w:p>
        </w:tc>
        <w:tc>
          <w:tcPr>
            <w:tcW w:w="10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13,800</w:t>
            </w:r>
          </w:p>
        </w:tc>
        <w:tc>
          <w:tcPr>
            <w:tcW w:w="10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86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1EEF5"/>
              </w:rPr>
              <w:t>1,872,299</w:t>
            </w:r>
          </w:p>
        </w:tc>
        <w:tc>
          <w:tcPr>
            <w:tcW w:w="80" w:type="dxa"/>
            <w:vAlign w:val="bottom"/>
            <w:shd w:val="clear" w:color="auto" w:fill="D1EEF5"/>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3340" w:type="dxa"/>
            <w:vAlign w:val="bottom"/>
            <w:shd w:val="clear" w:color="auto" w:fill="D1EEF5"/>
          </w:tcPr>
          <w:p>
            <w:pPr>
              <w:ind w:left="40"/>
              <w:spacing w:after="0" w:line="228" w:lineRule="exact"/>
              <w:rPr>
                <w:sz w:val="20"/>
                <w:szCs w:val="20"/>
                <w:color w:val="auto"/>
              </w:rPr>
            </w:pPr>
            <w:r>
              <w:rPr>
                <w:rFonts w:ascii="Times New Roman" w:cs="Times New Roman" w:eastAsia="Times New Roman" w:hAnsi="Times New Roman"/>
                <w:sz w:val="20"/>
                <w:szCs w:val="20"/>
                <w:i w:val="1"/>
                <w:iCs w:val="1"/>
                <w:color w:val="auto"/>
              </w:rPr>
              <w:t>President</w:t>
            </w:r>
          </w:p>
        </w:tc>
        <w:tc>
          <w:tcPr>
            <w:tcW w:w="80" w:type="dxa"/>
            <w:vAlign w:val="bottom"/>
            <w:shd w:val="clear" w:color="auto" w:fill="D1EEF5"/>
          </w:tcPr>
          <w:p>
            <w:pPr>
              <w:spacing w:after="0"/>
              <w:rPr>
                <w:sz w:val="19"/>
                <w:szCs w:val="19"/>
                <w:color w:val="auto"/>
              </w:rPr>
            </w:pPr>
          </w:p>
        </w:tc>
        <w:tc>
          <w:tcPr>
            <w:tcW w:w="100" w:type="dxa"/>
            <w:vAlign w:val="bottom"/>
            <w:shd w:val="clear" w:color="auto" w:fill="D1EEF5"/>
          </w:tcPr>
          <w:p>
            <w:pPr>
              <w:spacing w:after="0"/>
              <w:rPr>
                <w:sz w:val="19"/>
                <w:szCs w:val="19"/>
                <w:color w:val="auto"/>
              </w:rPr>
            </w:pPr>
          </w:p>
        </w:tc>
        <w:tc>
          <w:tcPr>
            <w:tcW w:w="46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40" w:type="dxa"/>
            <w:vAlign w:val="bottom"/>
            <w:shd w:val="clear" w:color="auto" w:fill="D1EEF5"/>
          </w:tcPr>
          <w:p>
            <w:pPr>
              <w:spacing w:after="0"/>
              <w:rPr>
                <w:sz w:val="19"/>
                <w:szCs w:val="19"/>
                <w:color w:val="auto"/>
              </w:rPr>
            </w:pPr>
          </w:p>
        </w:tc>
        <w:tc>
          <w:tcPr>
            <w:tcW w:w="68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720" w:type="dxa"/>
            <w:vAlign w:val="bottom"/>
            <w:shd w:val="clear" w:color="auto" w:fill="D1EEF5"/>
          </w:tcPr>
          <w:p>
            <w:pPr>
              <w:spacing w:after="0"/>
              <w:rPr>
                <w:sz w:val="19"/>
                <w:szCs w:val="19"/>
                <w:color w:val="auto"/>
              </w:rPr>
            </w:pPr>
          </w:p>
        </w:tc>
        <w:tc>
          <w:tcPr>
            <w:tcW w:w="160" w:type="dxa"/>
            <w:vAlign w:val="bottom"/>
            <w:shd w:val="clear" w:color="auto" w:fill="D1EEF5"/>
          </w:tcPr>
          <w:p>
            <w:pPr>
              <w:spacing w:after="0"/>
              <w:rPr>
                <w:sz w:val="19"/>
                <w:szCs w:val="19"/>
                <w:color w:val="auto"/>
              </w:rPr>
            </w:pPr>
          </w:p>
        </w:tc>
        <w:tc>
          <w:tcPr>
            <w:tcW w:w="40" w:type="dxa"/>
            <w:vAlign w:val="bottom"/>
            <w:shd w:val="clear" w:color="auto" w:fill="D1EEF5"/>
          </w:tcPr>
          <w:p>
            <w:pPr>
              <w:spacing w:after="0"/>
              <w:rPr>
                <w:sz w:val="19"/>
                <w:szCs w:val="19"/>
                <w:color w:val="auto"/>
              </w:rPr>
            </w:pPr>
          </w:p>
        </w:tc>
        <w:tc>
          <w:tcPr>
            <w:tcW w:w="1000" w:type="dxa"/>
            <w:vAlign w:val="bottom"/>
            <w:shd w:val="clear" w:color="auto" w:fill="D1EEF5"/>
          </w:tcPr>
          <w:p>
            <w:pPr>
              <w:spacing w:after="0"/>
              <w:rPr>
                <w:sz w:val="19"/>
                <w:szCs w:val="19"/>
                <w:color w:val="auto"/>
              </w:rPr>
            </w:pPr>
          </w:p>
        </w:tc>
        <w:tc>
          <w:tcPr>
            <w:tcW w:w="180" w:type="dxa"/>
            <w:vAlign w:val="bottom"/>
            <w:shd w:val="clear" w:color="auto" w:fill="D1EEF5"/>
          </w:tcPr>
          <w:p>
            <w:pPr>
              <w:spacing w:after="0"/>
              <w:rPr>
                <w:sz w:val="19"/>
                <w:szCs w:val="19"/>
                <w:color w:val="auto"/>
              </w:rPr>
            </w:pPr>
          </w:p>
        </w:tc>
        <w:tc>
          <w:tcPr>
            <w:tcW w:w="40" w:type="dxa"/>
            <w:vAlign w:val="bottom"/>
            <w:shd w:val="clear" w:color="auto" w:fill="D1EEF5"/>
          </w:tcPr>
          <w:p>
            <w:pPr>
              <w:spacing w:after="0"/>
              <w:rPr>
                <w:sz w:val="19"/>
                <w:szCs w:val="19"/>
                <w:color w:val="auto"/>
              </w:rPr>
            </w:pPr>
          </w:p>
        </w:tc>
        <w:tc>
          <w:tcPr>
            <w:tcW w:w="1000" w:type="dxa"/>
            <w:vAlign w:val="bottom"/>
            <w:shd w:val="clear" w:color="auto" w:fill="D1EEF5"/>
          </w:tcPr>
          <w:p>
            <w:pPr>
              <w:spacing w:after="0"/>
              <w:rPr>
                <w:sz w:val="19"/>
                <w:szCs w:val="19"/>
                <w:color w:val="auto"/>
              </w:rPr>
            </w:pPr>
          </w:p>
        </w:tc>
        <w:tc>
          <w:tcPr>
            <w:tcW w:w="10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86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ind w:left="40"/>
              <w:spacing w:after="0" w:line="212" w:lineRule="exact"/>
              <w:rPr>
                <w:sz w:val="20"/>
                <w:szCs w:val="20"/>
                <w:color w:val="auto"/>
              </w:rPr>
            </w:pPr>
            <w:r>
              <w:rPr>
                <w:rFonts w:ascii="Times New Roman" w:cs="Times New Roman" w:eastAsia="Times New Roman" w:hAnsi="Times New Roman"/>
                <w:sz w:val="20"/>
                <w:szCs w:val="20"/>
                <w:color w:val="auto"/>
              </w:rPr>
              <w:t>Samuel Whiting</w:t>
            </w:r>
            <w:r>
              <w:rPr>
                <w:rFonts w:ascii="Times New Roman" w:cs="Times New Roman" w:eastAsia="Times New Roman" w:hAnsi="Times New Roman"/>
                <w:sz w:val="12"/>
                <w:szCs w:val="12"/>
                <w:color w:val="auto"/>
              </w:rPr>
              <w:t>(6)</w:t>
            </w:r>
          </w:p>
        </w:tc>
        <w:tc>
          <w:tcPr>
            <w:tcW w:w="80" w:type="dxa"/>
            <w:vAlign w:val="bottom"/>
          </w:tcPr>
          <w:p>
            <w:pPr>
              <w:spacing w:after="0"/>
              <w:rPr>
                <w:sz w:val="18"/>
                <w:szCs w:val="18"/>
                <w:color w:val="auto"/>
              </w:rPr>
            </w:pPr>
          </w:p>
        </w:tc>
        <w:tc>
          <w:tcPr>
            <w:tcW w:w="560" w:type="dxa"/>
            <w:vAlign w:val="bottom"/>
            <w:gridSpan w:val="2"/>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2025</w:t>
            </w:r>
          </w:p>
        </w:tc>
        <w:tc>
          <w:tcPr>
            <w:tcW w:w="80" w:type="dxa"/>
            <w:vAlign w:val="bottom"/>
          </w:tcPr>
          <w:p>
            <w:pPr>
              <w:spacing w:after="0"/>
              <w:rPr>
                <w:sz w:val="18"/>
                <w:szCs w:val="18"/>
                <w:color w:val="auto"/>
              </w:rPr>
            </w:pPr>
          </w:p>
        </w:tc>
        <w:tc>
          <w:tcPr>
            <w:tcW w:w="80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222,708</w:t>
            </w:r>
          </w:p>
        </w:tc>
        <w:tc>
          <w:tcPr>
            <w:tcW w:w="80" w:type="dxa"/>
            <w:vAlign w:val="bottom"/>
          </w:tcPr>
          <w:p>
            <w:pPr>
              <w:spacing w:after="0"/>
              <w:rPr>
                <w:sz w:val="18"/>
                <w:szCs w:val="18"/>
                <w:color w:val="auto"/>
              </w:rPr>
            </w:pPr>
          </w:p>
        </w:tc>
        <w:tc>
          <w:tcPr>
            <w:tcW w:w="800" w:type="dxa"/>
            <w:vAlign w:val="bottom"/>
            <w:gridSpan w:val="2"/>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300,246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auto"/>
              </w:rPr>
              <w:t>453,459</w:t>
            </w:r>
          </w:p>
        </w:tc>
        <w:tc>
          <w:tcPr>
            <w:tcW w:w="100" w:type="dxa"/>
            <w:vAlign w:val="bottom"/>
          </w:tcPr>
          <w:p>
            <w:pPr>
              <w:spacing w:after="0"/>
              <w:rPr>
                <w:sz w:val="18"/>
                <w:szCs w:val="18"/>
                <w:color w:val="auto"/>
              </w:rPr>
            </w:pPr>
          </w:p>
        </w:tc>
        <w:tc>
          <w:tcPr>
            <w:tcW w:w="9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976,413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tcPr>
          <w:p>
            <w:pPr>
              <w:ind w:left="40"/>
              <w:spacing w:after="0"/>
              <w:rPr>
                <w:sz w:val="20"/>
                <w:szCs w:val="20"/>
                <w:color w:val="auto"/>
              </w:rPr>
            </w:pPr>
            <w:r>
              <w:rPr>
                <w:rFonts w:ascii="Times New Roman" w:cs="Times New Roman" w:eastAsia="Times New Roman" w:hAnsi="Times New Roman"/>
                <w:sz w:val="20"/>
                <w:szCs w:val="20"/>
                <w:i w:val="1"/>
                <w:iCs w:val="1"/>
                <w:color w:val="auto"/>
              </w:rPr>
              <w:t>Former Chief Medical Officer</w:t>
            </w:r>
          </w:p>
        </w:tc>
        <w:tc>
          <w:tcPr>
            <w:tcW w:w="640" w:type="dxa"/>
            <w:vAlign w:val="bottom"/>
            <w:gridSpan w:val="3"/>
          </w:tcPr>
          <w:p>
            <w:pPr>
              <w:jc w:val="center"/>
              <w:ind w:left="60"/>
              <w:spacing w:after="0"/>
              <w:rPr>
                <w:sz w:val="20"/>
                <w:szCs w:val="20"/>
                <w:color w:val="auto"/>
              </w:rPr>
            </w:pPr>
            <w:r>
              <w:rPr>
                <w:rFonts w:ascii="Times New Roman" w:cs="Times New Roman" w:eastAsia="Times New Roman" w:hAnsi="Times New Roman"/>
                <w:sz w:val="20"/>
                <w:szCs w:val="20"/>
                <w:color w:val="auto"/>
                <w:w w:val="99"/>
              </w:rPr>
              <w:t>2024</w:t>
            </w:r>
          </w:p>
        </w:tc>
        <w:tc>
          <w:tcPr>
            <w:tcW w:w="880" w:type="dxa"/>
            <w:vAlign w:val="bottom"/>
            <w:gridSpan w:val="4"/>
          </w:tcPr>
          <w:p>
            <w:pPr>
              <w:jc w:val="center"/>
              <w:ind w:left="70"/>
              <w:spacing w:after="0"/>
              <w:rPr>
                <w:sz w:val="20"/>
                <w:szCs w:val="20"/>
                <w:color w:val="auto"/>
              </w:rPr>
            </w:pPr>
            <w:r>
              <w:rPr>
                <w:rFonts w:ascii="Times New Roman" w:cs="Times New Roman" w:eastAsia="Times New Roman" w:hAnsi="Times New Roman"/>
                <w:sz w:val="20"/>
                <w:szCs w:val="20"/>
                <w:color w:val="auto"/>
                <w:w w:val="98"/>
              </w:rPr>
              <w:t>481,749</w:t>
            </w:r>
          </w:p>
        </w:tc>
        <w:tc>
          <w:tcPr>
            <w:tcW w:w="880" w:type="dxa"/>
            <w:vAlign w:val="bottom"/>
            <w:gridSpan w:val="3"/>
          </w:tcPr>
          <w:p>
            <w:pPr>
              <w:jc w:val="center"/>
              <w:ind w:left="70"/>
              <w:spacing w:after="0"/>
              <w:rPr>
                <w:sz w:val="20"/>
                <w:szCs w:val="20"/>
                <w:color w:val="auto"/>
              </w:rPr>
            </w:pPr>
            <w:r>
              <w:rPr>
                <w:rFonts w:ascii="Times New Roman" w:cs="Times New Roman" w:eastAsia="Times New Roman" w:hAnsi="Times New Roman"/>
                <w:sz w:val="20"/>
                <w:szCs w:val="20"/>
                <w:color w:val="auto"/>
                <w:w w:val="98"/>
              </w:rPr>
              <w:t>391,200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175,838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13,800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1,062,587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shd w:val="clear" w:color="auto" w:fill="D1EEF5"/>
          </w:tcPr>
          <w:p>
            <w:pPr>
              <w:spacing w:after="0"/>
              <w:rPr>
                <w:sz w:val="16"/>
                <w:szCs w:val="16"/>
                <w:color w:val="auto"/>
              </w:rPr>
            </w:pPr>
          </w:p>
        </w:tc>
        <w:tc>
          <w:tcPr>
            <w:tcW w:w="3340" w:type="dxa"/>
            <w:vAlign w:val="bottom"/>
            <w:vMerge w:val="restart"/>
            <w:shd w:val="clear" w:color="auto" w:fill="D1EEF5"/>
          </w:tcPr>
          <w:p>
            <w:pPr>
              <w:ind w:left="40"/>
              <w:spacing w:after="0"/>
              <w:rPr>
                <w:sz w:val="20"/>
                <w:szCs w:val="20"/>
                <w:color w:val="auto"/>
              </w:rPr>
            </w:pPr>
            <w:r>
              <w:rPr>
                <w:rFonts w:ascii="Times New Roman" w:cs="Times New Roman" w:eastAsia="Times New Roman" w:hAnsi="Times New Roman"/>
                <w:sz w:val="20"/>
                <w:szCs w:val="20"/>
                <w:color w:val="auto"/>
              </w:rPr>
              <w:t>Nicholas Maestas</w:t>
            </w:r>
          </w:p>
        </w:tc>
        <w:tc>
          <w:tcPr>
            <w:tcW w:w="80" w:type="dxa"/>
            <w:vAlign w:val="bottom"/>
            <w:shd w:val="clear" w:color="auto" w:fill="D1EEF5"/>
          </w:tcPr>
          <w:p>
            <w:pPr>
              <w:spacing w:after="0"/>
              <w:rPr>
                <w:sz w:val="16"/>
                <w:szCs w:val="16"/>
                <w:color w:val="auto"/>
              </w:rPr>
            </w:pPr>
          </w:p>
        </w:tc>
        <w:tc>
          <w:tcPr>
            <w:tcW w:w="560" w:type="dxa"/>
            <w:vAlign w:val="bottom"/>
            <w:gridSpan w:val="2"/>
            <w:vMerge w:val="restart"/>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9"/>
              </w:rPr>
              <w:t>2025</w:t>
            </w:r>
          </w:p>
        </w:tc>
        <w:tc>
          <w:tcPr>
            <w:tcW w:w="80" w:type="dxa"/>
            <w:vAlign w:val="bottom"/>
            <w:shd w:val="clear" w:color="auto" w:fill="D1EEF5"/>
          </w:tcPr>
          <w:p>
            <w:pPr>
              <w:spacing w:after="0"/>
              <w:rPr>
                <w:sz w:val="16"/>
                <w:szCs w:val="16"/>
                <w:color w:val="auto"/>
              </w:rPr>
            </w:pPr>
          </w:p>
        </w:tc>
        <w:tc>
          <w:tcPr>
            <w:tcW w:w="800" w:type="dxa"/>
            <w:vAlign w:val="bottom"/>
            <w:gridSpan w:val="3"/>
            <w:vMerge w:val="restart"/>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8"/>
              </w:rPr>
              <w:t>487,850</w:t>
            </w:r>
          </w:p>
        </w:tc>
        <w:tc>
          <w:tcPr>
            <w:tcW w:w="80" w:type="dxa"/>
            <w:vAlign w:val="bottom"/>
            <w:shd w:val="clear" w:color="auto" w:fill="D1EEF5"/>
          </w:tcPr>
          <w:p>
            <w:pPr>
              <w:spacing w:after="0"/>
              <w:rPr>
                <w:sz w:val="16"/>
                <w:szCs w:val="16"/>
                <w:color w:val="auto"/>
              </w:rPr>
            </w:pPr>
          </w:p>
        </w:tc>
        <w:tc>
          <w:tcPr>
            <w:tcW w:w="800" w:type="dxa"/>
            <w:vAlign w:val="bottom"/>
            <w:gridSpan w:val="2"/>
            <w:vMerge w:val="restart"/>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8"/>
              </w:rPr>
              <w:t>196,092</w:t>
            </w:r>
          </w:p>
        </w:tc>
        <w:tc>
          <w:tcPr>
            <w:tcW w:w="200" w:type="dxa"/>
            <w:vAlign w:val="bottom"/>
            <w:gridSpan w:val="2"/>
            <w:vMerge w:val="restart"/>
            <w:shd w:val="clear" w:color="auto" w:fill="D1EEF5"/>
          </w:tcPr>
          <w:p>
            <w:pPr>
              <w:spacing w:after="0"/>
              <w:rPr>
                <w:sz w:val="16"/>
                <w:szCs w:val="16"/>
                <w:color w:val="auto"/>
              </w:rPr>
            </w:pPr>
          </w:p>
        </w:tc>
        <w:tc>
          <w:tcPr>
            <w:tcW w:w="10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426,362</w:t>
            </w:r>
          </w:p>
        </w:tc>
        <w:tc>
          <w:tcPr>
            <w:tcW w:w="100" w:type="dxa"/>
            <w:vAlign w:val="bottom"/>
            <w:shd w:val="clear" w:color="auto" w:fill="D1EEF5"/>
          </w:tcPr>
          <w:p>
            <w:pPr>
              <w:spacing w:after="0"/>
              <w:rPr>
                <w:sz w:val="16"/>
                <w:szCs w:val="16"/>
                <w:color w:val="auto"/>
              </w:rPr>
            </w:pPr>
          </w:p>
        </w:tc>
        <w:tc>
          <w:tcPr>
            <w:tcW w:w="940" w:type="dxa"/>
            <w:vAlign w:val="bottom"/>
            <w:gridSpan w:val="2"/>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1,110,304</w:t>
            </w:r>
          </w:p>
        </w:tc>
        <w:tc>
          <w:tcPr>
            <w:tcW w:w="80" w:type="dxa"/>
            <w:vAlign w:val="bottom"/>
            <w:shd w:val="clear" w:color="auto" w:fill="D1EEF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33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560" w:type="dxa"/>
            <w:vAlign w:val="bottom"/>
            <w:gridSpan w:val="2"/>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800" w:type="dxa"/>
            <w:vAlign w:val="bottom"/>
            <w:gridSpan w:val="3"/>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800" w:type="dxa"/>
            <w:vAlign w:val="bottom"/>
            <w:gridSpan w:val="2"/>
            <w:vMerge w:val="continue"/>
            <w:shd w:val="clear" w:color="auto" w:fill="D1EEF5"/>
          </w:tcPr>
          <w:p>
            <w:pPr>
              <w:spacing w:after="0"/>
              <w:rPr>
                <w:sz w:val="3"/>
                <w:szCs w:val="3"/>
                <w:color w:val="auto"/>
              </w:rPr>
            </w:pPr>
          </w:p>
        </w:tc>
        <w:tc>
          <w:tcPr>
            <w:tcW w:w="200" w:type="dxa"/>
            <w:vAlign w:val="bottom"/>
            <w:gridSpan w:val="2"/>
            <w:vMerge w:val="continue"/>
            <w:shd w:val="clear" w:color="auto" w:fill="D1EEF5"/>
          </w:tcPr>
          <w:p>
            <w:pPr>
              <w:spacing w:after="0"/>
              <w:rPr>
                <w:sz w:val="3"/>
                <w:szCs w:val="3"/>
                <w:color w:val="auto"/>
              </w:rPr>
            </w:pPr>
          </w:p>
        </w:tc>
        <w:tc>
          <w:tcPr>
            <w:tcW w:w="1000" w:type="dxa"/>
            <w:vAlign w:val="bottom"/>
            <w:shd w:val="clear" w:color="auto" w:fill="D1EEF5"/>
          </w:tcPr>
          <w:p>
            <w:pPr>
              <w:spacing w:after="0"/>
              <w:rPr>
                <w:sz w:val="3"/>
                <w:szCs w:val="3"/>
                <w:color w:val="auto"/>
              </w:rPr>
            </w:pPr>
          </w:p>
        </w:tc>
        <w:tc>
          <w:tcPr>
            <w:tcW w:w="1220" w:type="dxa"/>
            <w:vAlign w:val="bottom"/>
            <w:gridSpan w:val="3"/>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940" w:type="dxa"/>
            <w:vAlign w:val="bottom"/>
            <w:gridSpan w:val="2"/>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bottom w:val="single" w:sz="8" w:color="D1EEF5"/>
            </w:tcBorders>
            <w:shd w:val="clear" w:color="auto" w:fill="D1EEF5"/>
          </w:tcPr>
          <w:p>
            <w:pPr>
              <w:spacing w:after="0"/>
              <w:rPr>
                <w:sz w:val="18"/>
                <w:szCs w:val="18"/>
                <w:color w:val="auto"/>
              </w:rPr>
            </w:pPr>
          </w:p>
        </w:tc>
        <w:tc>
          <w:tcPr>
            <w:tcW w:w="3340" w:type="dxa"/>
            <w:vAlign w:val="bottom"/>
            <w:tcBorders>
              <w:bottom w:val="single" w:sz="8" w:color="D1EEF5"/>
            </w:tcBorders>
            <w:shd w:val="clear" w:color="auto" w:fill="D1EEF5"/>
          </w:tcPr>
          <w:p>
            <w:pPr>
              <w:ind w:left="40"/>
              <w:spacing w:after="0" w:line="210" w:lineRule="exact"/>
              <w:rPr>
                <w:sz w:val="20"/>
                <w:szCs w:val="20"/>
                <w:color w:val="auto"/>
              </w:rPr>
            </w:pPr>
            <w:r>
              <w:rPr>
                <w:rFonts w:ascii="Times New Roman" w:cs="Times New Roman" w:eastAsia="Times New Roman" w:hAnsi="Times New Roman"/>
                <w:sz w:val="20"/>
                <w:szCs w:val="20"/>
                <w:i w:val="1"/>
                <w:iCs w:val="1"/>
                <w:color w:val="auto"/>
              </w:rPr>
              <w:t>Chief Financial Officer</w:t>
            </w:r>
          </w:p>
        </w:tc>
        <w:tc>
          <w:tcPr>
            <w:tcW w:w="80" w:type="dxa"/>
            <w:vAlign w:val="bottom"/>
            <w:tcBorders>
              <w:bottom w:val="single" w:sz="8" w:color="D1EEF5"/>
            </w:tcBorders>
            <w:shd w:val="clear" w:color="auto" w:fill="D1EEF5"/>
          </w:tcPr>
          <w:p>
            <w:pPr>
              <w:spacing w:after="0"/>
              <w:rPr>
                <w:sz w:val="18"/>
                <w:szCs w:val="18"/>
                <w:color w:val="auto"/>
              </w:rPr>
            </w:pPr>
          </w:p>
        </w:tc>
        <w:tc>
          <w:tcPr>
            <w:tcW w:w="560" w:type="dxa"/>
            <w:vAlign w:val="bottom"/>
            <w:tcBorders>
              <w:bottom w:val="single" w:sz="8" w:color="D1EEF5"/>
            </w:tcBorders>
            <w:gridSpan w:val="2"/>
            <w:shd w:val="clear" w:color="auto" w:fill="D1EEF5"/>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2024</w:t>
            </w:r>
          </w:p>
        </w:tc>
        <w:tc>
          <w:tcPr>
            <w:tcW w:w="80" w:type="dxa"/>
            <w:vAlign w:val="bottom"/>
            <w:tcBorders>
              <w:bottom w:val="single" w:sz="8" w:color="D1EEF5"/>
            </w:tcBorders>
            <w:shd w:val="clear" w:color="auto" w:fill="D1EEF5"/>
          </w:tcPr>
          <w:p>
            <w:pPr>
              <w:spacing w:after="0"/>
              <w:rPr>
                <w:sz w:val="18"/>
                <w:szCs w:val="18"/>
                <w:color w:val="auto"/>
              </w:rPr>
            </w:pPr>
          </w:p>
        </w:tc>
        <w:tc>
          <w:tcPr>
            <w:tcW w:w="800" w:type="dxa"/>
            <w:vAlign w:val="bottom"/>
            <w:tcBorders>
              <w:bottom w:val="single" w:sz="8" w:color="D1EEF5"/>
            </w:tcBorders>
            <w:gridSpan w:val="3"/>
            <w:shd w:val="clear" w:color="auto" w:fill="D1EEF5"/>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365,547</w:t>
            </w:r>
          </w:p>
        </w:tc>
        <w:tc>
          <w:tcPr>
            <w:tcW w:w="80" w:type="dxa"/>
            <w:vAlign w:val="bottom"/>
            <w:tcBorders>
              <w:bottom w:val="single" w:sz="8" w:color="D1EEF5"/>
            </w:tcBorders>
            <w:shd w:val="clear" w:color="auto" w:fill="D1EEF5"/>
          </w:tcPr>
          <w:p>
            <w:pPr>
              <w:spacing w:after="0"/>
              <w:rPr>
                <w:sz w:val="18"/>
                <w:szCs w:val="18"/>
                <w:color w:val="auto"/>
              </w:rPr>
            </w:pPr>
          </w:p>
        </w:tc>
        <w:tc>
          <w:tcPr>
            <w:tcW w:w="800" w:type="dxa"/>
            <w:vAlign w:val="bottom"/>
            <w:tcBorders>
              <w:bottom w:val="single" w:sz="8" w:color="D1EEF5"/>
            </w:tcBorders>
            <w:gridSpan w:val="2"/>
            <w:shd w:val="clear" w:color="auto" w:fill="D1EEF5"/>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156,480</w:t>
            </w:r>
          </w:p>
        </w:tc>
        <w:tc>
          <w:tcPr>
            <w:tcW w:w="1200" w:type="dxa"/>
            <w:vAlign w:val="bottom"/>
            <w:tcBorders>
              <w:bottom w:val="single" w:sz="8" w:color="D1EEF5"/>
            </w:tcBorders>
            <w:gridSpan w:val="3"/>
            <w:shd w:val="clear" w:color="auto" w:fill="D1EEF5"/>
          </w:tcPr>
          <w:p>
            <w:pPr>
              <w:jc w:val="right"/>
              <w:spacing w:after="0" w:line="210" w:lineRule="exact"/>
              <w:rPr>
                <w:sz w:val="20"/>
                <w:szCs w:val="20"/>
                <w:color w:val="auto"/>
              </w:rPr>
            </w:pPr>
            <w:r>
              <w:rPr>
                <w:rFonts w:ascii="Times New Roman" w:cs="Times New Roman" w:eastAsia="Times New Roman" w:hAnsi="Times New Roman"/>
                <w:sz w:val="20"/>
                <w:szCs w:val="20"/>
                <w:color w:val="auto"/>
              </w:rPr>
              <w:t>100,068</w:t>
            </w:r>
          </w:p>
        </w:tc>
        <w:tc>
          <w:tcPr>
            <w:tcW w:w="220" w:type="dxa"/>
            <w:vAlign w:val="bottom"/>
            <w:tcBorders>
              <w:bottom w:val="single" w:sz="8" w:color="D1EEF5"/>
            </w:tcBorders>
            <w:gridSpan w:val="2"/>
            <w:shd w:val="clear" w:color="auto" w:fill="D1EEF5"/>
          </w:tcPr>
          <w:p>
            <w:pPr>
              <w:spacing w:after="0"/>
              <w:rPr>
                <w:sz w:val="18"/>
                <w:szCs w:val="18"/>
                <w:color w:val="auto"/>
              </w:rPr>
            </w:pPr>
          </w:p>
        </w:tc>
        <w:tc>
          <w:tcPr>
            <w:tcW w:w="1000" w:type="dxa"/>
            <w:vAlign w:val="bottom"/>
            <w:tcBorders>
              <w:bottom w:val="single" w:sz="8" w:color="D1EEF5"/>
            </w:tcBorders>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D1EEF5"/>
            </w:tcBorders>
            <w:shd w:val="clear" w:color="auto" w:fill="D1EEF5"/>
          </w:tcPr>
          <w:p>
            <w:pPr>
              <w:spacing w:after="0"/>
              <w:rPr>
                <w:sz w:val="18"/>
                <w:szCs w:val="18"/>
                <w:color w:val="auto"/>
              </w:rPr>
            </w:pPr>
          </w:p>
        </w:tc>
        <w:tc>
          <w:tcPr>
            <w:tcW w:w="940" w:type="dxa"/>
            <w:vAlign w:val="bottom"/>
            <w:tcBorders>
              <w:bottom w:val="single" w:sz="8" w:color="D1EEF5"/>
            </w:tcBorders>
            <w:gridSpan w:val="2"/>
            <w:shd w:val="clear" w:color="auto" w:fill="D1EEF5"/>
          </w:tcPr>
          <w:p>
            <w:pPr>
              <w:jc w:val="right"/>
              <w:spacing w:after="0" w:line="210" w:lineRule="exact"/>
              <w:rPr>
                <w:sz w:val="20"/>
                <w:szCs w:val="20"/>
                <w:color w:val="auto"/>
              </w:rPr>
            </w:pPr>
            <w:r>
              <w:rPr>
                <w:rFonts w:ascii="Times New Roman" w:cs="Times New Roman" w:eastAsia="Times New Roman" w:hAnsi="Times New Roman"/>
                <w:sz w:val="20"/>
                <w:szCs w:val="20"/>
                <w:color w:val="auto"/>
              </w:rPr>
              <w:t>622,095</w:t>
            </w:r>
          </w:p>
        </w:tc>
        <w:tc>
          <w:tcPr>
            <w:tcW w:w="80" w:type="dxa"/>
            <w:vAlign w:val="bottom"/>
            <w:tcBorders>
              <w:bottom w:val="single" w:sz="8" w:color="D1EEF5"/>
            </w:tcBorders>
            <w:shd w:val="clear" w:color="auto" w:fill="D1EEF5"/>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both"/>
        <w:ind w:left="20" w:right="40"/>
        <w:spacing w:after="0" w:line="253" w:lineRule="auto"/>
        <w:rPr>
          <w:sz w:val="20"/>
          <w:szCs w:val="20"/>
          <w:color w:val="auto"/>
        </w:rPr>
      </w:pPr>
      <w:r>
        <w:rPr>
          <w:rFonts w:ascii="Times New Roman" w:cs="Times New Roman" w:eastAsia="Times New Roman" w:hAnsi="Times New Roman"/>
          <w:sz w:val="16"/>
          <w:szCs w:val="16"/>
          <w:color w:val="auto"/>
        </w:rPr>
        <w:t>(1)For 2025, such amounts reflect (i) salary paid to our Named Executive Officers, (ii) consulting payments following the Transition (as defined below) of $576,400, $13,950 and $254,100 for Mr. Brady, Dr. Whiting and Mr. Maestas, respectively, and (iii) salary paid to each of Mr. Brady and Mr. Maestas following the Rehire Transition (as defined below). See “-</w:t>
      </w:r>
      <w:r>
        <w:rPr>
          <w:rFonts w:ascii="Times New Roman" w:cs="Times New Roman" w:eastAsia="Times New Roman" w:hAnsi="Times New Roman"/>
          <w:sz w:val="16"/>
          <w:szCs w:val="16"/>
          <w:i w:val="1"/>
          <w:iCs w:val="1"/>
          <w:color w:val="auto"/>
        </w:rPr>
        <w:t>Narrative Disclosure to the Summary Compensation Table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Annual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Base Salary</w:t>
      </w:r>
      <w:r>
        <w:rPr>
          <w:rFonts w:ascii="Times New Roman" w:cs="Times New Roman" w:eastAsia="Times New Roman" w:hAnsi="Times New Roman"/>
          <w:sz w:val="16"/>
          <w:szCs w:val="16"/>
          <w:color w:val="auto"/>
        </w:rPr>
        <w:t>” below.</w:t>
      </w:r>
    </w:p>
    <w:p>
      <w:pPr>
        <w:sectPr>
          <w:pgSz w:w="12240" w:h="15840" w:orient="portrait"/>
          <w:cols w:equalWidth="0" w:num="1">
            <w:col w:w="9420"/>
          </w:cols>
          <w:pgMar w:left="1420" w:top="1422" w:right="1400" w:bottom="993" w:gutter="0" w:footer="0" w:header="0"/>
        </w:sectPr>
      </w:pPr>
    </w:p>
    <w:bookmarkStart w:id="144" w:name="page145"/>
    <w:bookmarkEnd w:id="144"/>
    <w:p>
      <w:pPr>
        <w:spacing w:after="0" w:line="1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(1)Amounts reflect (i) the aggregate grant date fair value of the option awards granted to our Named Executive Officers during the relevant fiscal years under our equity incentive plans and (ii) the incremental value of awards accelerated pursuant to the terms of the separation agreements entered into with each of the Named Executive Officers in connection with the Transition during 2025, and related extension, each as computed in accordance with Financial Accounting Standards Board Accounting Standards Codification Topic 718 (“ASC 718”). The assumptions used in calculating the grant date fair value of the options are set forth in the notes to our audited consolidated financial statements included in our Annual Report on Form 10-K for the fiscal year ended December 31, 2025. These amounts do not reflect the actual economic value that may be realized by the Named Executive Officers.</w:t>
      </w:r>
    </w:p>
    <w:p>
      <w:pPr>
        <w:spacing w:after="0" w:line="26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(2)See “-</w:t>
      </w:r>
      <w:r>
        <w:rPr>
          <w:rFonts w:ascii="Times New Roman" w:cs="Times New Roman" w:eastAsia="Times New Roman" w:hAnsi="Times New Roman"/>
          <w:sz w:val="16"/>
          <w:szCs w:val="16"/>
          <w:i w:val="1"/>
          <w:iCs w:val="1"/>
          <w:color w:val="auto"/>
        </w:rPr>
        <w:t>Narrative Disclosure to Summary Compensation Table -Equity-Based Incentive Awards</w:t>
      </w:r>
      <w:r>
        <w:rPr>
          <w:rFonts w:ascii="Times New Roman" w:cs="Times New Roman" w:eastAsia="Times New Roman" w:hAnsi="Times New Roman"/>
          <w:sz w:val="16"/>
          <w:szCs w:val="16"/>
          <w:color w:val="auto"/>
        </w:rPr>
        <w:t>” below for a description of the material terms of the program pursuant to which this compensation was awarded.</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(3)The amounts reported represent (i) severance benefits of $825,802, $444,662 and $424,946 paid to Mr. Brady, Dr. Whiting and Mr. Maestas, respectively, pursuant to separation agreements we entered into with each of Named Executive Officers in connection with the Transition, and (ii) matching contributions made by us to the Named Executive Officer’s 401(k) plan account in amounts of $10,292, $8,797 and $1,417 for Mr. Brady, Dr. Whiting and Mr. Maestas, respectively. For Mr. Brady such severance payments include $600,000, representing 12 months of base salary, a prorated 2025 bonus of $142,738, and COBRA upfront payments of $83,064. For Dr. Whiting such severance payments include $361,312, representing nine months of base salary, and a prorated 2025 bonus of $83,350. For Mr. Maestas such severance payments include $318,750, representing nine months of base salary, a prorated 2025 bonus of $73,532, and COBRA upfront payments of $32,664.</w:t>
      </w:r>
    </w:p>
    <w:p>
      <w:pPr>
        <w:spacing w:after="0" w:line="2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(4)On February 3, 2026, immediately following the Closing, Mr. Brady resigned from his positions as the Company’s President and Chief Executive Officer. Dr. Angel was appointed to serve as our President and Chief Executive Officer, succeeding Mr. Brady in such capacities.</w:t>
      </w:r>
    </w:p>
    <w:p>
      <w:pPr>
        <w:spacing w:after="0" w:line="24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(5)On June 5, 2025, Dr. Whiting transitioned to a consulting agreement with us, pursuant to which he continued to serve the Company as a consultant.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Narrative Disclosure to the Summary Compensation Table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Base Salary</w:t>
      </w:r>
    </w:p>
    <w:p>
      <w:pPr>
        <w:spacing w:after="0" w:line="24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On June 5, 2025, each of our Named Executive Officers transitioned (collectively, the “Transition”) to consulting agreements with us, pursuant to which they received hourly compensation. In connection with the Asset Acquisition, on November 19, 2025, we rehired each of Mr. Brady and Mr. Maestas on a full-time basis. During the time period where each of our Named Executive Officers were not employed on a full-time basis, they received compensation pursuant to consulting arrangements. See “-</w:t>
      </w:r>
      <w:r>
        <w:rPr>
          <w:rFonts w:ascii="Times New Roman" w:cs="Times New Roman" w:eastAsia="Times New Roman" w:hAnsi="Times New Roman"/>
          <w:sz w:val="20"/>
          <w:szCs w:val="20"/>
          <w:i w:val="1"/>
          <w:iCs w:val="1"/>
          <w:color w:val="auto"/>
        </w:rPr>
        <w:t>Consulting and Employment Arrangements</w:t>
      </w:r>
      <w:r>
        <w:rPr>
          <w:rFonts w:ascii="Times New Roman" w:cs="Times New Roman" w:eastAsia="Times New Roman" w:hAnsi="Times New Roman"/>
          <w:sz w:val="20"/>
          <w:szCs w:val="20"/>
          <w:color w:val="auto"/>
        </w:rPr>
        <w:t>” for additional information.</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Named Executive Officers received a base salary to compensate them for services rendered to us while employed on a full-time basis. For 2025, such annual base salaries were $600,000, $481,749 and $425,000 for Mr. Brady, Dr. Whiting and Mr.</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794" name="Shape 7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794" o:spid="_x0000_s18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795" name="Shape 7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95" o:spid="_x0000_s18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796" name="Shape 7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796" o:spid="_x0000_s1821"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797" name="Shape 7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797" o:spid="_x0000_s18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798" name="Shape 7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98" o:spid="_x0000_s18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Maestas, respectively. The annual base salary payable to each Named Executive Officer was intended to provide a fixed component of compensation reflecting the executive’s skill set, experience, role and responsibilities.</w:t>
      </w:r>
    </w:p>
    <w:p>
      <w:pPr>
        <w:spacing w:after="0" w:line="16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None of our Named Executive Officers is currently party to an employment agreement or other agreement or arrangement that provides for automatic or scheduled increases in base salary.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Incentive Awards</w:t>
      </w:r>
    </w:p>
    <w:p>
      <w:pPr>
        <w:spacing w:after="0" w:line="238" w:lineRule="exact"/>
        <w:rPr>
          <w:sz w:val="20"/>
          <w:szCs w:val="20"/>
          <w:color w:val="auto"/>
        </w:rPr>
      </w:pPr>
    </w:p>
    <w:p>
      <w:pPr>
        <w:jc w:val="both"/>
        <w:ind w:firstLine="408"/>
        <w:spacing w:after="0" w:line="252" w:lineRule="auto"/>
        <w:rPr>
          <w:sz w:val="20"/>
          <w:szCs w:val="20"/>
          <w:color w:val="auto"/>
        </w:rPr>
      </w:pPr>
      <w:r>
        <w:rPr>
          <w:rFonts w:ascii="Times New Roman" w:cs="Times New Roman" w:eastAsia="Times New Roman" w:hAnsi="Times New Roman"/>
          <w:sz w:val="20"/>
          <w:szCs w:val="20"/>
          <w:color w:val="auto"/>
        </w:rPr>
        <w:t>Historically, our equity award program was the primary vehicle for offering long -term incentives to our executives. We believe that equity awards provided our executives with a strong link to our long-term performance, created an ownership culture and helped to align the interests of our executives and our stockholders. The use of options also can provide tax and other advantages relative to other forms of equity compensation.</w:t>
      </w:r>
    </w:p>
    <w:p>
      <w:pPr>
        <w:spacing w:after="0" w:line="196" w:lineRule="exact"/>
        <w:rPr>
          <w:sz w:val="20"/>
          <w:szCs w:val="20"/>
          <w:color w:val="auto"/>
        </w:rPr>
      </w:pPr>
    </w:p>
    <w:p>
      <w:pPr>
        <w:jc w:val="both"/>
        <w:ind w:firstLine="408"/>
        <w:spacing w:after="0" w:line="302" w:lineRule="auto"/>
        <w:rPr>
          <w:sz w:val="20"/>
          <w:szCs w:val="20"/>
          <w:color w:val="auto"/>
        </w:rPr>
      </w:pPr>
      <w:r>
        <w:rPr>
          <w:rFonts w:ascii="Times New Roman" w:cs="Times New Roman" w:eastAsia="Times New Roman" w:hAnsi="Times New Roman"/>
          <w:sz w:val="19"/>
          <w:szCs w:val="19"/>
          <w:color w:val="auto"/>
        </w:rPr>
        <w:t>We historically have awarded equity grants broadly to our employees, including our non-executive employees. Historically, grants to our executives, including the Named Executive Officers, and other employees were made at the</w:t>
      </w:r>
    </w:p>
    <w:p>
      <w:pPr>
        <w:sectPr>
          <w:pgSz w:w="12240" w:h="15840" w:orient="portrait"/>
          <w:cols w:equalWidth="0" w:num="1">
            <w:col w:w="9360"/>
          </w:cols>
          <w:pgMar w:left="1440" w:top="1440" w:right="1440" w:bottom="896" w:gutter="0" w:footer="0" w:header="0"/>
        </w:sectPr>
      </w:pPr>
    </w:p>
    <w:bookmarkStart w:id="145" w:name="page146"/>
    <w:bookmarkEnd w:id="145"/>
    <w:p>
      <w:pPr>
        <w:jc w:val="both"/>
        <w:spacing w:after="0" w:line="258" w:lineRule="auto"/>
        <w:rPr>
          <w:sz w:val="20"/>
          <w:szCs w:val="20"/>
          <w:color w:val="auto"/>
        </w:rPr>
      </w:pPr>
      <w:r>
        <w:rPr>
          <w:rFonts w:ascii="Times New Roman" w:cs="Times New Roman" w:eastAsia="Times New Roman" w:hAnsi="Times New Roman"/>
          <w:sz w:val="20"/>
          <w:szCs w:val="20"/>
          <w:color w:val="auto"/>
        </w:rPr>
        <w:t>discretion of the Board and were generally made upon commencement of employment, promotion or annually during the first quarter of each year. Moving forward we believe that our equity awards are an important retention tool for our Named Executive Officers, as well as for our other employees.</w:t>
      </w:r>
    </w:p>
    <w:p>
      <w:pPr>
        <w:spacing w:after="0" w:line="187" w:lineRule="exact"/>
        <w:rPr>
          <w:sz w:val="20"/>
          <w:szCs w:val="20"/>
          <w:color w:val="auto"/>
        </w:rPr>
      </w:pPr>
    </w:p>
    <w:p>
      <w:pPr>
        <w:jc w:val="both"/>
        <w:ind w:firstLine="408"/>
        <w:spacing w:after="0" w:line="244" w:lineRule="auto"/>
        <w:rPr>
          <w:sz w:val="20"/>
          <w:szCs w:val="20"/>
          <w:color w:val="auto"/>
        </w:rPr>
      </w:pPr>
      <w:r>
        <w:rPr>
          <w:rFonts w:ascii="Times New Roman" w:cs="Times New Roman" w:eastAsia="Times New Roman" w:hAnsi="Times New Roman"/>
          <w:sz w:val="20"/>
          <w:szCs w:val="20"/>
          <w:color w:val="auto"/>
        </w:rPr>
        <w:t>In connection with our annual grant process, on January 2, 2025, our Compensation Committee approved the grant to each of Mr. Brady, Dr. Whiting and Mr. Maestas of an option to purchase 42,307, 20,768 and 15,383 shares of our common stock, respectively, at an exercise price of $11.18 per share, under our Amended and Restated 2023 Equity Incentive Plan, as amended (the “2023 EIP”). Each option originally vested in equal monthly installments over a four-year period, subject to the executive’s continuous service to us through each vesting date. In addition, as described below under “-</w:t>
      </w:r>
      <w:r>
        <w:rPr>
          <w:rFonts w:ascii="Times New Roman" w:cs="Times New Roman" w:eastAsia="Times New Roman" w:hAnsi="Times New Roman"/>
          <w:sz w:val="20"/>
          <w:szCs w:val="20"/>
          <w:i w:val="1"/>
          <w:iCs w:val="1"/>
          <w:color w:val="auto"/>
        </w:rPr>
        <w:t>Consulting and Employment Arrangements</w:t>
      </w:r>
      <w:r>
        <w:rPr>
          <w:rFonts w:ascii="Times New Roman" w:cs="Times New Roman" w:eastAsia="Times New Roman" w:hAnsi="Times New Roman"/>
          <w:sz w:val="20"/>
          <w:szCs w:val="20"/>
          <w:color w:val="auto"/>
        </w:rPr>
        <w:t>,” on June 5, 2025, we entered into separation agreements with each of Mr. Brady, Dr. Whiting and Mr. Maestas pursuant to which they became entitled to full acceleration of all outstanding unvested equity awards, which became fully vested and exercisable as of June 5, 2025. See “-</w:t>
      </w:r>
      <w:r>
        <w:rPr>
          <w:rFonts w:ascii="Times New Roman" w:cs="Times New Roman" w:eastAsia="Times New Roman" w:hAnsi="Times New Roman"/>
          <w:sz w:val="20"/>
          <w:szCs w:val="20"/>
          <w:i w:val="1"/>
          <w:iCs w:val="1"/>
          <w:color w:val="auto"/>
        </w:rPr>
        <w:t>Outstanding Equity Awards at Fiscal Year End</w:t>
      </w:r>
      <w:r>
        <w:rPr>
          <w:rFonts w:ascii="Times New Roman" w:cs="Times New Roman" w:eastAsia="Times New Roman" w:hAnsi="Times New Roman"/>
          <w:sz w:val="20"/>
          <w:szCs w:val="20"/>
          <w:color w:val="auto"/>
        </w:rPr>
        <w:t>” for further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Performance-Based Cash Compensation</w:t>
      </w:r>
    </w:p>
    <w:p>
      <w:pPr>
        <w:spacing w:after="0" w:line="241" w:lineRule="exact"/>
        <w:rPr>
          <w:sz w:val="20"/>
          <w:szCs w:val="20"/>
          <w:color w:val="auto"/>
        </w:rPr>
      </w:pPr>
    </w:p>
    <w:p>
      <w:pPr>
        <w:jc w:val="both"/>
        <w:ind w:firstLine="408"/>
        <w:spacing w:after="0" w:line="251" w:lineRule="auto"/>
        <w:rPr>
          <w:sz w:val="20"/>
          <w:szCs w:val="20"/>
          <w:color w:val="auto"/>
        </w:rPr>
      </w:pPr>
      <w:r>
        <w:rPr>
          <w:rFonts w:ascii="Times New Roman" w:cs="Times New Roman" w:eastAsia="Times New Roman" w:hAnsi="Times New Roman"/>
          <w:sz w:val="20"/>
          <w:szCs w:val="20"/>
          <w:color w:val="auto"/>
        </w:rPr>
        <w:t>Historically we have developed a performance-based bonus program annually. Under the 2025 annual performance -based bonus program, each Named Executive Officer was eligible for an annual performance bonus based on (1) the individual’s target bonus, as a percentage of annual base salary, and (2) the percentage attainment of our 2025 corporate goals established by our Board in its sole discretion and communicated to each officer.</w:t>
      </w:r>
    </w:p>
    <w:p>
      <w:pPr>
        <w:spacing w:after="0" w:line="197" w:lineRule="exact"/>
        <w:rPr>
          <w:sz w:val="20"/>
          <w:szCs w:val="20"/>
          <w:color w:val="auto"/>
        </w:rPr>
      </w:pPr>
    </w:p>
    <w:p>
      <w:pPr>
        <w:jc w:val="both"/>
        <w:ind w:firstLine="408"/>
        <w:spacing w:after="0" w:line="245" w:lineRule="auto"/>
        <w:rPr>
          <w:sz w:val="20"/>
          <w:szCs w:val="20"/>
          <w:color w:val="auto"/>
        </w:rPr>
      </w:pPr>
      <w:r>
        <w:rPr>
          <w:rFonts w:ascii="Times New Roman" w:cs="Times New Roman" w:eastAsia="Times New Roman" w:hAnsi="Times New Roman"/>
          <w:sz w:val="20"/>
          <w:szCs w:val="20"/>
          <w:color w:val="auto"/>
        </w:rPr>
        <w:t>Each Named Executive Officer was assigned a target performance bonus expressed as a percentage of their annual base salary, which for 2025 was 55% for Mr. Brady, 40% for Dr. Whiting and 40% for Mr. Maestas. As described more fully below under “-</w:t>
      </w:r>
      <w:r>
        <w:rPr>
          <w:rFonts w:ascii="Times New Roman" w:cs="Times New Roman" w:eastAsia="Times New Roman" w:hAnsi="Times New Roman"/>
          <w:sz w:val="20"/>
          <w:szCs w:val="20"/>
          <w:i w:val="1"/>
          <w:iCs w:val="1"/>
          <w:color w:val="auto"/>
        </w:rPr>
        <w:t>Consulting and Employment Arrangements,</w:t>
      </w:r>
      <w:r>
        <w:rPr>
          <w:rFonts w:ascii="Times New Roman" w:cs="Times New Roman" w:eastAsia="Times New Roman" w:hAnsi="Times New Roman"/>
          <w:sz w:val="20"/>
          <w:szCs w:val="20"/>
          <w:color w:val="auto"/>
        </w:rPr>
        <w:t xml:space="preserve">” in connection with the Transition, we entered into separation agreements with each of Mr. Brady, Dr. Whiting and Mr. Maestas. Each separation agreement provided for severance benefits resulting from a termination by us without “cause” under each of Mr. Brady’s, Dr. Whiting’s and Mr. Maestas’s respective employment agreements, each as described below in “- </w:t>
      </w:r>
      <w:r>
        <w:rPr>
          <w:rFonts w:ascii="Times New Roman" w:cs="Times New Roman" w:eastAsia="Times New Roman" w:hAnsi="Times New Roman"/>
          <w:sz w:val="20"/>
          <w:szCs w:val="20"/>
          <w:i w:val="1"/>
          <w:iCs w:val="1"/>
          <w:color w:val="auto"/>
        </w:rPr>
        <w:t>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 Control and Severance Arrangements</w:t>
      </w:r>
      <w:r>
        <w:rPr>
          <w:rFonts w:ascii="Times New Roman" w:cs="Times New Roman" w:eastAsia="Times New Roman" w:hAnsi="Times New Roman"/>
          <w:sz w:val="20"/>
          <w:szCs w:val="20"/>
          <w:color w:val="auto"/>
        </w:rPr>
        <w:t>.” As a result, none of Mr. Brady, Dr. Whiting and Mr. Maestas were eligible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receive annual incentive compensation for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 End</w:t>
      </w:r>
    </w:p>
    <w:p>
      <w:pPr>
        <w:spacing w:after="0" w:line="242" w:lineRule="exact"/>
        <w:rPr>
          <w:sz w:val="20"/>
          <w:szCs w:val="20"/>
          <w:color w:val="auto"/>
        </w:rPr>
      </w:pPr>
    </w:p>
    <w:p>
      <w:pPr>
        <w:jc w:val="both"/>
        <w:ind w:firstLine="408"/>
        <w:spacing w:after="0" w:line="277" w:lineRule="auto"/>
        <w:rPr>
          <w:sz w:val="20"/>
          <w:szCs w:val="20"/>
          <w:color w:val="auto"/>
        </w:rPr>
      </w:pPr>
      <w:r>
        <w:rPr>
          <w:rFonts w:ascii="Times New Roman" w:cs="Times New Roman" w:eastAsia="Times New Roman" w:hAnsi="Times New Roman"/>
          <w:sz w:val="20"/>
          <w:szCs w:val="20"/>
          <w:color w:val="auto"/>
        </w:rPr>
        <w:t>The following table shows for the fiscal year ended December 31, 2025, certain information regarding outstanding equity awards for the Named Executive Officers.</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Underlying</w:t>
            </w:r>
          </w:p>
        </w:tc>
        <w:tc>
          <w:tcPr>
            <w:tcW w:w="780" w:type="dxa"/>
            <w:vAlign w:val="bottom"/>
            <w:vMerge w:val="restart"/>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40" w:type="dxa"/>
            <w:vAlign w:val="bottom"/>
          </w:tcPr>
          <w:p>
            <w:pPr>
              <w:jc w:val="cente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1300" w:type="dxa"/>
            <w:vAlign w:val="bottom"/>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18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78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200" w:type="dxa"/>
            <w:vAlign w:val="bottom"/>
          </w:tcPr>
          <w:p>
            <w:pPr>
              <w:jc w:val="center"/>
              <w:ind w:left="30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7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Commencement</w:t>
            </w:r>
          </w:p>
        </w:tc>
        <w:tc>
          <w:tcPr>
            <w:tcW w:w="184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Option Expiration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0" w:type="dxa"/>
            <w:vAlign w:val="bottom"/>
          </w:tcPr>
          <w:p>
            <w:pPr>
              <w:spacing w:after="0"/>
              <w:rPr>
                <w:sz w:val="1"/>
                <w:szCs w:val="1"/>
                <w:color w:val="auto"/>
              </w:rPr>
            </w:pPr>
          </w:p>
        </w:tc>
      </w:tr>
      <w:tr>
        <w:trPr>
          <w:trHeight w:val="221"/>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0" w:type="dxa"/>
            <w:vAlign w:val="bottom"/>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84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780" w:type="dxa"/>
            <w:vAlign w:val="bottom"/>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 w:type="dxa"/>
            <w:vAlign w:val="bottom"/>
            <w:shd w:val="clear" w:color="auto" w:fill="D1EEF5"/>
          </w:tcPr>
          <w:p>
            <w:pPr>
              <w:spacing w:after="0"/>
              <w:rPr>
                <w:sz w:val="17"/>
                <w:szCs w:val="17"/>
                <w:color w:val="auto"/>
              </w:rPr>
            </w:pPr>
          </w:p>
        </w:tc>
        <w:tc>
          <w:tcPr>
            <w:tcW w:w="40" w:type="dxa"/>
            <w:vAlign w:val="bottom"/>
            <w:tcBorders>
              <w:top w:val="single" w:sz="8" w:color="auto"/>
            </w:tcBorders>
            <w:shd w:val="clear" w:color="auto" w:fill="D1EEF5"/>
          </w:tcPr>
          <w:p>
            <w:pPr>
              <w:spacing w:after="0"/>
              <w:rPr>
                <w:sz w:val="17"/>
                <w:szCs w:val="17"/>
                <w:color w:val="auto"/>
              </w:rPr>
            </w:pPr>
          </w:p>
        </w:tc>
        <w:tc>
          <w:tcPr>
            <w:tcW w:w="1180" w:type="dxa"/>
            <w:vAlign w:val="bottom"/>
            <w:tcBorders>
              <w:top w:val="single" w:sz="8" w:color="auto"/>
            </w:tcBorders>
            <w:vMerge w:val="restart"/>
            <w:shd w:val="clear" w:color="auto" w:fill="D1EEF5"/>
          </w:tcPr>
          <w:p>
            <w:pPr>
              <w:spacing w:after="0"/>
              <w:rPr>
                <w:sz w:val="20"/>
                <w:szCs w:val="20"/>
                <w:color w:val="auto"/>
              </w:rPr>
            </w:pPr>
            <w:r>
              <w:rPr>
                <w:rFonts w:ascii="Times New Roman" w:cs="Times New Roman" w:eastAsia="Times New Roman" w:hAnsi="Times New Roman"/>
                <w:sz w:val="20"/>
                <w:szCs w:val="20"/>
                <w:color w:val="auto"/>
              </w:rPr>
              <w:t>Stephen</w:t>
            </w:r>
          </w:p>
        </w:tc>
        <w:tc>
          <w:tcPr>
            <w:tcW w:w="80" w:type="dxa"/>
            <w:vAlign w:val="bottom"/>
            <w:shd w:val="clear" w:color="auto" w:fill="D1EEF5"/>
          </w:tcPr>
          <w:p>
            <w:pPr>
              <w:spacing w:after="0"/>
              <w:rPr>
                <w:sz w:val="17"/>
                <w:szCs w:val="17"/>
                <w:color w:val="auto"/>
              </w:rPr>
            </w:pPr>
          </w:p>
        </w:tc>
        <w:tc>
          <w:tcPr>
            <w:tcW w:w="100" w:type="dxa"/>
            <w:vAlign w:val="bottom"/>
            <w:shd w:val="clear" w:color="auto" w:fill="D1EEF5"/>
          </w:tcPr>
          <w:p>
            <w:pPr>
              <w:spacing w:after="0"/>
              <w:rPr>
                <w:sz w:val="17"/>
                <w:szCs w:val="17"/>
                <w:color w:val="auto"/>
              </w:rPr>
            </w:pPr>
          </w:p>
        </w:tc>
        <w:tc>
          <w:tcPr>
            <w:tcW w:w="820" w:type="dxa"/>
            <w:vAlign w:val="bottom"/>
            <w:tcBorders>
              <w:top w:val="single" w:sz="8" w:color="auto"/>
            </w:tcBorders>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shd w:val="clear" w:color="auto" w:fill="D1EEF5"/>
              </w:rPr>
              <w:t>1/2/2025</w:t>
            </w:r>
          </w:p>
        </w:tc>
        <w:tc>
          <w:tcPr>
            <w:tcW w:w="100" w:type="dxa"/>
            <w:vAlign w:val="bottom"/>
            <w:shd w:val="clear" w:color="auto" w:fill="D1EEF5"/>
          </w:tcPr>
          <w:p>
            <w:pPr>
              <w:spacing w:after="0"/>
              <w:rPr>
                <w:sz w:val="17"/>
                <w:szCs w:val="17"/>
                <w:color w:val="auto"/>
              </w:rPr>
            </w:pPr>
          </w:p>
        </w:tc>
        <w:tc>
          <w:tcPr>
            <w:tcW w:w="80" w:type="dxa"/>
            <w:vAlign w:val="bottom"/>
            <w:shd w:val="clear" w:color="auto" w:fill="D1EEF5"/>
          </w:tcPr>
          <w:p>
            <w:pPr>
              <w:spacing w:after="0"/>
              <w:rPr>
                <w:sz w:val="17"/>
                <w:szCs w:val="17"/>
                <w:color w:val="auto"/>
              </w:rPr>
            </w:pPr>
          </w:p>
        </w:tc>
        <w:tc>
          <w:tcPr>
            <w:tcW w:w="1160" w:type="dxa"/>
            <w:vAlign w:val="bottom"/>
            <w:tcBorders>
              <w:top w:val="single" w:sz="8" w:color="auto"/>
            </w:tcBorders>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1/2/2025</w:t>
            </w:r>
          </w:p>
        </w:tc>
        <w:tc>
          <w:tcPr>
            <w:tcW w:w="180" w:type="dxa"/>
            <w:vAlign w:val="bottom"/>
            <w:shd w:val="clear" w:color="auto" w:fill="D1EEF5"/>
          </w:tcPr>
          <w:p>
            <w:pPr>
              <w:spacing w:after="0"/>
              <w:rPr>
                <w:sz w:val="17"/>
                <w:szCs w:val="17"/>
                <w:color w:val="auto"/>
              </w:rPr>
            </w:pPr>
          </w:p>
        </w:tc>
        <w:tc>
          <w:tcPr>
            <w:tcW w:w="20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3"/>
                <w:szCs w:val="13"/>
                <w:color w:val="auto"/>
                <w:shd w:val="clear" w:color="auto" w:fill="D1EEF5"/>
              </w:rPr>
              <w:t>(1)</w:t>
            </w:r>
          </w:p>
        </w:tc>
        <w:tc>
          <w:tcPr>
            <w:tcW w:w="100" w:type="dxa"/>
            <w:vAlign w:val="bottom"/>
            <w:shd w:val="clear" w:color="auto" w:fill="D1EEF5"/>
          </w:tcPr>
          <w:p>
            <w:pPr>
              <w:spacing w:after="0"/>
              <w:rPr>
                <w:sz w:val="17"/>
                <w:szCs w:val="17"/>
                <w:color w:val="auto"/>
              </w:rPr>
            </w:pPr>
          </w:p>
        </w:tc>
        <w:tc>
          <w:tcPr>
            <w:tcW w:w="80" w:type="dxa"/>
            <w:vAlign w:val="bottom"/>
            <w:shd w:val="clear" w:color="auto" w:fill="D1EEF5"/>
          </w:tcPr>
          <w:p>
            <w:pPr>
              <w:spacing w:after="0"/>
              <w:rPr>
                <w:sz w:val="17"/>
                <w:szCs w:val="17"/>
                <w:color w:val="auto"/>
              </w:rPr>
            </w:pPr>
          </w:p>
        </w:tc>
        <w:tc>
          <w:tcPr>
            <w:tcW w:w="40" w:type="dxa"/>
            <w:vAlign w:val="bottom"/>
            <w:tcBorders>
              <w:top w:val="single" w:sz="8" w:color="auto"/>
            </w:tcBorders>
            <w:shd w:val="clear" w:color="auto" w:fill="D1EEF5"/>
          </w:tcPr>
          <w:p>
            <w:pPr>
              <w:spacing w:after="0"/>
              <w:rPr>
                <w:sz w:val="17"/>
                <w:szCs w:val="17"/>
                <w:color w:val="auto"/>
              </w:rPr>
            </w:pPr>
          </w:p>
        </w:tc>
        <w:tc>
          <w:tcPr>
            <w:tcW w:w="1560" w:type="dxa"/>
            <w:vAlign w:val="bottom"/>
            <w:tcBorders>
              <w:top w:val="single" w:sz="8" w:color="auto"/>
            </w:tcBorders>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1/1/2035</w:t>
            </w:r>
          </w:p>
        </w:tc>
        <w:tc>
          <w:tcPr>
            <w:tcW w:w="40" w:type="dxa"/>
            <w:vAlign w:val="bottom"/>
            <w:tcBorders>
              <w:top w:val="single" w:sz="8" w:color="auto"/>
            </w:tcBorders>
            <w:shd w:val="clear" w:color="auto" w:fill="D1EEF5"/>
          </w:tcPr>
          <w:p>
            <w:pPr>
              <w:spacing w:after="0"/>
              <w:rPr>
                <w:sz w:val="17"/>
                <w:szCs w:val="17"/>
                <w:color w:val="auto"/>
              </w:rPr>
            </w:pPr>
          </w:p>
        </w:tc>
        <w:tc>
          <w:tcPr>
            <w:tcW w:w="80" w:type="dxa"/>
            <w:vAlign w:val="bottom"/>
            <w:shd w:val="clear" w:color="auto" w:fill="D1EEF5"/>
          </w:tcPr>
          <w:p>
            <w:pPr>
              <w:spacing w:after="0"/>
              <w:rPr>
                <w:sz w:val="17"/>
                <w:szCs w:val="17"/>
                <w:color w:val="auto"/>
              </w:rPr>
            </w:pPr>
          </w:p>
        </w:tc>
        <w:tc>
          <w:tcPr>
            <w:tcW w:w="80" w:type="dxa"/>
            <w:vAlign w:val="bottom"/>
            <w:shd w:val="clear" w:color="auto" w:fill="D1EEF5"/>
          </w:tcPr>
          <w:p>
            <w:pPr>
              <w:spacing w:after="0"/>
              <w:rPr>
                <w:sz w:val="17"/>
                <w:szCs w:val="17"/>
                <w:color w:val="auto"/>
              </w:rPr>
            </w:pPr>
          </w:p>
        </w:tc>
        <w:tc>
          <w:tcPr>
            <w:tcW w:w="40" w:type="dxa"/>
            <w:vAlign w:val="bottom"/>
            <w:tcBorders>
              <w:top w:val="single" w:sz="8" w:color="auto"/>
            </w:tcBorders>
            <w:shd w:val="clear" w:color="auto" w:fill="D1EEF5"/>
          </w:tcPr>
          <w:p>
            <w:pPr>
              <w:spacing w:after="0"/>
              <w:rPr>
                <w:sz w:val="17"/>
                <w:szCs w:val="17"/>
                <w:color w:val="auto"/>
              </w:rPr>
            </w:pPr>
          </w:p>
        </w:tc>
        <w:tc>
          <w:tcPr>
            <w:tcW w:w="860" w:type="dxa"/>
            <w:vAlign w:val="bottom"/>
            <w:tcBorders>
              <w:top w:val="single" w:sz="8" w:color="auto"/>
            </w:tcBorders>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42,307</w:t>
            </w:r>
          </w:p>
        </w:tc>
        <w:tc>
          <w:tcPr>
            <w:tcW w:w="180" w:type="dxa"/>
            <w:vAlign w:val="bottom"/>
            <w:vMerge w:val="restart"/>
            <w:shd w:val="clear" w:color="auto" w:fill="D1EEF5"/>
          </w:tcPr>
          <w:p>
            <w:pPr>
              <w:spacing w:after="0"/>
              <w:rPr>
                <w:sz w:val="17"/>
                <w:szCs w:val="17"/>
                <w:color w:val="auto"/>
              </w:rPr>
            </w:pPr>
          </w:p>
        </w:tc>
        <w:tc>
          <w:tcPr>
            <w:tcW w:w="980" w:type="dxa"/>
            <w:vAlign w:val="bottom"/>
            <w:tcBorders>
              <w:top w:val="single" w:sz="8" w:color="auto"/>
            </w:tcBorders>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vMerge w:val="restart"/>
            <w:shd w:val="clear" w:color="auto" w:fill="D1EEF5"/>
          </w:tcPr>
          <w:p>
            <w:pPr>
              <w:spacing w:after="0"/>
              <w:rPr>
                <w:sz w:val="17"/>
                <w:szCs w:val="17"/>
                <w:color w:val="auto"/>
              </w:rPr>
            </w:pPr>
          </w:p>
        </w:tc>
        <w:tc>
          <w:tcPr>
            <w:tcW w:w="80" w:type="dxa"/>
            <w:vAlign w:val="bottom"/>
            <w:shd w:val="clear" w:color="auto" w:fill="D1EEF5"/>
          </w:tcPr>
          <w:p>
            <w:pPr>
              <w:spacing w:after="0"/>
              <w:rPr>
                <w:sz w:val="17"/>
                <w:szCs w:val="17"/>
                <w:color w:val="auto"/>
              </w:rPr>
            </w:pPr>
          </w:p>
        </w:tc>
        <w:tc>
          <w:tcPr>
            <w:tcW w:w="80" w:type="dxa"/>
            <w:vAlign w:val="bottom"/>
            <w:vMerge w:val="restart"/>
            <w:shd w:val="clear" w:color="auto" w:fill="D1EEF5"/>
          </w:tcPr>
          <w:p>
            <w:pPr>
              <w:spacing w:after="0"/>
              <w:rPr>
                <w:sz w:val="17"/>
                <w:szCs w:val="17"/>
                <w:color w:val="auto"/>
              </w:rPr>
            </w:pPr>
          </w:p>
        </w:tc>
        <w:tc>
          <w:tcPr>
            <w:tcW w:w="40" w:type="dxa"/>
            <w:vAlign w:val="bottom"/>
            <w:tcBorders>
              <w:top w:val="single" w:sz="8" w:color="auto"/>
            </w:tcBorders>
            <w:vMerge w:val="restart"/>
            <w:shd w:val="clear" w:color="auto" w:fill="D1EEF5"/>
          </w:tcPr>
          <w:p>
            <w:pPr>
              <w:spacing w:after="0"/>
              <w:rPr>
                <w:sz w:val="17"/>
                <w:szCs w:val="17"/>
                <w:color w:val="auto"/>
              </w:rPr>
            </w:pPr>
          </w:p>
        </w:tc>
        <w:tc>
          <w:tcPr>
            <w:tcW w:w="940" w:type="dxa"/>
            <w:vAlign w:val="bottom"/>
            <w:tcBorders>
              <w:top w:val="single" w:sz="8" w:color="auto"/>
            </w:tcBorders>
            <w:vMerge w:val="restart"/>
            <w:shd w:val="clear" w:color="auto" w:fill="D1EEF5"/>
          </w:tcPr>
          <w:p>
            <w:pPr>
              <w:ind w:left="500"/>
              <w:spacing w:after="0"/>
              <w:rPr>
                <w:sz w:val="20"/>
                <w:szCs w:val="20"/>
                <w:color w:val="auto"/>
              </w:rPr>
            </w:pPr>
            <w:r>
              <w:rPr>
                <w:rFonts w:ascii="Times New Roman" w:cs="Times New Roman" w:eastAsia="Times New Roman" w:hAnsi="Times New Roman"/>
                <w:sz w:val="20"/>
                <w:szCs w:val="20"/>
                <w:color w:val="auto"/>
                <w:w w:val="93"/>
              </w:rPr>
              <w:t>11.18</w:t>
            </w:r>
          </w:p>
        </w:tc>
        <w:tc>
          <w:tcPr>
            <w:tcW w:w="40" w:type="dxa"/>
            <w:vAlign w:val="bottom"/>
            <w:tcBorders>
              <w:top w:val="single" w:sz="8" w:color="auto"/>
            </w:tcBorders>
            <w:vMerge w:val="restart"/>
            <w:shd w:val="clear" w:color="auto" w:fill="D1EEF5"/>
          </w:tcPr>
          <w:p>
            <w:pPr>
              <w:spacing w:after="0"/>
              <w:rPr>
                <w:sz w:val="17"/>
                <w:szCs w:val="17"/>
                <w:color w:val="auto"/>
              </w:rPr>
            </w:pPr>
          </w:p>
        </w:tc>
        <w:tc>
          <w:tcPr>
            <w:tcW w:w="80" w:type="dxa"/>
            <w:vAlign w:val="bottom"/>
            <w:shd w:val="clear" w:color="auto" w:fill="D1EEF5"/>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820" w:type="dxa"/>
            <w:vAlign w:val="bottom"/>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16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560" w:type="dxa"/>
            <w:vAlign w:val="bottom"/>
            <w:vMerge w:val="continue"/>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860" w:type="dxa"/>
            <w:vAlign w:val="bottom"/>
            <w:vMerge w:val="continue"/>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980" w:type="dxa"/>
            <w:vAlign w:val="bottom"/>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80" w:type="dxa"/>
            <w:vAlign w:val="bottom"/>
            <w:vMerge w:val="continue"/>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D1EEF5"/>
          </w:tcPr>
          <w:p>
            <w:pPr>
              <w:spacing w:after="0"/>
              <w:rPr>
                <w:sz w:val="20"/>
                <w:szCs w:val="20"/>
                <w:color w:val="auto"/>
              </w:rPr>
            </w:pPr>
          </w:p>
        </w:tc>
        <w:tc>
          <w:tcPr>
            <w:tcW w:w="40" w:type="dxa"/>
            <w:vAlign w:val="bottom"/>
            <w:shd w:val="clear" w:color="auto" w:fill="D1EEF5"/>
          </w:tcPr>
          <w:p>
            <w:pPr>
              <w:spacing w:after="0"/>
              <w:rPr>
                <w:sz w:val="20"/>
                <w:szCs w:val="20"/>
                <w:color w:val="auto"/>
              </w:rPr>
            </w:pPr>
          </w:p>
        </w:tc>
        <w:tc>
          <w:tcPr>
            <w:tcW w:w="1180" w:type="dxa"/>
            <w:vAlign w:val="bottom"/>
            <w:shd w:val="clear" w:color="auto" w:fill="D1EEF5"/>
          </w:tcPr>
          <w:p>
            <w:pPr>
              <w:spacing w:after="0"/>
              <w:rPr>
                <w:sz w:val="20"/>
                <w:szCs w:val="20"/>
                <w:color w:val="auto"/>
              </w:rPr>
            </w:pPr>
            <w:r>
              <w:rPr>
                <w:rFonts w:ascii="Times New Roman" w:cs="Times New Roman" w:eastAsia="Times New Roman" w:hAnsi="Times New Roman"/>
                <w:sz w:val="20"/>
                <w:szCs w:val="20"/>
                <w:color w:val="auto"/>
              </w:rPr>
              <w:t>Brady</w:t>
            </w:r>
          </w:p>
        </w:tc>
        <w:tc>
          <w:tcPr>
            <w:tcW w:w="80" w:type="dxa"/>
            <w:vAlign w:val="bottom"/>
            <w:shd w:val="clear" w:color="auto" w:fill="D1EEF5"/>
          </w:tcPr>
          <w:p>
            <w:pPr>
              <w:spacing w:after="0"/>
              <w:rPr>
                <w:sz w:val="20"/>
                <w:szCs w:val="20"/>
                <w:color w:val="auto"/>
              </w:rPr>
            </w:pPr>
          </w:p>
        </w:tc>
        <w:tc>
          <w:tcPr>
            <w:tcW w:w="100" w:type="dxa"/>
            <w:vAlign w:val="bottom"/>
            <w:shd w:val="clear" w:color="auto" w:fill="D1EEF5"/>
          </w:tcPr>
          <w:p>
            <w:pPr>
              <w:spacing w:after="0"/>
              <w:rPr>
                <w:sz w:val="20"/>
                <w:szCs w:val="20"/>
                <w:color w:val="auto"/>
              </w:rPr>
            </w:pPr>
          </w:p>
        </w:tc>
        <w:tc>
          <w:tcPr>
            <w:tcW w:w="820" w:type="dxa"/>
            <w:vAlign w:val="bottom"/>
            <w:shd w:val="clear" w:color="auto" w:fill="D1EEF5"/>
          </w:tcPr>
          <w:p>
            <w:pPr>
              <w:spacing w:after="0"/>
              <w:rPr>
                <w:sz w:val="20"/>
                <w:szCs w:val="20"/>
                <w:color w:val="auto"/>
              </w:rPr>
            </w:pPr>
          </w:p>
        </w:tc>
        <w:tc>
          <w:tcPr>
            <w:tcW w:w="10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1160" w:type="dxa"/>
            <w:vAlign w:val="bottom"/>
            <w:shd w:val="clear" w:color="auto" w:fill="D1EEF5"/>
          </w:tcPr>
          <w:p>
            <w:pPr>
              <w:spacing w:after="0"/>
              <w:rPr>
                <w:sz w:val="20"/>
                <w:szCs w:val="20"/>
                <w:color w:val="auto"/>
              </w:rPr>
            </w:pPr>
          </w:p>
        </w:tc>
        <w:tc>
          <w:tcPr>
            <w:tcW w:w="180" w:type="dxa"/>
            <w:vAlign w:val="bottom"/>
            <w:shd w:val="clear" w:color="auto" w:fill="D1EEF5"/>
          </w:tcPr>
          <w:p>
            <w:pPr>
              <w:spacing w:after="0"/>
              <w:rPr>
                <w:sz w:val="20"/>
                <w:szCs w:val="20"/>
                <w:color w:val="auto"/>
              </w:rPr>
            </w:pPr>
          </w:p>
        </w:tc>
        <w:tc>
          <w:tcPr>
            <w:tcW w:w="20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3"/>
                <w:szCs w:val="13"/>
                <w:color w:val="auto"/>
                <w:shd w:val="clear" w:color="auto" w:fill="D1EEF5"/>
              </w:rPr>
              <w:t>(1)</w:t>
            </w:r>
          </w:p>
        </w:tc>
        <w:tc>
          <w:tcPr>
            <w:tcW w:w="10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40" w:type="dxa"/>
            <w:vAlign w:val="bottom"/>
            <w:shd w:val="clear" w:color="auto" w:fill="D1EEF5"/>
          </w:tcPr>
          <w:p>
            <w:pPr>
              <w:spacing w:after="0"/>
              <w:rPr>
                <w:sz w:val="20"/>
                <w:szCs w:val="20"/>
                <w:color w:val="auto"/>
              </w:rPr>
            </w:pPr>
          </w:p>
        </w:tc>
        <w:tc>
          <w:tcPr>
            <w:tcW w:w="1560" w:type="dxa"/>
            <w:vAlign w:val="bottom"/>
            <w:shd w:val="clear" w:color="auto" w:fill="D1EEF5"/>
          </w:tcPr>
          <w:p>
            <w:pPr>
              <w:spacing w:after="0"/>
              <w:rPr>
                <w:sz w:val="20"/>
                <w:szCs w:val="20"/>
                <w:color w:val="auto"/>
              </w:rPr>
            </w:pPr>
          </w:p>
        </w:tc>
        <w:tc>
          <w:tcPr>
            <w:tcW w:w="4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40" w:type="dxa"/>
            <w:vAlign w:val="bottom"/>
            <w:shd w:val="clear" w:color="auto" w:fill="D1EEF5"/>
          </w:tcPr>
          <w:p>
            <w:pPr>
              <w:spacing w:after="0"/>
              <w:rPr>
                <w:sz w:val="20"/>
                <w:szCs w:val="20"/>
                <w:color w:val="auto"/>
              </w:rPr>
            </w:pPr>
          </w:p>
        </w:tc>
        <w:tc>
          <w:tcPr>
            <w:tcW w:w="860" w:type="dxa"/>
            <w:vAlign w:val="bottom"/>
            <w:shd w:val="clear" w:color="auto" w:fill="D1EEF5"/>
          </w:tcPr>
          <w:p>
            <w:pPr>
              <w:spacing w:after="0"/>
              <w:rPr>
                <w:sz w:val="20"/>
                <w:szCs w:val="20"/>
                <w:color w:val="auto"/>
              </w:rPr>
            </w:pPr>
          </w:p>
        </w:tc>
        <w:tc>
          <w:tcPr>
            <w:tcW w:w="180" w:type="dxa"/>
            <w:vAlign w:val="bottom"/>
            <w:shd w:val="clear" w:color="auto" w:fill="D1EEF5"/>
          </w:tcPr>
          <w:p>
            <w:pPr>
              <w:spacing w:after="0"/>
              <w:rPr>
                <w:sz w:val="20"/>
                <w:szCs w:val="20"/>
                <w:color w:val="auto"/>
              </w:rPr>
            </w:pPr>
          </w:p>
        </w:tc>
        <w:tc>
          <w:tcPr>
            <w:tcW w:w="980" w:type="dxa"/>
            <w:vAlign w:val="bottom"/>
            <w:shd w:val="clear" w:color="auto" w:fill="D1EEF5"/>
          </w:tcPr>
          <w:p>
            <w:pPr>
              <w:spacing w:after="0"/>
              <w:rPr>
                <w:sz w:val="20"/>
                <w:szCs w:val="20"/>
                <w:color w:val="auto"/>
              </w:rPr>
            </w:pPr>
          </w:p>
        </w:tc>
        <w:tc>
          <w:tcPr>
            <w:tcW w:w="4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40" w:type="dxa"/>
            <w:vAlign w:val="bottom"/>
            <w:shd w:val="clear" w:color="auto" w:fill="D1EEF5"/>
          </w:tcPr>
          <w:p>
            <w:pPr>
              <w:spacing w:after="0"/>
              <w:rPr>
                <w:sz w:val="20"/>
                <w:szCs w:val="20"/>
                <w:color w:val="auto"/>
              </w:rPr>
            </w:pPr>
          </w:p>
        </w:tc>
        <w:tc>
          <w:tcPr>
            <w:tcW w:w="940" w:type="dxa"/>
            <w:vAlign w:val="bottom"/>
            <w:shd w:val="clear" w:color="auto" w:fill="D1EEF5"/>
          </w:tcPr>
          <w:p>
            <w:pPr>
              <w:spacing w:after="0"/>
              <w:rPr>
                <w:sz w:val="20"/>
                <w:szCs w:val="20"/>
                <w:color w:val="auto"/>
              </w:rPr>
            </w:pPr>
          </w:p>
        </w:tc>
        <w:tc>
          <w:tcPr>
            <w:tcW w:w="40" w:type="dxa"/>
            <w:vAlign w:val="bottom"/>
            <w:shd w:val="clear" w:color="auto" w:fill="D1EEF5"/>
          </w:tcPr>
          <w:p>
            <w:pPr>
              <w:spacing w:after="0"/>
              <w:rPr>
                <w:sz w:val="20"/>
                <w:szCs w:val="20"/>
                <w:color w:val="auto"/>
              </w:rPr>
            </w:pPr>
          </w:p>
        </w:tc>
        <w:tc>
          <w:tcPr>
            <w:tcW w:w="80" w:type="dxa"/>
            <w:vAlign w:val="bottom"/>
            <w:shd w:val="clear" w:color="auto" w:fill="D1EEF5"/>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D1EEF5"/>
          </w:tcPr>
          <w:p>
            <w:pPr>
              <w:spacing w:after="0"/>
              <w:rPr>
                <w:sz w:val="12"/>
                <w:szCs w:val="12"/>
                <w:color w:val="auto"/>
              </w:rPr>
            </w:pPr>
          </w:p>
        </w:tc>
        <w:tc>
          <w:tcPr>
            <w:tcW w:w="40" w:type="dxa"/>
            <w:vAlign w:val="bottom"/>
            <w:shd w:val="clear" w:color="auto" w:fill="D1EEF5"/>
          </w:tcPr>
          <w:p>
            <w:pPr>
              <w:spacing w:after="0"/>
              <w:rPr>
                <w:sz w:val="12"/>
                <w:szCs w:val="12"/>
                <w:color w:val="auto"/>
              </w:rPr>
            </w:pPr>
          </w:p>
        </w:tc>
        <w:tc>
          <w:tcPr>
            <w:tcW w:w="118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920" w:type="dxa"/>
            <w:vAlign w:val="bottom"/>
            <w:gridSpan w:val="2"/>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1/3/2024</w:t>
            </w:r>
          </w:p>
        </w:tc>
        <w:tc>
          <w:tcPr>
            <w:tcW w:w="100" w:type="dxa"/>
            <w:vAlign w:val="bottom"/>
            <w:shd w:val="clear" w:color="auto" w:fill="D1EEF5"/>
          </w:tcPr>
          <w:p>
            <w:pPr>
              <w:spacing w:after="0"/>
              <w:rPr>
                <w:sz w:val="12"/>
                <w:szCs w:val="12"/>
                <w:color w:val="auto"/>
              </w:rPr>
            </w:pPr>
          </w:p>
        </w:tc>
        <w:tc>
          <w:tcPr>
            <w:tcW w:w="1240" w:type="dxa"/>
            <w:vAlign w:val="bottom"/>
            <w:gridSpan w:val="2"/>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1/3/2024</w:t>
            </w:r>
          </w:p>
        </w:tc>
        <w:tc>
          <w:tcPr>
            <w:tcW w:w="180" w:type="dxa"/>
            <w:vAlign w:val="bottom"/>
            <w:shd w:val="clear" w:color="auto" w:fill="D1EEF5"/>
          </w:tcPr>
          <w:p>
            <w:pPr>
              <w:spacing w:after="0"/>
              <w:rPr>
                <w:sz w:val="12"/>
                <w:szCs w:val="12"/>
                <w:color w:val="auto"/>
              </w:rPr>
            </w:pPr>
          </w:p>
        </w:tc>
        <w:tc>
          <w:tcPr>
            <w:tcW w:w="200" w:type="dxa"/>
            <w:vAlign w:val="bottom"/>
            <w:vMerge w:val="continue"/>
            <w:shd w:val="clear" w:color="auto" w:fill="D1EEF5"/>
          </w:tcPr>
          <w:p>
            <w:pPr>
              <w:spacing w:after="0"/>
              <w:rPr>
                <w:sz w:val="12"/>
                <w:szCs w:val="12"/>
                <w:color w:val="auto"/>
              </w:rPr>
            </w:pPr>
          </w:p>
        </w:tc>
        <w:tc>
          <w:tcPr>
            <w:tcW w:w="100" w:type="dxa"/>
            <w:vAlign w:val="bottom"/>
            <w:shd w:val="clear" w:color="auto" w:fill="D1EEF5"/>
          </w:tcPr>
          <w:p>
            <w:pPr>
              <w:spacing w:after="0"/>
              <w:rPr>
                <w:sz w:val="12"/>
                <w:szCs w:val="12"/>
                <w:color w:val="auto"/>
              </w:rPr>
            </w:pPr>
          </w:p>
        </w:tc>
        <w:tc>
          <w:tcPr>
            <w:tcW w:w="1720" w:type="dxa"/>
            <w:vAlign w:val="bottom"/>
            <w:gridSpan w:val="4"/>
            <w:vMerge w:val="restart"/>
            <w:shd w:val="clear" w:color="auto" w:fill="D1EEF5"/>
          </w:tcPr>
          <w:p>
            <w:pPr>
              <w:jc w:val="right"/>
              <w:ind w:right="40"/>
              <w:spacing w:after="0"/>
              <w:rPr>
                <w:sz w:val="20"/>
                <w:szCs w:val="20"/>
                <w:color w:val="auto"/>
              </w:rPr>
            </w:pPr>
            <w:r>
              <w:rPr>
                <w:rFonts w:ascii="Times New Roman" w:cs="Times New Roman" w:eastAsia="Times New Roman" w:hAnsi="Times New Roman"/>
                <w:sz w:val="20"/>
                <w:szCs w:val="20"/>
                <w:color w:val="auto"/>
              </w:rPr>
              <w:t>1/2/2034</w:t>
            </w:r>
          </w:p>
        </w:tc>
        <w:tc>
          <w:tcPr>
            <w:tcW w:w="80" w:type="dxa"/>
            <w:vAlign w:val="bottom"/>
            <w:shd w:val="clear" w:color="auto" w:fill="D1EEF5"/>
          </w:tcPr>
          <w:p>
            <w:pPr>
              <w:spacing w:after="0"/>
              <w:rPr>
                <w:sz w:val="12"/>
                <w:szCs w:val="12"/>
                <w:color w:val="auto"/>
              </w:rPr>
            </w:pPr>
          </w:p>
        </w:tc>
        <w:tc>
          <w:tcPr>
            <w:tcW w:w="980" w:type="dxa"/>
            <w:vAlign w:val="bottom"/>
            <w:gridSpan w:val="3"/>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19,230</w:t>
            </w:r>
          </w:p>
        </w:tc>
        <w:tc>
          <w:tcPr>
            <w:tcW w:w="180" w:type="dxa"/>
            <w:vAlign w:val="bottom"/>
            <w:shd w:val="clear" w:color="auto" w:fill="D1EEF5"/>
          </w:tcPr>
          <w:p>
            <w:pPr>
              <w:spacing w:after="0"/>
              <w:rPr>
                <w:sz w:val="12"/>
                <w:szCs w:val="12"/>
                <w:color w:val="auto"/>
              </w:rPr>
            </w:pPr>
          </w:p>
        </w:tc>
        <w:tc>
          <w:tcPr>
            <w:tcW w:w="9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1100" w:type="dxa"/>
            <w:vAlign w:val="bottom"/>
            <w:gridSpan w:val="4"/>
            <w:vMerge w:val="restart"/>
            <w:shd w:val="clear" w:color="auto" w:fill="D1EEF5"/>
          </w:tcPr>
          <w:p>
            <w:pPr>
              <w:ind w:left="620"/>
              <w:spacing w:after="0"/>
              <w:rPr>
                <w:sz w:val="20"/>
                <w:szCs w:val="20"/>
                <w:color w:val="auto"/>
              </w:rPr>
            </w:pPr>
            <w:r>
              <w:rPr>
                <w:rFonts w:ascii="Times New Roman" w:cs="Times New Roman" w:eastAsia="Times New Roman" w:hAnsi="Times New Roman"/>
                <w:sz w:val="20"/>
                <w:szCs w:val="20"/>
                <w:color w:val="auto"/>
              </w:rPr>
              <w:t>60.58</w:t>
            </w:r>
          </w:p>
        </w:tc>
        <w:tc>
          <w:tcPr>
            <w:tcW w:w="80" w:type="dxa"/>
            <w:vAlign w:val="bottom"/>
            <w:shd w:val="clear" w:color="auto" w:fill="D1EEF5"/>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2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40" w:type="dxa"/>
            <w:vAlign w:val="bottom"/>
            <w:gridSpan w:val="2"/>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72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80" w:type="dxa"/>
            <w:vAlign w:val="bottom"/>
            <w:gridSpan w:val="3"/>
            <w:vMerge w:val="continue"/>
            <w:shd w:val="clear" w:color="auto" w:fill="D1EEF5"/>
          </w:tcPr>
          <w:p>
            <w:pPr>
              <w:spacing w:after="0"/>
              <w:rPr>
                <w:sz w:val="3"/>
                <w:szCs w:val="3"/>
                <w:color w:val="auto"/>
              </w:rPr>
            </w:pPr>
          </w:p>
        </w:tc>
        <w:tc>
          <w:tcPr>
            <w:tcW w:w="180" w:type="dxa"/>
            <w:vAlign w:val="bottom"/>
            <w:vMerge w:val="restart"/>
            <w:shd w:val="clear" w:color="auto" w:fill="D1EEF5"/>
          </w:tcPr>
          <w:p>
            <w:pPr>
              <w:spacing w:after="0"/>
              <w:rPr>
                <w:sz w:val="3"/>
                <w:szCs w:val="3"/>
                <w:color w:val="auto"/>
              </w:rPr>
            </w:pPr>
          </w:p>
        </w:tc>
        <w:tc>
          <w:tcPr>
            <w:tcW w:w="980" w:type="dxa"/>
            <w:vAlign w:val="bottom"/>
            <w:vMerge w:val="continue"/>
            <w:shd w:val="clear" w:color="auto" w:fill="D1EEF5"/>
          </w:tcPr>
          <w:p>
            <w:pPr>
              <w:spacing w:after="0"/>
              <w:rPr>
                <w:sz w:val="3"/>
                <w:szCs w:val="3"/>
                <w:color w:val="auto"/>
              </w:rPr>
            </w:pPr>
          </w:p>
        </w:tc>
        <w:tc>
          <w:tcPr>
            <w:tcW w:w="40" w:type="dxa"/>
            <w:vAlign w:val="bottom"/>
            <w:vMerge w:val="restart"/>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10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2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40" w:type="dxa"/>
            <w:vAlign w:val="bottom"/>
            <w:gridSpan w:val="2"/>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72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80" w:type="dxa"/>
            <w:vAlign w:val="bottom"/>
            <w:gridSpan w:val="3"/>
            <w:vMerge w:val="continue"/>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980" w:type="dxa"/>
            <w:vAlign w:val="bottom"/>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10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D1EEF5"/>
          </w:tcPr>
          <w:p>
            <w:pPr>
              <w:spacing w:after="0"/>
              <w:rPr>
                <w:sz w:val="12"/>
                <w:szCs w:val="12"/>
                <w:color w:val="auto"/>
              </w:rPr>
            </w:pPr>
          </w:p>
        </w:tc>
        <w:tc>
          <w:tcPr>
            <w:tcW w:w="40" w:type="dxa"/>
            <w:vAlign w:val="bottom"/>
            <w:shd w:val="clear" w:color="auto" w:fill="D1EEF5"/>
          </w:tcPr>
          <w:p>
            <w:pPr>
              <w:spacing w:after="0"/>
              <w:rPr>
                <w:sz w:val="12"/>
                <w:szCs w:val="12"/>
                <w:color w:val="auto"/>
              </w:rPr>
            </w:pPr>
          </w:p>
        </w:tc>
        <w:tc>
          <w:tcPr>
            <w:tcW w:w="118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920" w:type="dxa"/>
            <w:vAlign w:val="bottom"/>
            <w:gridSpan w:val="2"/>
            <w:vMerge w:val="restart"/>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rPr>
              <w:t>10/11/23</w:t>
            </w:r>
          </w:p>
        </w:tc>
        <w:tc>
          <w:tcPr>
            <w:tcW w:w="100" w:type="dxa"/>
            <w:vAlign w:val="bottom"/>
            <w:shd w:val="clear" w:color="auto" w:fill="D1EEF5"/>
          </w:tcPr>
          <w:p>
            <w:pPr>
              <w:spacing w:after="0"/>
              <w:rPr>
                <w:sz w:val="12"/>
                <w:szCs w:val="12"/>
                <w:color w:val="auto"/>
              </w:rPr>
            </w:pPr>
          </w:p>
        </w:tc>
        <w:tc>
          <w:tcPr>
            <w:tcW w:w="1240" w:type="dxa"/>
            <w:vAlign w:val="bottom"/>
            <w:gridSpan w:val="2"/>
            <w:vMerge w:val="restart"/>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rPr>
              <w:t>10/11/23</w:t>
            </w:r>
          </w:p>
        </w:tc>
        <w:tc>
          <w:tcPr>
            <w:tcW w:w="180" w:type="dxa"/>
            <w:vAlign w:val="bottom"/>
            <w:shd w:val="clear" w:color="auto" w:fill="D1EEF5"/>
          </w:tcPr>
          <w:p>
            <w:pPr>
              <w:spacing w:after="0"/>
              <w:rPr>
                <w:sz w:val="12"/>
                <w:szCs w:val="12"/>
                <w:color w:val="auto"/>
              </w:rPr>
            </w:pPr>
          </w:p>
        </w:tc>
        <w:tc>
          <w:tcPr>
            <w:tcW w:w="2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3"/>
                <w:szCs w:val="13"/>
                <w:color w:val="auto"/>
                <w:shd w:val="clear" w:color="auto" w:fill="D1EEF5"/>
              </w:rPr>
              <w:t>(1)</w:t>
            </w:r>
          </w:p>
        </w:tc>
        <w:tc>
          <w:tcPr>
            <w:tcW w:w="10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40" w:type="dxa"/>
            <w:vAlign w:val="bottom"/>
            <w:shd w:val="clear" w:color="auto" w:fill="D1EEF5"/>
          </w:tcPr>
          <w:p>
            <w:pPr>
              <w:spacing w:after="0"/>
              <w:rPr>
                <w:sz w:val="12"/>
                <w:szCs w:val="12"/>
                <w:color w:val="auto"/>
              </w:rPr>
            </w:pPr>
          </w:p>
        </w:tc>
        <w:tc>
          <w:tcPr>
            <w:tcW w:w="1560" w:type="dxa"/>
            <w:vAlign w:val="bottom"/>
            <w:vMerge w:val="restart"/>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rPr>
              <w:t>10/10/33</w:t>
            </w:r>
          </w:p>
        </w:tc>
        <w:tc>
          <w:tcPr>
            <w:tcW w:w="4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980" w:type="dxa"/>
            <w:vAlign w:val="bottom"/>
            <w:gridSpan w:val="3"/>
            <w:vMerge w:val="restart"/>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rPr>
              <w:t>55,768</w:t>
            </w:r>
          </w:p>
        </w:tc>
        <w:tc>
          <w:tcPr>
            <w:tcW w:w="180" w:type="dxa"/>
            <w:vAlign w:val="bottom"/>
            <w:shd w:val="clear" w:color="auto" w:fill="D1EEF5"/>
          </w:tcPr>
          <w:p>
            <w:pPr>
              <w:spacing w:after="0"/>
              <w:rPr>
                <w:sz w:val="12"/>
                <w:szCs w:val="12"/>
                <w:color w:val="auto"/>
              </w:rPr>
            </w:pPr>
          </w:p>
        </w:tc>
        <w:tc>
          <w:tcPr>
            <w:tcW w:w="9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1100" w:type="dxa"/>
            <w:vAlign w:val="bottom"/>
            <w:gridSpan w:val="4"/>
            <w:vMerge w:val="restart"/>
            <w:shd w:val="clear" w:color="auto" w:fill="D1EEF5"/>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127.01</w:t>
            </w:r>
          </w:p>
        </w:tc>
        <w:tc>
          <w:tcPr>
            <w:tcW w:w="80" w:type="dxa"/>
            <w:vAlign w:val="bottom"/>
            <w:shd w:val="clear" w:color="auto" w:fill="D1EEF5"/>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2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40" w:type="dxa"/>
            <w:vAlign w:val="bottom"/>
            <w:gridSpan w:val="2"/>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0" w:type="dxa"/>
            <w:vAlign w:val="bottom"/>
            <w:gridSpan w:val="2"/>
            <w:shd w:val="clear" w:color="auto" w:fill="D1EEF5"/>
          </w:tcPr>
          <w:p>
            <w:pPr>
              <w:spacing w:after="0"/>
              <w:rPr>
                <w:sz w:val="3"/>
                <w:szCs w:val="3"/>
                <w:color w:val="auto"/>
              </w:rPr>
            </w:pPr>
          </w:p>
        </w:tc>
        <w:tc>
          <w:tcPr>
            <w:tcW w:w="1560" w:type="dxa"/>
            <w:vAlign w:val="bottom"/>
            <w:vMerge w:val="continue"/>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80" w:type="dxa"/>
            <w:vAlign w:val="bottom"/>
            <w:gridSpan w:val="3"/>
            <w:vMerge w:val="continue"/>
            <w:shd w:val="clear" w:color="auto" w:fill="D1EEF5"/>
          </w:tcPr>
          <w:p>
            <w:pPr>
              <w:spacing w:after="0"/>
              <w:rPr>
                <w:sz w:val="3"/>
                <w:szCs w:val="3"/>
                <w:color w:val="auto"/>
              </w:rPr>
            </w:pPr>
          </w:p>
        </w:tc>
        <w:tc>
          <w:tcPr>
            <w:tcW w:w="180" w:type="dxa"/>
            <w:vAlign w:val="bottom"/>
            <w:vMerge w:val="restart"/>
            <w:shd w:val="clear" w:color="auto" w:fill="D1EEF5"/>
          </w:tcPr>
          <w:p>
            <w:pPr>
              <w:spacing w:after="0"/>
              <w:rPr>
                <w:sz w:val="3"/>
                <w:szCs w:val="3"/>
                <w:color w:val="auto"/>
              </w:rPr>
            </w:pPr>
          </w:p>
        </w:tc>
        <w:tc>
          <w:tcPr>
            <w:tcW w:w="980" w:type="dxa"/>
            <w:vAlign w:val="bottom"/>
            <w:vMerge w:val="continue"/>
            <w:shd w:val="clear" w:color="auto" w:fill="D1EEF5"/>
          </w:tcPr>
          <w:p>
            <w:pPr>
              <w:spacing w:after="0"/>
              <w:rPr>
                <w:sz w:val="3"/>
                <w:szCs w:val="3"/>
                <w:color w:val="auto"/>
              </w:rPr>
            </w:pPr>
          </w:p>
        </w:tc>
        <w:tc>
          <w:tcPr>
            <w:tcW w:w="40" w:type="dxa"/>
            <w:vAlign w:val="bottom"/>
            <w:vMerge w:val="restart"/>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10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2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40" w:type="dxa"/>
            <w:vAlign w:val="bottom"/>
            <w:gridSpan w:val="2"/>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560" w:type="dxa"/>
            <w:vAlign w:val="bottom"/>
            <w:vMerge w:val="continue"/>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80" w:type="dxa"/>
            <w:vAlign w:val="bottom"/>
            <w:gridSpan w:val="3"/>
            <w:vMerge w:val="continue"/>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980" w:type="dxa"/>
            <w:vAlign w:val="bottom"/>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10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D1EEF5"/>
          </w:tcPr>
          <w:p>
            <w:pPr>
              <w:spacing w:after="0"/>
              <w:rPr>
                <w:sz w:val="13"/>
                <w:szCs w:val="13"/>
                <w:color w:val="auto"/>
              </w:rPr>
            </w:pPr>
          </w:p>
        </w:tc>
        <w:tc>
          <w:tcPr>
            <w:tcW w:w="40" w:type="dxa"/>
            <w:vAlign w:val="bottom"/>
            <w:shd w:val="clear" w:color="auto" w:fill="D1EEF5"/>
          </w:tcPr>
          <w:p>
            <w:pPr>
              <w:spacing w:after="0"/>
              <w:rPr>
                <w:sz w:val="13"/>
                <w:szCs w:val="13"/>
                <w:color w:val="auto"/>
              </w:rPr>
            </w:pPr>
          </w:p>
        </w:tc>
        <w:tc>
          <w:tcPr>
            <w:tcW w:w="118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c>
          <w:tcPr>
            <w:tcW w:w="920" w:type="dxa"/>
            <w:vAlign w:val="bottom"/>
            <w:gridSpan w:val="2"/>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1/3/23</w:t>
            </w:r>
          </w:p>
        </w:tc>
        <w:tc>
          <w:tcPr>
            <w:tcW w:w="100" w:type="dxa"/>
            <w:vAlign w:val="bottom"/>
            <w:shd w:val="clear" w:color="auto" w:fill="D1EEF5"/>
          </w:tcPr>
          <w:p>
            <w:pPr>
              <w:spacing w:after="0"/>
              <w:rPr>
                <w:sz w:val="13"/>
                <w:szCs w:val="13"/>
                <w:color w:val="auto"/>
              </w:rPr>
            </w:pPr>
          </w:p>
        </w:tc>
        <w:tc>
          <w:tcPr>
            <w:tcW w:w="1240" w:type="dxa"/>
            <w:vAlign w:val="bottom"/>
            <w:gridSpan w:val="2"/>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1/3/23</w:t>
            </w:r>
          </w:p>
        </w:tc>
        <w:tc>
          <w:tcPr>
            <w:tcW w:w="180" w:type="dxa"/>
            <w:vAlign w:val="bottom"/>
            <w:shd w:val="clear" w:color="auto" w:fill="D1EEF5"/>
          </w:tcPr>
          <w:p>
            <w:pPr>
              <w:spacing w:after="0"/>
              <w:rPr>
                <w:sz w:val="13"/>
                <w:szCs w:val="13"/>
                <w:color w:val="auto"/>
              </w:rPr>
            </w:pPr>
          </w:p>
        </w:tc>
        <w:tc>
          <w:tcPr>
            <w:tcW w:w="2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3"/>
                <w:szCs w:val="13"/>
                <w:color w:val="auto"/>
                <w:shd w:val="clear" w:color="auto" w:fill="D1EEF5"/>
              </w:rPr>
              <w:t>(1)</w:t>
            </w:r>
          </w:p>
        </w:tc>
        <w:tc>
          <w:tcPr>
            <w:tcW w:w="100" w:type="dxa"/>
            <w:vAlign w:val="bottom"/>
            <w:shd w:val="clear" w:color="auto" w:fill="D1EEF5"/>
          </w:tcPr>
          <w:p>
            <w:pPr>
              <w:spacing w:after="0"/>
              <w:rPr>
                <w:sz w:val="13"/>
                <w:szCs w:val="13"/>
                <w:color w:val="auto"/>
              </w:rPr>
            </w:pPr>
          </w:p>
        </w:tc>
        <w:tc>
          <w:tcPr>
            <w:tcW w:w="1720" w:type="dxa"/>
            <w:vAlign w:val="bottom"/>
            <w:gridSpan w:val="4"/>
            <w:vMerge w:val="restart"/>
            <w:shd w:val="clear" w:color="auto" w:fill="D1EEF5"/>
          </w:tcPr>
          <w:p>
            <w:pPr>
              <w:jc w:val="right"/>
              <w:ind w:right="40"/>
              <w:spacing w:after="0"/>
              <w:rPr>
                <w:sz w:val="20"/>
                <w:szCs w:val="20"/>
                <w:color w:val="auto"/>
              </w:rPr>
            </w:pPr>
            <w:r>
              <w:rPr>
                <w:rFonts w:ascii="Times New Roman" w:cs="Times New Roman" w:eastAsia="Times New Roman" w:hAnsi="Times New Roman"/>
                <w:sz w:val="20"/>
                <w:szCs w:val="20"/>
                <w:color w:val="auto"/>
              </w:rPr>
              <w:t>1/2/33</w:t>
            </w:r>
          </w:p>
        </w:tc>
        <w:tc>
          <w:tcPr>
            <w:tcW w:w="80" w:type="dxa"/>
            <w:vAlign w:val="bottom"/>
            <w:shd w:val="clear" w:color="auto" w:fill="D1EEF5"/>
          </w:tcPr>
          <w:p>
            <w:pPr>
              <w:spacing w:after="0"/>
              <w:rPr>
                <w:sz w:val="13"/>
                <w:szCs w:val="13"/>
                <w:color w:val="auto"/>
              </w:rPr>
            </w:pPr>
          </w:p>
        </w:tc>
        <w:tc>
          <w:tcPr>
            <w:tcW w:w="980" w:type="dxa"/>
            <w:vAlign w:val="bottom"/>
            <w:gridSpan w:val="3"/>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13,637</w:t>
            </w:r>
          </w:p>
        </w:tc>
        <w:tc>
          <w:tcPr>
            <w:tcW w:w="180" w:type="dxa"/>
            <w:vAlign w:val="bottom"/>
            <w:shd w:val="clear" w:color="auto" w:fill="D1EEF5"/>
          </w:tcPr>
          <w:p>
            <w:pPr>
              <w:spacing w:after="0"/>
              <w:rPr>
                <w:sz w:val="13"/>
                <w:szCs w:val="13"/>
                <w:color w:val="auto"/>
              </w:rPr>
            </w:pPr>
          </w:p>
        </w:tc>
        <w:tc>
          <w:tcPr>
            <w:tcW w:w="9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c>
          <w:tcPr>
            <w:tcW w:w="40" w:type="dxa"/>
            <w:vAlign w:val="bottom"/>
            <w:shd w:val="clear" w:color="auto" w:fill="D1EEF5"/>
          </w:tcPr>
          <w:p>
            <w:pPr>
              <w:spacing w:after="0"/>
              <w:rPr>
                <w:sz w:val="13"/>
                <w:szCs w:val="13"/>
                <w:color w:val="auto"/>
              </w:rPr>
            </w:pPr>
          </w:p>
        </w:tc>
        <w:tc>
          <w:tcPr>
            <w:tcW w:w="940" w:type="dxa"/>
            <w:vAlign w:val="bottom"/>
            <w:vMerge w:val="restart"/>
            <w:shd w:val="clear" w:color="auto" w:fill="D1EEF5"/>
          </w:tcPr>
          <w:p>
            <w:pPr>
              <w:ind w:left="500"/>
              <w:spacing w:after="0"/>
              <w:rPr>
                <w:sz w:val="20"/>
                <w:szCs w:val="20"/>
                <w:color w:val="auto"/>
              </w:rPr>
            </w:pPr>
            <w:r>
              <w:rPr>
                <w:rFonts w:ascii="Times New Roman" w:cs="Times New Roman" w:eastAsia="Times New Roman" w:hAnsi="Times New Roman"/>
                <w:sz w:val="20"/>
                <w:szCs w:val="20"/>
                <w:color w:val="auto"/>
                <w:w w:val="93"/>
              </w:rPr>
              <w:t>15.99</w:t>
            </w:r>
          </w:p>
        </w:tc>
        <w:tc>
          <w:tcPr>
            <w:tcW w:w="40" w:type="dxa"/>
            <w:vAlign w:val="bottom"/>
            <w:shd w:val="clear" w:color="auto" w:fill="D1EEF5"/>
          </w:tcPr>
          <w:p>
            <w:pPr>
              <w:spacing w:after="0"/>
              <w:rPr>
                <w:sz w:val="13"/>
                <w:szCs w:val="13"/>
                <w:color w:val="auto"/>
              </w:rPr>
            </w:pPr>
          </w:p>
        </w:tc>
        <w:tc>
          <w:tcPr>
            <w:tcW w:w="8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2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40" w:type="dxa"/>
            <w:vAlign w:val="bottom"/>
            <w:gridSpan w:val="2"/>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72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80" w:type="dxa"/>
            <w:vAlign w:val="bottom"/>
            <w:gridSpan w:val="3"/>
            <w:vMerge w:val="continue"/>
            <w:shd w:val="clear" w:color="auto" w:fill="D1EEF5"/>
          </w:tcPr>
          <w:p>
            <w:pPr>
              <w:spacing w:after="0"/>
              <w:rPr>
                <w:sz w:val="3"/>
                <w:szCs w:val="3"/>
                <w:color w:val="auto"/>
              </w:rPr>
            </w:pPr>
          </w:p>
        </w:tc>
        <w:tc>
          <w:tcPr>
            <w:tcW w:w="180" w:type="dxa"/>
            <w:vAlign w:val="bottom"/>
            <w:vMerge w:val="restart"/>
            <w:shd w:val="clear" w:color="auto" w:fill="D1EEF5"/>
          </w:tcPr>
          <w:p>
            <w:pPr>
              <w:spacing w:after="0"/>
              <w:rPr>
                <w:sz w:val="3"/>
                <w:szCs w:val="3"/>
                <w:color w:val="auto"/>
              </w:rPr>
            </w:pPr>
          </w:p>
        </w:tc>
        <w:tc>
          <w:tcPr>
            <w:tcW w:w="980" w:type="dxa"/>
            <w:vAlign w:val="bottom"/>
            <w:vMerge w:val="continue"/>
            <w:shd w:val="clear" w:color="auto" w:fill="D1EEF5"/>
          </w:tcPr>
          <w:p>
            <w:pPr>
              <w:spacing w:after="0"/>
              <w:rPr>
                <w:sz w:val="3"/>
                <w:szCs w:val="3"/>
                <w:color w:val="auto"/>
              </w:rPr>
            </w:pPr>
          </w:p>
        </w:tc>
        <w:tc>
          <w:tcPr>
            <w:tcW w:w="40" w:type="dxa"/>
            <w:vAlign w:val="bottom"/>
            <w:vMerge w:val="restart"/>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20" w:type="dxa"/>
            <w:vAlign w:val="bottom"/>
            <w:gridSpan w:val="2"/>
            <w:vMerge w:val="restart"/>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40" w:type="dxa"/>
            <w:vAlign w:val="bottom"/>
            <w:vMerge w:val="restart"/>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2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40" w:type="dxa"/>
            <w:vAlign w:val="bottom"/>
            <w:gridSpan w:val="2"/>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72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80" w:type="dxa"/>
            <w:vAlign w:val="bottom"/>
            <w:gridSpan w:val="3"/>
            <w:vMerge w:val="continue"/>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980" w:type="dxa"/>
            <w:vAlign w:val="bottom"/>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20" w:type="dxa"/>
            <w:vAlign w:val="bottom"/>
            <w:gridSpan w:val="2"/>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D1EEF5"/>
          </w:tcPr>
          <w:p>
            <w:pPr>
              <w:spacing w:after="0"/>
              <w:rPr>
                <w:sz w:val="12"/>
                <w:szCs w:val="12"/>
                <w:color w:val="auto"/>
              </w:rPr>
            </w:pPr>
          </w:p>
        </w:tc>
        <w:tc>
          <w:tcPr>
            <w:tcW w:w="40" w:type="dxa"/>
            <w:vAlign w:val="bottom"/>
            <w:shd w:val="clear" w:color="auto" w:fill="D1EEF5"/>
          </w:tcPr>
          <w:p>
            <w:pPr>
              <w:spacing w:after="0"/>
              <w:rPr>
                <w:sz w:val="12"/>
                <w:szCs w:val="12"/>
                <w:color w:val="auto"/>
              </w:rPr>
            </w:pPr>
          </w:p>
        </w:tc>
        <w:tc>
          <w:tcPr>
            <w:tcW w:w="118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920" w:type="dxa"/>
            <w:vAlign w:val="bottom"/>
            <w:gridSpan w:val="2"/>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6/21/22</w:t>
            </w:r>
          </w:p>
        </w:tc>
        <w:tc>
          <w:tcPr>
            <w:tcW w:w="100" w:type="dxa"/>
            <w:vAlign w:val="bottom"/>
            <w:shd w:val="clear" w:color="auto" w:fill="D1EEF5"/>
          </w:tcPr>
          <w:p>
            <w:pPr>
              <w:spacing w:after="0"/>
              <w:rPr>
                <w:sz w:val="12"/>
                <w:szCs w:val="12"/>
                <w:color w:val="auto"/>
              </w:rPr>
            </w:pPr>
          </w:p>
        </w:tc>
        <w:tc>
          <w:tcPr>
            <w:tcW w:w="1240" w:type="dxa"/>
            <w:vAlign w:val="bottom"/>
            <w:gridSpan w:val="2"/>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6/21/22</w:t>
            </w:r>
          </w:p>
        </w:tc>
        <w:tc>
          <w:tcPr>
            <w:tcW w:w="180" w:type="dxa"/>
            <w:vAlign w:val="bottom"/>
            <w:shd w:val="clear" w:color="auto" w:fill="D1EEF5"/>
          </w:tcPr>
          <w:p>
            <w:pPr>
              <w:spacing w:after="0"/>
              <w:rPr>
                <w:sz w:val="12"/>
                <w:szCs w:val="12"/>
                <w:color w:val="auto"/>
              </w:rPr>
            </w:pPr>
          </w:p>
        </w:tc>
        <w:tc>
          <w:tcPr>
            <w:tcW w:w="2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3"/>
                <w:szCs w:val="13"/>
                <w:color w:val="auto"/>
                <w:shd w:val="clear" w:color="auto" w:fill="D1EEF5"/>
              </w:rPr>
              <w:t>(1)</w:t>
            </w:r>
          </w:p>
        </w:tc>
        <w:tc>
          <w:tcPr>
            <w:tcW w:w="100" w:type="dxa"/>
            <w:vAlign w:val="bottom"/>
            <w:shd w:val="clear" w:color="auto" w:fill="D1EEF5"/>
          </w:tcPr>
          <w:p>
            <w:pPr>
              <w:spacing w:after="0"/>
              <w:rPr>
                <w:sz w:val="12"/>
                <w:szCs w:val="12"/>
                <w:color w:val="auto"/>
              </w:rPr>
            </w:pPr>
          </w:p>
        </w:tc>
        <w:tc>
          <w:tcPr>
            <w:tcW w:w="1720" w:type="dxa"/>
            <w:vAlign w:val="bottom"/>
            <w:gridSpan w:val="4"/>
            <w:vMerge w:val="restart"/>
            <w:shd w:val="clear" w:color="auto" w:fill="D1EEF5"/>
          </w:tcPr>
          <w:p>
            <w:pPr>
              <w:jc w:val="right"/>
              <w:ind w:right="40"/>
              <w:spacing w:after="0"/>
              <w:rPr>
                <w:sz w:val="20"/>
                <w:szCs w:val="20"/>
                <w:color w:val="auto"/>
              </w:rPr>
            </w:pPr>
            <w:r>
              <w:rPr>
                <w:rFonts w:ascii="Times New Roman" w:cs="Times New Roman" w:eastAsia="Times New Roman" w:hAnsi="Times New Roman"/>
                <w:sz w:val="20"/>
                <w:szCs w:val="20"/>
                <w:color w:val="auto"/>
              </w:rPr>
              <w:t>6/20/32</w:t>
            </w:r>
          </w:p>
        </w:tc>
        <w:tc>
          <w:tcPr>
            <w:tcW w:w="80" w:type="dxa"/>
            <w:vAlign w:val="bottom"/>
            <w:shd w:val="clear" w:color="auto" w:fill="D1EEF5"/>
          </w:tcPr>
          <w:p>
            <w:pPr>
              <w:spacing w:after="0"/>
              <w:rPr>
                <w:sz w:val="12"/>
                <w:szCs w:val="12"/>
                <w:color w:val="auto"/>
              </w:rPr>
            </w:pPr>
          </w:p>
        </w:tc>
        <w:tc>
          <w:tcPr>
            <w:tcW w:w="980" w:type="dxa"/>
            <w:vAlign w:val="bottom"/>
            <w:gridSpan w:val="3"/>
            <w:vMerge w:val="restart"/>
            <w:shd w:val="clear" w:color="auto" w:fill="D1EEF5"/>
          </w:tcPr>
          <w:p>
            <w:pPr>
              <w:jc w:val="right"/>
              <w:spacing w:after="0"/>
              <w:rPr>
                <w:sz w:val="20"/>
                <w:szCs w:val="20"/>
                <w:color w:val="auto"/>
              </w:rPr>
            </w:pPr>
            <w:r>
              <w:rPr>
                <w:rFonts w:ascii="Times New Roman" w:cs="Times New Roman" w:eastAsia="Times New Roman" w:hAnsi="Times New Roman"/>
                <w:sz w:val="20"/>
                <w:szCs w:val="20"/>
                <w:color w:val="auto"/>
              </w:rPr>
              <w:t>13,347</w:t>
            </w:r>
          </w:p>
        </w:tc>
        <w:tc>
          <w:tcPr>
            <w:tcW w:w="180" w:type="dxa"/>
            <w:vAlign w:val="bottom"/>
            <w:shd w:val="clear" w:color="auto" w:fill="D1EEF5"/>
          </w:tcPr>
          <w:p>
            <w:pPr>
              <w:spacing w:after="0"/>
              <w:rPr>
                <w:sz w:val="12"/>
                <w:szCs w:val="12"/>
                <w:color w:val="auto"/>
              </w:rPr>
            </w:pPr>
          </w:p>
        </w:tc>
        <w:tc>
          <w:tcPr>
            <w:tcW w:w="9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1100" w:type="dxa"/>
            <w:vAlign w:val="bottom"/>
            <w:gridSpan w:val="4"/>
            <w:vMerge w:val="restart"/>
            <w:shd w:val="clear" w:color="auto" w:fill="D1EEF5"/>
          </w:tcPr>
          <w:p>
            <w:pPr>
              <w:ind w:left="620"/>
              <w:spacing w:after="0"/>
              <w:rPr>
                <w:sz w:val="20"/>
                <w:szCs w:val="20"/>
                <w:color w:val="auto"/>
              </w:rPr>
            </w:pPr>
            <w:r>
              <w:rPr>
                <w:rFonts w:ascii="Times New Roman" w:cs="Times New Roman" w:eastAsia="Times New Roman" w:hAnsi="Times New Roman"/>
                <w:sz w:val="20"/>
                <w:szCs w:val="20"/>
                <w:color w:val="auto"/>
              </w:rPr>
              <w:t>30.55</w:t>
            </w:r>
          </w:p>
        </w:tc>
        <w:tc>
          <w:tcPr>
            <w:tcW w:w="80" w:type="dxa"/>
            <w:vAlign w:val="bottom"/>
            <w:shd w:val="clear" w:color="auto" w:fill="D1EEF5"/>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2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40" w:type="dxa"/>
            <w:vAlign w:val="bottom"/>
            <w:gridSpan w:val="2"/>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72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80" w:type="dxa"/>
            <w:vAlign w:val="bottom"/>
            <w:gridSpan w:val="3"/>
            <w:vMerge w:val="continue"/>
            <w:shd w:val="clear" w:color="auto" w:fill="D1EEF5"/>
          </w:tcPr>
          <w:p>
            <w:pPr>
              <w:spacing w:after="0"/>
              <w:rPr>
                <w:sz w:val="3"/>
                <w:szCs w:val="3"/>
                <w:color w:val="auto"/>
              </w:rPr>
            </w:pPr>
          </w:p>
        </w:tc>
        <w:tc>
          <w:tcPr>
            <w:tcW w:w="180" w:type="dxa"/>
            <w:vAlign w:val="bottom"/>
            <w:vMerge w:val="restart"/>
            <w:shd w:val="clear" w:color="auto" w:fill="D1EEF5"/>
          </w:tcPr>
          <w:p>
            <w:pPr>
              <w:spacing w:after="0"/>
              <w:rPr>
                <w:sz w:val="3"/>
                <w:szCs w:val="3"/>
                <w:color w:val="auto"/>
              </w:rPr>
            </w:pPr>
          </w:p>
        </w:tc>
        <w:tc>
          <w:tcPr>
            <w:tcW w:w="980" w:type="dxa"/>
            <w:vAlign w:val="bottom"/>
            <w:vMerge w:val="continue"/>
            <w:shd w:val="clear" w:color="auto" w:fill="D1EEF5"/>
          </w:tcPr>
          <w:p>
            <w:pPr>
              <w:spacing w:after="0"/>
              <w:rPr>
                <w:sz w:val="3"/>
                <w:szCs w:val="3"/>
                <w:color w:val="auto"/>
              </w:rPr>
            </w:pPr>
          </w:p>
        </w:tc>
        <w:tc>
          <w:tcPr>
            <w:tcW w:w="40" w:type="dxa"/>
            <w:vAlign w:val="bottom"/>
            <w:vMerge w:val="restart"/>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10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80" w:type="dxa"/>
            <w:vAlign w:val="bottom"/>
            <w:shd w:val="clear" w:color="auto" w:fill="D1EEF5"/>
          </w:tcPr>
          <w:p>
            <w:pPr>
              <w:spacing w:after="0"/>
              <w:rPr>
                <w:sz w:val="3"/>
                <w:szCs w:val="3"/>
                <w:color w:val="auto"/>
              </w:rPr>
            </w:pPr>
          </w:p>
        </w:tc>
        <w:tc>
          <w:tcPr>
            <w:tcW w:w="40" w:type="dxa"/>
            <w:vAlign w:val="bottom"/>
            <w:shd w:val="clear" w:color="auto" w:fill="D1EEF5"/>
          </w:tcPr>
          <w:p>
            <w:pPr>
              <w:spacing w:after="0"/>
              <w:rPr>
                <w:sz w:val="3"/>
                <w:szCs w:val="3"/>
                <w:color w:val="auto"/>
              </w:rPr>
            </w:pPr>
          </w:p>
        </w:tc>
        <w:tc>
          <w:tcPr>
            <w:tcW w:w="1180" w:type="dxa"/>
            <w:vAlign w:val="bottom"/>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20" w:type="dxa"/>
            <w:vAlign w:val="bottom"/>
            <w:gridSpan w:val="2"/>
            <w:vMerge w:val="continue"/>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240" w:type="dxa"/>
            <w:vAlign w:val="bottom"/>
            <w:gridSpan w:val="2"/>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00" w:type="dxa"/>
            <w:vAlign w:val="bottom"/>
            <w:shd w:val="clear" w:color="auto" w:fill="D1EEF5"/>
          </w:tcPr>
          <w:p>
            <w:pPr>
              <w:spacing w:after="0"/>
              <w:rPr>
                <w:sz w:val="3"/>
                <w:szCs w:val="3"/>
                <w:color w:val="auto"/>
              </w:rPr>
            </w:pPr>
          </w:p>
        </w:tc>
        <w:tc>
          <w:tcPr>
            <w:tcW w:w="100" w:type="dxa"/>
            <w:vAlign w:val="bottom"/>
            <w:shd w:val="clear" w:color="auto" w:fill="D1EEF5"/>
          </w:tcPr>
          <w:p>
            <w:pPr>
              <w:spacing w:after="0"/>
              <w:rPr>
                <w:sz w:val="3"/>
                <w:szCs w:val="3"/>
                <w:color w:val="auto"/>
              </w:rPr>
            </w:pPr>
          </w:p>
        </w:tc>
        <w:tc>
          <w:tcPr>
            <w:tcW w:w="172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980" w:type="dxa"/>
            <w:vAlign w:val="bottom"/>
            <w:gridSpan w:val="3"/>
            <w:vMerge w:val="continue"/>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980" w:type="dxa"/>
            <w:vAlign w:val="bottom"/>
            <w:shd w:val="clear" w:color="auto" w:fill="D1EEF5"/>
          </w:tcPr>
          <w:p>
            <w:pPr>
              <w:spacing w:after="0"/>
              <w:rPr>
                <w:sz w:val="3"/>
                <w:szCs w:val="3"/>
                <w:color w:val="auto"/>
              </w:rPr>
            </w:pPr>
          </w:p>
        </w:tc>
        <w:tc>
          <w:tcPr>
            <w:tcW w:w="40" w:type="dxa"/>
            <w:vAlign w:val="bottom"/>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1100" w:type="dxa"/>
            <w:vAlign w:val="bottom"/>
            <w:gridSpan w:val="4"/>
            <w:vMerge w:val="continue"/>
            <w:shd w:val="clear" w:color="auto" w:fill="D1EEF5"/>
          </w:tcPr>
          <w:p>
            <w:pPr>
              <w:spacing w:after="0"/>
              <w:rPr>
                <w:sz w:val="3"/>
                <w:szCs w:val="3"/>
                <w:color w:val="auto"/>
              </w:rPr>
            </w:pPr>
          </w:p>
        </w:tc>
        <w:tc>
          <w:tcPr>
            <w:tcW w:w="80" w:type="dxa"/>
            <w:vAlign w:val="bottom"/>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D1EEF5"/>
          </w:tcPr>
          <w:p>
            <w:pPr>
              <w:spacing w:after="0"/>
              <w:rPr>
                <w:sz w:val="12"/>
                <w:szCs w:val="12"/>
                <w:color w:val="auto"/>
              </w:rPr>
            </w:pPr>
          </w:p>
        </w:tc>
        <w:tc>
          <w:tcPr>
            <w:tcW w:w="40" w:type="dxa"/>
            <w:vAlign w:val="bottom"/>
            <w:shd w:val="clear" w:color="auto" w:fill="D1EEF5"/>
          </w:tcPr>
          <w:p>
            <w:pPr>
              <w:spacing w:after="0"/>
              <w:rPr>
                <w:sz w:val="12"/>
                <w:szCs w:val="12"/>
                <w:color w:val="auto"/>
              </w:rPr>
            </w:pPr>
          </w:p>
        </w:tc>
        <w:tc>
          <w:tcPr>
            <w:tcW w:w="118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920" w:type="dxa"/>
            <w:vAlign w:val="bottom"/>
            <w:gridSpan w:val="2"/>
            <w:vMerge w:val="restart"/>
            <w:shd w:val="clear" w:color="auto" w:fill="D1EEF5"/>
          </w:tcPr>
          <w:p>
            <w:pPr>
              <w:jc w:val="right"/>
              <w:spacing w:after="0" w:line="210" w:lineRule="exact"/>
              <w:rPr>
                <w:sz w:val="20"/>
                <w:szCs w:val="20"/>
                <w:color w:val="auto"/>
              </w:rPr>
            </w:pPr>
            <w:r>
              <w:rPr>
                <w:rFonts w:ascii="Times New Roman" w:cs="Times New Roman" w:eastAsia="Times New Roman" w:hAnsi="Times New Roman"/>
                <w:sz w:val="20"/>
                <w:szCs w:val="20"/>
                <w:color w:val="auto"/>
              </w:rPr>
              <w:t>1/4/22</w:t>
            </w:r>
          </w:p>
        </w:tc>
        <w:tc>
          <w:tcPr>
            <w:tcW w:w="100" w:type="dxa"/>
            <w:vAlign w:val="bottom"/>
            <w:shd w:val="clear" w:color="auto" w:fill="D1EEF5"/>
          </w:tcPr>
          <w:p>
            <w:pPr>
              <w:spacing w:after="0"/>
              <w:rPr>
                <w:sz w:val="12"/>
                <w:szCs w:val="12"/>
                <w:color w:val="auto"/>
              </w:rPr>
            </w:pPr>
          </w:p>
        </w:tc>
        <w:tc>
          <w:tcPr>
            <w:tcW w:w="1240" w:type="dxa"/>
            <w:vAlign w:val="bottom"/>
            <w:gridSpan w:val="2"/>
            <w:vMerge w:val="restart"/>
            <w:shd w:val="clear" w:color="auto" w:fill="D1EEF5"/>
          </w:tcPr>
          <w:p>
            <w:pPr>
              <w:jc w:val="right"/>
              <w:spacing w:after="0" w:line="210" w:lineRule="exact"/>
              <w:rPr>
                <w:sz w:val="20"/>
                <w:szCs w:val="20"/>
                <w:color w:val="auto"/>
              </w:rPr>
            </w:pPr>
            <w:r>
              <w:rPr>
                <w:rFonts w:ascii="Times New Roman" w:cs="Times New Roman" w:eastAsia="Times New Roman" w:hAnsi="Times New Roman"/>
                <w:sz w:val="20"/>
                <w:szCs w:val="20"/>
                <w:color w:val="auto"/>
              </w:rPr>
              <w:t>1/4/22</w:t>
            </w:r>
          </w:p>
        </w:tc>
        <w:tc>
          <w:tcPr>
            <w:tcW w:w="180" w:type="dxa"/>
            <w:vAlign w:val="bottom"/>
            <w:shd w:val="clear" w:color="auto" w:fill="D1EEF5"/>
          </w:tcPr>
          <w:p>
            <w:pPr>
              <w:spacing w:after="0"/>
              <w:rPr>
                <w:sz w:val="12"/>
                <w:szCs w:val="12"/>
                <w:color w:val="auto"/>
              </w:rPr>
            </w:pPr>
          </w:p>
        </w:tc>
        <w:tc>
          <w:tcPr>
            <w:tcW w:w="200" w:type="dxa"/>
            <w:vAlign w:val="bottom"/>
            <w:shd w:val="clear" w:color="auto" w:fill="D1EEF5"/>
          </w:tcPr>
          <w:p>
            <w:pPr>
              <w:jc w:val="right"/>
              <w:spacing w:after="0"/>
              <w:rPr>
                <w:sz w:val="20"/>
                <w:szCs w:val="20"/>
                <w:color w:val="auto"/>
              </w:rPr>
            </w:pPr>
            <w:r>
              <w:rPr>
                <w:rFonts w:ascii="Times New Roman" w:cs="Times New Roman" w:eastAsia="Times New Roman" w:hAnsi="Times New Roman"/>
                <w:sz w:val="13"/>
                <w:szCs w:val="13"/>
                <w:color w:val="auto"/>
                <w:shd w:val="clear" w:color="auto" w:fill="D1EEF5"/>
              </w:rPr>
              <w:t>(1)</w:t>
            </w:r>
          </w:p>
        </w:tc>
        <w:tc>
          <w:tcPr>
            <w:tcW w:w="100" w:type="dxa"/>
            <w:vAlign w:val="bottom"/>
            <w:shd w:val="clear" w:color="auto" w:fill="D1EEF5"/>
          </w:tcPr>
          <w:p>
            <w:pPr>
              <w:spacing w:after="0"/>
              <w:rPr>
                <w:sz w:val="12"/>
                <w:szCs w:val="12"/>
                <w:color w:val="auto"/>
              </w:rPr>
            </w:pPr>
          </w:p>
        </w:tc>
        <w:tc>
          <w:tcPr>
            <w:tcW w:w="1720" w:type="dxa"/>
            <w:vAlign w:val="bottom"/>
            <w:gridSpan w:val="4"/>
            <w:vMerge w:val="restart"/>
            <w:shd w:val="clear" w:color="auto" w:fill="D1EEF5"/>
          </w:tcPr>
          <w:p>
            <w:pPr>
              <w:jc w:val="right"/>
              <w:ind w:right="40"/>
              <w:spacing w:after="0" w:line="210" w:lineRule="exact"/>
              <w:rPr>
                <w:sz w:val="20"/>
                <w:szCs w:val="20"/>
                <w:color w:val="auto"/>
              </w:rPr>
            </w:pPr>
            <w:r>
              <w:rPr>
                <w:rFonts w:ascii="Times New Roman" w:cs="Times New Roman" w:eastAsia="Times New Roman" w:hAnsi="Times New Roman"/>
                <w:sz w:val="20"/>
                <w:szCs w:val="20"/>
                <w:color w:val="auto"/>
              </w:rPr>
              <w:t>1/3/32</w:t>
            </w:r>
          </w:p>
        </w:tc>
        <w:tc>
          <w:tcPr>
            <w:tcW w:w="80" w:type="dxa"/>
            <w:vAlign w:val="bottom"/>
            <w:shd w:val="clear" w:color="auto" w:fill="D1EEF5"/>
          </w:tcPr>
          <w:p>
            <w:pPr>
              <w:spacing w:after="0"/>
              <w:rPr>
                <w:sz w:val="12"/>
                <w:szCs w:val="12"/>
                <w:color w:val="auto"/>
              </w:rPr>
            </w:pPr>
          </w:p>
        </w:tc>
        <w:tc>
          <w:tcPr>
            <w:tcW w:w="980" w:type="dxa"/>
            <w:vAlign w:val="bottom"/>
            <w:gridSpan w:val="3"/>
            <w:vMerge w:val="restart"/>
            <w:shd w:val="clear" w:color="auto" w:fill="D1EEF5"/>
          </w:tcPr>
          <w:p>
            <w:pPr>
              <w:jc w:val="right"/>
              <w:spacing w:after="0" w:line="210" w:lineRule="exact"/>
              <w:rPr>
                <w:sz w:val="20"/>
                <w:szCs w:val="20"/>
                <w:color w:val="auto"/>
              </w:rPr>
            </w:pPr>
            <w:r>
              <w:rPr>
                <w:rFonts w:ascii="Times New Roman" w:cs="Times New Roman" w:eastAsia="Times New Roman" w:hAnsi="Times New Roman"/>
                <w:sz w:val="20"/>
                <w:szCs w:val="20"/>
                <w:color w:val="auto"/>
              </w:rPr>
              <w:t>7,269</w:t>
            </w:r>
          </w:p>
        </w:tc>
        <w:tc>
          <w:tcPr>
            <w:tcW w:w="180" w:type="dxa"/>
            <w:vAlign w:val="bottom"/>
            <w:shd w:val="clear" w:color="auto" w:fill="D1EEF5"/>
          </w:tcPr>
          <w:p>
            <w:pPr>
              <w:spacing w:after="0"/>
              <w:rPr>
                <w:sz w:val="12"/>
                <w:szCs w:val="12"/>
                <w:color w:val="auto"/>
              </w:rPr>
            </w:pPr>
          </w:p>
        </w:tc>
        <w:tc>
          <w:tcPr>
            <w:tcW w:w="9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D1EEF5"/>
          </w:tcPr>
          <w:p>
            <w:pPr>
              <w:spacing w:after="0"/>
              <w:rPr>
                <w:sz w:val="12"/>
                <w:szCs w:val="12"/>
                <w:color w:val="auto"/>
              </w:rPr>
            </w:pPr>
          </w:p>
        </w:tc>
        <w:tc>
          <w:tcPr>
            <w:tcW w:w="80" w:type="dxa"/>
            <w:vAlign w:val="bottom"/>
            <w:shd w:val="clear" w:color="auto" w:fill="D1EEF5"/>
          </w:tcPr>
          <w:p>
            <w:pPr>
              <w:spacing w:after="0"/>
              <w:rPr>
                <w:sz w:val="12"/>
                <w:szCs w:val="12"/>
                <w:color w:val="auto"/>
              </w:rPr>
            </w:pPr>
          </w:p>
        </w:tc>
        <w:tc>
          <w:tcPr>
            <w:tcW w:w="1100" w:type="dxa"/>
            <w:vAlign w:val="bottom"/>
            <w:gridSpan w:val="4"/>
            <w:vMerge w:val="restart"/>
            <w:shd w:val="clear" w:color="auto" w:fill="D1EEF5"/>
          </w:tcPr>
          <w:p>
            <w:pPr>
              <w:ind w:left="620"/>
              <w:spacing w:after="0" w:line="210" w:lineRule="exact"/>
              <w:rPr>
                <w:sz w:val="20"/>
                <w:szCs w:val="20"/>
                <w:color w:val="auto"/>
              </w:rPr>
            </w:pPr>
            <w:r>
              <w:rPr>
                <w:rFonts w:ascii="Times New Roman" w:cs="Times New Roman" w:eastAsia="Times New Roman" w:hAnsi="Times New Roman"/>
                <w:sz w:val="20"/>
                <w:szCs w:val="20"/>
                <w:color w:val="auto"/>
              </w:rPr>
              <w:t>70.85</w:t>
            </w:r>
          </w:p>
        </w:tc>
        <w:tc>
          <w:tcPr>
            <w:tcW w:w="80" w:type="dxa"/>
            <w:vAlign w:val="bottom"/>
            <w:shd w:val="clear" w:color="auto" w:fill="D1EEF5"/>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D1EEF5"/>
            </w:tcBorders>
            <w:shd w:val="clear" w:color="auto" w:fill="D1EEF5"/>
          </w:tcPr>
          <w:p>
            <w:pPr>
              <w:spacing w:after="0"/>
              <w:rPr>
                <w:sz w:val="5"/>
                <w:szCs w:val="5"/>
                <w:color w:val="auto"/>
              </w:rPr>
            </w:pPr>
          </w:p>
        </w:tc>
        <w:tc>
          <w:tcPr>
            <w:tcW w:w="40" w:type="dxa"/>
            <w:vAlign w:val="bottom"/>
            <w:tcBorders>
              <w:bottom w:val="single" w:sz="8" w:color="D1EEF5"/>
            </w:tcBorders>
            <w:shd w:val="clear" w:color="auto" w:fill="D1EEF5"/>
          </w:tcPr>
          <w:p>
            <w:pPr>
              <w:spacing w:after="0"/>
              <w:rPr>
                <w:sz w:val="5"/>
                <w:szCs w:val="5"/>
                <w:color w:val="auto"/>
              </w:rPr>
            </w:pPr>
          </w:p>
        </w:tc>
        <w:tc>
          <w:tcPr>
            <w:tcW w:w="1180" w:type="dxa"/>
            <w:vAlign w:val="bottom"/>
            <w:tcBorders>
              <w:bottom w:val="single" w:sz="8" w:color="D1EEF5"/>
            </w:tcBorders>
            <w:shd w:val="clear" w:color="auto" w:fill="D1EEF5"/>
          </w:tcPr>
          <w:p>
            <w:pPr>
              <w:spacing w:after="0"/>
              <w:rPr>
                <w:sz w:val="5"/>
                <w:szCs w:val="5"/>
                <w:color w:val="auto"/>
              </w:rPr>
            </w:pPr>
          </w:p>
        </w:tc>
        <w:tc>
          <w:tcPr>
            <w:tcW w:w="80" w:type="dxa"/>
            <w:vAlign w:val="bottom"/>
            <w:tcBorders>
              <w:bottom w:val="single" w:sz="8" w:color="D1EEF5"/>
            </w:tcBorders>
            <w:shd w:val="clear" w:color="auto" w:fill="D1EEF5"/>
          </w:tcPr>
          <w:p>
            <w:pPr>
              <w:spacing w:after="0"/>
              <w:rPr>
                <w:sz w:val="5"/>
                <w:szCs w:val="5"/>
                <w:color w:val="auto"/>
              </w:rPr>
            </w:pPr>
          </w:p>
        </w:tc>
        <w:tc>
          <w:tcPr>
            <w:tcW w:w="920" w:type="dxa"/>
            <w:vAlign w:val="bottom"/>
            <w:tcBorders>
              <w:bottom w:val="single" w:sz="8" w:color="D1EEF5"/>
            </w:tcBorders>
            <w:gridSpan w:val="2"/>
            <w:vMerge w:val="continue"/>
            <w:shd w:val="clear" w:color="auto" w:fill="D1EEF5"/>
          </w:tcPr>
          <w:p>
            <w:pPr>
              <w:spacing w:after="0"/>
              <w:rPr>
                <w:sz w:val="5"/>
                <w:szCs w:val="5"/>
                <w:color w:val="auto"/>
              </w:rPr>
            </w:pPr>
          </w:p>
        </w:tc>
        <w:tc>
          <w:tcPr>
            <w:tcW w:w="100" w:type="dxa"/>
            <w:vAlign w:val="bottom"/>
            <w:tcBorders>
              <w:bottom w:val="single" w:sz="8" w:color="D1EEF5"/>
            </w:tcBorders>
            <w:shd w:val="clear" w:color="auto" w:fill="D1EEF5"/>
          </w:tcPr>
          <w:p>
            <w:pPr>
              <w:spacing w:after="0"/>
              <w:rPr>
                <w:sz w:val="5"/>
                <w:szCs w:val="5"/>
                <w:color w:val="auto"/>
              </w:rPr>
            </w:pPr>
          </w:p>
        </w:tc>
        <w:tc>
          <w:tcPr>
            <w:tcW w:w="1240" w:type="dxa"/>
            <w:vAlign w:val="bottom"/>
            <w:tcBorders>
              <w:bottom w:val="single" w:sz="8" w:color="D1EEF5"/>
            </w:tcBorders>
            <w:gridSpan w:val="2"/>
            <w:vMerge w:val="continue"/>
            <w:shd w:val="clear" w:color="auto" w:fill="D1EEF5"/>
          </w:tcPr>
          <w:p>
            <w:pPr>
              <w:spacing w:after="0"/>
              <w:rPr>
                <w:sz w:val="5"/>
                <w:szCs w:val="5"/>
                <w:color w:val="auto"/>
              </w:rPr>
            </w:pPr>
          </w:p>
        </w:tc>
        <w:tc>
          <w:tcPr>
            <w:tcW w:w="180" w:type="dxa"/>
            <w:vAlign w:val="bottom"/>
            <w:tcBorders>
              <w:bottom w:val="single" w:sz="8" w:color="D1EEF5"/>
            </w:tcBorders>
            <w:shd w:val="clear" w:color="auto" w:fill="D1EEF5"/>
          </w:tcPr>
          <w:p>
            <w:pPr>
              <w:spacing w:after="0"/>
              <w:rPr>
                <w:sz w:val="5"/>
                <w:szCs w:val="5"/>
                <w:color w:val="auto"/>
              </w:rPr>
            </w:pPr>
          </w:p>
        </w:tc>
        <w:tc>
          <w:tcPr>
            <w:tcW w:w="200" w:type="dxa"/>
            <w:vAlign w:val="bottom"/>
            <w:tcBorders>
              <w:bottom w:val="single" w:sz="8" w:color="D1EEF5"/>
            </w:tcBorders>
            <w:shd w:val="clear" w:color="auto" w:fill="D1EEF5"/>
          </w:tcPr>
          <w:p>
            <w:pPr>
              <w:spacing w:after="0"/>
              <w:rPr>
                <w:sz w:val="5"/>
                <w:szCs w:val="5"/>
                <w:color w:val="auto"/>
              </w:rPr>
            </w:pPr>
          </w:p>
        </w:tc>
        <w:tc>
          <w:tcPr>
            <w:tcW w:w="100" w:type="dxa"/>
            <w:vAlign w:val="bottom"/>
            <w:tcBorders>
              <w:bottom w:val="single" w:sz="8" w:color="D1EEF5"/>
            </w:tcBorders>
            <w:shd w:val="clear" w:color="auto" w:fill="D1EEF5"/>
          </w:tcPr>
          <w:p>
            <w:pPr>
              <w:spacing w:after="0"/>
              <w:rPr>
                <w:sz w:val="5"/>
                <w:szCs w:val="5"/>
                <w:color w:val="auto"/>
              </w:rPr>
            </w:pPr>
          </w:p>
        </w:tc>
        <w:tc>
          <w:tcPr>
            <w:tcW w:w="1720" w:type="dxa"/>
            <w:vAlign w:val="bottom"/>
            <w:tcBorders>
              <w:bottom w:val="single" w:sz="8" w:color="D1EEF5"/>
            </w:tcBorders>
            <w:gridSpan w:val="4"/>
            <w:vMerge w:val="continue"/>
            <w:shd w:val="clear" w:color="auto" w:fill="D1EEF5"/>
          </w:tcPr>
          <w:p>
            <w:pPr>
              <w:spacing w:after="0"/>
              <w:rPr>
                <w:sz w:val="5"/>
                <w:szCs w:val="5"/>
                <w:color w:val="auto"/>
              </w:rPr>
            </w:pPr>
          </w:p>
        </w:tc>
        <w:tc>
          <w:tcPr>
            <w:tcW w:w="80" w:type="dxa"/>
            <w:vAlign w:val="bottom"/>
            <w:tcBorders>
              <w:bottom w:val="single" w:sz="8" w:color="D1EEF5"/>
            </w:tcBorders>
            <w:shd w:val="clear" w:color="auto" w:fill="D1EEF5"/>
          </w:tcPr>
          <w:p>
            <w:pPr>
              <w:spacing w:after="0"/>
              <w:rPr>
                <w:sz w:val="5"/>
                <w:szCs w:val="5"/>
                <w:color w:val="auto"/>
              </w:rPr>
            </w:pPr>
          </w:p>
        </w:tc>
        <w:tc>
          <w:tcPr>
            <w:tcW w:w="980" w:type="dxa"/>
            <w:vAlign w:val="bottom"/>
            <w:tcBorders>
              <w:bottom w:val="single" w:sz="8" w:color="D1EEF5"/>
            </w:tcBorders>
            <w:gridSpan w:val="3"/>
            <w:vMerge w:val="continue"/>
            <w:shd w:val="clear" w:color="auto" w:fill="D1EEF5"/>
          </w:tcPr>
          <w:p>
            <w:pPr>
              <w:spacing w:after="0"/>
              <w:rPr>
                <w:sz w:val="5"/>
                <w:szCs w:val="5"/>
                <w:color w:val="auto"/>
              </w:rPr>
            </w:pPr>
          </w:p>
        </w:tc>
        <w:tc>
          <w:tcPr>
            <w:tcW w:w="180" w:type="dxa"/>
            <w:vAlign w:val="bottom"/>
            <w:tcBorders>
              <w:bottom w:val="single" w:sz="8" w:color="D1EEF5"/>
            </w:tcBorders>
            <w:shd w:val="clear" w:color="auto" w:fill="D1EEF5"/>
          </w:tcPr>
          <w:p>
            <w:pPr>
              <w:spacing w:after="0"/>
              <w:rPr>
                <w:sz w:val="5"/>
                <w:szCs w:val="5"/>
                <w:color w:val="auto"/>
              </w:rPr>
            </w:pPr>
          </w:p>
        </w:tc>
        <w:tc>
          <w:tcPr>
            <w:tcW w:w="980" w:type="dxa"/>
            <w:vAlign w:val="bottom"/>
            <w:tcBorders>
              <w:bottom w:val="single" w:sz="8" w:color="D1EEF5"/>
            </w:tcBorders>
            <w:vMerge w:val="continue"/>
            <w:shd w:val="clear" w:color="auto" w:fill="D1EEF5"/>
          </w:tcPr>
          <w:p>
            <w:pPr>
              <w:spacing w:after="0"/>
              <w:rPr>
                <w:sz w:val="5"/>
                <w:szCs w:val="5"/>
                <w:color w:val="auto"/>
              </w:rPr>
            </w:pPr>
          </w:p>
        </w:tc>
        <w:tc>
          <w:tcPr>
            <w:tcW w:w="40" w:type="dxa"/>
            <w:vAlign w:val="bottom"/>
            <w:tcBorders>
              <w:bottom w:val="single" w:sz="8" w:color="D1EEF5"/>
            </w:tcBorders>
            <w:shd w:val="clear" w:color="auto" w:fill="D1EEF5"/>
          </w:tcPr>
          <w:p>
            <w:pPr>
              <w:spacing w:after="0"/>
              <w:rPr>
                <w:sz w:val="5"/>
                <w:szCs w:val="5"/>
                <w:color w:val="auto"/>
              </w:rPr>
            </w:pPr>
          </w:p>
        </w:tc>
        <w:tc>
          <w:tcPr>
            <w:tcW w:w="80" w:type="dxa"/>
            <w:vAlign w:val="bottom"/>
            <w:tcBorders>
              <w:bottom w:val="single" w:sz="8" w:color="D1EEF5"/>
            </w:tcBorders>
            <w:shd w:val="clear" w:color="auto" w:fill="D1EEF5"/>
          </w:tcPr>
          <w:p>
            <w:pPr>
              <w:spacing w:after="0"/>
              <w:rPr>
                <w:sz w:val="5"/>
                <w:szCs w:val="5"/>
                <w:color w:val="auto"/>
              </w:rPr>
            </w:pPr>
          </w:p>
        </w:tc>
        <w:tc>
          <w:tcPr>
            <w:tcW w:w="1100" w:type="dxa"/>
            <w:vAlign w:val="bottom"/>
            <w:tcBorders>
              <w:bottom w:val="single" w:sz="8" w:color="D1EEF5"/>
            </w:tcBorders>
            <w:gridSpan w:val="4"/>
            <w:vMerge w:val="continue"/>
            <w:shd w:val="clear" w:color="auto" w:fill="D1EEF5"/>
          </w:tcPr>
          <w:p>
            <w:pPr>
              <w:spacing w:after="0"/>
              <w:rPr>
                <w:sz w:val="5"/>
                <w:szCs w:val="5"/>
                <w:color w:val="auto"/>
              </w:rPr>
            </w:pPr>
          </w:p>
        </w:tc>
        <w:tc>
          <w:tcPr>
            <w:tcW w:w="80" w:type="dxa"/>
            <w:vAlign w:val="bottom"/>
            <w:tcBorders>
              <w:bottom w:val="single" w:sz="8" w:color="D1EEF5"/>
            </w:tcBorders>
            <w:shd w:val="clear" w:color="auto" w:fill="D1EEF5"/>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jc w:val="right"/>
              <w:ind w:right="860"/>
              <w:spacing w:after="0"/>
              <w:rPr>
                <w:sz w:val="20"/>
                <w:szCs w:val="20"/>
                <w:color w:val="auto"/>
              </w:rPr>
            </w:pPr>
            <w:r>
              <w:rPr>
                <w:rFonts w:ascii="Times New Roman" w:cs="Times New Roman" w:eastAsia="Times New Roman" w:hAnsi="Times New Roman"/>
                <w:sz w:val="20"/>
                <w:szCs w:val="20"/>
                <w:color w:val="auto"/>
              </w:rPr>
              <w:t>134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1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5942965</wp:posOffset>
                </wp:positionH>
                <wp:positionV relativeFrom="paragraph">
                  <wp:posOffset>-16510</wp:posOffset>
                </wp:positionV>
                <wp:extent cx="0" cy="16510"/>
                <wp:wrapNone/>
                <wp:docPr id="799" name="Shape 7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799" o:spid="_x0000_s18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2999pt" to="467.95pt,0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-19685</wp:posOffset>
                </wp:positionV>
                <wp:extent cx="0" cy="19685"/>
                <wp:wrapNone/>
                <wp:docPr id="800" name="Shape 8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00" o:spid="_x0000_s18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5499pt" to="0.1pt,0pt" o:allowincell="f" strokecolor="#A0A0A0" strokeweight="0.24pt"/>
            </w:pict>
          </mc:Fallback>
        </mc:AlternateContent>
      </w:r>
    </w:p>
    <w:p>
      <w:pPr>
        <w:sectPr>
          <w:pgSz w:w="12240" w:h="15840" w:orient="portrait"/>
          <w:cols w:equalWidth="0" w:num="1">
            <w:col w:w="9360"/>
          </w:cols>
          <w:pgMar w:left="1440" w:top="1422"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1"/>
        </w:trPr>
        <w:tc>
          <w:tcPr>
            <w:tcW w:w="2300" w:type="dxa"/>
            <w:vAlign w:val="bottom"/>
            <w:shd w:val="clear" w:color="auto" w:fill="D1EEF5"/>
          </w:tcPr>
          <w:p>
            <w:pPr>
              <w:spacing w:after="0"/>
              <w:rPr>
                <w:sz w:val="20"/>
                <w:szCs w:val="20"/>
                <w:color w:val="auto"/>
              </w:rPr>
            </w:pP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4/29/21</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6/25/21</w:t>
            </w:r>
          </w:p>
        </w:tc>
      </w:tr>
      <w:tr>
        <w:trPr>
          <w:trHeight w:val="230"/>
        </w:trPr>
        <w:tc>
          <w:tcPr>
            <w:tcW w:w="2300" w:type="dxa"/>
            <w:vAlign w:val="bottom"/>
            <w:shd w:val="clear" w:color="auto" w:fill="D1EEF5"/>
          </w:tcPr>
          <w:p>
            <w:pPr>
              <w:spacing w:after="0"/>
              <w:rPr>
                <w:sz w:val="20"/>
                <w:szCs w:val="20"/>
                <w:color w:val="auto"/>
              </w:rPr>
            </w:pP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3/10/21</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3/5/21</w:t>
            </w:r>
          </w:p>
        </w:tc>
      </w:tr>
      <w:tr>
        <w:trPr>
          <w:trHeight w:val="228"/>
        </w:trPr>
        <w:tc>
          <w:tcPr>
            <w:tcW w:w="2300" w:type="dxa"/>
            <w:vAlign w:val="bottom"/>
            <w:shd w:val="clear" w:color="auto" w:fill="D1EEF5"/>
          </w:tcPr>
          <w:p>
            <w:pPr>
              <w:spacing w:after="0"/>
              <w:rPr>
                <w:sz w:val="19"/>
                <w:szCs w:val="19"/>
                <w:color w:val="auto"/>
              </w:rPr>
            </w:pPr>
          </w:p>
        </w:tc>
        <w:tc>
          <w:tcPr>
            <w:tcW w:w="1320" w:type="dxa"/>
            <w:vAlign w:val="bottom"/>
            <w:shd w:val="clear" w:color="auto" w:fill="D1EEF5"/>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3/30/20</w:t>
            </w:r>
          </w:p>
        </w:tc>
        <w:tc>
          <w:tcPr>
            <w:tcW w:w="1320" w:type="dxa"/>
            <w:vAlign w:val="bottom"/>
            <w:shd w:val="clear" w:color="auto" w:fill="D1EEF5"/>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2/20/20</w:t>
            </w:r>
          </w:p>
        </w:tc>
      </w:tr>
      <w:tr>
        <w:trPr>
          <w:trHeight w:val="230"/>
        </w:trPr>
        <w:tc>
          <w:tcPr>
            <w:tcW w:w="2300" w:type="dxa"/>
            <w:vAlign w:val="bottom"/>
            <w:shd w:val="clear" w:color="auto" w:fill="D1EEF5"/>
          </w:tcPr>
          <w:p>
            <w:pPr>
              <w:spacing w:after="0"/>
              <w:rPr>
                <w:sz w:val="20"/>
                <w:szCs w:val="20"/>
                <w:color w:val="auto"/>
              </w:rPr>
            </w:pP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9/16/19</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9/9/19</w:t>
            </w:r>
          </w:p>
        </w:tc>
      </w:tr>
      <w:tr>
        <w:trPr>
          <w:trHeight w:val="212"/>
        </w:trPr>
        <w:tc>
          <w:tcPr>
            <w:tcW w:w="2300" w:type="dxa"/>
            <w:vAlign w:val="bottom"/>
          </w:tcPr>
          <w:p>
            <w:pPr>
              <w:ind w:left="120"/>
              <w:spacing w:after="0" w:line="212" w:lineRule="exact"/>
              <w:rPr>
                <w:sz w:val="20"/>
                <w:szCs w:val="20"/>
                <w:color w:val="auto"/>
              </w:rPr>
            </w:pPr>
            <w:r>
              <w:rPr>
                <w:rFonts w:ascii="Times New Roman" w:cs="Times New Roman" w:eastAsia="Times New Roman" w:hAnsi="Times New Roman"/>
                <w:sz w:val="20"/>
                <w:szCs w:val="20"/>
                <w:color w:val="auto"/>
              </w:rPr>
              <w:t>Samuel Whiting</w:t>
            </w:r>
          </w:p>
        </w:tc>
        <w:tc>
          <w:tcPr>
            <w:tcW w:w="1320" w:type="dxa"/>
            <w:vAlign w:val="bottom"/>
          </w:tcPr>
          <w:p>
            <w:pPr>
              <w:jc w:val="right"/>
              <w:ind w:right="20"/>
              <w:spacing w:after="0" w:line="212" w:lineRule="exact"/>
              <w:rPr>
                <w:sz w:val="20"/>
                <w:szCs w:val="20"/>
                <w:color w:val="auto"/>
              </w:rPr>
            </w:pPr>
            <w:r>
              <w:rPr>
                <w:rFonts w:ascii="Times New Roman" w:cs="Times New Roman" w:eastAsia="Times New Roman" w:hAnsi="Times New Roman"/>
                <w:sz w:val="20"/>
                <w:szCs w:val="20"/>
                <w:color w:val="auto"/>
              </w:rPr>
              <w:t>1/2/2025</w:t>
            </w:r>
          </w:p>
        </w:tc>
        <w:tc>
          <w:tcPr>
            <w:tcW w:w="1320" w:type="dxa"/>
            <w:vAlign w:val="bottom"/>
          </w:tcPr>
          <w:p>
            <w:pPr>
              <w:jc w:val="right"/>
              <w:ind w:right="20"/>
              <w:spacing w:after="0" w:line="212" w:lineRule="exact"/>
              <w:rPr>
                <w:sz w:val="20"/>
                <w:szCs w:val="20"/>
                <w:color w:val="auto"/>
              </w:rPr>
            </w:pPr>
            <w:r>
              <w:rPr>
                <w:rFonts w:ascii="Times New Roman" w:cs="Times New Roman" w:eastAsia="Times New Roman" w:hAnsi="Times New Roman"/>
                <w:sz w:val="20"/>
                <w:szCs w:val="20"/>
                <w:color w:val="auto"/>
              </w:rPr>
              <w:t>1/2/2025</w:t>
            </w:r>
          </w:p>
        </w:tc>
      </w:tr>
      <w:tr>
        <w:trPr>
          <w:trHeight w:val="230"/>
        </w:trPr>
        <w:tc>
          <w:tcPr>
            <w:tcW w:w="23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1/3/2024</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1/3/2024</w:t>
            </w:r>
          </w:p>
        </w:tc>
      </w:tr>
      <w:tr>
        <w:trPr>
          <w:trHeight w:val="230"/>
        </w:trPr>
        <w:tc>
          <w:tcPr>
            <w:tcW w:w="23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10/11/23</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10/11/23</w:t>
            </w:r>
          </w:p>
        </w:tc>
      </w:tr>
      <w:tr>
        <w:trPr>
          <w:trHeight w:val="228"/>
        </w:trPr>
        <w:tc>
          <w:tcPr>
            <w:tcW w:w="2300" w:type="dxa"/>
            <w:vAlign w:val="bottom"/>
          </w:tcPr>
          <w:p>
            <w:pPr>
              <w:spacing w:after="0"/>
              <w:rPr>
                <w:sz w:val="19"/>
                <w:szCs w:val="19"/>
                <w:color w:val="auto"/>
              </w:rPr>
            </w:pPr>
          </w:p>
        </w:tc>
        <w:tc>
          <w:tcPr>
            <w:tcW w:w="1320" w:type="dxa"/>
            <w:vAlign w:val="bottom"/>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1/3/23</w:t>
            </w:r>
          </w:p>
        </w:tc>
        <w:tc>
          <w:tcPr>
            <w:tcW w:w="1320" w:type="dxa"/>
            <w:vAlign w:val="bottom"/>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1/3/23</w:t>
            </w:r>
          </w:p>
        </w:tc>
      </w:tr>
      <w:tr>
        <w:trPr>
          <w:trHeight w:val="230"/>
        </w:trPr>
        <w:tc>
          <w:tcPr>
            <w:tcW w:w="23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6/21/22</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6/21/22</w:t>
            </w:r>
          </w:p>
        </w:tc>
      </w:tr>
      <w:tr>
        <w:trPr>
          <w:trHeight w:val="230"/>
        </w:trPr>
        <w:tc>
          <w:tcPr>
            <w:tcW w:w="23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1/4/22</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1/4/22</w:t>
            </w:r>
          </w:p>
        </w:tc>
      </w:tr>
      <w:tr>
        <w:trPr>
          <w:trHeight w:val="230"/>
        </w:trPr>
        <w:tc>
          <w:tcPr>
            <w:tcW w:w="23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4/29/21</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6/25/21</w:t>
            </w:r>
          </w:p>
        </w:tc>
      </w:tr>
      <w:tr>
        <w:trPr>
          <w:trHeight w:val="230"/>
        </w:trPr>
        <w:tc>
          <w:tcPr>
            <w:tcW w:w="230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3/10/21</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3/5/21</w:t>
            </w:r>
          </w:p>
        </w:tc>
      </w:tr>
      <w:tr>
        <w:trPr>
          <w:trHeight w:val="249"/>
        </w:trPr>
        <w:tc>
          <w:tcPr>
            <w:tcW w:w="230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11/16/20</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11/16/20</w:t>
            </w:r>
          </w:p>
        </w:tc>
      </w:tr>
      <w:tr>
        <w:trPr>
          <w:trHeight w:val="230"/>
        </w:trPr>
        <w:tc>
          <w:tcPr>
            <w:tcW w:w="2300" w:type="dxa"/>
            <w:vAlign w:val="bottom"/>
            <w:shd w:val="clear" w:color="auto" w:fill="D1EEF5"/>
          </w:tcPr>
          <w:p>
            <w:pPr>
              <w:ind w:left="120"/>
              <w:spacing w:after="0"/>
              <w:rPr>
                <w:sz w:val="20"/>
                <w:szCs w:val="20"/>
                <w:color w:val="auto"/>
              </w:rPr>
            </w:pPr>
            <w:r>
              <w:rPr>
                <w:rFonts w:ascii="Times New Roman" w:cs="Times New Roman" w:eastAsia="Times New Roman" w:hAnsi="Times New Roman"/>
                <w:sz w:val="20"/>
                <w:szCs w:val="20"/>
                <w:color w:val="auto"/>
              </w:rPr>
              <w:t>Nicholas Maestas</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1/2/2025</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1/2/2025</w:t>
            </w:r>
          </w:p>
        </w:tc>
      </w:tr>
      <w:tr>
        <w:trPr>
          <w:trHeight w:val="228"/>
        </w:trPr>
        <w:tc>
          <w:tcPr>
            <w:tcW w:w="2300" w:type="dxa"/>
            <w:vAlign w:val="bottom"/>
            <w:shd w:val="clear" w:color="auto" w:fill="D1EEF5"/>
          </w:tcPr>
          <w:p>
            <w:pPr>
              <w:spacing w:after="0"/>
              <w:rPr>
                <w:sz w:val="19"/>
                <w:szCs w:val="19"/>
                <w:color w:val="auto"/>
              </w:rPr>
            </w:pPr>
          </w:p>
        </w:tc>
        <w:tc>
          <w:tcPr>
            <w:tcW w:w="1320" w:type="dxa"/>
            <w:vAlign w:val="bottom"/>
            <w:shd w:val="clear" w:color="auto" w:fill="D1EEF5"/>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1/3/2024</w:t>
            </w:r>
          </w:p>
        </w:tc>
        <w:tc>
          <w:tcPr>
            <w:tcW w:w="1320" w:type="dxa"/>
            <w:vAlign w:val="bottom"/>
            <w:shd w:val="clear" w:color="auto" w:fill="D1EEF5"/>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1/3/2024</w:t>
            </w:r>
          </w:p>
        </w:tc>
      </w:tr>
      <w:tr>
        <w:trPr>
          <w:trHeight w:val="231"/>
        </w:trPr>
        <w:tc>
          <w:tcPr>
            <w:tcW w:w="2300" w:type="dxa"/>
            <w:vAlign w:val="bottom"/>
            <w:shd w:val="clear" w:color="auto" w:fill="D1EEF5"/>
          </w:tcPr>
          <w:p>
            <w:pPr>
              <w:spacing w:after="0"/>
              <w:rPr>
                <w:sz w:val="20"/>
                <w:szCs w:val="20"/>
                <w:color w:val="auto"/>
              </w:rPr>
            </w:pP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10/11/23</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10/11/23</w:t>
            </w:r>
          </w:p>
        </w:tc>
      </w:tr>
      <w:tr>
        <w:trPr>
          <w:trHeight w:val="230"/>
        </w:trPr>
        <w:tc>
          <w:tcPr>
            <w:tcW w:w="2300" w:type="dxa"/>
            <w:vAlign w:val="bottom"/>
            <w:shd w:val="clear" w:color="auto" w:fill="D1EEF5"/>
          </w:tcPr>
          <w:p>
            <w:pPr>
              <w:spacing w:after="0"/>
              <w:rPr>
                <w:sz w:val="20"/>
                <w:szCs w:val="20"/>
                <w:color w:val="auto"/>
              </w:rPr>
            </w:pP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1/3/23</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1/3/23</w:t>
            </w:r>
          </w:p>
        </w:tc>
      </w:tr>
      <w:tr>
        <w:trPr>
          <w:trHeight w:val="230"/>
        </w:trPr>
        <w:tc>
          <w:tcPr>
            <w:tcW w:w="2300" w:type="dxa"/>
            <w:vAlign w:val="bottom"/>
            <w:shd w:val="clear" w:color="auto" w:fill="D1EEF5"/>
          </w:tcPr>
          <w:p>
            <w:pPr>
              <w:spacing w:after="0"/>
              <w:rPr>
                <w:sz w:val="20"/>
                <w:szCs w:val="20"/>
                <w:color w:val="auto"/>
              </w:rPr>
            </w:pP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6/21/22</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6/21/22</w:t>
            </w:r>
          </w:p>
        </w:tc>
      </w:tr>
      <w:tr>
        <w:trPr>
          <w:trHeight w:val="230"/>
        </w:trPr>
        <w:tc>
          <w:tcPr>
            <w:tcW w:w="2300" w:type="dxa"/>
            <w:vAlign w:val="bottom"/>
            <w:shd w:val="clear" w:color="auto" w:fill="D1EEF5"/>
          </w:tcPr>
          <w:p>
            <w:pPr>
              <w:spacing w:after="0"/>
              <w:rPr>
                <w:sz w:val="20"/>
                <w:szCs w:val="20"/>
                <w:color w:val="auto"/>
              </w:rPr>
            </w:pP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1/4/22</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1/4/22</w:t>
            </w:r>
          </w:p>
        </w:tc>
      </w:tr>
      <w:tr>
        <w:trPr>
          <w:trHeight w:val="230"/>
        </w:trPr>
        <w:tc>
          <w:tcPr>
            <w:tcW w:w="2300" w:type="dxa"/>
            <w:vAlign w:val="bottom"/>
            <w:shd w:val="clear" w:color="auto" w:fill="D1EEF5"/>
          </w:tcPr>
          <w:p>
            <w:pPr>
              <w:spacing w:after="0"/>
              <w:rPr>
                <w:sz w:val="20"/>
                <w:szCs w:val="20"/>
                <w:color w:val="auto"/>
              </w:rPr>
            </w:pP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7/12/21</w:t>
            </w:r>
          </w:p>
        </w:tc>
        <w:tc>
          <w:tcPr>
            <w:tcW w:w="1320" w:type="dxa"/>
            <w:vAlign w:val="bottom"/>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7/12/21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228600</wp:posOffset>
                </wp:positionV>
                <wp:extent cx="5980430" cy="0"/>
                <wp:wrapNone/>
                <wp:docPr id="801" name="Shape 8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043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01" o:spid="_x0000_s18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8pt" to="469.5pt,18pt" o:allowincell="f" strokecolor="#000000" strokeweight="0.96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20" w:type="dxa"/>
            <w:vAlign w:val="bottom"/>
            <w:shd w:val="clear" w:color="auto" w:fill="D1EEF5"/>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rPr>
                <w:sz w:val="20"/>
                <w:szCs w:val="20"/>
                <w:color w:val="auto"/>
              </w:rPr>
            </w:pPr>
            <w:r>
              <w:rPr>
                <w:rFonts w:ascii="Times New Roman" w:cs="Times New Roman" w:eastAsia="Times New Roman" w:hAnsi="Times New Roman"/>
                <w:sz w:val="20"/>
                <w:szCs w:val="20"/>
                <w:color w:val="auto"/>
              </w:rPr>
              <w:t>4/28/31</w:t>
            </w:r>
          </w:p>
        </w:tc>
        <w:tc>
          <w:tcPr>
            <w:tcW w:w="940" w:type="dxa"/>
            <w:vAlign w:val="bottom"/>
            <w:vMerge w:val="restart"/>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4,909</w:t>
            </w:r>
          </w:p>
        </w:tc>
        <w:tc>
          <w:tcPr>
            <w:tcW w:w="100" w:type="dxa"/>
            <w:vAlign w:val="bottom"/>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EF5"/>
          </w:tcPr>
          <w:p>
            <w:pPr>
              <w:spacing w:after="0"/>
              <w:rPr>
                <w:sz w:val="12"/>
                <w:szCs w:val="12"/>
                <w:color w:val="auto"/>
              </w:rPr>
            </w:pPr>
          </w:p>
        </w:tc>
        <w:tc>
          <w:tcPr>
            <w:tcW w:w="980" w:type="dxa"/>
            <w:vAlign w:val="bottom"/>
            <w:gridSpan w:val="2"/>
            <w:vMerge w:val="restart"/>
            <w:shd w:val="clear" w:color="auto" w:fill="D1EEF5"/>
          </w:tcPr>
          <w:p>
            <w:pPr>
              <w:jc w:val="right"/>
              <w:ind w:right="120"/>
              <w:spacing w:after="0"/>
              <w:rPr>
                <w:sz w:val="20"/>
                <w:szCs w:val="20"/>
                <w:color w:val="auto"/>
              </w:rPr>
            </w:pPr>
            <w:r>
              <w:rPr>
                <w:rFonts w:ascii="Times New Roman" w:cs="Times New Roman" w:eastAsia="Times New Roman" w:hAnsi="Times New Roman"/>
                <w:sz w:val="20"/>
                <w:szCs w:val="20"/>
                <w:color w:val="auto"/>
              </w:rPr>
              <w:t>343.20</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restart"/>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restart"/>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D1EEF5"/>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rPr>
                <w:sz w:val="20"/>
                <w:szCs w:val="20"/>
                <w:color w:val="auto"/>
              </w:rPr>
            </w:pPr>
            <w:r>
              <w:rPr>
                <w:rFonts w:ascii="Times New Roman" w:cs="Times New Roman" w:eastAsia="Times New Roman" w:hAnsi="Times New Roman"/>
                <w:sz w:val="20"/>
                <w:szCs w:val="20"/>
                <w:color w:val="auto"/>
              </w:rPr>
              <w:t>3/9/31</w:t>
            </w:r>
          </w:p>
        </w:tc>
        <w:tc>
          <w:tcPr>
            <w:tcW w:w="940" w:type="dxa"/>
            <w:vAlign w:val="bottom"/>
            <w:vMerge w:val="restart"/>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619</w:t>
            </w:r>
          </w:p>
        </w:tc>
        <w:tc>
          <w:tcPr>
            <w:tcW w:w="100" w:type="dxa"/>
            <w:vAlign w:val="bottom"/>
            <w:vMerge w:val="restart"/>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D1EEF5"/>
          </w:tcPr>
          <w:p>
            <w:pPr>
              <w:spacing w:after="0"/>
              <w:rPr>
                <w:sz w:val="12"/>
                <w:szCs w:val="12"/>
                <w:color w:val="auto"/>
              </w:rPr>
            </w:pPr>
          </w:p>
        </w:tc>
        <w:tc>
          <w:tcPr>
            <w:tcW w:w="980" w:type="dxa"/>
            <w:vAlign w:val="bottom"/>
            <w:gridSpan w:val="2"/>
            <w:vMerge w:val="restart"/>
            <w:shd w:val="clear" w:color="auto" w:fill="D1EEF5"/>
          </w:tcPr>
          <w:p>
            <w:pPr>
              <w:jc w:val="right"/>
              <w:ind w:right="120"/>
              <w:spacing w:after="0"/>
              <w:rPr>
                <w:sz w:val="20"/>
                <w:szCs w:val="20"/>
                <w:color w:val="auto"/>
              </w:rPr>
            </w:pPr>
            <w:r>
              <w:rPr>
                <w:rFonts w:ascii="Times New Roman" w:cs="Times New Roman" w:eastAsia="Times New Roman" w:hAnsi="Times New Roman"/>
                <w:sz w:val="20"/>
                <w:szCs w:val="20"/>
                <w:color w:val="auto"/>
              </w:rPr>
              <w:t>133.25</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D1EEF5"/>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line="228" w:lineRule="exact"/>
              <w:rPr>
                <w:sz w:val="20"/>
                <w:szCs w:val="20"/>
                <w:color w:val="auto"/>
              </w:rPr>
            </w:pPr>
            <w:r>
              <w:rPr>
                <w:rFonts w:ascii="Times New Roman" w:cs="Times New Roman" w:eastAsia="Times New Roman" w:hAnsi="Times New Roman"/>
                <w:sz w:val="20"/>
                <w:szCs w:val="20"/>
                <w:color w:val="auto"/>
              </w:rPr>
              <w:t>3/29/30</w:t>
            </w:r>
          </w:p>
        </w:tc>
        <w:tc>
          <w:tcPr>
            <w:tcW w:w="940" w:type="dxa"/>
            <w:vAlign w:val="bottom"/>
            <w:vMerge w:val="restart"/>
            <w:shd w:val="clear" w:color="auto" w:fill="D1EEF5"/>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5,404</w:t>
            </w:r>
          </w:p>
        </w:tc>
        <w:tc>
          <w:tcPr>
            <w:tcW w:w="100" w:type="dxa"/>
            <w:vAlign w:val="bottom"/>
            <w:vMerge w:val="restart"/>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D1EEF5"/>
          </w:tcPr>
          <w:p>
            <w:pPr>
              <w:spacing w:after="0"/>
              <w:rPr>
                <w:sz w:val="12"/>
                <w:szCs w:val="12"/>
                <w:color w:val="auto"/>
              </w:rPr>
            </w:pPr>
          </w:p>
        </w:tc>
        <w:tc>
          <w:tcPr>
            <w:tcW w:w="860" w:type="dxa"/>
            <w:vAlign w:val="bottom"/>
            <w:vMerge w:val="restart"/>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rPr>
              <w:t>76.70</w:t>
            </w:r>
          </w:p>
        </w:tc>
        <w:tc>
          <w:tcPr>
            <w:tcW w:w="120" w:type="dxa"/>
            <w:vAlign w:val="bottom"/>
            <w:vMerge w:val="restart"/>
            <w:shd w:val="clear" w:color="auto" w:fill="D1EEF5"/>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860" w:type="dxa"/>
            <w:vAlign w:val="bottom"/>
            <w:vMerge w:val="continue"/>
            <w:shd w:val="clear" w:color="auto" w:fill="D1EEF5"/>
          </w:tcPr>
          <w:p>
            <w:pPr>
              <w:spacing w:after="0"/>
              <w:rPr>
                <w:sz w:val="3"/>
                <w:szCs w:val="3"/>
                <w:color w:val="auto"/>
              </w:rPr>
            </w:pPr>
          </w:p>
        </w:tc>
        <w:tc>
          <w:tcPr>
            <w:tcW w:w="120" w:type="dxa"/>
            <w:vAlign w:val="bottom"/>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860" w:type="dxa"/>
            <w:vAlign w:val="bottom"/>
            <w:vMerge w:val="continue"/>
            <w:shd w:val="clear" w:color="auto" w:fill="D1EEF5"/>
          </w:tcPr>
          <w:p>
            <w:pPr>
              <w:spacing w:after="0"/>
              <w:rPr>
                <w:sz w:val="3"/>
                <w:szCs w:val="3"/>
                <w:color w:val="auto"/>
              </w:rPr>
            </w:pPr>
          </w:p>
        </w:tc>
        <w:tc>
          <w:tcPr>
            <w:tcW w:w="120" w:type="dxa"/>
            <w:vAlign w:val="bottom"/>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320" w:type="dxa"/>
            <w:vAlign w:val="bottom"/>
            <w:shd w:val="clear" w:color="auto" w:fill="D1EEF5"/>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shd w:val="clear" w:color="auto" w:fill="D1EEF5"/>
          </w:tcPr>
          <w:p>
            <w:pPr>
              <w:jc w:val="right"/>
              <w:ind w:right="160"/>
              <w:spacing w:after="0" w:line="210" w:lineRule="exact"/>
              <w:rPr>
                <w:sz w:val="20"/>
                <w:szCs w:val="20"/>
                <w:color w:val="auto"/>
              </w:rPr>
            </w:pPr>
            <w:r>
              <w:rPr>
                <w:rFonts w:ascii="Times New Roman" w:cs="Times New Roman" w:eastAsia="Times New Roman" w:hAnsi="Times New Roman"/>
                <w:sz w:val="20"/>
                <w:szCs w:val="20"/>
                <w:color w:val="auto"/>
              </w:rPr>
              <w:t>9/15/29</w:t>
            </w:r>
          </w:p>
        </w:tc>
        <w:tc>
          <w:tcPr>
            <w:tcW w:w="940" w:type="dxa"/>
            <w:vAlign w:val="bottom"/>
            <w:vMerge w:val="restart"/>
            <w:shd w:val="clear" w:color="auto" w:fill="D1EEF5"/>
          </w:tcPr>
          <w:p>
            <w:pPr>
              <w:jc w:val="right"/>
              <w:ind w:right="20"/>
              <w:spacing w:after="0" w:line="210" w:lineRule="exact"/>
              <w:rPr>
                <w:sz w:val="20"/>
                <w:szCs w:val="20"/>
                <w:color w:val="auto"/>
              </w:rPr>
            </w:pPr>
            <w:r>
              <w:rPr>
                <w:rFonts w:ascii="Times New Roman" w:cs="Times New Roman" w:eastAsia="Times New Roman" w:hAnsi="Times New Roman"/>
                <w:sz w:val="20"/>
                <w:szCs w:val="20"/>
                <w:color w:val="auto"/>
              </w:rPr>
              <w:t>8,494</w:t>
            </w:r>
          </w:p>
        </w:tc>
        <w:tc>
          <w:tcPr>
            <w:tcW w:w="100" w:type="dxa"/>
            <w:vAlign w:val="bottom"/>
            <w:vMerge w:val="restart"/>
            <w:shd w:val="clear" w:color="auto" w:fill="D1EEF5"/>
          </w:tcPr>
          <w:p>
            <w:pPr>
              <w:spacing w:after="0"/>
              <w:rPr>
                <w:sz w:val="13"/>
                <w:szCs w:val="13"/>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D1EEF5"/>
          </w:tcPr>
          <w:p>
            <w:pPr>
              <w:spacing w:after="0"/>
              <w:rPr>
                <w:sz w:val="13"/>
                <w:szCs w:val="13"/>
                <w:color w:val="auto"/>
              </w:rPr>
            </w:pPr>
          </w:p>
        </w:tc>
        <w:tc>
          <w:tcPr>
            <w:tcW w:w="860" w:type="dxa"/>
            <w:vAlign w:val="bottom"/>
            <w:vMerge w:val="restart"/>
            <w:shd w:val="clear" w:color="auto" w:fill="D1EEF5"/>
          </w:tcPr>
          <w:p>
            <w:pPr>
              <w:jc w:val="right"/>
              <w:spacing w:after="0" w:line="210" w:lineRule="exact"/>
              <w:rPr>
                <w:sz w:val="20"/>
                <w:szCs w:val="20"/>
                <w:color w:val="auto"/>
              </w:rPr>
            </w:pPr>
            <w:r>
              <w:rPr>
                <w:rFonts w:ascii="Times New Roman" w:cs="Times New Roman" w:eastAsia="Times New Roman" w:hAnsi="Times New Roman"/>
                <w:sz w:val="20"/>
                <w:szCs w:val="20"/>
                <w:color w:val="auto"/>
              </w:rPr>
              <w:t>64.61</w:t>
            </w:r>
          </w:p>
        </w:tc>
        <w:tc>
          <w:tcPr>
            <w:tcW w:w="120" w:type="dxa"/>
            <w:vAlign w:val="bottom"/>
            <w:shd w:val="clear" w:color="auto" w:fill="D1EEF5"/>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20" w:type="dxa"/>
            <w:vAlign w:val="bottom"/>
            <w:vMerge w:val="restart"/>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5"/>
                <w:szCs w:val="5"/>
                <w:color w:val="auto"/>
              </w:rPr>
            </w:pPr>
          </w:p>
        </w:tc>
        <w:tc>
          <w:tcPr>
            <w:tcW w:w="1480" w:type="dxa"/>
            <w:vAlign w:val="bottom"/>
            <w:tcBorders>
              <w:bottom w:val="single" w:sz="8" w:color="D1EEF5"/>
            </w:tcBorders>
            <w:vMerge w:val="continue"/>
            <w:shd w:val="clear" w:color="auto" w:fill="D1EEF5"/>
          </w:tcPr>
          <w:p>
            <w:pPr>
              <w:spacing w:after="0"/>
              <w:rPr>
                <w:sz w:val="5"/>
                <w:szCs w:val="5"/>
                <w:color w:val="auto"/>
              </w:rPr>
            </w:pPr>
          </w:p>
        </w:tc>
        <w:tc>
          <w:tcPr>
            <w:tcW w:w="940" w:type="dxa"/>
            <w:vAlign w:val="bottom"/>
            <w:tcBorders>
              <w:bottom w:val="single" w:sz="8" w:color="D1EEF5"/>
            </w:tcBorders>
            <w:vMerge w:val="continue"/>
            <w:shd w:val="clear" w:color="auto" w:fill="D1EEF5"/>
          </w:tcPr>
          <w:p>
            <w:pPr>
              <w:spacing w:after="0"/>
              <w:rPr>
                <w:sz w:val="5"/>
                <w:szCs w:val="5"/>
                <w:color w:val="auto"/>
              </w:rPr>
            </w:pPr>
          </w:p>
        </w:tc>
        <w:tc>
          <w:tcPr>
            <w:tcW w:w="100" w:type="dxa"/>
            <w:vAlign w:val="bottom"/>
            <w:tcBorders>
              <w:bottom w:val="single" w:sz="8" w:color="D1EEF5"/>
            </w:tcBorders>
            <w:vMerge w:val="continue"/>
            <w:shd w:val="clear" w:color="auto" w:fill="D1EEF5"/>
          </w:tcPr>
          <w:p>
            <w:pPr>
              <w:spacing w:after="0"/>
              <w:rPr>
                <w:sz w:val="5"/>
                <w:szCs w:val="5"/>
                <w:color w:val="auto"/>
              </w:rPr>
            </w:pPr>
          </w:p>
        </w:tc>
        <w:tc>
          <w:tcPr>
            <w:tcW w:w="180" w:type="dxa"/>
            <w:vAlign w:val="bottom"/>
            <w:tcBorders>
              <w:bottom w:val="single" w:sz="8" w:color="D1EEF5"/>
            </w:tcBorders>
            <w:vMerge w:val="continue"/>
            <w:shd w:val="clear" w:color="auto" w:fill="D1EEF5"/>
          </w:tcPr>
          <w:p>
            <w:pPr>
              <w:spacing w:after="0"/>
              <w:rPr>
                <w:sz w:val="5"/>
                <w:szCs w:val="5"/>
                <w:color w:val="auto"/>
              </w:rPr>
            </w:pPr>
          </w:p>
        </w:tc>
        <w:tc>
          <w:tcPr>
            <w:tcW w:w="220" w:type="dxa"/>
            <w:vAlign w:val="bottom"/>
            <w:tcBorders>
              <w:bottom w:val="single" w:sz="8" w:color="D1EEF5"/>
            </w:tcBorders>
            <w:vMerge w:val="continue"/>
            <w:shd w:val="clear" w:color="auto" w:fill="D1EEF5"/>
          </w:tcPr>
          <w:p>
            <w:pPr>
              <w:spacing w:after="0"/>
              <w:rPr>
                <w:sz w:val="5"/>
                <w:szCs w:val="5"/>
                <w:color w:val="auto"/>
              </w:rPr>
            </w:pPr>
          </w:p>
        </w:tc>
        <w:tc>
          <w:tcPr>
            <w:tcW w:w="860" w:type="dxa"/>
            <w:vAlign w:val="bottom"/>
            <w:tcBorders>
              <w:bottom w:val="single" w:sz="8" w:color="D1EEF5"/>
            </w:tcBorders>
            <w:vMerge w:val="continue"/>
            <w:shd w:val="clear" w:color="auto" w:fill="D1EEF5"/>
          </w:tcPr>
          <w:p>
            <w:pPr>
              <w:spacing w:after="0"/>
              <w:rPr>
                <w:sz w:val="5"/>
                <w:szCs w:val="5"/>
                <w:color w:val="auto"/>
              </w:rPr>
            </w:pPr>
          </w:p>
        </w:tc>
        <w:tc>
          <w:tcPr>
            <w:tcW w:w="120" w:type="dxa"/>
            <w:vAlign w:val="bottom"/>
            <w:tcBorders>
              <w:bottom w:val="single" w:sz="8" w:color="D1EEF5"/>
            </w:tcBorders>
            <w:shd w:val="clear" w:color="auto" w:fill="D1EEF5"/>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20" w:type="dxa"/>
            <w:vAlign w:val="bottom"/>
            <w:vMerge w:val="continue"/>
          </w:tcPr>
          <w:p>
            <w:pPr>
              <w:spacing w:after="0"/>
              <w:rPr>
                <w:sz w:val="13"/>
                <w:szCs w:val="13"/>
                <w:color w:val="auto"/>
              </w:rPr>
            </w:pPr>
          </w:p>
        </w:tc>
        <w:tc>
          <w:tcPr>
            <w:tcW w:w="1580" w:type="dxa"/>
            <w:vAlign w:val="bottom"/>
            <w:gridSpan w:val="2"/>
            <w:vMerge w:val="restart"/>
          </w:tcPr>
          <w:p>
            <w:pPr>
              <w:jc w:val="right"/>
              <w:ind w:right="160"/>
              <w:spacing w:after="0" w:line="212" w:lineRule="exact"/>
              <w:rPr>
                <w:sz w:val="20"/>
                <w:szCs w:val="20"/>
                <w:color w:val="auto"/>
              </w:rPr>
            </w:pPr>
            <w:r>
              <w:rPr>
                <w:rFonts w:ascii="Times New Roman" w:cs="Times New Roman" w:eastAsia="Times New Roman" w:hAnsi="Times New Roman"/>
                <w:sz w:val="20"/>
                <w:szCs w:val="20"/>
                <w:color w:val="auto"/>
              </w:rPr>
              <w:t>1/1/2035</w:t>
            </w:r>
          </w:p>
        </w:tc>
        <w:tc>
          <w:tcPr>
            <w:tcW w:w="940" w:type="dxa"/>
            <w:vAlign w:val="bottom"/>
            <w:vMerge w:val="restart"/>
          </w:tcPr>
          <w:p>
            <w:pPr>
              <w:jc w:val="right"/>
              <w:ind w:right="20"/>
              <w:spacing w:after="0" w:line="212" w:lineRule="exact"/>
              <w:rPr>
                <w:sz w:val="20"/>
                <w:szCs w:val="20"/>
                <w:color w:val="auto"/>
              </w:rPr>
            </w:pPr>
            <w:r>
              <w:rPr>
                <w:rFonts w:ascii="Times New Roman" w:cs="Times New Roman" w:eastAsia="Times New Roman" w:hAnsi="Times New Roman"/>
                <w:sz w:val="20"/>
                <w:szCs w:val="20"/>
                <w:color w:val="auto"/>
              </w:rPr>
              <w:t>20,768</w:t>
            </w:r>
          </w:p>
        </w:tc>
        <w:tc>
          <w:tcPr>
            <w:tcW w:w="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20"/>
              <w:spacing w:after="0" w:line="212" w:lineRule="exact"/>
              <w:rPr>
                <w:sz w:val="20"/>
                <w:szCs w:val="20"/>
                <w:color w:val="auto"/>
              </w:rPr>
            </w:pPr>
            <w:r>
              <w:rPr>
                <w:rFonts w:ascii="Times New Roman" w:cs="Times New Roman" w:eastAsia="Times New Roman" w:hAnsi="Times New Roman"/>
                <w:sz w:val="20"/>
                <w:szCs w:val="20"/>
                <w:color w:val="auto"/>
              </w:rPr>
              <w:t>11.18</w:t>
            </w: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1/2/2034</w:t>
            </w:r>
          </w:p>
        </w:tc>
        <w:tc>
          <w:tcPr>
            <w:tcW w:w="9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7,691</w:t>
            </w:r>
          </w:p>
        </w:tc>
        <w:tc>
          <w:tcPr>
            <w:tcW w:w="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60.58</w:t>
            </w: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10/10/33</w:t>
            </w:r>
          </w:p>
        </w:tc>
        <w:tc>
          <w:tcPr>
            <w:tcW w:w="9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25,000</w:t>
            </w:r>
          </w:p>
        </w:tc>
        <w:tc>
          <w:tcPr>
            <w:tcW w:w="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127.01</w:t>
            </w: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580" w:type="dxa"/>
            <w:vAlign w:val="bottom"/>
            <w:gridSpan w:val="2"/>
            <w:vMerge w:val="restart"/>
          </w:tcPr>
          <w:p>
            <w:pPr>
              <w:jc w:val="right"/>
              <w:ind w:right="160"/>
              <w:spacing w:after="0" w:line="228" w:lineRule="exact"/>
              <w:rPr>
                <w:sz w:val="20"/>
                <w:szCs w:val="20"/>
                <w:color w:val="auto"/>
              </w:rPr>
            </w:pPr>
            <w:r>
              <w:rPr>
                <w:rFonts w:ascii="Times New Roman" w:cs="Times New Roman" w:eastAsia="Times New Roman" w:hAnsi="Times New Roman"/>
                <w:sz w:val="20"/>
                <w:szCs w:val="20"/>
                <w:color w:val="auto"/>
              </w:rPr>
              <w:t>1/2/33</w:t>
            </w:r>
          </w:p>
        </w:tc>
        <w:tc>
          <w:tcPr>
            <w:tcW w:w="940" w:type="dxa"/>
            <w:vAlign w:val="bottom"/>
            <w:vMerge w:val="restart"/>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5,361</w:t>
            </w:r>
          </w:p>
        </w:tc>
        <w:tc>
          <w:tcPr>
            <w:tcW w:w="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15.99</w:t>
            </w: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3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6/20/32</w:t>
            </w:r>
          </w:p>
        </w:tc>
        <w:tc>
          <w:tcPr>
            <w:tcW w:w="9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4,282</w:t>
            </w:r>
          </w:p>
        </w:tc>
        <w:tc>
          <w:tcPr>
            <w:tcW w:w="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30.55</w:t>
            </w: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1/3/32</w:t>
            </w:r>
          </w:p>
        </w:tc>
        <w:tc>
          <w:tcPr>
            <w:tcW w:w="9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2,229</w:t>
            </w:r>
          </w:p>
        </w:tc>
        <w:tc>
          <w:tcPr>
            <w:tcW w:w="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70.85</w:t>
            </w: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4/28/31</w:t>
            </w:r>
          </w:p>
        </w:tc>
        <w:tc>
          <w:tcPr>
            <w:tcW w:w="9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1,338</w:t>
            </w:r>
          </w:p>
        </w:tc>
        <w:tc>
          <w:tcPr>
            <w:tcW w:w="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343.20</w:t>
            </w: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3/9/31</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232</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133.25</w:t>
            </w:r>
          </w:p>
        </w:tc>
        <w:tc>
          <w:tcPr>
            <w:tcW w:w="0" w:type="dxa"/>
            <w:vAlign w:val="bottom"/>
          </w:tcPr>
          <w:p>
            <w:pPr>
              <w:spacing w:after="0"/>
              <w:rPr>
                <w:sz w:val="1"/>
                <w:szCs w:val="1"/>
                <w:color w:val="auto"/>
              </w:rPr>
            </w:pPr>
          </w:p>
        </w:tc>
      </w:tr>
      <w:tr>
        <w:trPr>
          <w:trHeight w:val="249"/>
        </w:trPr>
        <w:tc>
          <w:tcPr>
            <w:tcW w:w="32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11/15/30</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4,765</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76.70</w:t>
            </w:r>
          </w:p>
        </w:tc>
        <w:tc>
          <w:tcPr>
            <w:tcW w:w="0" w:type="dxa"/>
            <w:vAlign w:val="bottom"/>
          </w:tcPr>
          <w:p>
            <w:pPr>
              <w:spacing w:after="0"/>
              <w:rPr>
                <w:sz w:val="1"/>
                <w:szCs w:val="1"/>
                <w:color w:val="auto"/>
              </w:rPr>
            </w:pPr>
          </w:p>
        </w:tc>
      </w:tr>
      <w:tr>
        <w:trPr>
          <w:trHeight w:val="149"/>
        </w:trPr>
        <w:tc>
          <w:tcPr>
            <w:tcW w:w="320" w:type="dxa"/>
            <w:vAlign w:val="bottom"/>
            <w:shd w:val="clear" w:color="auto" w:fill="D1EEF5"/>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rPr>
                <w:sz w:val="20"/>
                <w:szCs w:val="20"/>
                <w:color w:val="auto"/>
              </w:rPr>
            </w:pPr>
            <w:r>
              <w:rPr>
                <w:rFonts w:ascii="Times New Roman" w:cs="Times New Roman" w:eastAsia="Times New Roman" w:hAnsi="Times New Roman"/>
                <w:sz w:val="20"/>
                <w:szCs w:val="20"/>
                <w:color w:val="auto"/>
              </w:rPr>
              <w:t>1/1/2035</w:t>
            </w:r>
          </w:p>
        </w:tc>
        <w:tc>
          <w:tcPr>
            <w:tcW w:w="940" w:type="dxa"/>
            <w:vAlign w:val="bottom"/>
            <w:vMerge w:val="restart"/>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15,383</w:t>
            </w:r>
          </w:p>
        </w:tc>
        <w:tc>
          <w:tcPr>
            <w:tcW w:w="100" w:type="dxa"/>
            <w:vAlign w:val="bottom"/>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EF5"/>
          </w:tcPr>
          <w:p>
            <w:pPr>
              <w:spacing w:after="0"/>
              <w:rPr>
                <w:sz w:val="12"/>
                <w:szCs w:val="12"/>
                <w:color w:val="auto"/>
              </w:rPr>
            </w:pPr>
          </w:p>
        </w:tc>
        <w:tc>
          <w:tcPr>
            <w:tcW w:w="980" w:type="dxa"/>
            <w:vAlign w:val="bottom"/>
            <w:gridSpan w:val="2"/>
            <w:vMerge w:val="restart"/>
            <w:shd w:val="clear" w:color="auto" w:fill="D1EEF5"/>
          </w:tcPr>
          <w:p>
            <w:pPr>
              <w:jc w:val="right"/>
              <w:ind w:right="120"/>
              <w:spacing w:after="0"/>
              <w:rPr>
                <w:sz w:val="20"/>
                <w:szCs w:val="20"/>
                <w:color w:val="auto"/>
              </w:rPr>
            </w:pPr>
            <w:r>
              <w:rPr>
                <w:rFonts w:ascii="Times New Roman" w:cs="Times New Roman" w:eastAsia="Times New Roman" w:hAnsi="Times New Roman"/>
                <w:sz w:val="20"/>
                <w:szCs w:val="20"/>
                <w:color w:val="auto"/>
              </w:rPr>
              <w:t>11.18</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restart"/>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restart"/>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D1EEF5"/>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line="228" w:lineRule="exact"/>
              <w:rPr>
                <w:sz w:val="20"/>
                <w:szCs w:val="20"/>
                <w:color w:val="auto"/>
              </w:rPr>
            </w:pPr>
            <w:r>
              <w:rPr>
                <w:rFonts w:ascii="Times New Roman" w:cs="Times New Roman" w:eastAsia="Times New Roman" w:hAnsi="Times New Roman"/>
                <w:sz w:val="20"/>
                <w:szCs w:val="20"/>
                <w:color w:val="auto"/>
              </w:rPr>
              <w:t>1/2/2034</w:t>
            </w:r>
          </w:p>
        </w:tc>
        <w:tc>
          <w:tcPr>
            <w:tcW w:w="940" w:type="dxa"/>
            <w:vAlign w:val="bottom"/>
            <w:vMerge w:val="restart"/>
            <w:shd w:val="clear" w:color="auto" w:fill="D1EEF5"/>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3,076</w:t>
            </w:r>
          </w:p>
        </w:tc>
        <w:tc>
          <w:tcPr>
            <w:tcW w:w="100" w:type="dxa"/>
            <w:vAlign w:val="bottom"/>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EF5"/>
          </w:tcPr>
          <w:p>
            <w:pPr>
              <w:spacing w:after="0"/>
              <w:rPr>
                <w:sz w:val="12"/>
                <w:szCs w:val="12"/>
                <w:color w:val="auto"/>
              </w:rPr>
            </w:pPr>
          </w:p>
        </w:tc>
        <w:tc>
          <w:tcPr>
            <w:tcW w:w="860" w:type="dxa"/>
            <w:vAlign w:val="bottom"/>
            <w:vMerge w:val="restart"/>
            <w:shd w:val="clear" w:color="auto" w:fill="D1EEF5"/>
          </w:tcPr>
          <w:p>
            <w:pPr>
              <w:jc w:val="right"/>
              <w:spacing w:after="0" w:line="228" w:lineRule="exact"/>
              <w:rPr>
                <w:sz w:val="20"/>
                <w:szCs w:val="20"/>
                <w:color w:val="auto"/>
              </w:rPr>
            </w:pPr>
            <w:r>
              <w:rPr>
                <w:rFonts w:ascii="Times New Roman" w:cs="Times New Roman" w:eastAsia="Times New Roman" w:hAnsi="Times New Roman"/>
                <w:sz w:val="20"/>
                <w:szCs w:val="20"/>
                <w:color w:val="auto"/>
              </w:rPr>
              <w:t>60.58</w:t>
            </w:r>
          </w:p>
        </w:tc>
        <w:tc>
          <w:tcPr>
            <w:tcW w:w="120" w:type="dxa"/>
            <w:vAlign w:val="bottom"/>
            <w:shd w:val="clear" w:color="auto" w:fill="D1EEF5"/>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restart"/>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restart"/>
            <w:shd w:val="clear" w:color="auto" w:fill="D1EEF5"/>
          </w:tcPr>
          <w:p>
            <w:pPr>
              <w:spacing w:after="0"/>
              <w:rPr>
                <w:sz w:val="3"/>
                <w:szCs w:val="3"/>
                <w:color w:val="auto"/>
              </w:rPr>
            </w:pPr>
          </w:p>
        </w:tc>
        <w:tc>
          <w:tcPr>
            <w:tcW w:w="860" w:type="dxa"/>
            <w:vAlign w:val="bottom"/>
            <w:vMerge w:val="continue"/>
            <w:shd w:val="clear" w:color="auto" w:fill="D1EEF5"/>
          </w:tcPr>
          <w:p>
            <w:pPr>
              <w:spacing w:after="0"/>
              <w:rPr>
                <w:sz w:val="3"/>
                <w:szCs w:val="3"/>
                <w:color w:val="auto"/>
              </w:rPr>
            </w:pPr>
          </w:p>
        </w:tc>
        <w:tc>
          <w:tcPr>
            <w:tcW w:w="120" w:type="dxa"/>
            <w:vAlign w:val="bottom"/>
            <w:vMerge w:val="restart"/>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860" w:type="dxa"/>
            <w:vAlign w:val="bottom"/>
            <w:vMerge w:val="continue"/>
            <w:shd w:val="clear" w:color="auto" w:fill="D1EEF5"/>
          </w:tcPr>
          <w:p>
            <w:pPr>
              <w:spacing w:after="0"/>
              <w:rPr>
                <w:sz w:val="3"/>
                <w:szCs w:val="3"/>
                <w:color w:val="auto"/>
              </w:rPr>
            </w:pPr>
          </w:p>
        </w:tc>
        <w:tc>
          <w:tcPr>
            <w:tcW w:w="120" w:type="dxa"/>
            <w:vAlign w:val="bottom"/>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320" w:type="dxa"/>
            <w:vAlign w:val="bottom"/>
            <w:shd w:val="clear" w:color="auto" w:fill="D1EEF5"/>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3"/>
                <w:szCs w:val="13"/>
                <w:color w:val="auto"/>
              </w:rPr>
            </w:pPr>
          </w:p>
        </w:tc>
        <w:tc>
          <w:tcPr>
            <w:tcW w:w="1480" w:type="dxa"/>
            <w:vAlign w:val="bottom"/>
            <w:vMerge w:val="restart"/>
            <w:shd w:val="clear" w:color="auto" w:fill="D1EEF5"/>
          </w:tcPr>
          <w:p>
            <w:pPr>
              <w:jc w:val="right"/>
              <w:ind w:right="160"/>
              <w:spacing w:after="0"/>
              <w:rPr>
                <w:sz w:val="20"/>
                <w:szCs w:val="20"/>
                <w:color w:val="auto"/>
              </w:rPr>
            </w:pPr>
            <w:r>
              <w:rPr>
                <w:rFonts w:ascii="Times New Roman" w:cs="Times New Roman" w:eastAsia="Times New Roman" w:hAnsi="Times New Roman"/>
                <w:sz w:val="20"/>
                <w:szCs w:val="20"/>
                <w:color w:val="auto"/>
              </w:rPr>
              <w:t>10/10/33</w:t>
            </w:r>
          </w:p>
        </w:tc>
        <w:tc>
          <w:tcPr>
            <w:tcW w:w="940" w:type="dxa"/>
            <w:vAlign w:val="bottom"/>
            <w:vMerge w:val="restart"/>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7,691</w:t>
            </w:r>
          </w:p>
        </w:tc>
        <w:tc>
          <w:tcPr>
            <w:tcW w:w="100" w:type="dxa"/>
            <w:vAlign w:val="bottom"/>
            <w:shd w:val="clear" w:color="auto" w:fill="D1EEF5"/>
          </w:tcPr>
          <w:p>
            <w:pPr>
              <w:spacing w:after="0"/>
              <w:rPr>
                <w:sz w:val="13"/>
                <w:szCs w:val="13"/>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EF5"/>
          </w:tcPr>
          <w:p>
            <w:pPr>
              <w:spacing w:after="0"/>
              <w:rPr>
                <w:sz w:val="13"/>
                <w:szCs w:val="13"/>
                <w:color w:val="auto"/>
              </w:rPr>
            </w:pPr>
          </w:p>
        </w:tc>
        <w:tc>
          <w:tcPr>
            <w:tcW w:w="980" w:type="dxa"/>
            <w:vAlign w:val="bottom"/>
            <w:gridSpan w:val="2"/>
            <w:vMerge w:val="restart"/>
            <w:shd w:val="clear" w:color="auto" w:fill="D1EEF5"/>
          </w:tcPr>
          <w:p>
            <w:pPr>
              <w:jc w:val="right"/>
              <w:ind w:right="120"/>
              <w:spacing w:after="0"/>
              <w:rPr>
                <w:sz w:val="20"/>
                <w:szCs w:val="20"/>
                <w:color w:val="auto"/>
              </w:rPr>
            </w:pPr>
            <w:r>
              <w:rPr>
                <w:rFonts w:ascii="Times New Roman" w:cs="Times New Roman" w:eastAsia="Times New Roman" w:hAnsi="Times New Roman"/>
                <w:sz w:val="20"/>
                <w:szCs w:val="20"/>
                <w:color w:val="auto"/>
              </w:rPr>
              <w:t>127.01</w:t>
            </w:r>
          </w:p>
        </w:tc>
        <w:tc>
          <w:tcPr>
            <w:tcW w:w="0" w:type="dxa"/>
            <w:vAlign w:val="bottom"/>
          </w:tcPr>
          <w:p>
            <w:pPr>
              <w:spacing w:after="0"/>
              <w:rPr>
                <w:sz w:val="1"/>
                <w:szCs w:val="1"/>
                <w:color w:val="auto"/>
              </w:rPr>
            </w:pPr>
          </w:p>
        </w:tc>
      </w:tr>
      <w:tr>
        <w:trPr>
          <w:trHeight w:val="36"/>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restart"/>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restart"/>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D1EEF5"/>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rPr>
                <w:sz w:val="20"/>
                <w:szCs w:val="20"/>
                <w:color w:val="auto"/>
              </w:rPr>
            </w:pPr>
            <w:r>
              <w:rPr>
                <w:rFonts w:ascii="Times New Roman" w:cs="Times New Roman" w:eastAsia="Times New Roman" w:hAnsi="Times New Roman"/>
                <w:sz w:val="20"/>
                <w:szCs w:val="20"/>
                <w:color w:val="auto"/>
              </w:rPr>
              <w:t>1/2/33</w:t>
            </w:r>
          </w:p>
        </w:tc>
        <w:tc>
          <w:tcPr>
            <w:tcW w:w="940" w:type="dxa"/>
            <w:vAlign w:val="bottom"/>
            <w:vMerge w:val="restart"/>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2,955</w:t>
            </w:r>
          </w:p>
        </w:tc>
        <w:tc>
          <w:tcPr>
            <w:tcW w:w="100" w:type="dxa"/>
            <w:vAlign w:val="bottom"/>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EF5"/>
          </w:tcPr>
          <w:p>
            <w:pPr>
              <w:spacing w:after="0"/>
              <w:rPr>
                <w:sz w:val="12"/>
                <w:szCs w:val="12"/>
                <w:color w:val="auto"/>
              </w:rPr>
            </w:pPr>
          </w:p>
        </w:tc>
        <w:tc>
          <w:tcPr>
            <w:tcW w:w="980" w:type="dxa"/>
            <w:vAlign w:val="bottom"/>
            <w:gridSpan w:val="2"/>
            <w:vMerge w:val="restart"/>
            <w:shd w:val="clear" w:color="auto" w:fill="D1EEF5"/>
          </w:tcPr>
          <w:p>
            <w:pPr>
              <w:jc w:val="right"/>
              <w:ind w:right="120"/>
              <w:spacing w:after="0"/>
              <w:rPr>
                <w:sz w:val="20"/>
                <w:szCs w:val="20"/>
                <w:color w:val="auto"/>
              </w:rPr>
            </w:pPr>
            <w:r>
              <w:rPr>
                <w:rFonts w:ascii="Times New Roman" w:cs="Times New Roman" w:eastAsia="Times New Roman" w:hAnsi="Times New Roman"/>
                <w:sz w:val="20"/>
                <w:szCs w:val="20"/>
                <w:color w:val="auto"/>
              </w:rPr>
              <w:t>15.99</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restart"/>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restart"/>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D1EEF5"/>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rPr>
                <w:sz w:val="20"/>
                <w:szCs w:val="20"/>
                <w:color w:val="auto"/>
              </w:rPr>
            </w:pPr>
            <w:r>
              <w:rPr>
                <w:rFonts w:ascii="Times New Roman" w:cs="Times New Roman" w:eastAsia="Times New Roman" w:hAnsi="Times New Roman"/>
                <w:sz w:val="20"/>
                <w:szCs w:val="20"/>
                <w:color w:val="auto"/>
              </w:rPr>
              <w:t>6/20/32</w:t>
            </w:r>
          </w:p>
        </w:tc>
        <w:tc>
          <w:tcPr>
            <w:tcW w:w="940" w:type="dxa"/>
            <w:vAlign w:val="bottom"/>
            <w:vMerge w:val="restart"/>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3,943</w:t>
            </w:r>
          </w:p>
        </w:tc>
        <w:tc>
          <w:tcPr>
            <w:tcW w:w="100" w:type="dxa"/>
            <w:vAlign w:val="bottom"/>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EF5"/>
          </w:tcPr>
          <w:p>
            <w:pPr>
              <w:spacing w:after="0"/>
              <w:rPr>
                <w:sz w:val="12"/>
                <w:szCs w:val="12"/>
                <w:color w:val="auto"/>
              </w:rPr>
            </w:pPr>
          </w:p>
        </w:tc>
        <w:tc>
          <w:tcPr>
            <w:tcW w:w="980" w:type="dxa"/>
            <w:vAlign w:val="bottom"/>
            <w:gridSpan w:val="2"/>
            <w:vMerge w:val="restart"/>
            <w:shd w:val="clear" w:color="auto" w:fill="D1EEF5"/>
          </w:tcPr>
          <w:p>
            <w:pPr>
              <w:jc w:val="right"/>
              <w:ind w:right="120"/>
              <w:spacing w:after="0"/>
              <w:rPr>
                <w:sz w:val="20"/>
                <w:szCs w:val="20"/>
                <w:color w:val="auto"/>
              </w:rPr>
            </w:pPr>
            <w:r>
              <w:rPr>
                <w:rFonts w:ascii="Times New Roman" w:cs="Times New Roman" w:eastAsia="Times New Roman" w:hAnsi="Times New Roman"/>
                <w:sz w:val="20"/>
                <w:szCs w:val="20"/>
                <w:color w:val="auto"/>
              </w:rPr>
              <w:t>30.55</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restart"/>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restart"/>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D1EEF5"/>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rPr>
                <w:sz w:val="20"/>
                <w:szCs w:val="20"/>
                <w:color w:val="auto"/>
              </w:rPr>
            </w:pPr>
            <w:r>
              <w:rPr>
                <w:rFonts w:ascii="Times New Roman" w:cs="Times New Roman" w:eastAsia="Times New Roman" w:hAnsi="Times New Roman"/>
                <w:sz w:val="20"/>
                <w:szCs w:val="20"/>
                <w:color w:val="auto"/>
              </w:rPr>
              <w:t>1/3/32</w:t>
            </w:r>
          </w:p>
        </w:tc>
        <w:tc>
          <w:tcPr>
            <w:tcW w:w="940" w:type="dxa"/>
            <w:vAlign w:val="bottom"/>
            <w:vMerge w:val="restart"/>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1,499</w:t>
            </w:r>
          </w:p>
        </w:tc>
        <w:tc>
          <w:tcPr>
            <w:tcW w:w="100" w:type="dxa"/>
            <w:vAlign w:val="bottom"/>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EF5"/>
          </w:tcPr>
          <w:p>
            <w:pPr>
              <w:spacing w:after="0"/>
              <w:rPr>
                <w:sz w:val="12"/>
                <w:szCs w:val="12"/>
                <w:color w:val="auto"/>
              </w:rPr>
            </w:pPr>
          </w:p>
        </w:tc>
        <w:tc>
          <w:tcPr>
            <w:tcW w:w="980" w:type="dxa"/>
            <w:vAlign w:val="bottom"/>
            <w:gridSpan w:val="2"/>
            <w:vMerge w:val="restart"/>
            <w:shd w:val="clear" w:color="auto" w:fill="D1EEF5"/>
          </w:tcPr>
          <w:p>
            <w:pPr>
              <w:jc w:val="right"/>
              <w:ind w:right="120"/>
              <w:spacing w:after="0"/>
              <w:rPr>
                <w:sz w:val="20"/>
                <w:szCs w:val="20"/>
                <w:color w:val="auto"/>
              </w:rPr>
            </w:pPr>
            <w:r>
              <w:rPr>
                <w:rFonts w:ascii="Times New Roman" w:cs="Times New Roman" w:eastAsia="Times New Roman" w:hAnsi="Times New Roman"/>
                <w:sz w:val="20"/>
                <w:szCs w:val="20"/>
                <w:color w:val="auto"/>
              </w:rPr>
              <w:t>70.85</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restart"/>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restart"/>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D1EEF5"/>
          </w:tcPr>
          <w:p>
            <w:pPr>
              <w:jc w:val="right"/>
              <w:ind w:right="95"/>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2"/>
                <w:szCs w:val="12"/>
                <w:color w:val="auto"/>
              </w:rPr>
            </w:pPr>
          </w:p>
        </w:tc>
        <w:tc>
          <w:tcPr>
            <w:tcW w:w="1480" w:type="dxa"/>
            <w:vAlign w:val="bottom"/>
            <w:vMerge w:val="restart"/>
            <w:shd w:val="clear" w:color="auto" w:fill="D1EEF5"/>
          </w:tcPr>
          <w:p>
            <w:pPr>
              <w:jc w:val="right"/>
              <w:ind w:right="160"/>
              <w:spacing w:after="0"/>
              <w:rPr>
                <w:sz w:val="20"/>
                <w:szCs w:val="20"/>
                <w:color w:val="auto"/>
              </w:rPr>
            </w:pPr>
            <w:r>
              <w:rPr>
                <w:rFonts w:ascii="Times New Roman" w:cs="Times New Roman" w:eastAsia="Times New Roman" w:hAnsi="Times New Roman"/>
                <w:sz w:val="20"/>
                <w:szCs w:val="20"/>
                <w:color w:val="auto"/>
              </w:rPr>
              <w:t>7/11/31</w:t>
            </w:r>
          </w:p>
        </w:tc>
        <w:tc>
          <w:tcPr>
            <w:tcW w:w="940" w:type="dxa"/>
            <w:vAlign w:val="bottom"/>
            <w:vMerge w:val="restart"/>
            <w:shd w:val="clear" w:color="auto" w:fill="D1EEF5"/>
          </w:tcPr>
          <w:p>
            <w:pPr>
              <w:jc w:val="right"/>
              <w:ind w:right="20"/>
              <w:spacing w:after="0"/>
              <w:rPr>
                <w:sz w:val="20"/>
                <w:szCs w:val="20"/>
                <w:color w:val="auto"/>
              </w:rPr>
            </w:pPr>
            <w:r>
              <w:rPr>
                <w:rFonts w:ascii="Times New Roman" w:cs="Times New Roman" w:eastAsia="Times New Roman" w:hAnsi="Times New Roman"/>
                <w:sz w:val="20"/>
                <w:szCs w:val="20"/>
                <w:color w:val="auto"/>
              </w:rPr>
              <w:t>1,786</w:t>
            </w:r>
          </w:p>
        </w:tc>
        <w:tc>
          <w:tcPr>
            <w:tcW w:w="100" w:type="dxa"/>
            <w:vAlign w:val="bottom"/>
            <w:shd w:val="clear" w:color="auto" w:fill="D1EEF5"/>
          </w:tcPr>
          <w:p>
            <w:pPr>
              <w:spacing w:after="0"/>
              <w:rPr>
                <w:sz w:val="12"/>
                <w:szCs w:val="12"/>
                <w:color w:val="auto"/>
              </w:rPr>
            </w:pPr>
          </w:p>
        </w:tc>
        <w:tc>
          <w:tcPr>
            <w:tcW w:w="180" w:type="dxa"/>
            <w:vAlign w:val="bottom"/>
            <w:vMerge w:val="restart"/>
            <w:shd w:val="clear" w:color="auto" w:fill="D1EEF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EF5"/>
          </w:tcPr>
          <w:p>
            <w:pPr>
              <w:spacing w:after="0"/>
              <w:rPr>
                <w:sz w:val="12"/>
                <w:szCs w:val="12"/>
                <w:color w:val="auto"/>
              </w:rPr>
            </w:pPr>
          </w:p>
        </w:tc>
        <w:tc>
          <w:tcPr>
            <w:tcW w:w="980" w:type="dxa"/>
            <w:vAlign w:val="bottom"/>
            <w:gridSpan w:val="2"/>
            <w:vMerge w:val="restart"/>
            <w:shd w:val="clear" w:color="auto" w:fill="D1EEF5"/>
          </w:tcPr>
          <w:p>
            <w:pPr>
              <w:jc w:val="right"/>
              <w:ind w:right="120"/>
              <w:spacing w:after="0"/>
              <w:rPr>
                <w:sz w:val="20"/>
                <w:szCs w:val="20"/>
                <w:color w:val="auto"/>
              </w:rPr>
            </w:pPr>
            <w:r>
              <w:rPr>
                <w:rFonts w:ascii="Times New Roman" w:cs="Times New Roman" w:eastAsia="Times New Roman" w:hAnsi="Times New Roman"/>
                <w:sz w:val="20"/>
                <w:szCs w:val="20"/>
                <w:color w:val="auto"/>
              </w:rPr>
              <w:t>314.47</w:t>
            </w:r>
          </w:p>
        </w:tc>
        <w:tc>
          <w:tcPr>
            <w:tcW w:w="0" w:type="dxa"/>
            <w:vAlign w:val="bottom"/>
          </w:tcPr>
          <w:p>
            <w:pPr>
              <w:spacing w:after="0"/>
              <w:rPr>
                <w:sz w:val="1"/>
                <w:szCs w:val="1"/>
                <w:color w:val="auto"/>
              </w:rPr>
            </w:pPr>
          </w:p>
        </w:tc>
      </w:tr>
      <w:tr>
        <w:trPr>
          <w:trHeight w:val="38"/>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restart"/>
            <w:shd w:val="clear" w:color="auto" w:fill="D1EEF5"/>
          </w:tcPr>
          <w:p>
            <w:pPr>
              <w:spacing w:after="0"/>
              <w:rPr>
                <w:sz w:val="3"/>
                <w:szCs w:val="3"/>
                <w:color w:val="auto"/>
              </w:rPr>
            </w:pPr>
          </w:p>
        </w:tc>
        <w:tc>
          <w:tcPr>
            <w:tcW w:w="180" w:type="dxa"/>
            <w:vAlign w:val="bottom"/>
            <w:vMerge w:val="continue"/>
            <w:shd w:val="clear" w:color="auto" w:fill="D1EEF5"/>
          </w:tcPr>
          <w:p>
            <w:pPr>
              <w:spacing w:after="0"/>
              <w:rPr>
                <w:sz w:val="3"/>
                <w:szCs w:val="3"/>
                <w:color w:val="auto"/>
              </w:rPr>
            </w:pPr>
          </w:p>
        </w:tc>
        <w:tc>
          <w:tcPr>
            <w:tcW w:w="220" w:type="dxa"/>
            <w:vAlign w:val="bottom"/>
            <w:vMerge w:val="restart"/>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shd w:val="clear" w:color="auto" w:fill="D1EEF5"/>
          </w:tcPr>
          <w:p>
            <w:pPr>
              <w:spacing w:after="0"/>
              <w:rPr>
                <w:sz w:val="3"/>
                <w:szCs w:val="3"/>
                <w:color w:val="auto"/>
              </w:rPr>
            </w:pPr>
          </w:p>
        </w:tc>
        <w:tc>
          <w:tcPr>
            <w:tcW w:w="940" w:type="dxa"/>
            <w:vAlign w:val="bottom"/>
            <w:vMerge w:val="continue"/>
            <w:shd w:val="clear" w:color="auto" w:fill="D1EEF5"/>
          </w:tcPr>
          <w:p>
            <w:pPr>
              <w:spacing w:after="0"/>
              <w:rPr>
                <w:sz w:val="3"/>
                <w:szCs w:val="3"/>
                <w:color w:val="auto"/>
              </w:rPr>
            </w:pPr>
          </w:p>
        </w:tc>
        <w:tc>
          <w:tcPr>
            <w:tcW w:w="100" w:type="dxa"/>
            <w:vAlign w:val="bottom"/>
            <w:vMerge w:val="continue"/>
            <w:shd w:val="clear" w:color="auto" w:fill="D1EEF5"/>
          </w:tcPr>
          <w:p>
            <w:pPr>
              <w:spacing w:after="0"/>
              <w:rPr>
                <w:sz w:val="3"/>
                <w:szCs w:val="3"/>
                <w:color w:val="auto"/>
              </w:rPr>
            </w:pPr>
          </w:p>
        </w:tc>
        <w:tc>
          <w:tcPr>
            <w:tcW w:w="180" w:type="dxa"/>
            <w:vAlign w:val="bottom"/>
            <w:shd w:val="clear" w:color="auto" w:fill="D1EEF5"/>
          </w:tcPr>
          <w:p>
            <w:pPr>
              <w:spacing w:after="0"/>
              <w:rPr>
                <w:sz w:val="3"/>
                <w:szCs w:val="3"/>
                <w:color w:val="auto"/>
              </w:rPr>
            </w:pPr>
          </w:p>
        </w:tc>
        <w:tc>
          <w:tcPr>
            <w:tcW w:w="220" w:type="dxa"/>
            <w:vAlign w:val="bottom"/>
            <w:vMerge w:val="continue"/>
            <w:shd w:val="clear" w:color="auto" w:fill="D1EEF5"/>
          </w:tcPr>
          <w:p>
            <w:pPr>
              <w:spacing w:after="0"/>
              <w:rPr>
                <w:sz w:val="3"/>
                <w:szCs w:val="3"/>
                <w:color w:val="auto"/>
              </w:rPr>
            </w:pPr>
          </w:p>
        </w:tc>
        <w:tc>
          <w:tcPr>
            <w:tcW w:w="980" w:type="dxa"/>
            <w:vAlign w:val="bottom"/>
            <w:gridSpan w:val="2"/>
            <w:vMerge w:val="continue"/>
            <w:shd w:val="clear" w:color="auto" w:fill="D1EEF5"/>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-67310</wp:posOffset>
                </wp:positionH>
                <wp:positionV relativeFrom="paragraph">
                  <wp:posOffset>-2921635</wp:posOffset>
                </wp:positionV>
                <wp:extent cx="339090" cy="583565"/>
                <wp:wrapNone/>
                <wp:docPr id="802" name="Shape 8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090" cy="583565"/>
                        </a:xfrm>
                        <a:prstGeom prst="rect">
                          <a:avLst/>
                        </a:prstGeom>
                        <a:solidFill>
                          <a:srgbClr val="D1EEF5"/>
                        </a:solidFill>
                      </wps:spPr>
                      <wps:bodyPr/>
                    </wps:wsp>
                  </a:graphicData>
                </a:graphic>
              </wp:anchor>
            </w:drawing>
          </mc:Choice>
          <mc:Fallback>
            <w:pict>
              <v:rect id="Shape 802" o:spid="_x0000_s1827" style="position:absolute;margin-left:-5.2999pt;margin-top:-230.0499pt;width:26.7pt;height:4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-67310</wp:posOffset>
                </wp:positionH>
                <wp:positionV relativeFrom="paragraph">
                  <wp:posOffset>-1022985</wp:posOffset>
                </wp:positionV>
                <wp:extent cx="339090" cy="146685"/>
                <wp:wrapNone/>
                <wp:docPr id="803" name="Shape 8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090" cy="146685"/>
                        </a:xfrm>
                        <a:prstGeom prst="rect">
                          <a:avLst/>
                        </a:prstGeom>
                        <a:solidFill>
                          <a:srgbClr val="D1EEF5"/>
                        </a:solidFill>
                      </wps:spPr>
                      <wps:bodyPr/>
                    </wps:wsp>
                  </a:graphicData>
                </a:graphic>
              </wp:anchor>
            </w:drawing>
          </mc:Choice>
          <mc:Fallback>
            <w:pict>
              <v:rect id="Shape 803" o:spid="_x0000_s1828" style="position:absolute;margin-left:-5.2999pt;margin-top:-80.5499pt;width:26.7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-67310</wp:posOffset>
                </wp:positionH>
                <wp:positionV relativeFrom="paragraph">
                  <wp:posOffset>-876300</wp:posOffset>
                </wp:positionV>
                <wp:extent cx="339090" cy="144780"/>
                <wp:wrapNone/>
                <wp:docPr id="804" name="Shape 8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090" cy="144780"/>
                        </a:xfrm>
                        <a:prstGeom prst="rect">
                          <a:avLst/>
                        </a:prstGeom>
                        <a:solidFill>
                          <a:srgbClr val="D1EEF5"/>
                        </a:solidFill>
                      </wps:spPr>
                      <wps:bodyPr/>
                    </wps:wsp>
                  </a:graphicData>
                </a:graphic>
              </wp:anchor>
            </w:drawing>
          </mc:Choice>
          <mc:Fallback>
            <w:pict>
              <v:rect id="Shape 804" o:spid="_x0000_s1829" style="position:absolute;margin-left:-5.2999pt;margin-top:-69pt;width:26.7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-67310</wp:posOffset>
                </wp:positionH>
                <wp:positionV relativeFrom="paragraph">
                  <wp:posOffset>-731520</wp:posOffset>
                </wp:positionV>
                <wp:extent cx="339090" cy="146685"/>
                <wp:wrapNone/>
                <wp:docPr id="805" name="Shape 8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090" cy="146685"/>
                        </a:xfrm>
                        <a:prstGeom prst="rect">
                          <a:avLst/>
                        </a:prstGeom>
                        <a:solidFill>
                          <a:srgbClr val="D1EEF5"/>
                        </a:solidFill>
                      </wps:spPr>
                      <wps:bodyPr/>
                    </wps:wsp>
                  </a:graphicData>
                </a:graphic>
              </wp:anchor>
            </w:drawing>
          </mc:Choice>
          <mc:Fallback>
            <w:pict>
              <v:rect id="Shape 805" o:spid="_x0000_s1830" style="position:absolute;margin-left:-5.2999pt;margin-top:-57.5999pt;width:26.7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mc:AlternateContent>
          <mc:Choice Requires="wps">
            <w:drawing>
              <wp:anchor simplePos="0" relativeHeight="251657728" behindDoc="1" locked="0" layoutInCell="0" allowOverlap="1">
                <wp:simplePos x="0" y="0"/>
                <wp:positionH relativeFrom="column">
                  <wp:posOffset>-67310</wp:posOffset>
                </wp:positionH>
                <wp:positionV relativeFrom="paragraph">
                  <wp:posOffset>-584835</wp:posOffset>
                </wp:positionV>
                <wp:extent cx="339090" cy="584835"/>
                <wp:wrapNone/>
                <wp:docPr id="806" name="Shape 8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090" cy="584835"/>
                        </a:xfrm>
                        <a:prstGeom prst="rect">
                          <a:avLst/>
                        </a:prstGeom>
                        <a:solidFill>
                          <a:srgbClr val="D1EEF5"/>
                        </a:solidFill>
                      </wps:spPr>
                      <wps:bodyPr/>
                    </wps:wsp>
                  </a:graphicData>
                </a:graphic>
              </wp:anchor>
            </w:drawing>
          </mc:Choice>
          <mc:Fallback>
            <w:pict>
              <v:rect id="Shape 806" o:spid="_x0000_s1831" style="position:absolute;margin-left:-5.2999pt;margin-top:-46.0499pt;width:26.7pt;height:4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EF5" stroked="f"/>
            </w:pict>
          </mc:Fallback>
        </mc:AlternateContent>
      </w:r>
    </w:p>
    <w:p>
      <w:pPr>
        <w:spacing w:after="0" w:line="200" w:lineRule="exact"/>
        <w:rPr>
          <w:sz w:val="20"/>
          <w:szCs w:val="20"/>
          <w:color w:val="auto"/>
        </w:rPr>
      </w:pPr>
    </w:p>
    <w:p>
      <w:pPr>
        <w:sectPr>
          <w:pgSz w:w="12240" w:h="15840" w:orient="portrait"/>
          <w:cols w:equalWidth="0" w:num="2">
            <w:col w:w="4940" w:space="100"/>
            <w:col w:w="4320"/>
          </w:cols>
          <w:pgMar w:left="1440" w:top="1439" w:right="1440" w:bottom="1440" w:gutter="0" w:footer="0" w:header="0"/>
        </w:sectPr>
      </w:pPr>
    </w:p>
    <w:p>
      <w:pPr>
        <w:spacing w:after="0" w:line="3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(1)As described below under “-</w:t>
      </w:r>
      <w:r>
        <w:rPr>
          <w:rFonts w:ascii="Times New Roman" w:cs="Times New Roman" w:eastAsia="Times New Roman" w:hAnsi="Times New Roman"/>
          <w:sz w:val="16"/>
          <w:szCs w:val="16"/>
          <w:i w:val="1"/>
          <w:iCs w:val="1"/>
          <w:color w:val="auto"/>
        </w:rPr>
        <w:t>Consulting Agreement and Employment Arrangements</w:t>
      </w:r>
      <w:r>
        <w:rPr>
          <w:rFonts w:ascii="Times New Roman" w:cs="Times New Roman" w:eastAsia="Times New Roman" w:hAnsi="Times New Roman"/>
          <w:sz w:val="16"/>
          <w:szCs w:val="16"/>
          <w:color w:val="auto"/>
        </w:rPr>
        <w:t>,” on June 5, 2025, we entered into separation agreements with each of Mr. Brady, Dr. Whiting and Mr. Maestas pursuant to which they became entitled to full acceleration of all outstanding unvested equity awards, which became fully vested and exercisable as of June 5,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Consulting and Employment Arrangements</w:t>
      </w:r>
    </w:p>
    <w:p>
      <w:pPr>
        <w:spacing w:after="0" w:line="242" w:lineRule="exact"/>
        <w:rPr>
          <w:sz w:val="20"/>
          <w:szCs w:val="20"/>
          <w:color w:val="auto"/>
        </w:rPr>
      </w:pPr>
    </w:p>
    <w:p>
      <w:pPr>
        <w:jc w:val="both"/>
        <w:ind w:firstLine="408"/>
        <w:spacing w:after="0" w:line="266" w:lineRule="auto"/>
        <w:rPr>
          <w:sz w:val="20"/>
          <w:szCs w:val="20"/>
          <w:color w:val="auto"/>
        </w:rPr>
      </w:pPr>
      <w:r>
        <w:rPr>
          <w:rFonts w:ascii="Times New Roman" w:cs="Times New Roman" w:eastAsia="Times New Roman" w:hAnsi="Times New Roman"/>
          <w:sz w:val="19"/>
          <w:szCs w:val="19"/>
          <w:color w:val="auto"/>
        </w:rPr>
        <w:t>On June 5, 2025, each of Mr. Brady, Dr. Whiting and Mr. Maestas transitioned to consulting agreements with us, pursuant to which they continued to serve the Company in their respective executive roles. Each consulting agreement had a term of one year, unless earlier terminated by either party thereto. On November 19, 2025, we rehired each of Mr. Brady and Mr. Maestas on a full- time basis, terminating the consulting agreements (collectively, the “Rehire Transition</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Dr. Whiting’s consulting agreement remains in effect in a non-executive role.</w:t>
      </w:r>
    </w:p>
    <w:p>
      <w:pPr>
        <w:spacing w:after="0" w:line="179" w:lineRule="exact"/>
        <w:rPr>
          <w:sz w:val="20"/>
          <w:szCs w:val="20"/>
          <w:color w:val="auto"/>
        </w:rPr>
      </w:pPr>
    </w:p>
    <w:p>
      <w:pPr>
        <w:jc w:val="both"/>
        <w:ind w:firstLine="408"/>
        <w:spacing w:after="0" w:line="246" w:lineRule="auto"/>
        <w:rPr>
          <w:sz w:val="20"/>
          <w:szCs w:val="20"/>
          <w:color w:val="auto"/>
        </w:rPr>
      </w:pPr>
      <w:r>
        <w:rPr>
          <w:rFonts w:ascii="Times New Roman" w:cs="Times New Roman" w:eastAsia="Times New Roman" w:hAnsi="Times New Roman"/>
          <w:sz w:val="20"/>
          <w:szCs w:val="20"/>
          <w:color w:val="auto"/>
        </w:rPr>
        <w:t>In connection with the Transition, we entered into a separation agreement with each of Mr. Brady, Dr. Whiting and Mr. Maestas. Each separation agreement provided for severance benefits resulting from a termination by us without “cause” under each of Mr. Brady’s, Dr. Whiting’s and Mr. Maestas’s respective employment agreements, as described below under “ -</w:t>
      </w:r>
      <w:r>
        <w:rPr>
          <w:rFonts w:ascii="Times New Roman" w:cs="Times New Roman" w:eastAsia="Times New Roman" w:hAnsi="Times New Roman"/>
          <w:sz w:val="20"/>
          <w:szCs w:val="20"/>
          <w:i w:val="1"/>
          <w:iCs w:val="1"/>
          <w:color w:val="auto"/>
        </w:rPr>
        <w:t>Change in Control and Severance Arrangements</w:t>
      </w:r>
      <w:r>
        <w:rPr>
          <w:rFonts w:ascii="Times New Roman" w:cs="Times New Roman" w:eastAsia="Times New Roman" w:hAnsi="Times New Roman"/>
          <w:sz w:val="20"/>
          <w:szCs w:val="20"/>
          <w:color w:val="auto"/>
        </w:rPr>
        <w:t>.” In addition, each of Mr. Brady, Dr. Whiting and Mr. Maestas became entitled to full acceleration of all outstanding unvested equity awards, which became fully vested and exercisable as of June 5, 2025. The foregoing severance benefits were contingent upon a general release of claims set forth in the separation agreement.</w:t>
      </w:r>
    </w:p>
    <w:p>
      <w:pPr>
        <w:spacing w:after="0" w:line="200" w:lineRule="exact"/>
        <w:rPr>
          <w:sz w:val="20"/>
          <w:szCs w:val="20"/>
          <w:color w:val="auto"/>
        </w:rPr>
      </w:pPr>
    </w:p>
    <w:p>
      <w:pPr>
        <w:jc w:val="both"/>
        <w:ind w:firstLine="408"/>
        <w:spacing w:after="0" w:line="259" w:lineRule="auto"/>
        <w:rPr>
          <w:sz w:val="20"/>
          <w:szCs w:val="20"/>
          <w:color w:val="auto"/>
        </w:rPr>
      </w:pPr>
      <w:r>
        <w:rPr>
          <w:rFonts w:ascii="Times New Roman" w:cs="Times New Roman" w:eastAsia="Times New Roman" w:hAnsi="Times New Roman"/>
          <w:sz w:val="20"/>
          <w:szCs w:val="20"/>
          <w:color w:val="auto"/>
        </w:rPr>
        <w:t>Each of our Named Executive Officers’ employment was “at will” and could have been terminated at any time. Below is a description of our employment arrangements with each of our Named Executive Officers prior to the Transition.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Stephen Brady</w:t>
      </w:r>
    </w:p>
    <w:p>
      <w:pPr>
        <w:spacing w:after="0" w:line="238"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20"/>
          <w:szCs w:val="20"/>
          <w:color w:val="auto"/>
        </w:rPr>
        <w:t>We previously entered into an employment agreement, dated January 12, 2022, with Mr. Brady that superseded, amended and restated all prior agreements. Under the terms of the agreement, we agreed to an initial annual base salary, which was increased to $600,000, effective January 1, 2024. Mr. Brady was eligible to receive an annual bonus equal to 55% of his base salary, as determined by the Board in its sole discretion, and certain change in control and severance benefits as discussed below in “-</w:t>
      </w:r>
      <w:r>
        <w:rPr>
          <w:rFonts w:ascii="Times New Roman" w:cs="Times New Roman" w:eastAsia="Times New Roman" w:hAnsi="Times New Roman"/>
          <w:sz w:val="20"/>
          <w:szCs w:val="20"/>
          <w:i w:val="1"/>
          <w:iCs w:val="1"/>
          <w:color w:val="auto"/>
        </w:rPr>
        <w:t>Change in Control and Severance Arrangements</w:t>
      </w:r>
      <w:r>
        <w:rPr>
          <w:rFonts w:ascii="Times New Roman" w:cs="Times New Roman" w:eastAsia="Times New Roman" w:hAnsi="Times New Roman"/>
          <w:sz w:val="20"/>
          <w:szCs w:val="20"/>
          <w:color w:val="auto"/>
        </w:rPr>
        <w:t>.” Mr. Brady’s employment agreement was terminated in connection with the Transition.</w:t>
      </w:r>
    </w:p>
    <w:p>
      <w:pPr>
        <w:sectPr>
          <w:pgSz w:w="12240" w:h="15840" w:orient="portrait"/>
          <w:cols w:equalWidth="0" w:num="1">
            <w:col w:w="9360"/>
          </w:cols>
          <w:pgMar w:left="1440" w:top="1439" w:right="1440"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i w:val="1"/>
          <w:iCs w:val="1"/>
          <w:color w:val="auto"/>
        </w:rPr>
        <w:t>Sam Whiting</w:t>
      </w:r>
    </w:p>
    <w:p>
      <w:pPr>
        <w:spacing w:after="0" w:line="240" w:lineRule="exact"/>
        <w:rPr>
          <w:sz w:val="20"/>
          <w:szCs w:val="20"/>
          <w:color w:val="auto"/>
        </w:rPr>
      </w:pPr>
    </w:p>
    <w:p>
      <w:pPr>
        <w:jc w:val="both"/>
        <w:ind w:firstLine="408"/>
        <w:spacing w:after="0" w:line="249" w:lineRule="auto"/>
        <w:rPr>
          <w:sz w:val="20"/>
          <w:szCs w:val="20"/>
          <w:color w:val="auto"/>
        </w:rPr>
      </w:pPr>
      <w:r>
        <w:rPr>
          <w:rFonts w:ascii="Times New Roman" w:cs="Times New Roman" w:eastAsia="Times New Roman" w:hAnsi="Times New Roman"/>
          <w:sz w:val="20"/>
          <w:szCs w:val="20"/>
          <w:color w:val="auto"/>
        </w:rPr>
        <w:t>We previously entered into an employment agreement, dated January 12, 2022, with Dr. Whiting that superseded, amended and restated all prior agreements. Under the terms of the agreement, we agreed to an initial annual base salary, which was increased to $481,749, effective January 1, 2024. Dr. Whiting was eligible to receive an annual bonus equal to 40% of his base salary, as determined by the Board in its sole discretion, and to certain change in control and severance benefits as discussed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807" name="Shape 8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807" o:spid="_x0000_s18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808" name="Shape 8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08" o:spid="_x0000_s18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809" name="Shape 8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809" o:spid="_x0000_s183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810" name="Shape 8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10" o:spid="_x0000_s18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811" name="Shape 8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11" o:spid="_x0000_s18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below in “-</w:t>
      </w:r>
      <w:r>
        <w:rPr>
          <w:rFonts w:ascii="Times New Roman" w:cs="Times New Roman" w:eastAsia="Times New Roman" w:hAnsi="Times New Roman"/>
          <w:sz w:val="20"/>
          <w:szCs w:val="20"/>
          <w:i w:val="1"/>
          <w:iCs w:val="1"/>
          <w:color w:val="auto"/>
        </w:rPr>
        <w:t>Change in Control and Severance Arrangements</w:t>
      </w:r>
      <w:r>
        <w:rPr>
          <w:rFonts w:ascii="Times New Roman" w:cs="Times New Roman" w:eastAsia="Times New Roman" w:hAnsi="Times New Roman"/>
          <w:sz w:val="20"/>
          <w:szCs w:val="20"/>
          <w:color w:val="auto"/>
        </w:rPr>
        <w:t>.” Dr. Whiting’s employment agreement was terminated in connection with the Transition.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Nicholas Maestas</w:t>
      </w:r>
    </w:p>
    <w:p>
      <w:pPr>
        <w:spacing w:after="0" w:line="240"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20"/>
          <w:szCs w:val="20"/>
          <w:color w:val="auto"/>
        </w:rPr>
        <w:t>We previously entered into an employment agreement, dated January 1, 2025, with Mr. Maestas that superseded, amended and restated all prior agreements. Under the terms of the agreement, we agreed to an initial annual base salary of $425,000. Mr. Maestas was eligible for an annual bonus equal to 40% of his base salary beginning in 2025, as determined by the Board in its sole discretion, and to certain change in control and severance benefits as discussed below in “-</w:t>
      </w:r>
      <w:r>
        <w:rPr>
          <w:rFonts w:ascii="Times New Roman" w:cs="Times New Roman" w:eastAsia="Times New Roman" w:hAnsi="Times New Roman"/>
          <w:sz w:val="20"/>
          <w:szCs w:val="20"/>
          <w:i w:val="1"/>
          <w:iCs w:val="1"/>
          <w:color w:val="auto"/>
        </w:rPr>
        <w:t>Change in Control and Severance Arrangements</w:t>
      </w:r>
      <w:r>
        <w:rPr>
          <w:rFonts w:ascii="Times New Roman" w:cs="Times New Roman" w:eastAsia="Times New Roman" w:hAnsi="Times New Roman"/>
          <w:sz w:val="20"/>
          <w:szCs w:val="20"/>
          <w:color w:val="auto"/>
        </w:rPr>
        <w:t>.” Mr. Maestas’ employment agreement was terminated in connection with the Transition.</w:t>
      </w:r>
    </w:p>
    <w:p>
      <w:pPr>
        <w:spacing w:after="0" w:line="200" w:lineRule="exact"/>
        <w:rPr>
          <w:sz w:val="20"/>
          <w:szCs w:val="20"/>
          <w:color w:val="auto"/>
        </w:rPr>
      </w:pPr>
    </w:p>
    <w:p>
      <w:pPr>
        <w:jc w:val="both"/>
        <w:ind w:firstLine="408"/>
        <w:spacing w:after="0" w:line="249" w:lineRule="auto"/>
        <w:rPr>
          <w:sz w:val="20"/>
          <w:szCs w:val="20"/>
          <w:color w:val="auto"/>
        </w:rPr>
      </w:pPr>
      <w:r>
        <w:rPr>
          <w:rFonts w:ascii="Times New Roman" w:cs="Times New Roman" w:eastAsia="Times New Roman" w:hAnsi="Times New Roman"/>
          <w:sz w:val="20"/>
          <w:szCs w:val="20"/>
          <w:color w:val="auto"/>
        </w:rPr>
        <w:t>On February 3, 2026 entered into an employment agreement with Mr. Maestas that superseded, amended and restated all prior agreements. Under the terms of the agreement, we agreed to an initial annual base salary of $425,000. Mr. Maestas is eligible for an annual bonus equal to 40% of his base salary beginning in 2026, as determined by the Board in its sole discretion, and to certain change in control and severance benefits as discussed below in “-</w:t>
      </w:r>
      <w:r>
        <w:rPr>
          <w:rFonts w:ascii="Times New Roman" w:cs="Times New Roman" w:eastAsia="Times New Roman" w:hAnsi="Times New Roman"/>
          <w:sz w:val="20"/>
          <w:szCs w:val="20"/>
          <w:i w:val="1"/>
          <w:iCs w:val="1"/>
          <w:color w:val="auto"/>
        </w:rPr>
        <w:t>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 Control and Severance Arrangements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Control and Severance Arrangements</w:t>
      </w:r>
    </w:p>
    <w:p>
      <w:pPr>
        <w:spacing w:after="0" w:line="244" w:lineRule="exact"/>
        <w:rPr>
          <w:sz w:val="20"/>
          <w:szCs w:val="20"/>
          <w:color w:val="auto"/>
        </w:rPr>
      </w:pPr>
    </w:p>
    <w:p>
      <w:pPr>
        <w:jc w:val="both"/>
        <w:ind w:firstLine="408"/>
        <w:spacing w:after="0" w:line="262" w:lineRule="auto"/>
        <w:rPr>
          <w:sz w:val="20"/>
          <w:szCs w:val="20"/>
          <w:color w:val="auto"/>
        </w:rPr>
      </w:pPr>
      <w:r>
        <w:rPr>
          <w:rFonts w:ascii="Times New Roman" w:cs="Times New Roman" w:eastAsia="Times New Roman" w:hAnsi="Times New Roman"/>
          <w:sz w:val="19"/>
          <w:szCs w:val="19"/>
          <w:color w:val="auto"/>
        </w:rPr>
        <w:t>Pursuant to the prior employment agreements with our Named Executive Officers (collectively, the “Former Employment Agreements”), if a Named Executive Officer’s employment was terminated by us without Cause or if a Named Executive Officer resigned for Good Reason (each as defined below), they would have been entitled to receive</w:t>
      </w:r>
    </w:p>
    <w:p>
      <w:pPr>
        <w:spacing w:after="0" w:line="1" w:lineRule="exact"/>
        <w:rPr>
          <w:sz w:val="20"/>
          <w:szCs w:val="20"/>
          <w:color w:val="auto"/>
        </w:rPr>
      </w:pPr>
    </w:p>
    <w:p>
      <w:pPr>
        <w:jc w:val="both"/>
        <w:spacing w:after="0" w:line="241" w:lineRule="auto"/>
        <w:tabs>
          <w:tab w:leader="none" w:pos="24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semi-monthly payments equal to the sum of 12 months of the executive’s base salary for Mr. Brady, 9 months for Dr. Whiting and 9 months for Mr. Maestas, plus a prorated portion of the executive’s target annual bonus for the calendar year in which termination occurred and (ii) if the executive elected to continue health insurance coverage under COBRA, the payment of the monthly premium under COBRA until the earlier of 12 months for Mr. Brady, 9 months for Dr. Whiting and 9 months for Mr. Maestas following termination date or the date on which the executive commenced full-time employment or employment that provided eligibility for healthcare benefits substantially comparable to those provided by us.</w:t>
      </w:r>
    </w:p>
    <w:p>
      <w:pPr>
        <w:spacing w:after="0" w:line="206" w:lineRule="exact"/>
        <w:rPr>
          <w:sz w:val="20"/>
          <w:szCs w:val="20"/>
          <w:color w:val="auto"/>
        </w:rPr>
      </w:pPr>
    </w:p>
    <w:p>
      <w:pPr>
        <w:jc w:val="both"/>
        <w:ind w:firstLine="408"/>
        <w:spacing w:after="0" w:line="263" w:lineRule="auto"/>
        <w:rPr>
          <w:sz w:val="20"/>
          <w:szCs w:val="20"/>
          <w:color w:val="auto"/>
        </w:rPr>
      </w:pPr>
      <w:r>
        <w:rPr>
          <w:rFonts w:ascii="Times New Roman" w:cs="Times New Roman" w:eastAsia="Times New Roman" w:hAnsi="Times New Roman"/>
          <w:sz w:val="19"/>
          <w:szCs w:val="19"/>
          <w:color w:val="auto"/>
        </w:rPr>
        <w:t>Moreover, if a Named Executive Officer’s employment was terminated by us without Cause or a Named Executive Officer resigned for Good Reason within three months prior to or 12 months following a Change in Control, then in lieu of the severance benefits described above the Named Executive Officer would have been entitled to receive</w:t>
      </w:r>
    </w:p>
    <w:p>
      <w:pPr>
        <w:spacing w:after="0" w:line="2" w:lineRule="exact"/>
        <w:rPr>
          <w:sz w:val="20"/>
          <w:szCs w:val="20"/>
          <w:color w:val="auto"/>
        </w:rPr>
      </w:pPr>
    </w:p>
    <w:p>
      <w:pPr>
        <w:jc w:val="both"/>
        <w:spacing w:after="0" w:line="242" w:lineRule="auto"/>
        <w:tabs>
          <w:tab w:leader="none" w:pos="24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lump-sum amount equal to the sum of 18 months for Mr. Brady, 12 months for Dr. Whiting and 12 months for Mr. Maestas of the executive’s then base salary plus the executive’s then annual target bonus at 150% for Mr. Brady, 100% for Dr. Whiting and 100% for Mr. Maestas and (ii) payment of COBRA premiums as described above for up to 18 months for Mr. Brady, 12 months for Dr. Whiting and 12 months for Mr. Maestas.</w:t>
      </w:r>
    </w:p>
    <w:p>
      <w:pPr>
        <w:spacing w:after="0" w:line="204" w:lineRule="exact"/>
        <w:rPr>
          <w:sz w:val="20"/>
          <w:szCs w:val="20"/>
          <w:color w:val="auto"/>
        </w:rPr>
      </w:pPr>
    </w:p>
    <w:p>
      <w:pPr>
        <w:jc w:val="both"/>
        <w:ind w:firstLine="408"/>
        <w:spacing w:after="0" w:line="251" w:lineRule="auto"/>
        <w:rPr>
          <w:sz w:val="20"/>
          <w:szCs w:val="20"/>
          <w:color w:val="auto"/>
        </w:rPr>
      </w:pPr>
      <w:r>
        <w:rPr>
          <w:rFonts w:ascii="Times New Roman" w:cs="Times New Roman" w:eastAsia="Times New Roman" w:hAnsi="Times New Roman"/>
          <w:sz w:val="20"/>
          <w:szCs w:val="20"/>
          <w:color w:val="auto"/>
        </w:rPr>
        <w:t>Our Named Executive Officers’ receipt of any severance benefits under the Former Employment Agreements was subject to the execution and non-revocation of a separation agreement containing, among other things, a general release of claims in favor of us and our related persons and entities, confidentiality, return of property and non-solicitation and non-disparagement covenants.</w:t>
      </w:r>
    </w:p>
    <w:p>
      <w:pPr>
        <w:sectPr>
          <w:pgSz w:w="12240" w:h="15840" w:orient="portrait"/>
          <w:cols w:equalWidth="0" w:num="1">
            <w:col w:w="9360"/>
          </w:cols>
          <w:pgMar w:left="1440" w:top="1422" w:right="1440" w:bottom="1440" w:gutter="0" w:footer="0" w:header="0"/>
        </w:sectPr>
      </w:pPr>
    </w:p>
    <w:bookmarkStart w:id="148" w:name="page149"/>
    <w:bookmarkEnd w:id="148"/>
    <w:p>
      <w:pPr>
        <w:jc w:val="both"/>
        <w:ind w:firstLine="408"/>
        <w:spacing w:after="0" w:line="258" w:lineRule="auto"/>
        <w:rPr>
          <w:sz w:val="20"/>
          <w:szCs w:val="20"/>
          <w:color w:val="auto"/>
        </w:rPr>
      </w:pPr>
      <w:r>
        <w:rPr>
          <w:rFonts w:ascii="Times New Roman" w:cs="Times New Roman" w:eastAsia="Times New Roman" w:hAnsi="Times New Roman"/>
          <w:sz w:val="20"/>
          <w:szCs w:val="20"/>
          <w:color w:val="auto"/>
        </w:rPr>
        <w:t>Further, if we were subject to a Change in Control prior to the termination of a Named Executive Officer’s service, then 100% of any unvested shares subject to any stock options then held by the Named Executive Officer would have vested and become exercisable in full.</w:t>
      </w:r>
    </w:p>
    <w:p>
      <w:pPr>
        <w:spacing w:after="0" w:line="187" w:lineRule="exact"/>
        <w:rPr>
          <w:sz w:val="20"/>
          <w:szCs w:val="20"/>
          <w:color w:val="auto"/>
        </w:rPr>
      </w:pPr>
    </w:p>
    <w:p>
      <w:pPr>
        <w:jc w:val="both"/>
        <w:ind w:firstLine="408"/>
        <w:spacing w:after="0" w:line="304" w:lineRule="auto"/>
        <w:rPr>
          <w:sz w:val="20"/>
          <w:szCs w:val="20"/>
          <w:color w:val="auto"/>
        </w:rPr>
      </w:pPr>
      <w:r>
        <w:rPr>
          <w:rFonts w:ascii="Times New Roman" w:cs="Times New Roman" w:eastAsia="Times New Roman" w:hAnsi="Times New Roman"/>
          <w:sz w:val="19"/>
          <w:szCs w:val="19"/>
          <w:color w:val="auto"/>
        </w:rPr>
        <w:t>Pursuant to his employment agreement with us, dated February 3, 2026, Mr. Maestas is entitled to severance payments consistent with those provided for under his respective Former Employment Agreement as described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 and Welfare Benefits; Perquisites</w:t>
      </w:r>
    </w:p>
    <w:p>
      <w:pPr>
        <w:spacing w:after="0" w:line="244"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20"/>
          <w:szCs w:val="20"/>
          <w:color w:val="auto"/>
        </w:rPr>
        <w:t>Prior to the Transition, our Named Executive Officers were, and following the Rehire Transition, Mr. Brady was and Mr. Maestas is, eligible to participate in our employee benefit plans, including medical, dental, vision, disability and life insurance plans, in each case on the same basis as all of our other full-time employees. Any part-time employees we hire would not be eligible to participate in our employee benefit plans. We generally do not provide perquisites or personal benefits to our Named Executive Officers, except in limited circumstances, and we did not provide any perquisites or personal benefits to our Named Executive Officers in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812" name="Shape 8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812" o:spid="_x0000_s18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813" name="Shape 8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13" o:spid="_x0000_s18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814" name="Shape 8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814" o:spid="_x0000_s183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815" name="Shape 8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15" o:spid="_x0000_s18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816" name="Shape 8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816" o:spid="_x0000_s18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401(k) Plan</w:t>
      </w:r>
    </w:p>
    <w:p>
      <w:pPr>
        <w:spacing w:after="0" w:line="242" w:lineRule="exact"/>
        <w:rPr>
          <w:sz w:val="20"/>
          <w:szCs w:val="20"/>
          <w:color w:val="auto"/>
        </w:rPr>
      </w:pPr>
    </w:p>
    <w:p>
      <w:pPr>
        <w:jc w:val="both"/>
        <w:ind w:firstLine="408"/>
        <w:spacing w:after="0" w:line="252" w:lineRule="auto"/>
        <w:rPr>
          <w:sz w:val="20"/>
          <w:szCs w:val="20"/>
          <w:color w:val="auto"/>
        </w:rPr>
      </w:pPr>
      <w:r>
        <w:rPr>
          <w:rFonts w:ascii="Times New Roman" w:cs="Times New Roman" w:eastAsia="Times New Roman" w:hAnsi="Times New Roman"/>
          <w:sz w:val="20"/>
          <w:szCs w:val="20"/>
          <w:color w:val="auto"/>
        </w:rPr>
        <w:t>We participate in a multiple employer tax-qualified 401(k) savings plan which allows participants to defer eligible compensation up to the maximum amount allowed under Internal Revenue Service guidelines. Under our 401(k) plan, we currently make matching contributions of 100% on up to 4% of an employee’s eligible contributions to the plan, up to a maximum of $14,000 per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42"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20"/>
          <w:szCs w:val="20"/>
          <w:color w:val="auto"/>
        </w:rPr>
        <w:t>Our Incentive Compensation Recoupment Policy (the “Clawback Policy”), designed to comply with Rule 10D-1 of the Exchange Act and Nasdaq Listing Rule 5608,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attainmentof a Financial Reporting Measure (as defined in the Clawback Policy) is subject to recoupment.</w:t>
      </w:r>
    </w:p>
    <w:p>
      <w:pPr>
        <w:spacing w:after="0" w:line="196" w:lineRule="exact"/>
        <w:rPr>
          <w:sz w:val="20"/>
          <w:szCs w:val="20"/>
          <w:color w:val="auto"/>
        </w:rPr>
      </w:pPr>
    </w:p>
    <w:p>
      <w:pPr>
        <w:ind w:right="780"/>
        <w:spacing w:after="0" w:line="285" w:lineRule="auto"/>
        <w:rPr>
          <w:sz w:val="20"/>
          <w:szCs w:val="20"/>
          <w:color w:val="auto"/>
        </w:rPr>
      </w:pPr>
      <w:r>
        <w:rPr>
          <w:rFonts w:ascii="Times New Roman" w:cs="Times New Roman" w:eastAsia="Times New Roman" w:hAnsi="Times New Roman"/>
          <w:sz w:val="20"/>
          <w:szCs w:val="20"/>
          <w:b w:val="1"/>
          <w:bCs w:val="1"/>
          <w:color w:val="auto"/>
        </w:rPr>
        <w:t>Policies and Practices Related to the Grant of Certain Equity Awards Close in Time to the Release of Material Nonpublic Information</w:t>
      </w:r>
    </w:p>
    <w:p>
      <w:pPr>
        <w:spacing w:after="0" w:line="159" w:lineRule="exact"/>
        <w:rPr>
          <w:sz w:val="20"/>
          <w:szCs w:val="20"/>
          <w:color w:val="auto"/>
        </w:rPr>
      </w:pPr>
    </w:p>
    <w:p>
      <w:pPr>
        <w:ind w:right="100" w:firstLine="408"/>
        <w:spacing w:after="0" w:line="243" w:lineRule="auto"/>
        <w:rPr>
          <w:sz w:val="20"/>
          <w:szCs w:val="20"/>
          <w:color w:val="auto"/>
        </w:rPr>
      </w:pPr>
      <w:r>
        <w:rPr>
          <w:rFonts w:ascii="Times New Roman" w:cs="Times New Roman" w:eastAsia="Times New Roman" w:hAnsi="Times New Roman"/>
          <w:sz w:val="20"/>
          <w:szCs w:val="20"/>
          <w:color w:val="auto"/>
        </w:rPr>
        <w:t>From time to time, we grant stock options to our employees, including our named executive officers. Historically, we have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Also, non-employee directors receive automatic grants of initial and annual stock option awards, on the date of each annual meeting of stockholders, pursuant to the non-employee director compensation policy, as further described under the heading, “</w:t>
      </w:r>
      <w:r>
        <w:rPr>
          <w:rFonts w:ascii="Times New Roman" w:cs="Times New Roman" w:eastAsia="Times New Roman" w:hAnsi="Times New Roman"/>
          <w:sz w:val="20"/>
          <w:szCs w:val="20"/>
          <w:i w:val="1"/>
          <w:iCs w:val="1"/>
          <w:color w:val="auto"/>
        </w:rPr>
        <w:t>Director Compensation- Non-Employee Director Compensation Program</w:t>
      </w:r>
      <w:r>
        <w:rPr>
          <w:rFonts w:ascii="Times New Roman" w:cs="Times New Roman" w:eastAsia="Times New Roman" w:hAnsi="Times New Roman"/>
          <w:sz w:val="20"/>
          <w:szCs w:val="20"/>
          <w:color w:val="auto"/>
        </w:rPr>
        <w:t>” below. We do not otherwise maintain any written policies on the timing of awards of stock options, stock appreciation rights, or similar instruments with option-like features. The Compensation Committee considers whether there is any material nonpublic i nformation (“MNPI”) about the Company when determining the timing of stock option grants and does not seek to time the award of stock options in relation to our public disclosure of MNPI. We have not timed the release of MNPI for the purpose of affecting the value of executive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Program</w:t>
      </w:r>
    </w:p>
    <w:p>
      <w:pPr>
        <w:sectPr>
          <w:pgSz w:w="12240" w:h="15840" w:orient="portrait"/>
          <w:cols w:equalWidth="0" w:num="1">
            <w:col w:w="9360"/>
          </w:cols>
          <w:pgMar w:left="1440" w:top="1422" w:right="1440" w:bottom="1440" w:gutter="0" w:footer="0" w:header="0"/>
        </w:sectPr>
      </w:pPr>
    </w:p>
    <w:bookmarkStart w:id="149" w:name="page150"/>
    <w:bookmarkEnd w:id="149"/>
    <w:p>
      <w:pPr>
        <w:jc w:val="both"/>
        <w:ind w:firstLine="408"/>
        <w:spacing w:after="0" w:line="258" w:lineRule="auto"/>
        <w:rPr>
          <w:sz w:val="20"/>
          <w:szCs w:val="20"/>
          <w:color w:val="auto"/>
        </w:rPr>
      </w:pPr>
      <w:r>
        <w:rPr>
          <w:rFonts w:ascii="Times New Roman" w:cs="Times New Roman" w:eastAsia="Times New Roman" w:hAnsi="Times New Roman"/>
          <w:sz w:val="20"/>
          <w:szCs w:val="20"/>
          <w:color w:val="auto"/>
        </w:rPr>
        <w:t>The following is a description of the standard compensation arrangements under which our non-employee directors were compensated for their service as directors for the fiscal year ended December 31, 2025, including as members of the various committees of our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Compensation</w:t>
      </w:r>
    </w:p>
    <w:p>
      <w:pPr>
        <w:spacing w:after="0" w:line="240" w:lineRule="exact"/>
        <w:rPr>
          <w:sz w:val="20"/>
          <w:szCs w:val="20"/>
          <w:color w:val="auto"/>
        </w:rPr>
      </w:pPr>
    </w:p>
    <w:p>
      <w:pPr>
        <w:jc w:val="both"/>
        <w:ind w:firstLine="408"/>
        <w:spacing w:after="0" w:line="258" w:lineRule="auto"/>
        <w:rPr>
          <w:sz w:val="20"/>
          <w:szCs w:val="20"/>
          <w:color w:val="auto"/>
        </w:rPr>
      </w:pPr>
      <w:r>
        <w:rPr>
          <w:rFonts w:ascii="Times New Roman" w:cs="Times New Roman" w:eastAsia="Times New Roman" w:hAnsi="Times New Roman"/>
          <w:sz w:val="20"/>
          <w:szCs w:val="20"/>
          <w:color w:val="auto"/>
        </w:rPr>
        <w:t>Each non-employee director received an annual base retainer of $40,000 with the non-executive Board Chair receiving an additional annual base retainer of $35,000. In addition, our non-employee directors received the following cash compensation for committee services, as applicable:</w:t>
      </w:r>
    </w:p>
    <w:p>
      <w:pPr>
        <w:spacing w:after="0" w:line="310"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color w:val="auto"/>
        </w:rPr>
        <w:t>•each chair of our Audit, Compensation, Nominating and Corporate Governance, and Science &amp; Technology committees received an additional annual retainer of $15,000, $10,000, $8,000 and $8,000,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20"/>
        <w:spacing w:after="0" w:line="304" w:lineRule="auto"/>
        <w:rPr>
          <w:sz w:val="20"/>
          <w:szCs w:val="20"/>
          <w:color w:val="auto"/>
        </w:rPr>
      </w:pPr>
      <w:r>
        <w:rPr>
          <w:rFonts w:ascii="Times New Roman" w:cs="Times New Roman" w:eastAsia="Times New Roman" w:hAnsi="Times New Roman"/>
          <w:sz w:val="19"/>
          <w:szCs w:val="19"/>
          <w:color w:val="auto"/>
        </w:rPr>
        <w:t>•each other non-chair member of our Audit, Compensation, Nominating and Corporate Governance, and Science &amp; Technology committees received an additional annual retainer of $7,500, $5,000, $4,000 and $4,000, respectively.</w:t>
      </w:r>
    </w:p>
    <w:p>
      <w:pPr>
        <w:spacing w:after="0" w:line="267" w:lineRule="exact"/>
        <w:rPr>
          <w:sz w:val="20"/>
          <w:szCs w:val="20"/>
          <w:color w:val="auto"/>
        </w:rPr>
      </w:pPr>
    </w:p>
    <w:p>
      <w:pPr>
        <w:ind w:right="540" w:firstLine="408"/>
        <w:spacing w:after="0" w:line="277" w:lineRule="auto"/>
        <w:rPr>
          <w:sz w:val="20"/>
          <w:szCs w:val="20"/>
          <w:color w:val="auto"/>
        </w:rPr>
      </w:pPr>
      <w:r>
        <w:rPr>
          <w:rFonts w:ascii="Times New Roman" w:cs="Times New Roman" w:eastAsia="Times New Roman" w:hAnsi="Times New Roman"/>
          <w:sz w:val="20"/>
          <w:szCs w:val="20"/>
          <w:color w:val="auto"/>
        </w:rPr>
        <w:t>The following reflects the retainers to be paid to non-employee directors for service on the Board and for service on each committee of the Board on which the director is a member, effective as of January 20, 2026:</w:t>
      </w:r>
    </w:p>
    <w:p>
      <w:pPr>
        <w:spacing w:after="0" w:line="278"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auto"/>
        </w:rPr>
        <w:t>•each chair of our Audit, Compensation, Nominating and Corporate Governance, and Science &amp; Technology committees received an additional annual retainer of $20,000, $15,000, $10,000 and $12,000, respectively; and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817" name="Shape 8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20">
                          <a:solidFill>
                            <a:srgbClr val="808080"/>
                          </a:solidFill>
                          <a:miter lim="800000"/>
                          <a:headEnd/>
                          <a:tailEnd/>
                        </a:ln>
                      </wps:spPr>
                      <wps:bodyPr/>
                    </wps:wsp>
                  </a:graphicData>
                </a:graphic>
              </wp:anchor>
            </w:drawing>
          </mc:Choice>
          <mc:Fallback>
            <w:pict>
              <v:line id="Shape 817" o:spid="_x0000_s18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6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818" name="Shape 8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18" o:spid="_x0000_s18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819" name="Shape 8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819" o:spid="_x0000_s184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820" name="Shape 8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20" o:spid="_x0000_s18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821" name="Shape 8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821" o:spid="_x0000_s18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100"/>
        <w:spacing w:after="0" w:line="304" w:lineRule="auto"/>
        <w:rPr>
          <w:sz w:val="20"/>
          <w:szCs w:val="20"/>
          <w:color w:val="auto"/>
        </w:rPr>
      </w:pPr>
      <w:r>
        <w:rPr>
          <w:rFonts w:ascii="Times New Roman" w:cs="Times New Roman" w:eastAsia="Times New Roman" w:hAnsi="Times New Roman"/>
          <w:sz w:val="19"/>
          <w:szCs w:val="19"/>
          <w:color w:val="auto"/>
        </w:rPr>
        <w:t>•each other non-chair member of our Audit, Compensation, Nominating and Corporate Governance, and Science &amp; Technology committees received an additional annual retainer of $10,000, $7,500, $5,000 and $6,000, respectively.</w:t>
      </w:r>
    </w:p>
    <w:p>
      <w:pPr>
        <w:spacing w:after="0" w:line="267" w:lineRule="exact"/>
        <w:rPr>
          <w:sz w:val="20"/>
          <w:szCs w:val="20"/>
          <w:color w:val="auto"/>
        </w:rPr>
      </w:pPr>
    </w:p>
    <w:p>
      <w:pPr>
        <w:jc w:val="both"/>
        <w:ind w:firstLine="408"/>
        <w:spacing w:after="0" w:line="252" w:lineRule="auto"/>
        <w:rPr>
          <w:sz w:val="20"/>
          <w:szCs w:val="20"/>
          <w:color w:val="auto"/>
        </w:rPr>
      </w:pPr>
      <w:r>
        <w:rPr>
          <w:rFonts w:ascii="Times New Roman" w:cs="Times New Roman" w:eastAsia="Times New Roman" w:hAnsi="Times New Roman"/>
          <w:sz w:val="20"/>
          <w:szCs w:val="20"/>
          <w:color w:val="auto"/>
        </w:rPr>
        <w:t>These retainers were payable in arrears in four equal quarterly installments on the last day of each quarter (each such date, a “Retainer Accrual Date”), provided that the amount of such payment will be prorated for any partial months of service. We also reimburse each of our directors for their travel expenses incurred in connection with their attendance at Board and committee meetings.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238"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20"/>
          <w:szCs w:val="20"/>
          <w:color w:val="auto"/>
        </w:rPr>
        <w:t>During 2025, non -employee directors first appointed to the Board were eligible to receive an initial option to purchase 1,923 shares of our common stock (the “Initial Grant”) . Further, on the date of each annual meeting of stockholders, each non-employee director that continued to serve as a non-employee member on our Board would receive an option to purchase 1,230 shares of our common stock (the “Annual Grant”). Effective as of January 20, 2026, the Initial Grant was increased to 25,000 shares of common stock and the Annual Grant increased to 12,500 shares of common stock.</w:t>
      </w:r>
    </w:p>
    <w:p>
      <w:pPr>
        <w:spacing w:after="0" w:line="200" w:lineRule="exact"/>
        <w:rPr>
          <w:sz w:val="20"/>
          <w:szCs w:val="20"/>
          <w:color w:val="auto"/>
        </w:rPr>
      </w:pPr>
    </w:p>
    <w:p>
      <w:pPr>
        <w:jc w:val="both"/>
        <w:ind w:firstLine="408"/>
        <w:spacing w:after="0" w:line="261" w:lineRule="auto"/>
        <w:rPr>
          <w:sz w:val="20"/>
          <w:szCs w:val="20"/>
          <w:color w:val="auto"/>
        </w:rPr>
      </w:pPr>
      <w:r>
        <w:rPr>
          <w:rFonts w:ascii="Times New Roman" w:cs="Times New Roman" w:eastAsia="Times New Roman" w:hAnsi="Times New Roman"/>
          <w:sz w:val="19"/>
          <w:szCs w:val="19"/>
          <w:color w:val="auto"/>
        </w:rPr>
        <w:t>The shares subject to each Initial Grant will vest over a three-year period, with one-third of the award vesting on the first anniversary of the grant date and the remainder of the award vesting in equal monthly installments thereafter, subject to the non -employee director’s Continuous Service (as defined in the 2023 Plan) through each such vesting date and will vest in full upon a Change in Control (as defined in the 2023 Plan). The shares subject to the Annual Grant will vest in full on the first anniversary of the date of grant; provided, that the Annual Grant will in any case be fully vested on the date of Company’s next annual stockholder meeting, subject to the non-employee director’s Continuous Service (as defined in the 2023 Plan) through such vesting date; provided, further, that the Annual Grant</w:t>
      </w:r>
    </w:p>
    <w:p>
      <w:pPr>
        <w:sectPr>
          <w:pgSz w:w="12240" w:h="15840" w:orient="portrait"/>
          <w:cols w:equalWidth="0" w:num="1">
            <w:col w:w="9360"/>
          </w:cols>
          <w:pgMar w:left="1440" w:top="1422" w:right="1440" w:bottom="954" w:gutter="0" w:footer="0" w:header="0"/>
        </w:sectPr>
      </w:pPr>
    </w:p>
    <w:bookmarkStart w:id="150" w:name="page151"/>
    <w:bookmarkEnd w:id="150"/>
    <w:p>
      <w:pPr>
        <w:jc w:val="both"/>
        <w:ind w:left="422"/>
        <w:spacing w:after="0" w:line="249" w:lineRule="auto"/>
        <w:rPr>
          <w:sz w:val="20"/>
          <w:szCs w:val="20"/>
          <w:color w:val="auto"/>
        </w:rPr>
      </w:pPr>
      <w:r>
        <w:rPr>
          <w:rFonts w:ascii="Times New Roman" w:cs="Times New Roman" w:eastAsia="Times New Roman" w:hAnsi="Times New Roman"/>
          <w:sz w:val="20"/>
          <w:szCs w:val="20"/>
          <w:color w:val="auto"/>
        </w:rPr>
        <w:t>will vest in full upon a Change in Control (as defined in the 2023 Plan). With respect to a non-employee director who was first elected or appointed to the Board on a date other than the date of the Company’s annual stockholder meeting, upon our first annual meeting of our stockholders following such non-employee director’s first joining the Board, such non-employee director’s first Annual Grant will be pro -rated to reflect the time between such non-employee director’s election or appointment date and the date of such first annual meeting of our stockholders.</w:t>
      </w:r>
    </w:p>
    <w:p>
      <w:pPr>
        <w:spacing w:after="0" w:line="197" w:lineRule="exact"/>
        <w:rPr>
          <w:sz w:val="20"/>
          <w:szCs w:val="20"/>
          <w:color w:val="auto"/>
        </w:rPr>
      </w:pPr>
    </w:p>
    <w:p>
      <w:pPr>
        <w:jc w:val="both"/>
        <w:ind w:left="422" w:firstLine="408"/>
        <w:spacing w:after="0" w:line="244" w:lineRule="auto"/>
        <w:rPr>
          <w:sz w:val="20"/>
          <w:szCs w:val="20"/>
          <w:color w:val="auto"/>
        </w:rPr>
      </w:pPr>
      <w:r>
        <w:rPr>
          <w:rFonts w:ascii="Times New Roman" w:cs="Times New Roman" w:eastAsia="Times New Roman" w:hAnsi="Times New Roman"/>
          <w:sz w:val="20"/>
          <w:szCs w:val="20"/>
          <w:color w:val="auto"/>
        </w:rPr>
        <w:t>Each non-employee director may elect to convert such director’s cash compensation under the Non -Employee Director Compensation Policy into a restricted stock unit (“RSU”) award (such election, a “Retainer Grant Election”). If a non- employee director timely makes this election, then on the first business day following the applicable Retainer Accrual Date to which the Retainer Grant Election applies, and without any further action by the Board or designated committee of the Board, such non-employee director automatically will be granted a fully vested RSU award under the 2023 Plan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No cash will be paid in lieu of fractional shares.</w:t>
      </w:r>
    </w:p>
    <w:p>
      <w:pPr>
        <w:spacing w:after="0" w:line="202" w:lineRule="exact"/>
        <w:rPr>
          <w:sz w:val="20"/>
          <w:szCs w:val="20"/>
          <w:color w:val="auto"/>
        </w:rPr>
      </w:pPr>
    </w:p>
    <w:p>
      <w:pPr>
        <w:jc w:val="both"/>
        <w:ind w:left="422" w:firstLine="408"/>
        <w:spacing w:after="0" w:line="277" w:lineRule="auto"/>
        <w:rPr>
          <w:sz w:val="20"/>
          <w:szCs w:val="20"/>
          <w:color w:val="auto"/>
        </w:rPr>
      </w:pPr>
      <w:r>
        <w:rPr>
          <w:rFonts w:ascii="Times New Roman" w:cs="Times New Roman" w:eastAsia="Times New Roman" w:hAnsi="Times New Roman"/>
          <w:sz w:val="20"/>
          <w:szCs w:val="20"/>
          <w:color w:val="auto"/>
        </w:rPr>
        <w:t>Notwithstanding the foregoing, any member of our Board that is entitled to the above compensation may elect to forego all or a portion of such compensation from time to time by giving notice to the Company.</w:t>
      </w:r>
    </w:p>
    <w:p>
      <w:pPr>
        <w:spacing w:after="0" w:line="166"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20"/>
          <w:szCs w:val="20"/>
          <w:b w:val="1"/>
          <w:bCs w:val="1"/>
          <w:color w:val="auto"/>
        </w:rPr>
        <w:t>Non-Employee Director Compensation Table</w:t>
      </w:r>
    </w:p>
    <w:p>
      <w:pPr>
        <w:spacing w:after="0" w:line="244" w:lineRule="exact"/>
        <w:rPr>
          <w:sz w:val="20"/>
          <w:szCs w:val="20"/>
          <w:color w:val="auto"/>
        </w:rPr>
      </w:pPr>
    </w:p>
    <w:p>
      <w:pPr>
        <w:jc w:val="both"/>
        <w:ind w:left="422" w:firstLine="408"/>
        <w:spacing w:after="0" w:line="251" w:lineRule="auto"/>
        <w:rPr>
          <w:sz w:val="20"/>
          <w:szCs w:val="20"/>
          <w:color w:val="auto"/>
        </w:rPr>
      </w:pPr>
      <w:r>
        <w:rPr>
          <w:rFonts w:ascii="Times New Roman" w:cs="Times New Roman" w:eastAsia="Times New Roman" w:hAnsi="Times New Roman"/>
          <w:sz w:val="20"/>
          <w:szCs w:val="20"/>
          <w:color w:val="auto"/>
        </w:rPr>
        <w:t>The following table sets forth information for the year ended December 31, 2025 regarding the compensation awarded to or earned by our non-employee directors. Mr. Brady is not included in the table below, as he was an employee and received no additional compensation for his service as a director. As a Named Executive Officer, the compensation received by Mr. Brady is shown above in “-</w:t>
      </w:r>
      <w:r>
        <w:rPr>
          <w:rFonts w:ascii="Times New Roman" w:cs="Times New Roman" w:eastAsia="Times New Roman" w:hAnsi="Times New Roman"/>
          <w:sz w:val="20"/>
          <w:szCs w:val="20"/>
          <w:i w:val="1"/>
          <w:iCs w:val="1"/>
          <w:color w:val="auto"/>
        </w:rPr>
        <w:t>Executive Compensation-Summary Compensation Table</w:t>
      </w:r>
      <w:r>
        <w:rPr>
          <w:rFonts w:ascii="Times New Roman" w:cs="Times New Roman" w:eastAsia="Times New Roman" w:hAnsi="Times New Roman"/>
          <w:sz w:val="20"/>
          <w:szCs w:val="20"/>
          <w:color w:val="auto"/>
        </w:rPr>
        <w:t>.”</w:t>
      </w:r>
    </w:p>
    <w:p>
      <w:pPr>
        <w:spacing w:after="0" w:line="196" w:lineRule="exact"/>
        <w:rPr>
          <w:sz w:val="20"/>
          <w:szCs w:val="20"/>
          <w:color w:val="auto"/>
        </w:rPr>
      </w:pPr>
    </w:p>
    <w:tbl>
      <w:tblPr>
        <w:tblLayout w:type="fixed"/>
        <w:tblInd w:w="502"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60" w:type="dxa"/>
            <w:vAlign w:val="bottom"/>
          </w:tcPr>
          <w:p>
            <w:pPr>
              <w:spacing w:after="0"/>
              <w:rPr>
                <w:sz w:val="16"/>
                <w:szCs w:val="16"/>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1"/>
        </w:trPr>
        <w:tc>
          <w:tcPr>
            <w:tcW w:w="3380" w:type="dxa"/>
            <w:vAlign w:val="bottom"/>
            <w:vMerge w:val="continue"/>
          </w:tcPr>
          <w:p>
            <w:pPr>
              <w:spacing w:after="0"/>
              <w:rPr>
                <w:sz w:val="19"/>
                <w:szCs w:val="19"/>
                <w:color w:val="auto"/>
              </w:rPr>
            </w:pPr>
          </w:p>
        </w:tc>
        <w:tc>
          <w:tcPr>
            <w:tcW w:w="2520" w:type="dxa"/>
            <w:vAlign w:val="bottom"/>
            <w:gridSpan w:val="2"/>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40" w:type="dxa"/>
            <w:vAlign w:val="bottom"/>
            <w:gridSpan w:val="2"/>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1"/>
                <w:szCs w:val="11"/>
                <w:b w:val="1"/>
                <w:bCs w:val="1"/>
                <w:color w:val="auto"/>
                <w:w w:val="99"/>
              </w:rPr>
              <w:t>(1)(2)</w:t>
            </w:r>
          </w:p>
        </w:tc>
        <w:tc>
          <w:tcPr>
            <w:tcW w:w="1760" w:type="dxa"/>
            <w:vAlign w:val="bottom"/>
            <w:gridSpan w:val="2"/>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02"/>
        </w:trPr>
        <w:tc>
          <w:tcPr>
            <w:tcW w:w="3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380" w:type="dxa"/>
            <w:vAlign w:val="bottom"/>
          </w:tcPr>
          <w:p>
            <w:pPr>
              <w:ind w:left="40"/>
              <w:spacing w:after="0" w:line="211" w:lineRule="exact"/>
              <w:rPr>
                <w:sz w:val="20"/>
                <w:szCs w:val="20"/>
                <w:color w:val="auto"/>
              </w:rPr>
            </w:pPr>
            <w:r>
              <w:rPr>
                <w:rFonts w:ascii="Times New Roman" w:cs="Times New Roman" w:eastAsia="Times New Roman" w:hAnsi="Times New Roman"/>
                <w:sz w:val="20"/>
                <w:szCs w:val="20"/>
                <w:color w:val="auto"/>
              </w:rPr>
              <w:t>Geoff Nichol</w:t>
            </w:r>
            <w:r>
              <w:rPr>
                <w:rFonts w:ascii="Times New Roman" w:cs="Times New Roman" w:eastAsia="Times New Roman" w:hAnsi="Times New Roman"/>
                <w:sz w:val="12"/>
                <w:szCs w:val="12"/>
                <w:color w:val="auto"/>
              </w:rPr>
              <w:t>(3)</w:t>
            </w:r>
          </w:p>
        </w:tc>
        <w:tc>
          <w:tcPr>
            <w:tcW w:w="160" w:type="dxa"/>
            <w:vAlign w:val="bottom"/>
          </w:tcPr>
          <w:p>
            <w:pPr>
              <w:spacing w:after="0"/>
              <w:rPr>
                <w:sz w:val="18"/>
                <w:szCs w:val="18"/>
                <w:color w:val="auto"/>
              </w:rPr>
            </w:pPr>
          </w:p>
        </w:tc>
        <w:tc>
          <w:tcPr>
            <w:tcW w:w="23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55,500</w:t>
            </w:r>
          </w:p>
        </w:tc>
        <w:tc>
          <w:tcPr>
            <w:tcW w:w="180" w:type="dxa"/>
            <w:vAlign w:val="bottom"/>
          </w:tcPr>
          <w:p>
            <w:pPr>
              <w:spacing w:after="0"/>
              <w:rPr>
                <w:sz w:val="18"/>
                <w:szCs w:val="18"/>
                <w:color w:val="auto"/>
              </w:rPr>
            </w:pPr>
          </w:p>
        </w:tc>
        <w:tc>
          <w:tcPr>
            <w:tcW w:w="13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160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55,500</w:t>
            </w:r>
          </w:p>
        </w:tc>
        <w:tc>
          <w:tcPr>
            <w:tcW w:w="0" w:type="dxa"/>
            <w:vAlign w:val="bottom"/>
          </w:tcPr>
          <w:p>
            <w:pPr>
              <w:spacing w:after="0"/>
              <w:rPr>
                <w:sz w:val="1"/>
                <w:szCs w:val="1"/>
                <w:color w:val="auto"/>
              </w:rPr>
            </w:pPr>
          </w:p>
        </w:tc>
      </w:tr>
      <w:tr>
        <w:trPr>
          <w:trHeight w:val="230"/>
        </w:trPr>
        <w:tc>
          <w:tcPr>
            <w:tcW w:w="3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Christine Pellizzari</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55,000</w:t>
            </w:r>
          </w:p>
        </w:tc>
        <w:tc>
          <w:tcPr>
            <w:tcW w:w="0" w:type="dxa"/>
            <w:vAlign w:val="bottom"/>
          </w:tcPr>
          <w:p>
            <w:pPr>
              <w:spacing w:after="0"/>
              <w:rPr>
                <w:sz w:val="1"/>
                <w:szCs w:val="1"/>
                <w:color w:val="auto"/>
              </w:rPr>
            </w:pPr>
          </w:p>
        </w:tc>
      </w:tr>
      <w:tr>
        <w:trPr>
          <w:trHeight w:val="230"/>
        </w:trPr>
        <w:tc>
          <w:tcPr>
            <w:tcW w:w="3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Michael Raab</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105,500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105,500</w:t>
            </w:r>
          </w:p>
        </w:tc>
        <w:tc>
          <w:tcPr>
            <w:tcW w:w="0" w:type="dxa"/>
            <w:vAlign w:val="bottom"/>
          </w:tcPr>
          <w:p>
            <w:pPr>
              <w:spacing w:after="0"/>
              <w:rPr>
                <w:sz w:val="1"/>
                <w:szCs w:val="1"/>
                <w:color w:val="auto"/>
              </w:rPr>
            </w:pPr>
          </w:p>
        </w:tc>
      </w:tr>
      <w:tr>
        <w:trPr>
          <w:trHeight w:val="265"/>
        </w:trPr>
        <w:tc>
          <w:tcPr>
            <w:tcW w:w="3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Ronit Simantov</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250190</wp:posOffset>
                </wp:positionH>
                <wp:positionV relativeFrom="paragraph">
                  <wp:posOffset>217805</wp:posOffset>
                </wp:positionV>
                <wp:extent cx="5981065" cy="0"/>
                <wp:wrapNone/>
                <wp:docPr id="822" name="Shape 8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06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822" o:spid="_x0000_s18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pt,17.15pt" to="490.65pt,17.15pt" o:allowincell="f" strokecolor="#000000" strokeweight="0.9599pt"/>
            </w:pict>
          </mc:Fallback>
        </mc:AlternateContent>
      </w:r>
    </w:p>
    <w:p>
      <w:pPr>
        <w:spacing w:after="0" w:line="379" w:lineRule="exact"/>
        <w:rPr>
          <w:sz w:val="20"/>
          <w:szCs w:val="20"/>
          <w:color w:val="auto"/>
        </w:rPr>
      </w:pPr>
    </w:p>
    <w:p>
      <w:pPr>
        <w:ind w:left="422" w:hanging="422"/>
        <w:spacing w:after="0" w:line="279" w:lineRule="auto"/>
        <w:tabs>
          <w:tab w:leader="none" w:pos="42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provides information regarding the aggregate number of equity awards granted to our non-employee directors that were outstanding as of December 31, 2025:</w:t>
      </w:r>
    </w:p>
    <w:p>
      <w:pPr>
        <w:spacing w:after="0" w:line="55" w:lineRule="exact"/>
        <w:rPr>
          <w:sz w:val="20"/>
          <w:szCs w:val="20"/>
          <w:color w:val="auto"/>
        </w:rPr>
      </w:pPr>
    </w:p>
    <w:tbl>
      <w:tblPr>
        <w:tblLayout w:type="fixed"/>
        <w:tblInd w:w="422" w:type="dxa"/>
        <w:tblCellMar>
          <w:top w:w="0" w:type="dxa"/>
          <w:left w:w="0" w:type="dxa"/>
          <w:bottom w:w="0" w:type="dxa"/>
          <w:right w:w="0" w:type="dxa"/>
        </w:tblCellMar>
      </w:tblPr>
      <w:tr>
        <w:trPr>
          <w:trHeight w:val="265"/>
        </w:trPr>
        <w:tc>
          <w:tcPr>
            <w:tcW w:w="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8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2860" w:type="dxa"/>
            <w:vAlign w:val="bottom"/>
            <w:tcBorders>
              <w:bottom w:val="single" w:sz="8" w:color="808080"/>
            </w:tcBorders>
          </w:tcPr>
          <w:p>
            <w:pPr>
              <w:spacing w:after="0"/>
              <w:rPr>
                <w:sz w:val="16"/>
                <w:szCs w:val="16"/>
                <w:color w:val="auto"/>
              </w:rPr>
            </w:pPr>
          </w:p>
        </w:tc>
        <w:tc>
          <w:tcPr>
            <w:tcW w:w="19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42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28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Outstanding at</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28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w:t>
            </w: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140" w:type="dxa"/>
            <w:vAlign w:val="bottom"/>
            <w:gridSpan w:val="2"/>
          </w:tcPr>
          <w:p>
            <w:pPr>
              <w:spacing w:after="0"/>
              <w:rPr>
                <w:sz w:val="8"/>
                <w:szCs w:val="8"/>
                <w:color w:val="auto"/>
              </w:rPr>
            </w:pPr>
          </w:p>
        </w:tc>
        <w:tc>
          <w:tcPr>
            <w:tcW w:w="4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2860" w:type="dxa"/>
            <w:vAlign w:val="bottom"/>
            <w:tcBorders>
              <w:top w:val="single" w:sz="8" w:color="auto"/>
            </w:tcBorders>
          </w:tcPr>
          <w:p>
            <w:pPr>
              <w:ind w:left="40"/>
              <w:spacing w:after="0" w:line="170" w:lineRule="exact"/>
              <w:rPr>
                <w:sz w:val="20"/>
                <w:szCs w:val="20"/>
                <w:color w:val="auto"/>
              </w:rPr>
            </w:pPr>
            <w:r>
              <w:rPr>
                <w:rFonts w:ascii="Times New Roman" w:cs="Times New Roman" w:eastAsia="Times New Roman" w:hAnsi="Times New Roman"/>
                <w:sz w:val="16"/>
                <w:szCs w:val="16"/>
                <w:color w:val="auto"/>
              </w:rPr>
              <w:t>Geoff Nichol</w:t>
            </w:r>
          </w:p>
        </w:tc>
        <w:tc>
          <w:tcPr>
            <w:tcW w:w="19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2,823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8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Christine Pellizzari</w:t>
            </w:r>
          </w:p>
        </w:tc>
        <w:tc>
          <w:tcPr>
            <w:tcW w:w="634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6"/>
                <w:szCs w:val="16"/>
                <w:color w:val="auto"/>
              </w:rPr>
              <w:t>2,639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Michael Raab</w:t>
            </w:r>
          </w:p>
        </w:tc>
        <w:tc>
          <w:tcPr>
            <w:tcW w:w="6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Ronit Simantov</w:t>
            </w:r>
          </w:p>
        </w:tc>
        <w:tc>
          <w:tcPr>
            <w:tcW w:w="6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6211570</wp:posOffset>
                </wp:positionH>
                <wp:positionV relativeFrom="paragraph">
                  <wp:posOffset>-1111250</wp:posOffset>
                </wp:positionV>
                <wp:extent cx="0" cy="17145"/>
                <wp:wrapNone/>
                <wp:docPr id="823" name="Shape 8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23" o:spid="_x0000_s18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1pt,-87.4999pt" to="489.1pt,-86.1499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269875</wp:posOffset>
                </wp:positionH>
                <wp:positionV relativeFrom="paragraph">
                  <wp:posOffset>-1114425</wp:posOffset>
                </wp:positionV>
                <wp:extent cx="0" cy="20320"/>
                <wp:wrapNone/>
                <wp:docPr id="824" name="Shape 8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32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24" o:spid="_x0000_s18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87.7499pt" to="21.25pt,-86.1499pt" o:allowincell="f" strokecolor="#A0A0A0" strokeweight="0.24pt"/>
            </w:pict>
          </mc:Fallback>
        </mc:AlternateContent>
      </w:r>
    </w:p>
    <w:p>
      <w:pPr>
        <w:spacing w:after="0" w:line="194" w:lineRule="exact"/>
        <w:rPr>
          <w:sz w:val="20"/>
          <w:szCs w:val="20"/>
          <w:color w:val="auto"/>
        </w:rPr>
      </w:pPr>
    </w:p>
    <w:p>
      <w:pPr>
        <w:ind w:left="422" w:hanging="422"/>
        <w:spacing w:after="0" w:line="279" w:lineRule="auto"/>
        <w:tabs>
          <w:tab w:leader="none" w:pos="42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our 2025 Annual Meeting of Stockholders, held January 27, 2026, each of Mr. Nichol, Ms. Pellizzari, Mr. Raab and Ms. Simantov received an Annual Grant on January 27, 2026, which is not reflected in the table above.</w:t>
      </w:r>
    </w:p>
    <w:p>
      <w:pPr>
        <w:spacing w:after="0" w:line="1" w:lineRule="exact"/>
        <w:rPr>
          <w:rFonts w:ascii="Times New Roman" w:cs="Times New Roman" w:eastAsia="Times New Roman" w:hAnsi="Times New Roman"/>
          <w:sz w:val="16"/>
          <w:szCs w:val="16"/>
          <w:color w:val="auto"/>
        </w:rPr>
      </w:pPr>
    </w:p>
    <w:p>
      <w:pPr>
        <w:ind w:left="422" w:hanging="422"/>
        <w:spacing w:after="0"/>
        <w:tabs>
          <w:tab w:leader="none" w:pos="42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Closing of the Asset Acquisition, Mr. Nichol resigned from our Board effective February 3, 2026.</w:t>
      </w:r>
    </w:p>
    <w:p>
      <w:pPr>
        <w:sectPr>
          <w:pgSz w:w="12240" w:h="15840" w:orient="portrait"/>
          <w:cols w:equalWidth="0" w:num="1">
            <w:col w:w="9782"/>
          </w:cols>
          <w:pgMar w:left="1018" w:top="1422" w:right="1440"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w:t>
      </w:r>
    </w:p>
    <w:p>
      <w:pPr>
        <w:sectPr>
          <w:pgSz w:w="12240" w:h="15840" w:orient="portrait"/>
          <w:cols w:equalWidth="0" w:num="1">
            <w:col w:w="9782"/>
          </w:cols>
          <w:pgMar w:left="1018" w:top="1422" w:right="1440" w:bottom="1440" w:gutter="0" w:footer="0" w:header="0"/>
          <w:type w:val="continuous"/>
        </w:sectPr>
      </w:pPr>
    </w:p>
    <w:bookmarkStart w:id="151" w:name="page152"/>
    <w:bookmarkEnd w:id="151"/>
    <w:p>
      <w:pPr>
        <w:ind w:left="422"/>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 AND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244" w:lineRule="exact"/>
        <w:rPr>
          <w:sz w:val="20"/>
          <w:szCs w:val="20"/>
          <w:color w:val="auto"/>
        </w:rPr>
      </w:pPr>
    </w:p>
    <w:p>
      <w:pPr>
        <w:jc w:val="both"/>
        <w:ind w:left="422" w:firstLine="408"/>
        <w:spacing w:after="0" w:line="277" w:lineRule="auto"/>
        <w:rPr>
          <w:sz w:val="20"/>
          <w:szCs w:val="20"/>
          <w:color w:val="auto"/>
        </w:rPr>
      </w:pPr>
      <w:r>
        <w:rPr>
          <w:rFonts w:ascii="Times New Roman" w:cs="Times New Roman" w:eastAsia="Times New Roman" w:hAnsi="Times New Roman"/>
          <w:sz w:val="20"/>
          <w:szCs w:val="20"/>
          <w:color w:val="auto"/>
        </w:rPr>
        <w:t>The following table sets forth information regarding beneficial ownership of our common stock as of March 25, 2026, the most recent practicable date for computing beneficial ownership, by:</w:t>
      </w:r>
    </w:p>
    <w:p>
      <w:pPr>
        <w:spacing w:after="0" w:line="288"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20"/>
          <w:szCs w:val="20"/>
          <w:color w:val="auto"/>
        </w:rPr>
        <w:t>•each of our Named Executive Officers;</w:t>
      </w:r>
    </w:p>
    <w:p>
      <w:pPr>
        <w:spacing w:after="0" w:line="200" w:lineRule="exact"/>
        <w:rPr>
          <w:sz w:val="20"/>
          <w:szCs w:val="20"/>
          <w:color w:val="auto"/>
        </w:rPr>
      </w:pPr>
    </w:p>
    <w:p>
      <w:pPr>
        <w:spacing w:after="0" w:line="280"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20"/>
          <w:szCs w:val="20"/>
          <w:color w:val="auto"/>
        </w:rPr>
        <w:t>•each of our directors and director nominees;</w:t>
      </w:r>
    </w:p>
    <w:p>
      <w:pPr>
        <w:spacing w:after="0" w:line="200" w:lineRule="exact"/>
        <w:rPr>
          <w:sz w:val="20"/>
          <w:szCs w:val="20"/>
          <w:color w:val="auto"/>
        </w:rPr>
      </w:pPr>
    </w:p>
    <w:p>
      <w:pPr>
        <w:spacing w:after="0" w:line="280" w:lineRule="exact"/>
        <w:rPr>
          <w:sz w:val="20"/>
          <w:szCs w:val="20"/>
          <w:color w:val="auto"/>
        </w:rPr>
      </w:pPr>
    </w:p>
    <w:p>
      <w:pPr>
        <w:ind w:left="422" w:right="200"/>
        <w:spacing w:after="0" w:line="277" w:lineRule="auto"/>
        <w:rPr>
          <w:sz w:val="20"/>
          <w:szCs w:val="20"/>
          <w:color w:val="auto"/>
        </w:rPr>
      </w:pPr>
      <w:r>
        <w:rPr>
          <w:rFonts w:ascii="Times New Roman" w:cs="Times New Roman" w:eastAsia="Times New Roman" w:hAnsi="Times New Roman"/>
          <w:sz w:val="20"/>
          <w:szCs w:val="20"/>
          <w:color w:val="auto"/>
        </w:rPr>
        <w:t>•each person, or group of affiliated persons, known by us to beneficially own more than 5% of our common stock; and</w:t>
      </w:r>
    </w:p>
    <w:p>
      <w:pPr>
        <w:spacing w:after="0" w:line="200" w:lineRule="exact"/>
        <w:rPr>
          <w:sz w:val="20"/>
          <w:szCs w:val="20"/>
          <w:color w:val="auto"/>
        </w:rPr>
      </w:pPr>
    </w:p>
    <w:p>
      <w:pPr>
        <w:spacing w:after="0" w:line="211"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20"/>
          <w:szCs w:val="20"/>
          <w:color w:val="auto"/>
        </w:rPr>
        <w:t>•all of our directors and executive officers as a group.</w:t>
      </w:r>
    </w:p>
    <w:p>
      <w:pPr>
        <w:spacing w:after="0" w:line="358" w:lineRule="exact"/>
        <w:rPr>
          <w:sz w:val="20"/>
          <w:szCs w:val="20"/>
          <w:color w:val="auto"/>
        </w:rPr>
      </w:pPr>
    </w:p>
    <w:p>
      <w:pPr>
        <w:jc w:val="both"/>
        <w:ind w:left="422" w:firstLine="408"/>
        <w:spacing w:after="0" w:line="249" w:lineRule="auto"/>
        <w:rPr>
          <w:sz w:val="20"/>
          <w:szCs w:val="20"/>
          <w:color w:val="auto"/>
        </w:rPr>
      </w:pPr>
      <w:r>
        <w:rPr>
          <w:rFonts w:ascii="Times New Roman" w:cs="Times New Roman" w:eastAsia="Times New Roman" w:hAnsi="Times New Roman"/>
          <w:sz w:val="20"/>
          <w:szCs w:val="20"/>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199" w:lineRule="exact"/>
        <w:rPr>
          <w:sz w:val="20"/>
          <w:szCs w:val="20"/>
          <w:color w:val="auto"/>
        </w:rPr>
      </w:pPr>
    </w:p>
    <w:p>
      <w:pPr>
        <w:jc w:val="both"/>
        <w:ind w:left="422" w:firstLine="408"/>
        <w:spacing w:after="0" w:line="265" w:lineRule="auto"/>
        <w:rPr>
          <w:sz w:val="20"/>
          <w:szCs w:val="20"/>
          <w:color w:val="auto"/>
        </w:rPr>
      </w:pPr>
      <w:r>
        <w:rPr>
          <w:rFonts w:ascii="Times New Roman" w:cs="Times New Roman" w:eastAsia="Times New Roman" w:hAnsi="Times New Roman"/>
          <w:sz w:val="19"/>
          <w:szCs w:val="19"/>
          <w:color w:val="auto"/>
        </w:rPr>
        <w:t>Applicable percentage ownership is based on 14,344,034 shares of our common stock issued and outstanding as of March 25, 2026.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25, 2026. However, we did not deem these shares outstanding for the purpose of computing the percentage ownership of any other person.</w:t>
      </w:r>
    </w:p>
    <w:p>
      <w:pPr>
        <w:spacing w:after="0" w:line="184" w:lineRule="exact"/>
        <w:rPr>
          <w:sz w:val="20"/>
          <w:szCs w:val="20"/>
          <w:color w:val="auto"/>
        </w:rPr>
      </w:pPr>
    </w:p>
    <w:tbl>
      <w:tblPr>
        <w:tblLayout w:type="fixed"/>
        <w:tblInd w:w="502"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380" w:type="dxa"/>
            <w:vAlign w:val="bottom"/>
          </w:tcPr>
          <w:p>
            <w:pPr>
              <w:spacing w:after="0"/>
              <w:rPr>
                <w:sz w:val="16"/>
                <w:szCs w:val="16"/>
                <w:color w:val="auto"/>
              </w:rPr>
            </w:pPr>
          </w:p>
        </w:tc>
      </w:tr>
      <w:tr>
        <w:trPr>
          <w:trHeight w:val="221"/>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Name of Beneficial Owner </w:t>
            </w:r>
            <w:r>
              <w:rPr>
                <w:rFonts w:ascii="Times New Roman" w:cs="Times New Roman" w:eastAsia="Times New Roman" w:hAnsi="Times New Roman"/>
                <w:sz w:val="11"/>
                <w:szCs w:val="11"/>
                <w:b w:val="1"/>
                <w:bCs w:val="1"/>
                <w:color w:val="auto"/>
              </w:rPr>
              <w:t>(1)</w:t>
            </w:r>
          </w:p>
        </w:tc>
        <w:tc>
          <w:tcPr>
            <w:tcW w:w="160" w:type="dxa"/>
            <w:vAlign w:val="bottom"/>
          </w:tcPr>
          <w:p>
            <w:pPr>
              <w:spacing w:after="0"/>
              <w:rPr>
                <w:sz w:val="19"/>
                <w:szCs w:val="19"/>
                <w:color w:val="auto"/>
              </w:rPr>
            </w:pP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9"/>
                <w:szCs w:val="19"/>
                <w:color w:val="auto"/>
              </w:rPr>
            </w:pPr>
          </w:p>
        </w:tc>
        <w:tc>
          <w:tcPr>
            <w:tcW w:w="8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9"/>
                <w:szCs w:val="19"/>
                <w:color w:val="auto"/>
              </w:rPr>
            </w:pPr>
          </w:p>
        </w:tc>
      </w:tr>
      <w:tr>
        <w:trPr>
          <w:trHeight w:val="102"/>
        </w:trPr>
        <w:tc>
          <w:tcPr>
            <w:tcW w:w="64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r>
      <w:tr>
        <w:trPr>
          <w:trHeight w:val="209"/>
        </w:trPr>
        <w:tc>
          <w:tcPr>
            <w:tcW w:w="6480" w:type="dxa"/>
            <w:vAlign w:val="bottom"/>
          </w:tcPr>
          <w:p>
            <w:pPr>
              <w:ind w:left="40"/>
              <w:spacing w:after="0" w:line="209" w:lineRule="exact"/>
              <w:rPr>
                <w:sz w:val="20"/>
                <w:szCs w:val="20"/>
                <w:color w:val="auto"/>
              </w:rPr>
            </w:pPr>
            <w:r>
              <w:rPr>
                <w:rFonts w:ascii="Times New Roman" w:cs="Times New Roman" w:eastAsia="Times New Roman" w:hAnsi="Times New Roman"/>
                <w:sz w:val="20"/>
                <w:szCs w:val="20"/>
                <w:b w:val="1"/>
                <w:bCs w:val="1"/>
                <w:i w:val="1"/>
                <w:iCs w:val="1"/>
                <w:color w:val="auto"/>
              </w:rPr>
              <w:t>Stockholders Owning Greater than 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Entities affiliated with Lotus Capital BVI Limited</w:t>
            </w:r>
            <w:r>
              <w:rPr>
                <w:rFonts w:ascii="Times New Roman" w:cs="Times New Roman" w:eastAsia="Times New Roman" w:hAnsi="Times New Roman"/>
                <w:sz w:val="12"/>
                <w:szCs w:val="12"/>
                <w:color w:val="auto"/>
              </w:rPr>
              <w:t>(2)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3,431,425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Directors and Named Executive Officers: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3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Matthew Angel</w:t>
            </w:r>
            <w:r>
              <w:rPr>
                <w:rFonts w:ascii="Times New Roman" w:cs="Times New Roman" w:eastAsia="Times New Roman" w:hAnsi="Times New Roman"/>
                <w:sz w:val="12"/>
                <w:szCs w:val="12"/>
                <w:color w:val="auto"/>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5,068,552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8"/>
        </w:trPr>
        <w:tc>
          <w:tcPr>
            <w:tcW w:w="648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rPr>
              <w:t>Stephen Brady</w:t>
            </w:r>
            <w:r>
              <w:rPr>
                <w:rFonts w:ascii="Times New Roman" w:cs="Times New Roman" w:eastAsia="Times New Roman" w:hAnsi="Times New Roman"/>
                <w:sz w:val="12"/>
                <w:szCs w:val="12"/>
                <w:color w:val="auto"/>
              </w:rPr>
              <w:t>(4)</w:t>
            </w:r>
          </w:p>
        </w:tc>
        <w:tc>
          <w:tcPr>
            <w:tcW w:w="12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174,597</w:t>
            </w:r>
          </w:p>
        </w:tc>
        <w:tc>
          <w:tcPr>
            <w:tcW w:w="10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1.2</w:t>
            </w:r>
          </w:p>
        </w:tc>
        <w:tc>
          <w:tcPr>
            <w:tcW w:w="380" w:type="dxa"/>
            <w:vAlign w:val="bottom"/>
          </w:tcPr>
          <w:p>
            <w:pPr>
              <w:spacing w:after="0"/>
              <w:rPr>
                <w:sz w:val="19"/>
                <w:szCs w:val="19"/>
                <w:color w:val="auto"/>
              </w:rPr>
            </w:pPr>
          </w:p>
        </w:tc>
      </w:tr>
      <w:tr>
        <w:trPr>
          <w:trHeight w:val="23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Samuel Whiting</w:t>
            </w:r>
            <w:r>
              <w:rPr>
                <w:rFonts w:ascii="Times New Roman" w:cs="Times New Roman" w:eastAsia="Times New Roman" w:hAnsi="Times New Roman"/>
                <w:sz w:val="12"/>
                <w:szCs w:val="12"/>
                <w:color w:val="auto"/>
              </w:rPr>
              <w:t>(5)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71,666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0"/>
                <w:szCs w:val="20"/>
                <w:color w:val="auto"/>
              </w:rPr>
            </w:pPr>
          </w:p>
        </w:tc>
      </w:tr>
      <w:tr>
        <w:trPr>
          <w:trHeight w:val="23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Nicholas Maestas</w:t>
            </w:r>
            <w:r>
              <w:rPr>
                <w:rFonts w:ascii="Times New Roman" w:cs="Times New Roman" w:eastAsia="Times New Roman" w:hAnsi="Times New Roman"/>
                <w:sz w:val="12"/>
                <w:szCs w:val="12"/>
                <w:color w:val="auto"/>
              </w:rPr>
              <w:t>(6)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36,923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0"/>
                <w:szCs w:val="20"/>
                <w:color w:val="auto"/>
              </w:rPr>
            </w:pPr>
          </w:p>
        </w:tc>
      </w:tr>
      <w:tr>
        <w:trPr>
          <w:trHeight w:val="23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Christine Pellizzari</w:t>
            </w:r>
            <w:r>
              <w:rPr>
                <w:rFonts w:ascii="Times New Roman" w:cs="Times New Roman" w:eastAsia="Times New Roman" w:hAnsi="Times New Roman"/>
                <w:sz w:val="12"/>
                <w:szCs w:val="12"/>
                <w:color w:val="auto"/>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0"/>
                <w:szCs w:val="20"/>
                <w:color w:val="auto"/>
              </w:rPr>
            </w:pPr>
          </w:p>
        </w:tc>
      </w:tr>
      <w:tr>
        <w:trPr>
          <w:trHeight w:val="23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Michael Raab</w:t>
            </w:r>
            <w:r>
              <w:rPr>
                <w:rFonts w:ascii="Times New Roman" w:cs="Times New Roman" w:eastAsia="Times New Roman" w:hAnsi="Times New Roman"/>
                <w:sz w:val="12"/>
                <w:szCs w:val="12"/>
                <w:color w:val="auto"/>
              </w:rPr>
              <w:t>(8)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6,274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0"/>
                <w:szCs w:val="20"/>
                <w:color w:val="auto"/>
              </w:rPr>
            </w:pPr>
          </w:p>
        </w:tc>
      </w:tr>
      <w:tr>
        <w:trPr>
          <w:trHeight w:val="230"/>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Ronit Simantov</w:t>
            </w:r>
            <w:r>
              <w:rPr>
                <w:rFonts w:ascii="Times New Roman" w:cs="Times New Roman" w:eastAsia="Times New Roman" w:hAnsi="Times New Roman"/>
                <w:sz w:val="12"/>
                <w:szCs w:val="12"/>
                <w:color w:val="auto"/>
              </w:rPr>
              <w:t>(9)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0"/>
                <w:szCs w:val="20"/>
                <w:color w:val="auto"/>
              </w:rPr>
            </w:pPr>
          </w:p>
        </w:tc>
      </w:tr>
      <w:tr>
        <w:trPr>
          <w:trHeight w:val="265"/>
        </w:trPr>
        <w:tc>
          <w:tcPr>
            <w:tcW w:w="648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All current directors and executive officers as a group (6 persons)</w:t>
            </w:r>
            <w:r>
              <w:rPr>
                <w:rFonts w:ascii="Times New Roman" w:cs="Times New Roman" w:eastAsia="Times New Roman" w:hAnsi="Times New Roman"/>
                <w:sz w:val="12"/>
                <w:szCs w:val="12"/>
                <w:color w:val="auto"/>
              </w:rPr>
              <w:t>(10)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5,294,084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250190</wp:posOffset>
                </wp:positionH>
                <wp:positionV relativeFrom="paragraph">
                  <wp:posOffset>263525</wp:posOffset>
                </wp:positionV>
                <wp:extent cx="5981065" cy="0"/>
                <wp:wrapNone/>
                <wp:docPr id="825" name="Shape 8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06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825" o:spid="_x0000_s18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pt,20.75pt" to="490.65pt,20.75pt" o:allowincell="f" strokecolor="#000000" strokeweight="0.9599pt"/>
            </w:pict>
          </mc:Fallback>
        </mc:AlternateContent>
      </w:r>
    </w:p>
    <w:p>
      <w:pPr>
        <w:spacing w:after="0" w:line="200" w:lineRule="exact"/>
        <w:rPr>
          <w:sz w:val="20"/>
          <w:szCs w:val="20"/>
          <w:color w:val="auto"/>
        </w:rPr>
      </w:pPr>
    </w:p>
    <w:p>
      <w:pPr>
        <w:spacing w:after="0" w:line="251" w:lineRule="exact"/>
        <w:rPr>
          <w:sz w:val="20"/>
          <w:szCs w:val="20"/>
          <w:color w:val="auto"/>
        </w:rPr>
      </w:pPr>
    </w:p>
    <w:p>
      <w:pPr>
        <w:ind w:left="422" w:hanging="422"/>
        <w:spacing w:after="0"/>
        <w:tabs>
          <w:tab w:leader="none" w:pos="42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178" w:lineRule="exact"/>
        <w:rPr>
          <w:rFonts w:ascii="Times New Roman" w:cs="Times New Roman" w:eastAsia="Times New Roman" w:hAnsi="Times New Roman"/>
          <w:sz w:val="16"/>
          <w:szCs w:val="16"/>
          <w:color w:val="auto"/>
        </w:rPr>
      </w:pPr>
    </w:p>
    <w:p>
      <w:pPr>
        <w:ind w:left="422"/>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(1)The address for each director and executive officer is c/o Tempest Therapeutics, Inc., 2000 Sierra Point Parkway, Suite 400, Brisbane, California, 94005.</w:t>
      </w:r>
    </w:p>
    <w:p>
      <w:pPr>
        <w:spacing w:after="0" w:line="239" w:lineRule="exact"/>
        <w:rPr>
          <w:rFonts w:ascii="Times New Roman" w:cs="Times New Roman" w:eastAsia="Times New Roman" w:hAnsi="Times New Roman"/>
          <w:sz w:val="16"/>
          <w:szCs w:val="16"/>
          <w:color w:val="auto"/>
        </w:rPr>
      </w:pPr>
    </w:p>
    <w:p>
      <w:pPr>
        <w:ind w:left="422"/>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(2)Shares of common stock are held by Erigen LLC. Lotus Capital BVI Limited is the beneficial owner of such shares. The address of each of Lotus Capital BVI Limited is Mandar House, 3rd Floor Johnson's Ghut, Tortola VG1110 British Virgin Islands.</w:t>
      </w:r>
    </w:p>
    <w:p>
      <w:pPr>
        <w:spacing w:after="0" w:line="178" w:lineRule="exact"/>
        <w:rPr>
          <w:sz w:val="20"/>
          <w:szCs w:val="20"/>
          <w:color w:val="auto"/>
        </w:rPr>
      </w:pPr>
    </w:p>
    <w:p>
      <w:pPr>
        <w:jc w:val="center"/>
        <w:ind w:right="-421"/>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267970</wp:posOffset>
                </wp:positionH>
                <wp:positionV relativeFrom="paragraph">
                  <wp:posOffset>143510</wp:posOffset>
                </wp:positionV>
                <wp:extent cx="5943600" cy="0"/>
                <wp:wrapNone/>
                <wp:docPr id="826" name="Shape 8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826" o:spid="_x0000_s18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pt,11.3pt" to="489.1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6204585</wp:posOffset>
                </wp:positionH>
                <wp:positionV relativeFrom="paragraph">
                  <wp:posOffset>130175</wp:posOffset>
                </wp:positionV>
                <wp:extent cx="13335" cy="12700"/>
                <wp:wrapNone/>
                <wp:docPr id="827" name="Shape 8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827" o:spid="_x0000_s1852" style="position:absolute;margin-left:488.55pt;margin-top:10.25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267970</wp:posOffset>
                </wp:positionH>
                <wp:positionV relativeFrom="paragraph">
                  <wp:posOffset>130175</wp:posOffset>
                </wp:positionV>
                <wp:extent cx="5944870" cy="12700"/>
                <wp:wrapNone/>
                <wp:docPr id="828" name="Shape 8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828" o:spid="_x0000_s1853" style="position:absolute;margin-left:21.1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269875</wp:posOffset>
                </wp:positionH>
                <wp:positionV relativeFrom="paragraph">
                  <wp:posOffset>135255</wp:posOffset>
                </wp:positionV>
                <wp:extent cx="0" cy="16510"/>
                <wp:wrapNone/>
                <wp:docPr id="829" name="Shape 8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29" o:spid="_x0000_s18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10.65pt" to="21.25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6204585</wp:posOffset>
                </wp:positionH>
                <wp:positionV relativeFrom="paragraph">
                  <wp:posOffset>137795</wp:posOffset>
                </wp:positionV>
                <wp:extent cx="13335" cy="13970"/>
                <wp:wrapNone/>
                <wp:docPr id="830" name="Shape 8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970"/>
                        </a:xfrm>
                        <a:prstGeom prst="rect">
                          <a:avLst/>
                        </a:prstGeom>
                        <a:solidFill>
                          <a:srgbClr val="E3E3E3"/>
                        </a:solidFill>
                      </wps:spPr>
                      <wps:bodyPr/>
                    </wps:wsp>
                  </a:graphicData>
                </a:graphic>
              </wp:anchor>
            </w:drawing>
          </mc:Choice>
          <mc:Fallback>
            <w:pict>
              <v:rect id="Shape 830" o:spid="_x0000_s1855" style="position:absolute;margin-left:488.55pt;margin-top:10.85pt;width:1.0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262890</wp:posOffset>
                </wp:positionH>
                <wp:positionV relativeFrom="paragraph">
                  <wp:posOffset>146685</wp:posOffset>
                </wp:positionV>
                <wp:extent cx="13335" cy="13335"/>
                <wp:wrapNone/>
                <wp:docPr id="831" name="Shape 8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831" o:spid="_x0000_s1856" style="position:absolute;margin-left:20.7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267970</wp:posOffset>
                </wp:positionH>
                <wp:positionV relativeFrom="paragraph">
                  <wp:posOffset>146685</wp:posOffset>
                </wp:positionV>
                <wp:extent cx="5944870" cy="13335"/>
                <wp:wrapNone/>
                <wp:docPr id="832" name="Shape 8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832" o:spid="_x0000_s1857" style="position:absolute;margin-left:21.1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ectPr>
          <w:pgSz w:w="12240" w:h="15840" w:orient="portrait"/>
          <w:cols w:equalWidth="0" w:num="1">
            <w:col w:w="9782"/>
          </w:cols>
          <w:pgMar w:left="1018" w:top="1418" w:right="1440" w:bottom="1440" w:gutter="0" w:footer="0" w:header="0"/>
        </w:sectPr>
      </w:pPr>
    </w:p>
    <w:bookmarkStart w:id="152" w:name="page153"/>
    <w:bookmarkEnd w:id="152"/>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(3)Includes 4,837,070 shares of common stock held by Dr. Angel and 231,482 shares of common stock held by Factor. Dr. Angel is the majority stockholder and Chairman of the Board of Directors of Factor. and exercises voting and investment power over the shares held by Factor Biosciences Inc. The address of Factor Biosciences Inc. is 1035 Cambridge St Ste 17B, Cambridge MA 02141.</w:t>
      </w:r>
    </w:p>
    <w:p>
      <w:pPr>
        <w:spacing w:after="0" w:line="2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(4)Represents (i) 3,613 shares of common stock and (ii) 170,984 shares of common stock subject to options that are exercisable within 60 days of March 25,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(5)Represents 71,666 shares of common stock subject to options that are exercisable within 60 days of March 25, 2026.</w:t>
      </w:r>
    </w:p>
    <w:p>
      <w:pPr>
        <w:spacing w:after="0" w:line="3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(6)Represents (i) 590 shares of common stock and (ii) 36,333 shares of common stock subject to options that are exercisable within 60 days of March 25,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(7)Represents 3,869 shares of common stock subject to options that are exercisable within 60 days of March 25, 2026.</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(8)Represents 6,274 shares of common stock subject to options that are exercisable within 60 days of March 25, 2026</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(9)Represents 3,869 shares of common stock subject to options that are exercisable within 60 days of March 25, 2026.</w:t>
      </w:r>
    </w:p>
    <w:p>
      <w:pPr>
        <w:spacing w:after="0" w:line="2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(10)Represents (i) 5,072,755 shares of common stock and (ii) 221,329 shares of common stock subject to options that are exercisable within 60 days of March 25,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QUITY</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NFORMATION</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our equity compensation plan information as of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 to be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 remaining</w:t>
            </w:r>
          </w:p>
        </w:tc>
        <w:tc>
          <w:tcPr>
            <w:tcW w:w="80" w:type="dxa"/>
            <w:vAlign w:val="bottom"/>
          </w:tcPr>
          <w:p>
            <w:pPr>
              <w:spacing w:after="0"/>
              <w:rPr>
                <w:sz w:val="16"/>
                <w:szCs w:val="16"/>
                <w:color w:val="auto"/>
              </w:rPr>
            </w:pPr>
          </w:p>
        </w:tc>
      </w:tr>
      <w:tr>
        <w:trPr>
          <w:trHeight w:val="185"/>
        </w:trPr>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available for issuance under equity</w:t>
            </w:r>
          </w:p>
        </w:tc>
        <w:tc>
          <w:tcPr>
            <w:tcW w:w="80" w:type="dxa"/>
            <w:vAlign w:val="bottom"/>
          </w:tcPr>
          <w:p>
            <w:pPr>
              <w:spacing w:after="0"/>
              <w:rPr>
                <w:sz w:val="16"/>
                <w:szCs w:val="16"/>
                <w:color w:val="auto"/>
              </w:rPr>
            </w:pPr>
          </w:p>
        </w:tc>
      </w:tr>
      <w:tr>
        <w:trPr>
          <w:trHeight w:val="185"/>
        </w:trPr>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outstanding options,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 plans (excluding</w:t>
            </w:r>
          </w:p>
        </w:tc>
        <w:tc>
          <w:tcPr>
            <w:tcW w:w="80" w:type="dxa"/>
            <w:vAlign w:val="bottom"/>
          </w:tcPr>
          <w:p>
            <w:pPr>
              <w:spacing w:after="0"/>
              <w:rPr>
                <w:sz w:val="16"/>
                <w:szCs w:val="16"/>
                <w:color w:val="auto"/>
              </w:rPr>
            </w:pPr>
          </w:p>
        </w:tc>
      </w:tr>
      <w:tr>
        <w:trPr>
          <w:trHeight w:val="185"/>
        </w:trPr>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reflected in column (a))</w:t>
            </w:r>
          </w:p>
        </w:tc>
        <w:tc>
          <w:tcPr>
            <w:tcW w:w="80" w:type="dxa"/>
            <w:vAlign w:val="bottom"/>
          </w:tcPr>
          <w:p>
            <w:pPr>
              <w:spacing w:after="0"/>
              <w:rPr>
                <w:sz w:val="16"/>
                <w:szCs w:val="16"/>
                <w:color w:val="auto"/>
              </w:rPr>
            </w:pPr>
          </w:p>
        </w:tc>
      </w:tr>
      <w:tr>
        <w:trPr>
          <w:trHeight w:val="221"/>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lan Category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(b)($) </w:t>
            </w: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c>
          <w:tcPr>
            <w:tcW w:w="80" w:type="dxa"/>
            <w:vAlign w:val="bottom"/>
          </w:tcPr>
          <w:p>
            <w:pPr>
              <w:spacing w:after="0"/>
              <w:rPr>
                <w:sz w:val="19"/>
                <w:szCs w:val="19"/>
                <w:color w:val="auto"/>
              </w:rPr>
            </w:pPr>
          </w:p>
        </w:tc>
      </w:tr>
      <w:tr>
        <w:trPr>
          <w:trHeight w:val="102"/>
        </w:trPr>
        <w:tc>
          <w:tcPr>
            <w:tcW w:w="20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09"/>
        </w:trPr>
        <w:tc>
          <w:tcPr>
            <w:tcW w:w="200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20"/>
                <w:szCs w:val="20"/>
                <w:color w:val="auto"/>
              </w:rPr>
              <w:t>quity compensation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plans approved by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security holders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w w:val="99"/>
              </w:rPr>
              <w:t>017</w:t>
            </w:r>
          </w:p>
        </w:tc>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EIP</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37,859</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140.67</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w w:val="99"/>
              </w:rPr>
              <w:t>019</w:t>
            </w:r>
          </w:p>
        </w:tc>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EIP</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85,867</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33.53</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28"/>
        </w:trPr>
        <w:tc>
          <w:tcPr>
            <w:tcW w:w="3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w w:val="99"/>
              </w:rPr>
              <w:t>019</w:t>
            </w:r>
          </w:p>
        </w:tc>
        <w:tc>
          <w:tcPr>
            <w:tcW w:w="168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rPr>
              <w:t>Employee Stock</w:t>
            </w:r>
          </w:p>
        </w:tc>
        <w:tc>
          <w:tcPr>
            <w:tcW w:w="21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9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84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68,608</w:t>
            </w:r>
            <w:r>
              <w:rPr>
                <w:rFonts w:ascii="Times New Roman" w:cs="Times New Roman" w:eastAsia="Times New Roman" w:hAnsi="Times New Roman"/>
                <w:sz w:val="12"/>
                <w:szCs w:val="12"/>
                <w:color w:val="auto"/>
              </w:rPr>
              <w:t>(2)</w:t>
            </w:r>
          </w:p>
        </w:tc>
        <w:tc>
          <w:tcPr>
            <w:tcW w:w="80" w:type="dxa"/>
            <w:vAlign w:val="bottom"/>
          </w:tcPr>
          <w:p>
            <w:pPr>
              <w:spacing w:after="0"/>
              <w:rPr>
                <w:sz w:val="19"/>
                <w:szCs w:val="19"/>
                <w:color w:val="auto"/>
              </w:rPr>
            </w:pPr>
          </w:p>
        </w:tc>
      </w:tr>
      <w:tr>
        <w:trPr>
          <w:trHeight w:val="230"/>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Purchase Plan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w w:val="99"/>
              </w:rPr>
              <w:t>023</w:t>
            </w:r>
          </w:p>
        </w:tc>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EIP</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304,568</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64.71</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47,745</w:t>
            </w:r>
            <w:r>
              <w:rPr>
                <w:rFonts w:ascii="Times New Roman" w:cs="Times New Roman" w:eastAsia="Times New Roman" w:hAnsi="Times New Roman"/>
                <w:sz w:val="12"/>
                <w:szCs w:val="12"/>
                <w:color w:val="auto"/>
              </w:rPr>
              <w:t>(3)</w:t>
            </w:r>
          </w:p>
        </w:tc>
        <w:tc>
          <w:tcPr>
            <w:tcW w:w="80" w:type="dxa"/>
            <w:vAlign w:val="bottom"/>
          </w:tcPr>
          <w:p>
            <w:pPr>
              <w:spacing w:after="0"/>
              <w:rPr>
                <w:sz w:val="20"/>
                <w:szCs w:val="20"/>
                <w:color w:val="auto"/>
              </w:rPr>
            </w:pPr>
          </w:p>
        </w:tc>
      </w:tr>
      <w:tr>
        <w:trPr>
          <w:trHeight w:val="23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quity compensation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plans not approved by</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security holders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w w:val="99"/>
              </w:rPr>
              <w:t>023</w:t>
            </w:r>
          </w:p>
        </w:tc>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Inducement Plan</w:t>
            </w:r>
            <w:r>
              <w:rPr>
                <w:rFonts w:ascii="Times New Roman" w:cs="Times New Roman" w:eastAsia="Times New Roman" w:hAnsi="Times New Roman"/>
                <w:sz w:val="12"/>
                <w:szCs w:val="12"/>
                <w:color w:val="auto"/>
              </w:rPr>
              <w:t>(4)</w:t>
            </w: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20,841</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26.74</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67,615</w:t>
            </w:r>
          </w:p>
        </w:tc>
        <w:tc>
          <w:tcPr>
            <w:tcW w:w="80" w:type="dxa"/>
            <w:vAlign w:val="bottom"/>
          </w:tcPr>
          <w:p>
            <w:pPr>
              <w:spacing w:after="0"/>
              <w:rPr>
                <w:sz w:val="21"/>
                <w:szCs w:val="21"/>
                <w:color w:val="auto"/>
              </w:rPr>
            </w:pPr>
          </w:p>
        </w:tc>
      </w:tr>
      <w:tr>
        <w:trPr>
          <w:trHeight w:val="25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otal</w:t>
            </w:r>
          </w:p>
        </w:tc>
        <w:tc>
          <w:tcPr>
            <w:tcW w:w="100" w:type="dxa"/>
            <w:vAlign w:val="bottom"/>
          </w:tcPr>
          <w:p>
            <w:pPr>
              <w:spacing w:after="0"/>
              <w:rPr>
                <w:sz w:val="22"/>
                <w:szCs w:val="22"/>
                <w:color w:val="auto"/>
              </w:rPr>
            </w:pPr>
          </w:p>
        </w:tc>
        <w:tc>
          <w:tcPr>
            <w:tcW w:w="2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449,135</w:t>
            </w: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183,968</w:t>
            </w:r>
          </w:p>
        </w:tc>
        <w:tc>
          <w:tcPr>
            <w:tcW w:w="80" w:type="dxa"/>
            <w:vAlign w:val="bottom"/>
            <w:tcBorders>
              <w:top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1382395</wp:posOffset>
                </wp:positionH>
                <wp:positionV relativeFrom="paragraph">
                  <wp:posOffset>57150</wp:posOffset>
                </wp:positionV>
                <wp:extent cx="1261745" cy="0"/>
                <wp:wrapNone/>
                <wp:docPr id="833" name="Shape 8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17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33" o:spid="_x0000_s18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85pt,4.5pt" to="208.2pt,4.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3992245</wp:posOffset>
                </wp:positionH>
                <wp:positionV relativeFrom="paragraph">
                  <wp:posOffset>57150</wp:posOffset>
                </wp:positionV>
                <wp:extent cx="1697990" cy="0"/>
                <wp:wrapNone/>
                <wp:docPr id="834" name="Shape 8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79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34" o:spid="_x0000_s18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35pt,4.5pt" to="448.05pt,4.5pt" o:allowincell="f" strokecolor="#000000" strokeweight="0.48pt"/>
            </w:pict>
          </mc:Fallback>
        </mc:AlternateConten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1382395</wp:posOffset>
                </wp:positionH>
                <wp:positionV relativeFrom="paragraph">
                  <wp:posOffset>-137160</wp:posOffset>
                </wp:positionV>
                <wp:extent cx="1261745" cy="0"/>
                <wp:wrapNone/>
                <wp:docPr id="835" name="Shape 8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17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35" o:spid="_x0000_s18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85pt,-10.7999pt" to="208.2pt,-10.7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3992245</wp:posOffset>
                </wp:positionH>
                <wp:positionV relativeFrom="paragraph">
                  <wp:posOffset>-137160</wp:posOffset>
                </wp:positionV>
                <wp:extent cx="1697990" cy="0"/>
                <wp:wrapNone/>
                <wp:docPr id="836" name="Shape 8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79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36" o:spid="_x0000_s18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35pt,-10.7999pt" to="448.05pt,-10.7999pt" o:allowincell="f" strokecolor="#000000" strokeweight="0.4799pt"/>
            </w:pict>
          </mc:Fallback>
        </mc:AlternateConten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weighted-average exercise price excludes any outstanding RSU awards, which have no exercise price.</w:t>
      </w:r>
    </w:p>
    <w:p>
      <w:pPr>
        <w:spacing w:after="0" w:line="2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(2)Our 2019 ESPP provides that the total number of shares reserved for issuance thereunder will automatically increase on January 1 of each year beginning on January 1, 2023, and continuing through (and including) January 1, 2029, by the lesser of (a) 1.5% of the total number of shares of common stock outstanding on December 31st of the preceding calendar year, (b) 38,461 shares of our common stock, or (c) a lesser number determined by our Board prior to the applicable January 1st. Accordingly, on January 1, 2026, the number of shares of common stock available for issuance under our 2019 ESPP increased by 38,461 shares. This increase is not reflected in the table above.</w:t>
      </w:r>
    </w:p>
    <w:p>
      <w:pPr>
        <w:spacing w:after="0" w:line="2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(3)The 2023 EIP provides that the total number of shares of our common stock reserved for issuance thereunder will automatically increase on January 1st of each calendar year for a period of up to 10 years, beginning on January 1, 2024, and ending on (and including) January 1, 2033, in an amount equal to (i) 4% of the total number of shares of common stock outstanding on December 31st of the preceding calendar year, or (ii) a</w:t>
      </w:r>
    </w:p>
    <w:p>
      <w:pPr>
        <w:sectPr>
          <w:pgSz w:w="12240" w:h="15840" w:orient="portrait"/>
          <w:cols w:equalWidth="0" w:num="1">
            <w:col w:w="9360"/>
          </w:cols>
          <w:pgMar w:left="1440" w:top="1440" w:right="1440" w:bottom="849" w:gutter="0" w:footer="0" w:header="0"/>
        </w:sectPr>
      </w:pPr>
    </w:p>
    <w:bookmarkStart w:id="153" w:name="page154"/>
    <w:bookmarkEnd w:id="153"/>
    <w:p>
      <w:pPr>
        <w:jc w:val="both"/>
        <w:spacing w:after="0" w:line="274" w:lineRule="auto"/>
        <w:rPr>
          <w:sz w:val="20"/>
          <w:szCs w:val="20"/>
          <w:color w:val="auto"/>
        </w:rPr>
      </w:pPr>
      <w:r>
        <w:rPr>
          <w:rFonts w:ascii="Times New Roman" w:cs="Times New Roman" w:eastAsia="Times New Roman" w:hAnsi="Times New Roman"/>
          <w:sz w:val="15"/>
          <w:szCs w:val="15"/>
          <w:color w:val="auto"/>
        </w:rPr>
        <w:t>lesser number of shares determined by our Board prior to January 1st of a given fiscal year. Accordingly, on January 1, 2026, the number of shares of common stock available for issuance under our 2023 EIP increased by 197,086 shares (the “Annual Increase”) . In addition, on January 27, 2026, our stockholders approved Amendment No. 1 to the 2023 EIP to increase the number of shares of our common stock issuable under such plan by 1,410,000 shares (“Amendment Increase”). Neither of the Annual Increase or the Amendment Increase is reflected in the table above.</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(4)Consists of shares underlying options granted to employees as inducement awards material to the grantees entering into employment with us pursuant to Nasdaq Rule 5635(c)(4). Does not reflect 969 shares of common stock granted pursuant to inducement grants made outside of the 2023 Inducement Plan at a weighted average exercise-price of $28.34.</w:t>
      </w:r>
    </w:p>
    <w:p>
      <w:pPr>
        <w:spacing w:after="0" w:line="371" w:lineRule="exact"/>
        <w:rPr>
          <w:sz w:val="20"/>
          <w:szCs w:val="20"/>
          <w:color w:val="auto"/>
        </w:rPr>
      </w:pPr>
    </w:p>
    <w:p>
      <w:pPr>
        <w:ind w:right="1060"/>
        <w:spacing w:after="0" w:line="285"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RANSACTIONS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OLICY AND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244" w:lineRule="exact"/>
        <w:rPr>
          <w:sz w:val="20"/>
          <w:szCs w:val="20"/>
          <w:color w:val="auto"/>
        </w:rPr>
      </w:pPr>
    </w:p>
    <w:p>
      <w:pPr>
        <w:jc w:val="both"/>
        <w:ind w:firstLine="408"/>
        <w:spacing w:after="0" w:line="247" w:lineRule="auto"/>
        <w:rPr>
          <w:sz w:val="20"/>
          <w:szCs w:val="20"/>
          <w:color w:val="auto"/>
        </w:rPr>
      </w:pPr>
      <w:r>
        <w:rPr>
          <w:rFonts w:ascii="Times New Roman" w:cs="Times New Roman" w:eastAsia="Times New Roman" w:hAnsi="Times New Roman"/>
          <w:sz w:val="20"/>
          <w:szCs w:val="20"/>
          <w:color w:val="auto"/>
        </w:rPr>
        <w:t>We have adopted a written Related Person Transactions Policy that sets forth our policies and procedures regarding the identification, review, consideration and approval or ratification of “related-persons transactions.” For purposes of our policy only, a “related-person transaction” is a transaction, arrangement or relationship (or any series of similar transactions, arrangements or relationships) in which we and any “related person” are participants involving an amount that exceeds or will exceed $120,000 or, during such time as we qualify as a “smaller reporting company,” the lesser of (1) $120,000 or (2) 1% of the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837" name="Shape 8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837" o:spid="_x0000_s18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3970"/>
                <wp:wrapNone/>
                <wp:docPr id="838" name="Shape 8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7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38" o:spid="_x0000_s18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1.95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839" name="Shape 8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839" o:spid="_x0000_s186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6510"/>
                <wp:wrapNone/>
                <wp:docPr id="840" name="Shape 8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40" o:spid="_x0000_s18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1.95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146685</wp:posOffset>
                </wp:positionV>
                <wp:extent cx="13335" cy="13335"/>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A0A0A0"/>
                        </a:solidFill>
                      </wps:spPr>
                      <wps:bodyPr/>
                    </wps:wsp>
                  </a:graphicData>
                </a:graphic>
              </wp:anchor>
            </w:drawing>
          </mc:Choice>
          <mc:Fallback>
            <w:pict>
              <v:rect id="Shape 841" o:spid="_x0000_s1866" style="position:absolute;margin-left:-0.3999pt;margin-top:11.5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146685</wp:posOffset>
                </wp:positionV>
                <wp:extent cx="5944870" cy="13335"/>
                <wp:wrapNone/>
                <wp:docPr id="842" name="Shape 8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E3E3E3"/>
                        </a:solidFill>
                      </wps:spPr>
                      <wps:bodyPr/>
                    </wps:wsp>
                  </a:graphicData>
                </a:graphic>
              </wp:anchor>
            </w:drawing>
          </mc:Choice>
          <mc:Fallback>
            <w:pict>
              <v:rect id="Shape 842" o:spid="_x0000_s1867" style="position:absolute;margin-left:0pt;margin-top:11.5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200" w:lineRule="exact"/>
        <w:rPr>
          <w:sz w:val="20"/>
          <w:szCs w:val="20"/>
          <w:color w:val="auto"/>
        </w:rPr>
      </w:pPr>
    </w:p>
    <w:p>
      <w:pPr>
        <w:spacing w:after="0" w:line="2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average of our total assets for the last two completed fiscal years. Transactions involving compensation for services provided to us as an employee, director, consultant or similar capacity by a related person are not covered by this policy. A related person is any executive officer, director, or a holder of more than 5% of our capital stock, including any of their immediate family members, and any entity owned or controlled by such persons.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ELATED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ERSON</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RANSACTIONS</w:t>
      </w:r>
    </w:p>
    <w:p>
      <w:pPr>
        <w:spacing w:after="0" w:line="242" w:lineRule="exact"/>
        <w:rPr>
          <w:sz w:val="20"/>
          <w:szCs w:val="20"/>
          <w:color w:val="auto"/>
        </w:rPr>
      </w:pPr>
    </w:p>
    <w:p>
      <w:pPr>
        <w:jc w:val="both"/>
        <w:ind w:firstLine="408"/>
        <w:spacing w:after="0" w:line="258" w:lineRule="auto"/>
        <w:rPr>
          <w:sz w:val="20"/>
          <w:szCs w:val="20"/>
          <w:color w:val="auto"/>
        </w:rPr>
      </w:pPr>
      <w:r>
        <w:rPr>
          <w:rFonts w:ascii="Times New Roman" w:cs="Times New Roman" w:eastAsia="Times New Roman" w:hAnsi="Times New Roman"/>
          <w:sz w:val="20"/>
          <w:szCs w:val="20"/>
          <w:color w:val="auto"/>
        </w:rPr>
        <w:t>Other than compensation arrangements for our directors and executive officers, which are described in the section titled “Executive and Director Compensation,” the following is a description of our related person transactions since January 1, 2024 to which we were a party or will be a party.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Erigen Asset Purchase Agreement</w:t>
      </w:r>
    </w:p>
    <w:p>
      <w:pPr>
        <w:spacing w:after="0" w:line="240" w:lineRule="exact"/>
        <w:rPr>
          <w:sz w:val="20"/>
          <w:szCs w:val="20"/>
          <w:color w:val="auto"/>
        </w:rPr>
      </w:pPr>
    </w:p>
    <w:p>
      <w:pPr>
        <w:jc w:val="both"/>
        <w:ind w:firstLine="408"/>
        <w:spacing w:after="0" w:line="243" w:lineRule="auto"/>
        <w:rPr>
          <w:sz w:val="20"/>
          <w:szCs w:val="20"/>
          <w:color w:val="auto"/>
        </w:rPr>
      </w:pPr>
      <w:r>
        <w:rPr>
          <w:rFonts w:ascii="Times New Roman" w:cs="Times New Roman" w:eastAsia="Times New Roman" w:hAnsi="Times New Roman"/>
          <w:sz w:val="20"/>
          <w:szCs w:val="20"/>
          <w:color w:val="auto"/>
        </w:rPr>
        <w:t>As described under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Recent Developments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Strategic Acquisition of Dual -Targeting CAR-T Programs,</w:t>
      </w:r>
      <w:r>
        <w:rPr>
          <w:rFonts w:ascii="Times New Roman" w:cs="Times New Roman" w:eastAsia="Times New Roman" w:hAnsi="Times New Roman"/>
          <w:sz w:val="20"/>
          <w:szCs w:val="20"/>
          <w:color w:val="auto"/>
        </w:rPr>
        <w:t>” on November 19, 2025, we executed the Asset Purchase Agreement with the Sellers, pursuant to which the Sellers agreed to sell and transfer to us all right, title and interest of the Sellers in and to the Assets, in exchange for an aggregate purchase price of 8,268,495 shares of our common stock, to be issued to Erigen on behalf of both Sellers. Erigen is a limited liability company and an affiliate of Factor with two members, Dr. Angel and Lotus Capital BVI Limited (“Lotus”), who own 58.5% and 41.5% of Erigen, respectively. At Closing, we issued 8,268,495 shares of our common to Erigen, resulting in Dr. Angel and Lotus beneficially holding approximately 37% and 26% of our common stock, respectively, immediately following the Closing. On February 3, 2026, Dr. Angel was appointed to serve as our President and Chief Executive Officer and as a member of the Board. Following the Closing, Erigen distributed 4,837,070 shares of common stock to Dr. Angel, and, as of the date of this Annual Report on Form 10-K, continued to hold 3,431,425 shares of common stock beneficially owned by Lotus.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 Amended and Restated License and Collaboration Agreement</w:t>
      </w:r>
    </w:p>
    <w:p>
      <w:pPr>
        <w:spacing w:after="0" w:line="240" w:lineRule="exact"/>
        <w:rPr>
          <w:sz w:val="20"/>
          <w:szCs w:val="20"/>
          <w:color w:val="auto"/>
        </w:rPr>
      </w:pPr>
    </w:p>
    <w:p>
      <w:pPr>
        <w:jc w:val="both"/>
        <w:ind w:firstLine="408"/>
        <w:spacing w:after="0" w:line="249" w:lineRule="auto"/>
        <w:rPr>
          <w:sz w:val="20"/>
          <w:szCs w:val="20"/>
          <w:color w:val="auto"/>
        </w:rPr>
      </w:pPr>
      <w:r>
        <w:rPr>
          <w:rFonts w:ascii="Times New Roman" w:cs="Times New Roman" w:eastAsia="Times New Roman" w:hAnsi="Times New Roman"/>
          <w:sz w:val="20"/>
          <w:szCs w:val="20"/>
          <w:color w:val="auto"/>
        </w:rPr>
        <w:t>As described under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License and Collaboration Agreements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Factor Amended and Restated License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Collaboration Agreement,</w:t>
      </w:r>
      <w:r>
        <w:rPr>
          <w:rFonts w:ascii="Times New Roman" w:cs="Times New Roman" w:eastAsia="Times New Roman" w:hAnsi="Times New Roman"/>
          <w:sz w:val="20"/>
          <w:szCs w:val="20"/>
          <w:color w:val="auto"/>
        </w:rPr>
        <w:t>” on February 3, 2026, the Restated Factor License Agreement was assigned to us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connection with the Closing pursuant to the Asset Purchase Agreement. Pursuant to the Restated Factor License Agreement, we are obligated to meet certain diligence milestones by specified dates and to use commercially reasonable efforts to develop and make commercially available at least one licensed product in the licensed territory.</w:t>
      </w:r>
    </w:p>
    <w:p>
      <w:pPr>
        <w:sectPr>
          <w:pgSz w:w="12240" w:h="15840" w:orient="portrait"/>
          <w:cols w:equalWidth="0" w:num="1">
            <w:col w:w="9360"/>
          </w:cols>
          <w:pgMar w:left="1440" w:top="1426" w:right="1440" w:bottom="851" w:gutter="0" w:footer="0" w:header="0"/>
        </w:sectPr>
      </w:pPr>
    </w:p>
    <w:bookmarkStart w:id="154" w:name="page155"/>
    <w:bookmarkEnd w:id="154"/>
    <w:p>
      <w:pPr>
        <w:jc w:val="both"/>
        <w:spacing w:after="0" w:line="246" w:lineRule="auto"/>
        <w:rPr>
          <w:sz w:val="20"/>
          <w:szCs w:val="20"/>
          <w:color w:val="auto"/>
        </w:rPr>
      </w:pPr>
      <w:r>
        <w:rPr>
          <w:rFonts w:ascii="Times New Roman" w:cs="Times New Roman" w:eastAsia="Times New Roman" w:hAnsi="Times New Roman"/>
          <w:sz w:val="20"/>
          <w:szCs w:val="20"/>
          <w:color w:val="auto"/>
        </w:rPr>
        <w:t>No upfront payment was paid pursuant to the Restated Factor License Agreement. We are obligated to pay Factor Bioscience Limited up to $40 million in total upon achievement of certain development milestones for the programs and up to $620 million in total upon achievement of certain commercial milestones for the programs. In addition, we are required to pay Factor Bioscience Limited mid-single digit to high-teens royalties on net sales of licensed products on a country-by- country and licensed product-by-licensed product basis until expiration of the last to expire valid claim of certain licensed patents covering such licensed product in such country, subject to certain customary reductions, and low-to-mid double digit sublicense fees.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Factor Amended and Restated Master Services Agreement</w:t>
      </w:r>
    </w:p>
    <w:p>
      <w:pPr>
        <w:spacing w:after="0" w:line="238" w:lineRule="exact"/>
        <w:rPr>
          <w:sz w:val="20"/>
          <w:szCs w:val="20"/>
          <w:color w:val="auto"/>
        </w:rPr>
      </w:pPr>
    </w:p>
    <w:p>
      <w:pPr>
        <w:jc w:val="both"/>
        <w:ind w:firstLine="408"/>
        <w:spacing w:after="0" w:line="244" w:lineRule="auto"/>
        <w:rPr>
          <w:sz w:val="20"/>
          <w:szCs w:val="20"/>
          <w:color w:val="auto"/>
        </w:rPr>
      </w:pPr>
      <w:r>
        <w:rPr>
          <w:rFonts w:ascii="Times New Roman" w:cs="Times New Roman" w:eastAsia="Times New Roman" w:hAnsi="Times New Roman"/>
          <w:sz w:val="20"/>
          <w:szCs w:val="20"/>
          <w:color w:val="auto"/>
        </w:rPr>
        <w:t>As described under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License and Collaboration Agreements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Factor Amended and Restated Master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Services Agreement,</w:t>
      </w:r>
      <w:r>
        <w:rPr>
          <w:rFonts w:ascii="Times New Roman" w:cs="Times New Roman" w:eastAsia="Times New Roman" w:hAnsi="Times New Roman"/>
          <w:sz w:val="20"/>
          <w:szCs w:val="20"/>
          <w:color w:val="auto"/>
        </w:rPr>
        <w:t>”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February 3, 2026 the Restated Factor Services Agreement was assigned to us in connection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Closing pursuant to the Asset Purchase Agreement. Pursuant to the Restated Factor Services Agreement, Factor will perform services requested by us on a fee-for-services basis and provide us access to Factor’s facilities as mutually agreed upon in one or more written work orders. All deliverables developed as a result of Factor’s performance of the services or as set forth in a work order, other than specified improvements, will be our property and confidential information. Furthermore, Factor granted us a freedom -to-operate license to its background intellectual property solely to the extent necessary or reasonably useful to use, practice or otherwise exploit the deliverables.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 and Registration Rights Agreement</w:t>
      </w:r>
    </w:p>
    <w:p>
      <w:pPr>
        <w:spacing w:after="0" w:line="240" w:lineRule="exact"/>
        <w:rPr>
          <w:sz w:val="20"/>
          <w:szCs w:val="20"/>
          <w:color w:val="auto"/>
        </w:rPr>
      </w:pPr>
    </w:p>
    <w:p>
      <w:pPr>
        <w:jc w:val="both"/>
        <w:ind w:firstLine="408"/>
        <w:spacing w:after="0" w:line="245" w:lineRule="auto"/>
        <w:rPr>
          <w:sz w:val="20"/>
          <w:szCs w:val="20"/>
          <w:color w:val="auto"/>
        </w:rPr>
      </w:pPr>
      <w:r>
        <w:rPr>
          <w:rFonts w:ascii="Times New Roman" w:cs="Times New Roman" w:eastAsia="Times New Roman" w:hAnsi="Times New Roman"/>
          <w:sz w:val="20"/>
          <w:szCs w:val="20"/>
          <w:color w:val="auto"/>
        </w:rPr>
        <w:t>As described under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Private Placement</w:t>
      </w:r>
      <w:r>
        <w:rPr>
          <w:rFonts w:ascii="Times New Roman" w:cs="Times New Roman" w:eastAsia="Times New Roman" w:hAnsi="Times New Roman"/>
          <w:sz w:val="20"/>
          <w:szCs w:val="20"/>
          <w:color w:val="auto"/>
        </w:rPr>
        <w:t>,” on March 20, 2026, we entered into the Purchase Agreement with (a) the Institutional Investors and (b) Factor Bioscience Inc., pursuant to which we agreed to issue and sell in a Private Placement an aggregate of 462,964 Shares of our common stock, and, in lieu of common stock, pre-funded warrants to purchase up to 462,963 shares of our common stock, in each case accompanied by (i) Series A Warrants to purchase up to 925,927 shares of our common stock and (ii) Series B Warrants to purchase up to 925,927 shares of our common stock. Dr. Angel is the majority stockholder and Chairman of the Board of Directors of Factor Biosciences Inc. Pursuant to the Purchase Agreement, we sold an aggregate of 231,482 Shares, 231,482 Series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144145</wp:posOffset>
                </wp:positionV>
                <wp:extent cx="5943600" cy="0"/>
                <wp:wrapNone/>
                <wp:docPr id="843" name="Shape 8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843" o:spid="_x0000_s18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5pt" to="468pt,11.35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844" name="Shape 8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44" o:spid="_x0000_s18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845" name="Shape 8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845" o:spid="_x0000_s1870"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846" name="Shape 8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46" o:spid="_x0000_s18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847" name="Shape 8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47" o:spid="_x0000_s18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 Warrants and 231,482 Series B Warrants to Factor in exchange for $462,964, before deducting placement agent fees and other offering expenses payable by us.</w:t>
      </w:r>
    </w:p>
    <w:p>
      <w:pPr>
        <w:spacing w:after="0" w:line="170" w:lineRule="exact"/>
        <w:rPr>
          <w:sz w:val="20"/>
          <w:szCs w:val="20"/>
          <w:color w:val="auto"/>
        </w:rPr>
      </w:pPr>
    </w:p>
    <w:p>
      <w:pPr>
        <w:jc w:val="both"/>
        <w:ind w:firstLine="408"/>
        <w:spacing w:after="0" w:line="246" w:lineRule="auto"/>
        <w:rPr>
          <w:sz w:val="20"/>
          <w:szCs w:val="20"/>
          <w:color w:val="auto"/>
        </w:rPr>
      </w:pPr>
      <w:r>
        <w:rPr>
          <w:rFonts w:ascii="Times New Roman" w:cs="Times New Roman" w:eastAsia="Times New Roman" w:hAnsi="Times New Roman"/>
          <w:sz w:val="20"/>
          <w:szCs w:val="20"/>
          <w:color w:val="auto"/>
        </w:rPr>
        <w:t>In connection with the Private Placement, we entered into the Registration Rights Agreement with the Investors, pursuant to which we agreed to file registration statements under the Securities Act with the SEC covering the resale of the Shares to be issued in the Private Placement and the shares of our common stock underlying the Common Warrants and Pre -Funded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Professional Services Agreement</w:t>
      </w:r>
    </w:p>
    <w:p>
      <w:pPr>
        <w:spacing w:after="0" w:line="238" w:lineRule="exact"/>
        <w:rPr>
          <w:sz w:val="20"/>
          <w:szCs w:val="20"/>
          <w:color w:val="auto"/>
        </w:rPr>
      </w:pPr>
    </w:p>
    <w:p>
      <w:pPr>
        <w:ind w:right="140" w:firstLine="408"/>
        <w:spacing w:after="0" w:line="247" w:lineRule="auto"/>
        <w:rPr>
          <w:sz w:val="20"/>
          <w:szCs w:val="20"/>
          <w:color w:val="auto"/>
        </w:rPr>
      </w:pPr>
      <w:r>
        <w:rPr>
          <w:rFonts w:ascii="Times New Roman" w:cs="Times New Roman" w:eastAsia="Times New Roman" w:hAnsi="Times New Roman"/>
          <w:sz w:val="20"/>
          <w:szCs w:val="20"/>
          <w:color w:val="auto"/>
        </w:rPr>
        <w:t>On March 24, 2026, we entered into a Professional Services Agreement, effective April 1, 2026, with YQ Advisors Limited (“YQ”) pursuant to which YQ will provide various business development and corporate development activities to us at an hourly rate of (i) $ 1,250 for services provided by Andrew Fang and (ii) $250 for services provided by other YQ service providers, up to a maximum aggregate amount of $720,000 per year. The agreement has a term of 12 months unless extended by mutual written agreement of the parties. Mr. Fang is the son of Bangxia Yang, the beneficial owner of Lotus, a greater than 5% holder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NDEMNIFICATION</w:t>
      </w:r>
    </w:p>
    <w:p>
      <w:pPr>
        <w:sectPr>
          <w:pgSz w:w="12240" w:h="15840" w:orient="portrait"/>
          <w:cols w:equalWidth="0" w:num="1">
            <w:col w:w="9360"/>
          </w:cols>
          <w:pgMar w:left="1440" w:top="1422" w:right="1440" w:bottom="1081" w:gutter="0" w:footer="0" w:header="0"/>
        </w:sectPr>
      </w:pPr>
    </w:p>
    <w:bookmarkStart w:id="155" w:name="page156"/>
    <w:bookmarkEnd w:id="155"/>
    <w:p>
      <w:pPr>
        <w:jc w:val="both"/>
        <w:ind w:left="422" w:firstLine="408"/>
        <w:spacing w:after="0" w:line="247" w:lineRule="auto"/>
        <w:rPr>
          <w:sz w:val="20"/>
          <w:szCs w:val="20"/>
          <w:color w:val="auto"/>
        </w:rPr>
      </w:pPr>
      <w:r>
        <w:rPr>
          <w:rFonts w:ascii="Times New Roman" w:cs="Times New Roman" w:eastAsia="Times New Roman" w:hAnsi="Times New Roman"/>
          <w:sz w:val="20"/>
          <w:szCs w:val="20"/>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196"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NDEPENDENCE OF 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IRECTORS</w:t>
      </w:r>
      <w:r>
        <w:rPr>
          <w:rFonts w:ascii="Times New Roman" w:cs="Times New Roman" w:eastAsia="Times New Roman" w:hAnsi="Times New Roman"/>
          <w:sz w:val="20"/>
          <w:szCs w:val="20"/>
          <w:b w:val="1"/>
          <w:bCs w:val="1"/>
          <w:color w:val="auto"/>
        </w:rPr>
        <w:t>;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ESSIONS</w:t>
      </w:r>
    </w:p>
    <w:p>
      <w:pPr>
        <w:spacing w:after="0" w:line="244" w:lineRule="exact"/>
        <w:rPr>
          <w:sz w:val="20"/>
          <w:szCs w:val="20"/>
          <w:color w:val="auto"/>
        </w:rPr>
      </w:pPr>
    </w:p>
    <w:p>
      <w:pPr>
        <w:jc w:val="both"/>
        <w:ind w:left="422" w:firstLine="408"/>
        <w:spacing w:after="0" w:line="247" w:lineRule="auto"/>
        <w:rPr>
          <w:sz w:val="20"/>
          <w:szCs w:val="20"/>
          <w:color w:val="auto"/>
        </w:rPr>
      </w:pPr>
      <w:r>
        <w:rPr>
          <w:rFonts w:ascii="Times New Roman" w:cs="Times New Roman" w:eastAsia="Times New Roman" w:hAnsi="Times New Roman"/>
          <w:sz w:val="20"/>
          <w:szCs w:val="20"/>
          <w:color w:val="auto"/>
        </w:rPr>
        <w:t>As required under the Nasdaq Capital Market (“Nasdaq”) listing standards, “independent” directors must comprise a majority of a listed company’s board of directors.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Securities Exchange Act of 1934, as amended (the “Exchange Act”).</w:t>
      </w:r>
    </w:p>
    <w:p>
      <w:pPr>
        <w:spacing w:after="0" w:line="200" w:lineRule="exact"/>
        <w:rPr>
          <w:sz w:val="20"/>
          <w:szCs w:val="20"/>
          <w:color w:val="auto"/>
        </w:rPr>
      </w:pPr>
    </w:p>
    <w:p>
      <w:pPr>
        <w:jc w:val="both"/>
        <w:ind w:left="422" w:firstLine="408"/>
        <w:spacing w:after="0" w:line="245" w:lineRule="auto"/>
        <w:rPr>
          <w:sz w:val="20"/>
          <w:szCs w:val="20"/>
          <w:color w:val="auto"/>
        </w:rPr>
      </w:pPr>
      <w:r>
        <w:rPr>
          <w:rFonts w:ascii="Times New Roman" w:cs="Times New Roman" w:eastAsia="Times New Roman" w:hAnsi="Times New Roman"/>
          <w:sz w:val="20"/>
          <w:szCs w:val="20"/>
          <w:color w:val="auto"/>
        </w:rPr>
        <w:t>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Mr. Brady, our former Chief Executive Officer and President, qualify as “independent” directors within the meaning of the Nasdaq rules. Accordingly, a majority of our directors are independent, as required under applicable Nasdaq rules. The Board also determined that each member of our Audit, Compensation and Nominating and Corporate Governance Committees satisfies the independence standards for such committees established by the SEC and the Nasdaq listing standards, as applicable.</w:t>
      </w:r>
    </w:p>
    <w:p>
      <w:pPr>
        <w:spacing w:after="0" w:line="200" w:lineRule="exact"/>
        <w:rPr>
          <w:sz w:val="20"/>
          <w:szCs w:val="20"/>
          <w:color w:val="auto"/>
        </w:rPr>
      </w:pPr>
    </w:p>
    <w:p>
      <w:pPr>
        <w:jc w:val="both"/>
        <w:ind w:left="422" w:right="20" w:firstLine="408"/>
        <w:spacing w:after="0" w:line="277" w:lineRule="auto"/>
        <w:rPr>
          <w:sz w:val="20"/>
          <w:szCs w:val="20"/>
          <w:color w:val="auto"/>
        </w:rPr>
      </w:pPr>
      <w:r>
        <w:rPr>
          <w:rFonts w:ascii="Times New Roman" w:cs="Times New Roman" w:eastAsia="Times New Roman" w:hAnsi="Times New Roman"/>
          <w:sz w:val="20"/>
          <w:szCs w:val="20"/>
          <w:color w:val="auto"/>
        </w:rPr>
        <w:t>Our non-employee directors have been meeting, and we anticipate that they will continue to meet, in regularly scheduled executive sessions at which only non-employee directors are present.</w:t>
      </w:r>
    </w:p>
    <w:p>
      <w:pPr>
        <w:spacing w:after="0" w:line="166"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5" w:lineRule="exact"/>
        <w:rPr>
          <w:sz w:val="20"/>
          <w:szCs w:val="20"/>
          <w:color w:val="auto"/>
        </w:rPr>
      </w:pPr>
    </w:p>
    <w:p>
      <w:pPr>
        <w:jc w:val="both"/>
        <w:ind w:left="422" w:firstLine="720"/>
        <w:spacing w:after="0" w:line="257" w:lineRule="auto"/>
        <w:rPr>
          <w:sz w:val="20"/>
          <w:szCs w:val="20"/>
          <w:color w:val="auto"/>
        </w:rPr>
      </w:pPr>
      <w:r>
        <w:rPr>
          <w:rFonts w:ascii="Times New Roman" w:cs="Times New Roman" w:eastAsia="Times New Roman" w:hAnsi="Times New Roman"/>
          <w:sz w:val="20"/>
          <w:szCs w:val="20"/>
          <w:color w:val="auto"/>
        </w:rPr>
        <w:t>The following table represents aggregate fees billed to the Company for the fiscal years ended December 31, 2025 and 2024 by Ernst &amp; Young, the Company’s independent registered public accountant. All fees described below were pre-approved by the Audit Committee.</w:t>
      </w:r>
    </w:p>
    <w:p>
      <w:pPr>
        <w:spacing w:after="0" w:line="190" w:lineRule="exact"/>
        <w:rPr>
          <w:sz w:val="20"/>
          <w:szCs w:val="20"/>
          <w:color w:val="auto"/>
        </w:rPr>
      </w:pPr>
    </w:p>
    <w:tbl>
      <w:tblPr>
        <w:tblLayout w:type="fixed"/>
        <w:tblInd w:w="422" w:type="dxa"/>
        <w:tblCellMar>
          <w:top w:w="0" w:type="dxa"/>
          <w:left w:w="0" w:type="dxa"/>
          <w:bottom w:w="0" w:type="dxa"/>
          <w:right w:w="0" w:type="dxa"/>
        </w:tblCellMar>
      </w:tblPr>
      <w:tr>
        <w:trPr>
          <w:trHeight w:val="221"/>
        </w:trPr>
        <w:tc>
          <w:tcPr>
            <w:tcW w:w="2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40" w:type="dxa"/>
            <w:vAlign w:val="bottom"/>
          </w:tcPr>
          <w:p>
            <w:pPr>
              <w:jc w:val="right"/>
              <w:ind w:right="11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9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12"/>
                <w:szCs w:val="12"/>
                <w:color w:val="auto"/>
              </w:rPr>
              <w:t>(1)</w:t>
            </w:r>
          </w:p>
        </w:tc>
        <w:tc>
          <w:tcPr>
            <w:tcW w:w="42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9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jc w:val="right"/>
              <w:ind w:right="225"/>
              <w:spacing w:after="0" w:line="21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jc w:val="right"/>
              <w:ind w:right="20"/>
              <w:spacing w:after="0" w:line="211" w:lineRule="exact"/>
              <w:rPr>
                <w:sz w:val="20"/>
                <w:szCs w:val="20"/>
                <w:color w:val="auto"/>
              </w:rPr>
            </w:pPr>
            <w:r>
              <w:rPr>
                <w:rFonts w:ascii="Times New Roman" w:cs="Times New Roman" w:eastAsia="Times New Roman" w:hAnsi="Times New Roman"/>
                <w:sz w:val="20"/>
                <w:szCs w:val="20"/>
                <w:color w:val="auto"/>
              </w:rPr>
              <w:t>930,000</w:t>
            </w:r>
          </w:p>
        </w:tc>
        <w:tc>
          <w:tcPr>
            <w:tcW w:w="180" w:type="dxa"/>
            <w:vAlign w:val="bottom"/>
          </w:tcPr>
          <w:p>
            <w:pPr>
              <w:spacing w:after="0"/>
              <w:rPr>
                <w:sz w:val="18"/>
                <w:szCs w:val="18"/>
                <w:color w:val="auto"/>
              </w:rPr>
            </w:pPr>
          </w:p>
        </w:tc>
        <w:tc>
          <w:tcPr>
            <w:tcW w:w="540" w:type="dxa"/>
            <w:vAlign w:val="bottom"/>
          </w:tcPr>
          <w:p>
            <w:pPr>
              <w:jc w:val="right"/>
              <w:ind w:right="320"/>
              <w:spacing w:after="0" w:line="211" w:lineRule="exact"/>
              <w:rPr>
                <w:sz w:val="20"/>
                <w:szCs w:val="20"/>
                <w:color w:val="auto"/>
              </w:rPr>
            </w:pPr>
            <w:r>
              <w:rPr>
                <w:rFonts w:ascii="Times New Roman" w:cs="Times New Roman" w:eastAsia="Times New Roman" w:hAnsi="Times New Roman"/>
                <w:sz w:val="20"/>
                <w:szCs w:val="20"/>
                <w:color w:val="auto"/>
                <w:w w:val="99"/>
              </w:rPr>
              <w:t>$</w:t>
            </w:r>
          </w:p>
        </w:tc>
        <w:tc>
          <w:tcPr>
            <w:tcW w:w="2340" w:type="dxa"/>
            <w:vAlign w:val="bottom"/>
          </w:tcPr>
          <w:p>
            <w:pPr>
              <w:jc w:val="right"/>
              <w:ind w:right="1387"/>
              <w:spacing w:after="0" w:line="211" w:lineRule="exact"/>
              <w:rPr>
                <w:sz w:val="20"/>
                <w:szCs w:val="20"/>
                <w:color w:val="auto"/>
              </w:rPr>
            </w:pPr>
            <w:r>
              <w:rPr>
                <w:rFonts w:ascii="Times New Roman" w:cs="Times New Roman" w:eastAsia="Times New Roman" w:hAnsi="Times New Roman"/>
                <w:sz w:val="20"/>
                <w:szCs w:val="20"/>
                <w:color w:val="auto"/>
              </w:rPr>
              <w:t>755,000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Audit-related Fees</w:t>
            </w:r>
          </w:p>
        </w:tc>
        <w:tc>
          <w:tcPr>
            <w:tcW w:w="4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jc w:val="right"/>
              <w:ind w:right="305"/>
              <w:spacing w:after="0"/>
              <w:rPr>
                <w:sz w:val="20"/>
                <w:szCs w:val="20"/>
                <w:color w:val="auto"/>
              </w:rPr>
            </w:pPr>
            <w:r>
              <w:rPr>
                <w:rFonts w:ascii="Times New Roman" w:cs="Times New Roman" w:eastAsia="Times New Roman" w:hAnsi="Times New Roman"/>
                <w:sz w:val="20"/>
                <w:szCs w:val="20"/>
                <w:color w:val="auto"/>
              </w:rPr>
              <w:t>142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4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18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3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491"/>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 Fees</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All Other Fees</w:t>
            </w:r>
          </w:p>
        </w:tc>
        <w:tc>
          <w:tcPr>
            <w:tcW w:w="4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6"/>
        </w:trPr>
        <w:tc>
          <w:tcPr>
            <w:tcW w:w="29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Total Fees</w:t>
            </w:r>
          </w:p>
        </w:tc>
        <w:tc>
          <w:tcPr>
            <w:tcW w:w="4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940" w:type="dxa"/>
            <w:vAlign w:val="bottom"/>
            <w:vMerge w:val="continue"/>
          </w:tcPr>
          <w:p>
            <w:pPr>
              <w:spacing w:after="0"/>
              <w:rPr>
                <w:sz w:val="23"/>
                <w:szCs w:val="23"/>
                <w:color w:val="auto"/>
              </w:rPr>
            </w:pP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ind w:right="805"/>
              <w:spacing w:after="0"/>
              <w:rPr>
                <w:sz w:val="20"/>
                <w:szCs w:val="20"/>
                <w:color w:val="auto"/>
              </w:rPr>
            </w:pPr>
            <w:r>
              <w:rPr>
                <w:rFonts w:ascii="Times New Roman" w:cs="Times New Roman" w:eastAsia="Times New Roman" w:hAnsi="Times New Roman"/>
                <w:sz w:val="20"/>
                <w:szCs w:val="20"/>
                <w:color w:val="auto"/>
              </w:rPr>
              <w:t>930,000</w:t>
            </w: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spacing w:after="0"/>
              <w:rPr>
                <w:sz w:val="23"/>
                <w:szCs w:val="23"/>
                <w:color w:val="auto"/>
              </w:rPr>
            </w:pPr>
          </w:p>
        </w:tc>
        <w:tc>
          <w:tcPr>
            <w:tcW w:w="2340" w:type="dxa"/>
            <w:vAlign w:val="bottom"/>
          </w:tcPr>
          <w:p>
            <w:pPr>
              <w:jc w:val="right"/>
              <w:ind w:right="1587"/>
              <w:spacing w:after="0"/>
              <w:rPr>
                <w:sz w:val="20"/>
                <w:szCs w:val="20"/>
                <w:color w:val="auto"/>
              </w:rPr>
            </w:pPr>
            <w:r>
              <w:rPr>
                <w:rFonts w:ascii="Times New Roman" w:cs="Times New Roman" w:eastAsia="Times New Roman" w:hAnsi="Times New Roman"/>
                <w:sz w:val="20"/>
                <w:szCs w:val="20"/>
                <w:color w:val="auto"/>
                <w:w w:val="98"/>
              </w:rPr>
              <w:t>755,000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29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269875</wp:posOffset>
                </wp:positionH>
                <wp:positionV relativeFrom="paragraph">
                  <wp:posOffset>-819785</wp:posOffset>
                </wp:positionV>
                <wp:extent cx="0" cy="19685"/>
                <wp:wrapNone/>
                <wp:docPr id="848" name="Shape 8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48" o:spid="_x0000_s18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64.5499pt" to="21.25pt,-63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6204585</wp:posOffset>
                </wp:positionH>
                <wp:positionV relativeFrom="paragraph">
                  <wp:posOffset>-824865</wp:posOffset>
                </wp:positionV>
                <wp:extent cx="13335" cy="12700"/>
                <wp:wrapNone/>
                <wp:docPr id="849" name="Shape 8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3E3E3"/>
                        </a:solidFill>
                      </wps:spPr>
                      <wps:bodyPr/>
                    </wps:wsp>
                  </a:graphicData>
                </a:graphic>
              </wp:anchor>
            </w:drawing>
          </mc:Choice>
          <mc:Fallback>
            <w:pict>
              <v:rect id="Shape 849" o:spid="_x0000_s1874" style="position:absolute;margin-left:488.55pt;margin-top:-64.9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6211570</wp:posOffset>
                </wp:positionH>
                <wp:positionV relativeFrom="paragraph">
                  <wp:posOffset>-817245</wp:posOffset>
                </wp:positionV>
                <wp:extent cx="0" cy="17145"/>
                <wp:wrapNone/>
                <wp:docPr id="850" name="Shape 8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50" o:spid="_x0000_s18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1pt,-64.3499pt" to="489.1pt,-63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250190</wp:posOffset>
                </wp:positionH>
                <wp:positionV relativeFrom="paragraph">
                  <wp:posOffset>228600</wp:posOffset>
                </wp:positionV>
                <wp:extent cx="5981065" cy="0"/>
                <wp:wrapNone/>
                <wp:docPr id="851" name="Shape 8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06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51" o:spid="_x0000_s18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pt,18pt" to="490.65pt,18pt" o:allowincell="f" strokecolor="#000000" strokeweight="0.96pt"/>
            </w:pict>
          </mc:Fallback>
        </mc:AlternateContent>
      </w:r>
    </w:p>
    <w:p>
      <w:pPr>
        <w:spacing w:after="0" w:line="200" w:lineRule="exact"/>
        <w:rPr>
          <w:sz w:val="20"/>
          <w:szCs w:val="20"/>
          <w:color w:val="auto"/>
        </w:rPr>
      </w:pPr>
    </w:p>
    <w:p>
      <w:pPr>
        <w:spacing w:after="0" w:line="256" w:lineRule="exact"/>
        <w:rPr>
          <w:sz w:val="20"/>
          <w:szCs w:val="20"/>
          <w:color w:val="auto"/>
        </w:rPr>
      </w:pPr>
    </w:p>
    <w:p>
      <w:pPr>
        <w:ind w:left="422" w:hanging="422"/>
        <w:spacing w:after="0" w:line="279" w:lineRule="auto"/>
        <w:tabs>
          <w:tab w:leader="none" w:pos="42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relate to the audit of our annual financial statements, review of interim financial statements and assistance with registration statements filed with the SEC.</w:t>
      </w:r>
    </w:p>
    <w:p>
      <w:pPr>
        <w:spacing w:after="0" w:line="51" w:lineRule="exact"/>
        <w:rPr>
          <w:rFonts w:ascii="Times New Roman" w:cs="Times New Roman" w:eastAsia="Times New Roman" w:hAnsi="Times New Roman"/>
          <w:sz w:val="16"/>
          <w:szCs w:val="16"/>
          <w:color w:val="auto"/>
        </w:rPr>
      </w:pPr>
    </w:p>
    <w:p>
      <w:pPr>
        <w:ind w:left="42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RE</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PPROVAL</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OLICIES AND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ROCEDURES</w:t>
      </w:r>
    </w:p>
    <w:p>
      <w:pPr>
        <w:spacing w:after="0" w:line="244" w:lineRule="exact"/>
        <w:rPr>
          <w:sz w:val="20"/>
          <w:szCs w:val="20"/>
          <w:color w:val="auto"/>
        </w:rPr>
      </w:pPr>
    </w:p>
    <w:p>
      <w:pPr>
        <w:ind w:left="422" w:firstLine="408"/>
        <w:spacing w:after="0" w:line="304" w:lineRule="auto"/>
        <w:rPr>
          <w:sz w:val="20"/>
          <w:szCs w:val="20"/>
          <w:color w:val="auto"/>
        </w:rPr>
      </w:pPr>
      <w:r>
        <w:rPr>
          <w:rFonts w:ascii="Times New Roman" w:cs="Times New Roman" w:eastAsia="Times New Roman" w:hAnsi="Times New Roman"/>
          <w:sz w:val="19"/>
          <w:szCs w:val="19"/>
          <w:color w:val="auto"/>
        </w:rPr>
        <w:t xml:space="preserve">The Audit Committee has adopted a pre-approval policy under which the Audit Committee approves in advance all audit and permissible non-audit services to be performed by the independent accountants (subject to a </w:t>
      </w:r>
      <w:r>
        <w:rPr>
          <w:rFonts w:ascii="Times New Roman" w:cs="Times New Roman" w:eastAsia="Times New Roman" w:hAnsi="Times New Roman"/>
          <w:sz w:val="19"/>
          <w:szCs w:val="19"/>
          <w:i w:val="1"/>
          <w:iCs w:val="1"/>
          <w:color w:val="auto"/>
        </w:rPr>
        <w:t>de minimis</w:t>
      </w:r>
    </w:p>
    <w:p>
      <w:pPr>
        <w:sectPr>
          <w:pgSz w:w="12240" w:h="15840" w:orient="portrait"/>
          <w:cols w:equalWidth="0" w:num="1">
            <w:col w:w="9782"/>
          </w:cols>
          <w:pgMar w:left="1018" w:top="1422" w:right="1440" w:bottom="1018" w:gutter="0" w:footer="0" w:header="0"/>
        </w:sectPr>
      </w:pPr>
    </w:p>
    <w:bookmarkStart w:id="156" w:name="page157"/>
    <w:bookmarkEnd w:id="156"/>
    <w:p>
      <w:pPr>
        <w:jc w:val="both"/>
        <w:spacing w:after="0" w:line="243" w:lineRule="auto"/>
        <w:rPr>
          <w:sz w:val="20"/>
          <w:szCs w:val="20"/>
          <w:color w:val="auto"/>
        </w:rPr>
      </w:pPr>
      <w:r>
        <w:rPr>
          <w:rFonts w:ascii="Times New Roman" w:cs="Times New Roman" w:eastAsia="Times New Roman" w:hAnsi="Times New Roman"/>
          <w:sz w:val="20"/>
          <w:szCs w:val="20"/>
          <w:color w:val="auto"/>
        </w:rPr>
        <w:t>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 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852" name="Shape 8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20319">
                          <a:solidFill>
                            <a:srgbClr val="808080"/>
                          </a:solidFill>
                          <a:miter lim="800000"/>
                          <a:headEnd/>
                          <a:tailEnd/>
                        </a:ln>
                      </wps:spPr>
                      <wps:bodyPr/>
                    </wps:wsp>
                  </a:graphicData>
                </a:graphic>
              </wp:anchor>
            </w:drawing>
          </mc:Choice>
          <mc:Fallback>
            <w:pict>
              <v:line id="Shape 852" o:spid="_x0000_s18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9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853" name="Shape 8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53" o:spid="_x0000_s18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854" name="Shape 8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854" o:spid="_x0000_s1879"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855" name="Shape 8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55" o:spid="_x0000_s18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856" name="Shape 8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56" o:spid="_x0000_s18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filed the following documents as part of this Annual Report:</w:t>
      </w:r>
    </w:p>
    <w:p>
      <w:pPr>
        <w:spacing w:after="0" w:line="2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(a)(1)</w:t>
        <w:tab/>
        <w:t>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statements are included in Item 8. “Financial Statements and Supplementary Data.”</w:t>
      </w:r>
    </w:p>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(a)(2)</w:t>
        <w:tab/>
        <w:t>Financial Statement Schedules</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All schedules are omitted as information required is inapplicable or the information is presented in the financial statements and the related notes.</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b w:val="1"/>
          <w:bCs w:val="1"/>
          <w:color w:val="auto"/>
        </w:rPr>
        <w:t>(a)(3)</w:t>
        <w:tab/>
        <w:t>Exhibits</w:t>
      </w:r>
    </w:p>
    <w:p>
      <w:pPr>
        <w:sectPr>
          <w:pgSz w:w="12240" w:h="15840" w:orient="portrait"/>
          <w:cols w:equalWidth="0" w:num="1">
            <w:col w:w="9360"/>
          </w:cols>
          <w:pgMar w:left="1440" w:top="1422" w:right="1440" w:bottom="1440" w:gutter="0" w:footer="0" w:header="0"/>
        </w:sectPr>
      </w:pPr>
    </w:p>
    <w:bookmarkStart w:id="157" w:name="page158"/>
    <w:bookmarkEnd w:id="157"/>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6"/>
                <w:szCs w:val="16"/>
                <w:b w:val="1"/>
                <w:bCs w:val="1"/>
                <w:color w:val="auto"/>
                <w:w w:val="99"/>
              </w:rPr>
              <w:t>Incorporation by Reference</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580" w:type="dxa"/>
            <w:vAlign w:val="bottom"/>
            <w:vMerge w:val="restart"/>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4080" w:type="dxa"/>
            <w:vAlign w:val="bottom"/>
          </w:tcPr>
          <w:p>
            <w:pPr>
              <w:spacing w:after="0"/>
              <w:rPr>
                <w:sz w:val="19"/>
                <w:szCs w:val="19"/>
                <w:color w:val="auto"/>
              </w:rPr>
            </w:pPr>
          </w:p>
        </w:tc>
        <w:tc>
          <w:tcPr>
            <w:tcW w:w="1920" w:type="dxa"/>
            <w:vAlign w:val="bottom"/>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File</w:t>
            </w:r>
          </w:p>
        </w:tc>
        <w:tc>
          <w:tcPr>
            <w:tcW w:w="880" w:type="dxa"/>
            <w:vAlign w:val="bottom"/>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9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82"/>
        </w:trPr>
        <w:tc>
          <w:tcPr>
            <w:tcW w:w="1580" w:type="dxa"/>
            <w:vAlign w:val="bottom"/>
            <w:vMerge w:val="continue"/>
          </w:tcPr>
          <w:p>
            <w:pPr>
              <w:spacing w:after="0"/>
              <w:rPr>
                <w:sz w:val="15"/>
                <w:szCs w:val="15"/>
                <w:color w:val="auto"/>
              </w:rPr>
            </w:pPr>
          </w:p>
        </w:tc>
        <w:tc>
          <w:tcPr>
            <w:tcW w:w="408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00" w:type="dxa"/>
            <w:vAlign w:val="bottom"/>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33"/>
        </w:trPr>
        <w:tc>
          <w:tcPr>
            <w:tcW w:w="1580" w:type="dxa"/>
            <w:vAlign w:val="bottom"/>
            <w:tcBorders>
              <w:bottom w:val="single" w:sz="8" w:color="auto"/>
            </w:tcBorders>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1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Form  Number  Exhibit</w:t>
            </w:r>
          </w:p>
        </w:tc>
        <w:tc>
          <w:tcPr>
            <w:tcW w:w="8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2240" w:h="15840" w:orient="portrait"/>
          <w:cols w:equalWidth="0" w:num="1">
            <w:col w:w="9360"/>
          </w:cols>
          <w:pgMar w:left="1440" w:top="1440" w:right="1440" w:bottom="1440" w:gutter="0" w:footer="0" w:header="0"/>
        </w:sectPr>
      </w:pPr>
    </w:p>
    <w:tbl>
      <w:tblPr>
        <w:tblLayout w:type="fixed"/>
        <w:tblInd w:w="22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Agreement and Plan of Merger, dated as of March 29, 2021, by and</w:t>
            </w:r>
          </w:p>
        </w:tc>
        <w:tc>
          <w:tcPr>
            <w:tcW w:w="0" w:type="dxa"/>
            <w:vAlign w:val="bottom"/>
          </w:tcPr>
          <w:p>
            <w:pPr>
              <w:spacing w:after="0"/>
              <w:rPr>
                <w:sz w:val="1"/>
                <w:szCs w:val="1"/>
                <w:color w:val="auto"/>
              </w:rPr>
            </w:pPr>
          </w:p>
        </w:tc>
      </w:tr>
      <w:tr>
        <w:trPr>
          <w:trHeight w:val="162"/>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2.1*</w:t>
            </w:r>
          </w:p>
        </w:tc>
        <w:tc>
          <w:tcPr>
            <w:tcW w:w="4340" w:type="dxa"/>
            <w:vAlign w:val="bottom"/>
            <w:tcBorders>
              <w:top w:val="single" w:sz="8" w:color="19228E"/>
              <w:bottom w:val="single" w:sz="8" w:color="19228E"/>
            </w:tcBorders>
            <w:gridSpan w:val="16"/>
          </w:tcPr>
          <w:p>
            <w:pPr>
              <w:spacing w:after="0" w:line="162" w:lineRule="exact"/>
              <w:rPr>
                <w:sz w:val="20"/>
                <w:szCs w:val="20"/>
                <w:color w:val="auto"/>
              </w:rPr>
            </w:pPr>
            <w:r>
              <w:rPr>
                <w:rFonts w:ascii="Times New Roman" w:cs="Times New Roman" w:eastAsia="Times New Roman" w:hAnsi="Times New Roman"/>
                <w:sz w:val="16"/>
                <w:szCs w:val="16"/>
                <w:color w:val="1C2790"/>
                <w:w w:val="98"/>
              </w:rPr>
              <w:t>among Tempest Therapeutics, Inc., Mars Merger Corp. and Tempest</w:t>
            </w:r>
          </w:p>
        </w:tc>
        <w:tc>
          <w:tcPr>
            <w:tcW w:w="20" w:type="dxa"/>
            <w:vAlign w:val="bottom"/>
            <w:tcBorders>
              <w:bottom w:val="single" w:sz="8" w:color="19228E"/>
            </w:tcBorders>
          </w:tcPr>
          <w:p>
            <w:pPr>
              <w:spacing w:after="0"/>
              <w:rPr>
                <w:sz w:val="14"/>
                <w:szCs w:val="14"/>
                <w:color w:val="auto"/>
              </w:rPr>
            </w:pPr>
          </w:p>
        </w:tc>
        <w:tc>
          <w:tcPr>
            <w:tcW w:w="40" w:type="dxa"/>
            <w:vAlign w:val="bottom"/>
            <w:tcBorders>
              <w:bottom w:val="single" w:sz="8" w:color="19228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1180" w:type="dxa"/>
            <w:vAlign w:val="bottom"/>
            <w:tcBorders>
              <w:bottom w:val="single" w:sz="8" w:color="19228E"/>
            </w:tcBorders>
            <w:gridSpan w:val="4"/>
          </w:tcPr>
          <w:p>
            <w:pPr>
              <w:spacing w:after="0" w:line="162" w:lineRule="exact"/>
              <w:rPr>
                <w:sz w:val="20"/>
                <w:szCs w:val="20"/>
                <w:color w:val="auto"/>
              </w:rPr>
            </w:pPr>
            <w:r>
              <w:rPr>
                <w:rFonts w:ascii="Times New Roman" w:cs="Times New Roman" w:eastAsia="Times New Roman" w:hAnsi="Times New Roman"/>
                <w:sz w:val="16"/>
                <w:szCs w:val="16"/>
                <w:color w:val="1C2790"/>
              </w:rPr>
              <w:t>Therapeutics, Inc.</w:t>
            </w:r>
          </w:p>
        </w:tc>
        <w:tc>
          <w:tcPr>
            <w:tcW w:w="3220" w:type="dxa"/>
            <w:vAlign w:val="bottom"/>
            <w:gridSpan w:val="14"/>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2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w w:val="99"/>
              </w:rPr>
              <w:t>3.1</w:t>
            </w: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Restated Certificate of Incorporation of the Registrant, as amended</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19228E"/>
          </w:tcPr>
          <w:p>
            <w:pPr>
              <w:spacing w:after="0" w:line="20" w:lineRule="exact"/>
              <w:rPr>
                <w:sz w:val="1"/>
                <w:szCs w:val="1"/>
                <w:color w:val="auto"/>
              </w:rPr>
            </w:pPr>
          </w:p>
        </w:tc>
        <w:tc>
          <w:tcPr>
            <w:tcW w:w="60" w:type="dxa"/>
            <w:vAlign w:val="bottom"/>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640" w:type="dxa"/>
            <w:vAlign w:val="bottom"/>
            <w:gridSpan w:val="2"/>
            <w:shd w:val="clear" w:color="auto" w:fill="19228E"/>
          </w:tcPr>
          <w:p>
            <w:pPr>
              <w:spacing w:after="0" w:line="20" w:lineRule="exact"/>
              <w:rPr>
                <w:sz w:val="1"/>
                <w:szCs w:val="1"/>
                <w:color w:val="auto"/>
              </w:rPr>
            </w:pPr>
          </w:p>
        </w:tc>
        <w:tc>
          <w:tcPr>
            <w:tcW w:w="160" w:type="dxa"/>
            <w:vAlign w:val="bottom"/>
            <w:shd w:val="clear" w:color="auto" w:fill="19228E"/>
          </w:tcPr>
          <w:p>
            <w:pPr>
              <w:spacing w:after="0" w:line="20" w:lineRule="exact"/>
              <w:rPr>
                <w:sz w:val="1"/>
                <w:szCs w:val="1"/>
                <w:color w:val="auto"/>
              </w:rPr>
            </w:pPr>
          </w:p>
        </w:tc>
        <w:tc>
          <w:tcPr>
            <w:tcW w:w="200" w:type="dxa"/>
            <w:vAlign w:val="bottom"/>
            <w:shd w:val="clear" w:color="auto" w:fill="19228E"/>
          </w:tcPr>
          <w:p>
            <w:pPr>
              <w:spacing w:after="0" w:line="20" w:lineRule="exact"/>
              <w:rPr>
                <w:sz w:val="1"/>
                <w:szCs w:val="1"/>
                <w:color w:val="auto"/>
              </w:rPr>
            </w:pPr>
          </w:p>
        </w:tc>
        <w:tc>
          <w:tcPr>
            <w:tcW w:w="1000" w:type="dxa"/>
            <w:vAlign w:val="bottom"/>
            <w:shd w:val="clear" w:color="auto" w:fill="19228E"/>
          </w:tcPr>
          <w:p>
            <w:pPr>
              <w:spacing w:after="0" w:line="20" w:lineRule="exact"/>
              <w:rPr>
                <w:sz w:val="1"/>
                <w:szCs w:val="1"/>
                <w:color w:val="auto"/>
              </w:rPr>
            </w:pPr>
          </w:p>
        </w:tc>
        <w:tc>
          <w:tcPr>
            <w:tcW w:w="460" w:type="dxa"/>
            <w:vAlign w:val="bottom"/>
            <w:shd w:val="clear" w:color="auto" w:fill="19228E"/>
          </w:tcPr>
          <w:p>
            <w:pPr>
              <w:spacing w:after="0" w:line="20" w:lineRule="exact"/>
              <w:rPr>
                <w:sz w:val="1"/>
                <w:szCs w:val="1"/>
                <w:color w:val="auto"/>
              </w:rPr>
            </w:pPr>
          </w:p>
        </w:tc>
        <w:tc>
          <w:tcPr>
            <w:tcW w:w="120" w:type="dxa"/>
            <w:vAlign w:val="bottom"/>
            <w:tcBorders>
              <w:right w:val="single" w:sz="8" w:color="19228E"/>
            </w:tcBorders>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8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20" w:type="dxa"/>
            <w:vAlign w:val="bottom"/>
          </w:tcPr>
          <w:p>
            <w:pPr>
              <w:spacing w:after="0"/>
              <w:rPr>
                <w:sz w:val="23"/>
                <w:szCs w:val="23"/>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Certificate of Amendment to the Restated Certificate of Incorporation of</w:t>
            </w:r>
          </w:p>
        </w:tc>
        <w:tc>
          <w:tcPr>
            <w:tcW w:w="0" w:type="dxa"/>
            <w:vAlign w:val="bottom"/>
          </w:tcPr>
          <w:p>
            <w:pPr>
              <w:spacing w:after="0"/>
              <w:rPr>
                <w:sz w:val="1"/>
                <w:szCs w:val="1"/>
                <w:color w:val="auto"/>
              </w:rPr>
            </w:pPr>
          </w:p>
        </w:tc>
      </w:tr>
      <w:tr>
        <w:trPr>
          <w:trHeight w:val="162"/>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3.2</w:t>
            </w:r>
          </w:p>
        </w:tc>
        <w:tc>
          <w:tcPr>
            <w:tcW w:w="4680" w:type="dxa"/>
            <w:vAlign w:val="bottom"/>
            <w:tcBorders>
              <w:top w:val="single" w:sz="8" w:color="19228E"/>
              <w:bottom w:val="single" w:sz="8" w:color="19228E"/>
            </w:tcBorders>
            <w:gridSpan w:val="25"/>
          </w:tcPr>
          <w:p>
            <w:pPr>
              <w:spacing w:after="0" w:line="162" w:lineRule="exact"/>
              <w:rPr>
                <w:sz w:val="20"/>
                <w:szCs w:val="20"/>
                <w:color w:val="auto"/>
              </w:rPr>
            </w:pPr>
            <w:r>
              <w:rPr>
                <w:rFonts w:ascii="Times New Roman" w:cs="Times New Roman" w:eastAsia="Times New Roman" w:hAnsi="Times New Roman"/>
                <w:sz w:val="16"/>
                <w:szCs w:val="16"/>
                <w:color w:val="1C2790"/>
                <w:w w:val="98"/>
              </w:rPr>
              <w:t>the Company, as filed with the Secretary of State of the State of Delaware</w:t>
            </w:r>
          </w:p>
        </w:tc>
        <w:tc>
          <w:tcPr>
            <w:tcW w:w="20" w:type="dxa"/>
            <w:vAlign w:val="bottom"/>
            <w:tcBorders>
              <w:bottom w:val="single" w:sz="8" w:color="19228E"/>
            </w:tcBorders>
          </w:tcPr>
          <w:p>
            <w:pPr>
              <w:spacing w:after="0"/>
              <w:rPr>
                <w:sz w:val="14"/>
                <w:szCs w:val="14"/>
                <w:color w:val="auto"/>
              </w:rPr>
            </w:pPr>
          </w:p>
        </w:tc>
        <w:tc>
          <w:tcPr>
            <w:tcW w:w="20" w:type="dxa"/>
            <w:vAlign w:val="bottom"/>
            <w:tcBorders>
              <w:bottom w:val="single" w:sz="8" w:color="19228E"/>
            </w:tcBorders>
          </w:tcPr>
          <w:p>
            <w:pPr>
              <w:spacing w:after="0"/>
              <w:rPr>
                <w:sz w:val="14"/>
                <w:szCs w:val="14"/>
                <w:color w:val="auto"/>
              </w:rPr>
            </w:pPr>
          </w:p>
        </w:tc>
        <w:tc>
          <w:tcPr>
            <w:tcW w:w="20" w:type="dxa"/>
            <w:vAlign w:val="bottom"/>
            <w:tcBorders>
              <w:bottom w:val="single" w:sz="8" w:color="19228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1100" w:type="dxa"/>
            <w:vAlign w:val="bottom"/>
            <w:tcBorders>
              <w:bottom w:val="single" w:sz="8" w:color="19228E"/>
            </w:tcBorders>
            <w:gridSpan w:val="3"/>
          </w:tcPr>
          <w:p>
            <w:pPr>
              <w:spacing w:after="0" w:line="162" w:lineRule="exact"/>
              <w:rPr>
                <w:sz w:val="20"/>
                <w:szCs w:val="20"/>
                <w:color w:val="auto"/>
              </w:rPr>
            </w:pPr>
            <w:r>
              <w:rPr>
                <w:rFonts w:ascii="Times New Roman" w:cs="Times New Roman" w:eastAsia="Times New Roman" w:hAnsi="Times New Roman"/>
                <w:sz w:val="16"/>
                <w:szCs w:val="16"/>
                <w:color w:val="1C2790"/>
                <w:w w:val="98"/>
              </w:rPr>
              <w:t>on June 24, 2021</w:t>
            </w:r>
          </w:p>
        </w:tc>
        <w:tc>
          <w:tcPr>
            <w:tcW w:w="3640" w:type="dxa"/>
            <w:vAlign w:val="bottom"/>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Certificate of Amendment to the Restated Certificate of Incorporation of</w:t>
            </w:r>
          </w:p>
        </w:tc>
        <w:tc>
          <w:tcPr>
            <w:tcW w:w="0" w:type="dxa"/>
            <w:vAlign w:val="bottom"/>
          </w:tcPr>
          <w:p>
            <w:pPr>
              <w:spacing w:after="0"/>
              <w:rPr>
                <w:sz w:val="1"/>
                <w:szCs w:val="1"/>
                <w:color w:val="auto"/>
              </w:rPr>
            </w:pPr>
          </w:p>
        </w:tc>
      </w:tr>
      <w:tr>
        <w:trPr>
          <w:trHeight w:val="165"/>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3.3</w:t>
            </w:r>
          </w:p>
        </w:tc>
        <w:tc>
          <w:tcPr>
            <w:tcW w:w="4680" w:type="dxa"/>
            <w:vAlign w:val="bottom"/>
            <w:tcBorders>
              <w:top w:val="single" w:sz="8" w:color="19228E"/>
            </w:tcBorders>
            <w:gridSpan w:val="25"/>
          </w:tcPr>
          <w:p>
            <w:pPr>
              <w:spacing w:after="0" w:line="165" w:lineRule="exact"/>
              <w:rPr>
                <w:sz w:val="20"/>
                <w:szCs w:val="20"/>
                <w:color w:val="auto"/>
              </w:rPr>
            </w:pPr>
            <w:r>
              <w:rPr>
                <w:rFonts w:ascii="Times New Roman" w:cs="Times New Roman" w:eastAsia="Times New Roman" w:hAnsi="Times New Roman"/>
                <w:sz w:val="16"/>
                <w:szCs w:val="16"/>
                <w:color w:val="1C2790"/>
                <w:w w:val="98"/>
              </w:rPr>
              <w:t>the Company, as filed with the Secretary of State of the State of Delaware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1100" w:type="dxa"/>
            <w:vAlign w:val="bottom"/>
            <w:tcBorders>
              <w:top w:val="single" w:sz="8" w:color="19228E"/>
              <w:bottom w:val="single" w:sz="8" w:color="19228E"/>
            </w:tcBorders>
            <w:gridSpan w:val="3"/>
          </w:tcPr>
          <w:p>
            <w:pPr>
              <w:spacing w:after="0" w:line="162" w:lineRule="exact"/>
              <w:rPr>
                <w:sz w:val="20"/>
                <w:szCs w:val="20"/>
                <w:color w:val="auto"/>
              </w:rPr>
            </w:pPr>
            <w:r>
              <w:rPr>
                <w:rFonts w:ascii="Times New Roman" w:cs="Times New Roman" w:eastAsia="Times New Roman" w:hAnsi="Times New Roman"/>
                <w:sz w:val="16"/>
                <w:szCs w:val="16"/>
                <w:color w:val="1C2790"/>
                <w:w w:val="98"/>
              </w:rPr>
              <w:t>on June 25, 2021</w:t>
            </w:r>
          </w:p>
        </w:tc>
        <w:tc>
          <w:tcPr>
            <w:tcW w:w="3640" w:type="dxa"/>
            <w:vAlign w:val="bottom"/>
            <w:tcBorders>
              <w:top w:val="single" w:sz="8" w:color="19228E"/>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620" w:type="dxa"/>
            <w:vAlign w:val="bottom"/>
          </w:tcPr>
          <w:p>
            <w:pPr>
              <w:spacing w:after="0"/>
              <w:rPr>
                <w:sz w:val="23"/>
                <w:szCs w:val="23"/>
                <w:color w:val="auto"/>
              </w:rPr>
            </w:pPr>
          </w:p>
        </w:tc>
        <w:tc>
          <w:tcPr>
            <w:tcW w:w="4780" w:type="dxa"/>
            <w:vAlign w:val="bottom"/>
            <w:tcBorders>
              <w:bottom w:val="single" w:sz="8" w:color="19228E"/>
            </w:tcBorders>
            <w:gridSpan w:val="30"/>
          </w:tcPr>
          <w:p>
            <w:pPr>
              <w:spacing w:after="0"/>
              <w:rPr>
                <w:sz w:val="20"/>
                <w:szCs w:val="20"/>
                <w:color w:val="auto"/>
              </w:rPr>
            </w:pPr>
            <w:r>
              <w:rPr>
                <w:rFonts w:ascii="Times New Roman" w:cs="Times New Roman" w:eastAsia="Times New Roman" w:hAnsi="Times New Roman"/>
                <w:sz w:val="16"/>
                <w:szCs w:val="16"/>
                <w:color w:val="1C2790"/>
              </w:rPr>
              <w:t>Certificate of Designation of Series A Junior Participating Preferred Stock</w:t>
            </w:r>
          </w:p>
        </w:tc>
        <w:tc>
          <w:tcPr>
            <w:tcW w:w="0" w:type="dxa"/>
            <w:vAlign w:val="bottom"/>
          </w:tcPr>
          <w:p>
            <w:pPr>
              <w:spacing w:after="0"/>
              <w:rPr>
                <w:sz w:val="1"/>
                <w:szCs w:val="1"/>
                <w:color w:val="auto"/>
              </w:rPr>
            </w:pPr>
          </w:p>
        </w:tc>
      </w:tr>
      <w:tr>
        <w:trPr>
          <w:trHeight w:val="165"/>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3.4</w:t>
            </w:r>
          </w:p>
        </w:tc>
        <w:tc>
          <w:tcPr>
            <w:tcW w:w="4780" w:type="dxa"/>
            <w:vAlign w:val="bottom"/>
            <w:gridSpan w:val="30"/>
          </w:tcPr>
          <w:p>
            <w:pPr>
              <w:spacing w:after="0" w:line="165" w:lineRule="exact"/>
              <w:rPr>
                <w:sz w:val="20"/>
                <w:szCs w:val="20"/>
                <w:color w:val="auto"/>
              </w:rPr>
            </w:pPr>
            <w:r>
              <w:rPr>
                <w:rFonts w:ascii="Times New Roman" w:cs="Times New Roman" w:eastAsia="Times New Roman" w:hAnsi="Times New Roman"/>
                <w:sz w:val="16"/>
                <w:szCs w:val="16"/>
                <w:color w:val="1C2790"/>
              </w:rPr>
              <w:t>filed with the Secretary of State of the State of Delaware on October 10,</w:t>
            </w: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320" w:type="dxa"/>
            <w:vAlign w:val="bottom"/>
            <w:tcBorders>
              <w:top w:val="single" w:sz="8" w:color="19228E"/>
              <w:bottom w:val="single" w:sz="8" w:color="19228E"/>
            </w:tcBorders>
          </w:tcPr>
          <w:p>
            <w:pPr>
              <w:spacing w:after="0" w:line="162" w:lineRule="exact"/>
              <w:rPr>
                <w:sz w:val="20"/>
                <w:szCs w:val="20"/>
                <w:color w:val="auto"/>
              </w:rPr>
            </w:pPr>
            <w:r>
              <w:rPr>
                <w:rFonts w:ascii="Times New Roman" w:cs="Times New Roman" w:eastAsia="Times New Roman" w:hAnsi="Times New Roman"/>
                <w:sz w:val="16"/>
                <w:szCs w:val="16"/>
                <w:color w:val="1C2790"/>
                <w:w w:val="93"/>
              </w:rPr>
              <w:t>2023</w:t>
            </w:r>
          </w:p>
        </w:tc>
        <w:tc>
          <w:tcPr>
            <w:tcW w:w="60" w:type="dxa"/>
            <w:vAlign w:val="bottom"/>
            <w:tcBorders>
              <w:top w:val="single" w:sz="8" w:color="19228E"/>
            </w:tcBorders>
          </w:tcPr>
          <w:p>
            <w:pPr>
              <w:spacing w:after="0"/>
              <w:rPr>
                <w:sz w:val="14"/>
                <w:szCs w:val="14"/>
                <w:color w:val="auto"/>
              </w:rPr>
            </w:pPr>
          </w:p>
        </w:tc>
        <w:tc>
          <w:tcPr>
            <w:tcW w:w="720" w:type="dxa"/>
            <w:vAlign w:val="bottom"/>
            <w:tcBorders>
              <w:top w:val="single" w:sz="8" w:color="19228E"/>
            </w:tcBorders>
          </w:tcPr>
          <w:p>
            <w:pPr>
              <w:spacing w:after="0"/>
              <w:rPr>
                <w:sz w:val="14"/>
                <w:szCs w:val="14"/>
                <w:color w:val="auto"/>
              </w:rPr>
            </w:pPr>
          </w:p>
        </w:tc>
        <w:tc>
          <w:tcPr>
            <w:tcW w:w="80" w:type="dxa"/>
            <w:vAlign w:val="bottom"/>
            <w:tcBorders>
              <w:top w:val="single" w:sz="8" w:color="19228E"/>
            </w:tcBorders>
          </w:tcPr>
          <w:p>
            <w:pPr>
              <w:spacing w:after="0"/>
              <w:rPr>
                <w:sz w:val="14"/>
                <w:szCs w:val="14"/>
                <w:color w:val="auto"/>
              </w:rPr>
            </w:pPr>
          </w:p>
        </w:tc>
        <w:tc>
          <w:tcPr>
            <w:tcW w:w="560" w:type="dxa"/>
            <w:vAlign w:val="bottom"/>
            <w:tcBorders>
              <w:top w:val="single" w:sz="8" w:color="19228E"/>
            </w:tcBorders>
          </w:tcPr>
          <w:p>
            <w:pPr>
              <w:spacing w:after="0"/>
              <w:rPr>
                <w:sz w:val="14"/>
                <w:szCs w:val="14"/>
                <w:color w:val="auto"/>
              </w:rPr>
            </w:pPr>
          </w:p>
        </w:tc>
        <w:tc>
          <w:tcPr>
            <w:tcW w:w="160" w:type="dxa"/>
            <w:vAlign w:val="bottom"/>
            <w:tcBorders>
              <w:top w:val="single" w:sz="8" w:color="19228E"/>
            </w:tcBorders>
          </w:tcPr>
          <w:p>
            <w:pPr>
              <w:spacing w:after="0"/>
              <w:rPr>
                <w:sz w:val="14"/>
                <w:szCs w:val="14"/>
                <w:color w:val="auto"/>
              </w:rPr>
            </w:pPr>
          </w:p>
        </w:tc>
        <w:tc>
          <w:tcPr>
            <w:tcW w:w="200" w:type="dxa"/>
            <w:vAlign w:val="bottom"/>
            <w:tcBorders>
              <w:top w:val="single" w:sz="8" w:color="19228E"/>
            </w:tcBorders>
          </w:tcPr>
          <w:p>
            <w:pPr>
              <w:spacing w:after="0"/>
              <w:rPr>
                <w:sz w:val="14"/>
                <w:szCs w:val="14"/>
                <w:color w:val="auto"/>
              </w:rPr>
            </w:pPr>
          </w:p>
        </w:tc>
        <w:tc>
          <w:tcPr>
            <w:tcW w:w="1000" w:type="dxa"/>
            <w:vAlign w:val="bottom"/>
            <w:tcBorders>
              <w:top w:val="single" w:sz="8" w:color="19228E"/>
            </w:tcBorders>
          </w:tcPr>
          <w:p>
            <w:pPr>
              <w:spacing w:after="0"/>
              <w:rPr>
                <w:sz w:val="14"/>
                <w:szCs w:val="14"/>
                <w:color w:val="auto"/>
              </w:rPr>
            </w:pPr>
          </w:p>
        </w:tc>
        <w:tc>
          <w:tcPr>
            <w:tcW w:w="460" w:type="dxa"/>
            <w:vAlign w:val="bottom"/>
            <w:tcBorders>
              <w:top w:val="single" w:sz="8" w:color="19228E"/>
            </w:tcBorders>
          </w:tcPr>
          <w:p>
            <w:pPr>
              <w:spacing w:after="0"/>
              <w:rPr>
                <w:sz w:val="14"/>
                <w:szCs w:val="14"/>
                <w:color w:val="auto"/>
              </w:rPr>
            </w:pPr>
          </w:p>
        </w:tc>
        <w:tc>
          <w:tcPr>
            <w:tcW w:w="120" w:type="dxa"/>
            <w:vAlign w:val="bottom"/>
            <w:tcBorders>
              <w:top w:val="single" w:sz="8" w:color="19228E"/>
            </w:tcBorders>
          </w:tcPr>
          <w:p>
            <w:pPr>
              <w:spacing w:after="0"/>
              <w:rPr>
                <w:sz w:val="14"/>
                <w:szCs w:val="14"/>
                <w:color w:val="auto"/>
              </w:rPr>
            </w:pPr>
          </w:p>
        </w:tc>
        <w:tc>
          <w:tcPr>
            <w:tcW w:w="220" w:type="dxa"/>
            <w:vAlign w:val="bottom"/>
            <w:tcBorders>
              <w:top w:val="single" w:sz="8" w:color="19228E"/>
            </w:tcBorders>
          </w:tcPr>
          <w:p>
            <w:pPr>
              <w:spacing w:after="0"/>
              <w:rPr>
                <w:sz w:val="14"/>
                <w:szCs w:val="14"/>
                <w:color w:val="auto"/>
              </w:rPr>
            </w:pPr>
          </w:p>
        </w:tc>
        <w:tc>
          <w:tcPr>
            <w:tcW w:w="160" w:type="dxa"/>
            <w:vAlign w:val="bottom"/>
            <w:tcBorders>
              <w:top w:val="single" w:sz="8" w:color="19228E"/>
            </w:tcBorders>
          </w:tcPr>
          <w:p>
            <w:pPr>
              <w:spacing w:after="0"/>
              <w:rPr>
                <w:sz w:val="14"/>
                <w:szCs w:val="14"/>
                <w:color w:val="auto"/>
              </w:rPr>
            </w:pPr>
          </w:p>
        </w:tc>
        <w:tc>
          <w:tcPr>
            <w:tcW w:w="140" w:type="dxa"/>
            <w:vAlign w:val="bottom"/>
            <w:tcBorders>
              <w:top w:val="single" w:sz="8" w:color="19228E"/>
            </w:tcBorders>
          </w:tcPr>
          <w:p>
            <w:pPr>
              <w:spacing w:after="0"/>
              <w:rPr>
                <w:sz w:val="14"/>
                <w:szCs w:val="14"/>
                <w:color w:val="auto"/>
              </w:rPr>
            </w:pPr>
          </w:p>
        </w:tc>
        <w:tc>
          <w:tcPr>
            <w:tcW w:w="80" w:type="dxa"/>
            <w:vAlign w:val="bottom"/>
            <w:tcBorders>
              <w:top w:val="single" w:sz="8" w:color="19228E"/>
            </w:tcBorders>
          </w:tcPr>
          <w:p>
            <w:pPr>
              <w:spacing w:after="0"/>
              <w:rPr>
                <w:sz w:val="14"/>
                <w:szCs w:val="14"/>
                <w:color w:val="auto"/>
              </w:rPr>
            </w:pPr>
          </w:p>
        </w:tc>
        <w:tc>
          <w:tcPr>
            <w:tcW w:w="20" w:type="dxa"/>
            <w:vAlign w:val="bottom"/>
            <w:tcBorders>
              <w:top w:val="single" w:sz="8" w:color="19228E"/>
            </w:tcBorders>
          </w:tcPr>
          <w:p>
            <w:pPr>
              <w:spacing w:after="0"/>
              <w:rPr>
                <w:sz w:val="14"/>
                <w:szCs w:val="14"/>
                <w:color w:val="auto"/>
              </w:rPr>
            </w:pPr>
          </w:p>
        </w:tc>
        <w:tc>
          <w:tcPr>
            <w:tcW w:w="40" w:type="dxa"/>
            <w:vAlign w:val="bottom"/>
            <w:tcBorders>
              <w:top w:val="single" w:sz="8" w:color="19228E"/>
            </w:tcBorders>
          </w:tcPr>
          <w:p>
            <w:pPr>
              <w:spacing w:after="0"/>
              <w:rPr>
                <w:sz w:val="14"/>
                <w:szCs w:val="14"/>
                <w:color w:val="auto"/>
              </w:rPr>
            </w:pPr>
          </w:p>
        </w:tc>
        <w:tc>
          <w:tcPr>
            <w:tcW w:w="20" w:type="dxa"/>
            <w:vAlign w:val="bottom"/>
            <w:tcBorders>
              <w:top w:val="single" w:sz="8" w:color="19228E"/>
            </w:tcBorders>
          </w:tcPr>
          <w:p>
            <w:pPr>
              <w:spacing w:after="0"/>
              <w:rPr>
                <w:sz w:val="14"/>
                <w:szCs w:val="14"/>
                <w:color w:val="auto"/>
              </w:rPr>
            </w:pPr>
          </w:p>
        </w:tc>
        <w:tc>
          <w:tcPr>
            <w:tcW w:w="40" w:type="dxa"/>
            <w:vAlign w:val="bottom"/>
            <w:tcBorders>
              <w:top w:val="single" w:sz="8" w:color="19228E"/>
            </w:tcBorders>
          </w:tcPr>
          <w:p>
            <w:pPr>
              <w:spacing w:after="0"/>
              <w:rPr>
                <w:sz w:val="14"/>
                <w:szCs w:val="14"/>
                <w:color w:val="auto"/>
              </w:rPr>
            </w:pPr>
          </w:p>
        </w:tc>
        <w:tc>
          <w:tcPr>
            <w:tcW w:w="80" w:type="dxa"/>
            <w:vAlign w:val="bottom"/>
            <w:tcBorders>
              <w:top w:val="single" w:sz="8" w:color="19228E"/>
            </w:tcBorders>
          </w:tcPr>
          <w:p>
            <w:pPr>
              <w:spacing w:after="0"/>
              <w:rPr>
                <w:sz w:val="14"/>
                <w:szCs w:val="14"/>
                <w:color w:val="auto"/>
              </w:rPr>
            </w:pPr>
          </w:p>
        </w:tc>
        <w:tc>
          <w:tcPr>
            <w:tcW w:w="20" w:type="dxa"/>
            <w:vAlign w:val="bottom"/>
            <w:tcBorders>
              <w:top w:val="single" w:sz="8" w:color="19228E"/>
            </w:tcBorders>
          </w:tcPr>
          <w:p>
            <w:pPr>
              <w:spacing w:after="0"/>
              <w:rPr>
                <w:sz w:val="14"/>
                <w:szCs w:val="14"/>
                <w:color w:val="auto"/>
              </w:rPr>
            </w:pPr>
          </w:p>
        </w:tc>
        <w:tc>
          <w:tcPr>
            <w:tcW w:w="20" w:type="dxa"/>
            <w:vAlign w:val="bottom"/>
            <w:tcBorders>
              <w:top w:val="single" w:sz="8" w:color="19228E"/>
            </w:tcBorders>
          </w:tcPr>
          <w:p>
            <w:pPr>
              <w:spacing w:after="0"/>
              <w:rPr>
                <w:sz w:val="14"/>
                <w:szCs w:val="14"/>
                <w:color w:val="auto"/>
              </w:rPr>
            </w:pPr>
          </w:p>
        </w:tc>
        <w:tc>
          <w:tcPr>
            <w:tcW w:w="100" w:type="dxa"/>
            <w:vAlign w:val="bottom"/>
            <w:tcBorders>
              <w:top w:val="single" w:sz="8" w:color="19228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Certificate of Amendment to the Restated Certificate of Incorporation of</w:t>
            </w:r>
          </w:p>
        </w:tc>
        <w:tc>
          <w:tcPr>
            <w:tcW w:w="0" w:type="dxa"/>
            <w:vAlign w:val="bottom"/>
          </w:tcPr>
          <w:p>
            <w:pPr>
              <w:spacing w:after="0"/>
              <w:rPr>
                <w:sz w:val="1"/>
                <w:szCs w:val="1"/>
                <w:color w:val="auto"/>
              </w:rPr>
            </w:pPr>
          </w:p>
        </w:tc>
      </w:tr>
      <w:tr>
        <w:trPr>
          <w:trHeight w:val="165"/>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3.5</w:t>
            </w:r>
          </w:p>
        </w:tc>
        <w:tc>
          <w:tcPr>
            <w:tcW w:w="4680" w:type="dxa"/>
            <w:vAlign w:val="bottom"/>
            <w:tcBorders>
              <w:top w:val="single" w:sz="8" w:color="19228E"/>
            </w:tcBorders>
            <w:gridSpan w:val="25"/>
          </w:tcPr>
          <w:p>
            <w:pPr>
              <w:spacing w:after="0" w:line="165" w:lineRule="exact"/>
              <w:rPr>
                <w:sz w:val="20"/>
                <w:szCs w:val="20"/>
                <w:color w:val="auto"/>
              </w:rPr>
            </w:pPr>
            <w:r>
              <w:rPr>
                <w:rFonts w:ascii="Times New Roman" w:cs="Times New Roman" w:eastAsia="Times New Roman" w:hAnsi="Times New Roman"/>
                <w:sz w:val="16"/>
                <w:szCs w:val="16"/>
                <w:color w:val="1C2790"/>
                <w:w w:val="98"/>
              </w:rPr>
              <w:t>the Company, as filed with the Secretary of State of the State of Delaware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20" w:type="dxa"/>
            <w:vAlign w:val="bottom"/>
            <w:vMerge w:val="continue"/>
          </w:tcPr>
          <w:p>
            <w:pPr>
              <w:spacing w:after="0"/>
              <w:rPr>
                <w:sz w:val="14"/>
                <w:szCs w:val="14"/>
                <w:color w:val="auto"/>
              </w:rPr>
            </w:pPr>
          </w:p>
        </w:tc>
        <w:tc>
          <w:tcPr>
            <w:tcW w:w="1100" w:type="dxa"/>
            <w:vAlign w:val="bottom"/>
            <w:tcBorders>
              <w:top w:val="single" w:sz="8" w:color="19228E"/>
              <w:bottom w:val="single" w:sz="8" w:color="19228E"/>
            </w:tcBorders>
            <w:gridSpan w:val="3"/>
          </w:tcPr>
          <w:p>
            <w:pPr>
              <w:spacing w:after="0" w:line="165" w:lineRule="exact"/>
              <w:rPr>
                <w:sz w:val="20"/>
                <w:szCs w:val="20"/>
                <w:color w:val="auto"/>
              </w:rPr>
            </w:pPr>
            <w:r>
              <w:rPr>
                <w:rFonts w:ascii="Times New Roman" w:cs="Times New Roman" w:eastAsia="Times New Roman" w:hAnsi="Times New Roman"/>
                <w:sz w:val="16"/>
                <w:szCs w:val="16"/>
                <w:color w:val="1C2790"/>
                <w:w w:val="98"/>
              </w:rPr>
              <w:t>on April 4, 2025.</w:t>
            </w:r>
          </w:p>
        </w:tc>
        <w:tc>
          <w:tcPr>
            <w:tcW w:w="3640" w:type="dxa"/>
            <w:vAlign w:val="bottom"/>
            <w:tcBorders>
              <w:top w:val="single" w:sz="8" w:color="19228E"/>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62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w w:val="99"/>
              </w:rPr>
              <w:t>3.6</w:t>
            </w: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Amended and Restated Bylaws of the Registrant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gridSpan w:val="2"/>
            <w:shd w:val="clear" w:color="auto" w:fill="19228E"/>
          </w:tcPr>
          <w:p>
            <w:pPr>
              <w:spacing w:after="0" w:line="20" w:lineRule="exact"/>
              <w:rPr>
                <w:sz w:val="1"/>
                <w:szCs w:val="1"/>
                <w:color w:val="auto"/>
              </w:rPr>
            </w:pPr>
          </w:p>
        </w:tc>
        <w:tc>
          <w:tcPr>
            <w:tcW w:w="1360" w:type="dxa"/>
            <w:vAlign w:val="bottom"/>
            <w:gridSpan w:val="3"/>
            <w:shd w:val="clear" w:color="auto" w:fill="19228E"/>
          </w:tcPr>
          <w:p>
            <w:pPr>
              <w:spacing w:after="0" w:line="20" w:lineRule="exact"/>
              <w:rPr>
                <w:sz w:val="1"/>
                <w:szCs w:val="1"/>
                <w:color w:val="auto"/>
              </w:rPr>
            </w:pPr>
          </w:p>
        </w:tc>
        <w:tc>
          <w:tcPr>
            <w:tcW w:w="160" w:type="dxa"/>
            <w:vAlign w:val="bottom"/>
            <w:shd w:val="clear" w:color="auto" w:fill="19228E"/>
          </w:tcPr>
          <w:p>
            <w:pPr>
              <w:spacing w:after="0" w:line="20" w:lineRule="exact"/>
              <w:rPr>
                <w:sz w:val="1"/>
                <w:szCs w:val="1"/>
                <w:color w:val="auto"/>
              </w:rPr>
            </w:pPr>
          </w:p>
        </w:tc>
        <w:tc>
          <w:tcPr>
            <w:tcW w:w="200" w:type="dxa"/>
            <w:vAlign w:val="bottom"/>
            <w:shd w:val="clear" w:color="auto" w:fill="19228E"/>
          </w:tcPr>
          <w:p>
            <w:pPr>
              <w:spacing w:after="0" w:line="20" w:lineRule="exact"/>
              <w:rPr>
                <w:sz w:val="1"/>
                <w:szCs w:val="1"/>
                <w:color w:val="auto"/>
              </w:rPr>
            </w:pPr>
          </w:p>
        </w:tc>
        <w:tc>
          <w:tcPr>
            <w:tcW w:w="1000" w:type="dxa"/>
            <w:vAlign w:val="bottom"/>
            <w:shd w:val="clear" w:color="auto" w:fill="19228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4.1</w:t>
            </w: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Description of Securities Registered Pursuant to Section 12 of the</w:t>
            </w: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4200" w:type="dxa"/>
            <w:vAlign w:val="bottom"/>
            <w:tcBorders>
              <w:top w:val="single" w:sz="8" w:color="19228E"/>
            </w:tcBorders>
            <w:gridSpan w:val="13"/>
          </w:tcPr>
          <w:p>
            <w:pPr>
              <w:spacing w:after="0" w:line="162" w:lineRule="exact"/>
              <w:rPr>
                <w:sz w:val="20"/>
                <w:szCs w:val="20"/>
                <w:color w:val="auto"/>
              </w:rPr>
            </w:pPr>
            <w:r>
              <w:rPr>
                <w:rFonts w:ascii="Times New Roman" w:cs="Times New Roman" w:eastAsia="Times New Roman" w:hAnsi="Times New Roman"/>
                <w:sz w:val="16"/>
                <w:szCs w:val="16"/>
                <w:color w:val="1C2790"/>
              </w:rPr>
              <w:t>Securities Exchange Act of 1934</w:t>
            </w: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gridSpan w:val="2"/>
            <w:shd w:val="clear" w:color="auto" w:fill="19228E"/>
          </w:tcPr>
          <w:p>
            <w:pPr>
              <w:spacing w:after="0" w:line="20" w:lineRule="exact"/>
              <w:rPr>
                <w:sz w:val="1"/>
                <w:szCs w:val="1"/>
                <w:color w:val="auto"/>
              </w:rPr>
            </w:pPr>
          </w:p>
        </w:tc>
        <w:tc>
          <w:tcPr>
            <w:tcW w:w="1360" w:type="dxa"/>
            <w:vAlign w:val="bottom"/>
            <w:gridSpan w:val="3"/>
            <w:shd w:val="clear" w:color="auto" w:fill="19228E"/>
          </w:tcPr>
          <w:p>
            <w:pPr>
              <w:spacing w:after="0" w:line="20" w:lineRule="exact"/>
              <w:rPr>
                <w:sz w:val="1"/>
                <w:szCs w:val="1"/>
                <w:color w:val="auto"/>
              </w:rPr>
            </w:pPr>
          </w:p>
        </w:tc>
        <w:tc>
          <w:tcPr>
            <w:tcW w:w="160" w:type="dxa"/>
            <w:vAlign w:val="bottom"/>
            <w:shd w:val="clear" w:color="auto" w:fill="19228E"/>
          </w:tcPr>
          <w:p>
            <w:pPr>
              <w:spacing w:after="0" w:line="20" w:lineRule="exact"/>
              <w:rPr>
                <w:sz w:val="1"/>
                <w:szCs w:val="1"/>
                <w:color w:val="auto"/>
              </w:rPr>
            </w:pPr>
          </w:p>
        </w:tc>
        <w:tc>
          <w:tcPr>
            <w:tcW w:w="200" w:type="dxa"/>
            <w:vAlign w:val="bottom"/>
            <w:shd w:val="clear" w:color="auto" w:fill="19228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0" w:type="dxa"/>
            <w:vAlign w:val="bottom"/>
          </w:tcPr>
          <w:p>
            <w:pPr>
              <w:jc w:val="center"/>
              <w:ind w:right="180"/>
              <w:spacing w:after="0"/>
              <w:rPr>
                <w:sz w:val="20"/>
                <w:szCs w:val="20"/>
                <w:color w:val="auto"/>
              </w:rPr>
            </w:pPr>
            <w:r>
              <w:rPr>
                <w:rFonts w:ascii="Times New Roman" w:cs="Times New Roman" w:eastAsia="Times New Roman" w:hAnsi="Times New Roman"/>
                <w:sz w:val="16"/>
                <w:szCs w:val="16"/>
                <w:color w:val="auto"/>
                <w:w w:val="99"/>
              </w:rPr>
              <w:t>4.2</w:t>
            </w:r>
          </w:p>
        </w:tc>
        <w:tc>
          <w:tcPr>
            <w:tcW w:w="4060" w:type="dxa"/>
            <w:vAlign w:val="bottom"/>
            <w:tcBorders>
              <w:bottom w:val="single" w:sz="8" w:color="19228E"/>
            </w:tcBorders>
            <w:gridSpan w:val="12"/>
          </w:tcPr>
          <w:p>
            <w:pPr>
              <w:spacing w:after="0"/>
              <w:rPr>
                <w:sz w:val="20"/>
                <w:szCs w:val="20"/>
                <w:color w:val="auto"/>
              </w:rPr>
            </w:pPr>
            <w:r>
              <w:rPr>
                <w:rFonts w:ascii="Times New Roman" w:cs="Times New Roman" w:eastAsia="Times New Roman" w:hAnsi="Times New Roman"/>
                <w:sz w:val="16"/>
                <w:szCs w:val="16"/>
                <w:color w:val="1C2790"/>
                <w:w w:val="99"/>
              </w:rPr>
              <w:t>Form of Tempest Therapeutics, Inc. Warrant to Purchase Stock</w:t>
            </w:r>
          </w:p>
        </w:tc>
        <w:tc>
          <w:tcPr>
            <w:tcW w:w="7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Rights Agreement, dated as of October 10, 2023, between Tempest</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4300" w:type="dxa"/>
            <w:vAlign w:val="bottom"/>
            <w:tcBorders>
              <w:top w:val="single" w:sz="8" w:color="19228E"/>
              <w:bottom w:val="single" w:sz="8" w:color="19228E"/>
            </w:tcBorders>
            <w:gridSpan w:val="15"/>
          </w:tcPr>
          <w:p>
            <w:pPr>
              <w:spacing w:after="0" w:line="165" w:lineRule="exact"/>
              <w:rPr>
                <w:sz w:val="20"/>
                <w:szCs w:val="20"/>
                <w:color w:val="auto"/>
              </w:rPr>
            </w:pPr>
            <w:r>
              <w:rPr>
                <w:rFonts w:ascii="Times New Roman" w:cs="Times New Roman" w:eastAsia="Times New Roman" w:hAnsi="Times New Roman"/>
                <w:sz w:val="16"/>
                <w:szCs w:val="16"/>
                <w:color w:val="1C2790"/>
                <w:w w:val="98"/>
              </w:rPr>
              <w:t>Therapeutics, Inc. and Computershare Trust Company, N.A., which</w:t>
            </w:r>
          </w:p>
        </w:tc>
        <w:tc>
          <w:tcPr>
            <w:tcW w:w="40" w:type="dxa"/>
            <w:vAlign w:val="bottom"/>
            <w:tcBorders>
              <w:bottom w:val="single" w:sz="8" w:color="19228E"/>
            </w:tcBorders>
          </w:tcPr>
          <w:p>
            <w:pPr>
              <w:spacing w:after="0"/>
              <w:rPr>
                <w:sz w:val="14"/>
                <w:szCs w:val="14"/>
                <w:color w:val="auto"/>
              </w:rPr>
            </w:pPr>
          </w:p>
        </w:tc>
        <w:tc>
          <w:tcPr>
            <w:tcW w:w="20" w:type="dxa"/>
            <w:vAlign w:val="bottom"/>
            <w:tcBorders>
              <w:bottom w:val="single" w:sz="8" w:color="19228E"/>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780" w:type="dxa"/>
            <w:vAlign w:val="bottom"/>
            <w:gridSpan w:val="30"/>
          </w:tcPr>
          <w:p>
            <w:pPr>
              <w:spacing w:after="0" w:line="162" w:lineRule="exact"/>
              <w:rPr>
                <w:sz w:val="20"/>
                <w:szCs w:val="20"/>
                <w:color w:val="auto"/>
              </w:rPr>
            </w:pPr>
            <w:r>
              <w:rPr>
                <w:rFonts w:ascii="Times New Roman" w:cs="Times New Roman" w:eastAsia="Times New Roman" w:hAnsi="Times New Roman"/>
                <w:sz w:val="16"/>
                <w:szCs w:val="16"/>
                <w:color w:val="1C2790"/>
              </w:rPr>
              <w:t>includes the form of Certificate of Designation as Exhibit A, the form of</w:t>
            </w:r>
          </w:p>
        </w:tc>
        <w:tc>
          <w:tcPr>
            <w:tcW w:w="0" w:type="dxa"/>
            <w:vAlign w:val="bottom"/>
          </w:tcPr>
          <w:p>
            <w:pPr>
              <w:spacing w:after="0"/>
              <w:rPr>
                <w:sz w:val="1"/>
                <w:szCs w:val="1"/>
                <w:color w:val="auto"/>
              </w:rPr>
            </w:pPr>
          </w:p>
        </w:tc>
      </w:tr>
      <w:tr>
        <w:trPr>
          <w:trHeight w:val="165"/>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4.3</w:t>
            </w:r>
          </w:p>
        </w:tc>
        <w:tc>
          <w:tcPr>
            <w:tcW w:w="4660" w:type="dxa"/>
            <w:vAlign w:val="bottom"/>
            <w:tcBorders>
              <w:top w:val="single" w:sz="8" w:color="19228E"/>
            </w:tcBorders>
            <w:gridSpan w:val="24"/>
          </w:tcPr>
          <w:p>
            <w:pPr>
              <w:spacing w:after="0" w:line="165" w:lineRule="exact"/>
              <w:rPr>
                <w:sz w:val="20"/>
                <w:szCs w:val="20"/>
                <w:color w:val="auto"/>
              </w:rPr>
            </w:pPr>
            <w:r>
              <w:rPr>
                <w:rFonts w:ascii="Times New Roman" w:cs="Times New Roman" w:eastAsia="Times New Roman" w:hAnsi="Times New Roman"/>
                <w:sz w:val="16"/>
                <w:szCs w:val="16"/>
                <w:color w:val="1C2790"/>
              </w:rPr>
              <w:t>Right Certificate as Exhibit B and the Summary of Rights to Purchase</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1900" w:type="dxa"/>
            <w:vAlign w:val="bottom"/>
            <w:tcBorders>
              <w:top w:val="single" w:sz="8" w:color="19228E"/>
              <w:bottom w:val="single" w:sz="8" w:color="19228E"/>
            </w:tcBorders>
            <w:gridSpan w:val="6"/>
          </w:tcPr>
          <w:p>
            <w:pPr>
              <w:spacing w:after="0" w:line="162" w:lineRule="exact"/>
              <w:rPr>
                <w:sz w:val="20"/>
                <w:szCs w:val="20"/>
                <w:color w:val="auto"/>
              </w:rPr>
            </w:pPr>
            <w:r>
              <w:rPr>
                <w:rFonts w:ascii="Times New Roman" w:cs="Times New Roman" w:eastAsia="Times New Roman" w:hAnsi="Times New Roman"/>
                <w:sz w:val="16"/>
                <w:szCs w:val="16"/>
                <w:color w:val="1C2790"/>
                <w:w w:val="99"/>
              </w:rPr>
              <w:t>Preferred Shares as Exhibit C</w:t>
            </w:r>
          </w:p>
        </w:tc>
        <w:tc>
          <w:tcPr>
            <w:tcW w:w="2580" w:type="dxa"/>
            <w:vAlign w:val="bottom"/>
            <w:tcBorders>
              <w:top w:val="single" w:sz="8" w:color="19228E"/>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Amendment No. 1, dated as of October 9, 2024, to Rights Agreement,</w:t>
            </w:r>
          </w:p>
        </w:tc>
        <w:tc>
          <w:tcPr>
            <w:tcW w:w="0" w:type="dxa"/>
            <w:vAlign w:val="bottom"/>
          </w:tcPr>
          <w:p>
            <w:pPr>
              <w:spacing w:after="0"/>
              <w:rPr>
                <w:sz w:val="1"/>
                <w:szCs w:val="1"/>
                <w:color w:val="auto"/>
              </w:rPr>
            </w:pPr>
          </w:p>
        </w:tc>
      </w:tr>
      <w:tr>
        <w:trPr>
          <w:trHeight w:val="165"/>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4.4</w:t>
            </w:r>
          </w:p>
        </w:tc>
        <w:tc>
          <w:tcPr>
            <w:tcW w:w="4520" w:type="dxa"/>
            <w:vAlign w:val="bottom"/>
            <w:tcBorders>
              <w:top w:val="single" w:sz="8" w:color="19228E"/>
            </w:tcBorders>
            <w:gridSpan w:val="21"/>
          </w:tcPr>
          <w:p>
            <w:pPr>
              <w:spacing w:after="0" w:line="165" w:lineRule="exact"/>
              <w:rPr>
                <w:sz w:val="20"/>
                <w:szCs w:val="20"/>
                <w:color w:val="auto"/>
              </w:rPr>
            </w:pPr>
            <w:r>
              <w:rPr>
                <w:rFonts w:ascii="Times New Roman" w:cs="Times New Roman" w:eastAsia="Times New Roman" w:hAnsi="Times New Roman"/>
                <w:sz w:val="16"/>
                <w:szCs w:val="16"/>
                <w:color w:val="1C2790"/>
              </w:rPr>
              <w:t>dated as of October 10, 2023, by and between Tempest Therapeutics,</w:t>
            </w:r>
          </w:p>
        </w:tc>
        <w:tc>
          <w:tcPr>
            <w:tcW w:w="260" w:type="dxa"/>
            <w:vAlign w:val="bottom"/>
            <w:gridSpan w:val="9"/>
          </w:tcPr>
          <w:p>
            <w:pPr>
              <w:spacing w:after="0" w:line="165" w:lineRule="exact"/>
              <w:rPr>
                <w:sz w:val="20"/>
                <w:szCs w:val="20"/>
                <w:color w:val="auto"/>
              </w:rPr>
            </w:pPr>
            <w:r>
              <w:rPr>
                <w:rFonts w:ascii="Times New Roman" w:cs="Times New Roman" w:eastAsia="Times New Roman" w:hAnsi="Times New Roman"/>
                <w:sz w:val="16"/>
                <w:szCs w:val="16"/>
                <w:color w:val="1C2790"/>
                <w:w w:val="98"/>
              </w:rPr>
              <w:t>Inc.</w:t>
            </w: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4720" w:type="dxa"/>
            <w:vAlign w:val="bottom"/>
            <w:tcBorders>
              <w:top w:val="single" w:sz="8" w:color="19228E"/>
            </w:tcBorders>
            <w:gridSpan w:val="27"/>
          </w:tcPr>
          <w:p>
            <w:pPr>
              <w:spacing w:after="0" w:line="162" w:lineRule="exact"/>
              <w:rPr>
                <w:sz w:val="20"/>
                <w:szCs w:val="20"/>
                <w:color w:val="auto"/>
              </w:rPr>
            </w:pPr>
            <w:r>
              <w:rPr>
                <w:rFonts w:ascii="Times New Roman" w:cs="Times New Roman" w:eastAsia="Times New Roman" w:hAnsi="Times New Roman"/>
                <w:sz w:val="16"/>
                <w:szCs w:val="16"/>
                <w:color w:val="1C2790"/>
              </w:rPr>
              <w:t>and Computershare Trust Company, N.A., as rights agent</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gridSpan w:val="2"/>
            <w:shd w:val="clear" w:color="auto" w:fill="19228E"/>
          </w:tcPr>
          <w:p>
            <w:pPr>
              <w:spacing w:after="0" w:line="20" w:lineRule="exact"/>
              <w:rPr>
                <w:sz w:val="1"/>
                <w:szCs w:val="1"/>
                <w:color w:val="auto"/>
              </w:rPr>
            </w:pPr>
          </w:p>
        </w:tc>
        <w:tc>
          <w:tcPr>
            <w:tcW w:w="1360" w:type="dxa"/>
            <w:vAlign w:val="bottom"/>
            <w:gridSpan w:val="3"/>
            <w:shd w:val="clear" w:color="auto" w:fill="19228E"/>
          </w:tcPr>
          <w:p>
            <w:pPr>
              <w:spacing w:after="0" w:line="20" w:lineRule="exact"/>
              <w:rPr>
                <w:sz w:val="1"/>
                <w:szCs w:val="1"/>
                <w:color w:val="auto"/>
              </w:rPr>
            </w:pPr>
          </w:p>
        </w:tc>
        <w:tc>
          <w:tcPr>
            <w:tcW w:w="1820" w:type="dxa"/>
            <w:vAlign w:val="bottom"/>
            <w:gridSpan w:val="4"/>
            <w:shd w:val="clear" w:color="auto" w:fill="19228E"/>
          </w:tcPr>
          <w:p>
            <w:pPr>
              <w:spacing w:after="0" w:line="20" w:lineRule="exact"/>
              <w:rPr>
                <w:sz w:val="1"/>
                <w:szCs w:val="1"/>
                <w:color w:val="auto"/>
              </w:rPr>
            </w:pPr>
          </w:p>
        </w:tc>
        <w:tc>
          <w:tcPr>
            <w:tcW w:w="120" w:type="dxa"/>
            <w:vAlign w:val="bottom"/>
            <w:tcBorders>
              <w:right w:val="single" w:sz="8" w:color="19228E"/>
            </w:tcBorders>
            <w:shd w:val="clear" w:color="auto" w:fill="19228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Amendment No. 2, dated as of December 5, 2024, to Rights Agreement,</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360" w:type="dxa"/>
            <w:vAlign w:val="bottom"/>
            <w:tcBorders>
              <w:top w:val="single" w:sz="8" w:color="19228E"/>
              <w:bottom w:val="single" w:sz="8" w:color="19228E"/>
            </w:tcBorders>
            <w:gridSpan w:val="17"/>
          </w:tcPr>
          <w:p>
            <w:pPr>
              <w:spacing w:after="0" w:line="162" w:lineRule="exact"/>
              <w:rPr>
                <w:sz w:val="20"/>
                <w:szCs w:val="20"/>
                <w:color w:val="auto"/>
              </w:rPr>
            </w:pPr>
            <w:r>
              <w:rPr>
                <w:rFonts w:ascii="Times New Roman" w:cs="Times New Roman" w:eastAsia="Times New Roman" w:hAnsi="Times New Roman"/>
                <w:sz w:val="16"/>
                <w:szCs w:val="16"/>
                <w:color w:val="1C2790"/>
                <w:w w:val="99"/>
              </w:rPr>
              <w:t>dated as of October 10, 2023, as amended, by and between Tempest</w:t>
            </w:r>
          </w:p>
        </w:tc>
        <w:tc>
          <w:tcPr>
            <w:tcW w:w="280" w:type="dxa"/>
            <w:vAlign w:val="bottom"/>
            <w:tcBorders>
              <w:top w:val="single" w:sz="8" w:color="19228E"/>
            </w:tcBorders>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4.5</w:t>
            </w:r>
          </w:p>
        </w:tc>
        <w:tc>
          <w:tcPr>
            <w:tcW w:w="4780" w:type="dxa"/>
            <w:vAlign w:val="bottom"/>
            <w:gridSpan w:val="30"/>
          </w:tcPr>
          <w:p>
            <w:pPr>
              <w:spacing w:after="0" w:line="165" w:lineRule="exact"/>
              <w:rPr>
                <w:sz w:val="20"/>
                <w:szCs w:val="20"/>
                <w:color w:val="auto"/>
              </w:rPr>
            </w:pPr>
            <w:r>
              <w:rPr>
                <w:rFonts w:ascii="Times New Roman" w:cs="Times New Roman" w:eastAsia="Times New Roman" w:hAnsi="Times New Roman"/>
                <w:sz w:val="16"/>
                <w:szCs w:val="16"/>
                <w:color w:val="1C2790"/>
              </w:rPr>
              <w:t>Therapeutics, Inc. and Computershare Trust Company, N.A., as rights</w:t>
            </w: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4500" w:type="dxa"/>
            <w:vAlign w:val="bottom"/>
            <w:tcBorders>
              <w:top w:val="single" w:sz="8" w:color="19228E"/>
            </w:tcBorders>
            <w:gridSpan w:val="20"/>
          </w:tcPr>
          <w:p>
            <w:pPr>
              <w:spacing w:after="0" w:line="162" w:lineRule="exact"/>
              <w:rPr>
                <w:sz w:val="20"/>
                <w:szCs w:val="20"/>
                <w:color w:val="auto"/>
              </w:rPr>
            </w:pPr>
            <w:r>
              <w:rPr>
                <w:rFonts w:ascii="Times New Roman" w:cs="Times New Roman" w:eastAsia="Times New Roman" w:hAnsi="Times New Roman"/>
                <w:sz w:val="16"/>
                <w:szCs w:val="16"/>
                <w:color w:val="1C2790"/>
              </w:rPr>
              <w:t>agent.</w:t>
            </w:r>
          </w:p>
        </w:tc>
        <w:tc>
          <w:tcPr>
            <w:tcW w:w="20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4.6</w:t>
            </w:r>
          </w:p>
        </w:tc>
        <w:tc>
          <w:tcPr>
            <w:tcW w:w="380" w:type="dxa"/>
            <w:vAlign w:val="bottom"/>
            <w:gridSpan w:val="2"/>
            <w:shd w:val="clear" w:color="auto" w:fill="19228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20" w:type="dxa"/>
            <w:vAlign w:val="bottom"/>
            <w:vMerge w:val="continue"/>
          </w:tcPr>
          <w:p>
            <w:pPr>
              <w:spacing w:after="0"/>
              <w:rPr>
                <w:sz w:val="24"/>
                <w:szCs w:val="24"/>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Form of Tempest Therapeutics, Inc. Prefunded Warrant</w:t>
            </w:r>
          </w:p>
        </w:tc>
        <w:tc>
          <w:tcPr>
            <w:tcW w:w="0" w:type="dxa"/>
            <w:vAlign w:val="bottom"/>
          </w:tcPr>
          <w:p>
            <w:pPr>
              <w:spacing w:after="0"/>
              <w:rPr>
                <w:sz w:val="1"/>
                <w:szCs w:val="1"/>
                <w:color w:val="auto"/>
              </w:rPr>
            </w:pPr>
          </w:p>
        </w:tc>
      </w:tr>
      <w:tr>
        <w:trPr>
          <w:trHeight w:val="20"/>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4.7</w:t>
            </w:r>
          </w:p>
        </w:tc>
        <w:tc>
          <w:tcPr>
            <w:tcW w:w="1740" w:type="dxa"/>
            <w:vAlign w:val="bottom"/>
            <w:gridSpan w:val="5"/>
            <w:shd w:val="clear" w:color="auto" w:fill="19228E"/>
          </w:tcPr>
          <w:p>
            <w:pPr>
              <w:spacing w:after="0" w:line="20" w:lineRule="exact"/>
              <w:rPr>
                <w:sz w:val="1"/>
                <w:szCs w:val="1"/>
                <w:color w:val="auto"/>
              </w:rPr>
            </w:pPr>
          </w:p>
        </w:tc>
        <w:tc>
          <w:tcPr>
            <w:tcW w:w="1820" w:type="dxa"/>
            <w:vAlign w:val="bottom"/>
            <w:gridSpan w:val="4"/>
            <w:shd w:val="clear" w:color="auto" w:fill="19228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0" w:type="dxa"/>
            <w:vAlign w:val="bottom"/>
            <w:vMerge w:val="continue"/>
          </w:tcPr>
          <w:p>
            <w:pPr>
              <w:spacing w:after="0"/>
              <w:rPr>
                <w:sz w:val="24"/>
                <w:szCs w:val="24"/>
                <w:color w:val="auto"/>
              </w:rPr>
            </w:pP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Form of Tempest Therapeutics, Inc. Common Stock Warrant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740" w:type="dxa"/>
            <w:vAlign w:val="bottom"/>
            <w:gridSpan w:val="5"/>
            <w:shd w:val="clear" w:color="auto" w:fill="19228E"/>
          </w:tcPr>
          <w:p>
            <w:pPr>
              <w:spacing w:after="0" w:line="20" w:lineRule="exact"/>
              <w:rPr>
                <w:sz w:val="1"/>
                <w:szCs w:val="1"/>
                <w:color w:val="auto"/>
              </w:rPr>
            </w:pPr>
          </w:p>
        </w:tc>
        <w:tc>
          <w:tcPr>
            <w:tcW w:w="1940" w:type="dxa"/>
            <w:vAlign w:val="bottom"/>
            <w:tcBorders>
              <w:right w:val="single" w:sz="8" w:color="19228E"/>
            </w:tcBorders>
            <w:gridSpan w:val="5"/>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80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20" w:type="dxa"/>
            <w:vAlign w:val="bottom"/>
          </w:tcPr>
          <w:p>
            <w:pPr>
              <w:spacing w:after="0"/>
              <w:rPr>
                <w:sz w:val="14"/>
                <w:szCs w:val="14"/>
                <w:color w:val="auto"/>
              </w:rPr>
            </w:pPr>
          </w:p>
        </w:tc>
        <w:tc>
          <w:tcPr>
            <w:tcW w:w="4780" w:type="dxa"/>
            <w:vAlign w:val="bottom"/>
            <w:gridSpan w:val="30"/>
          </w:tcPr>
          <w:p>
            <w:pPr>
              <w:spacing w:after="0" w:line="165" w:lineRule="exact"/>
              <w:rPr>
                <w:sz w:val="20"/>
                <w:szCs w:val="20"/>
                <w:color w:val="auto"/>
              </w:rPr>
            </w:pPr>
            <w:r>
              <w:rPr>
                <w:rFonts w:ascii="Times New Roman" w:cs="Times New Roman" w:eastAsia="Times New Roman" w:hAnsi="Times New Roman"/>
                <w:sz w:val="16"/>
                <w:szCs w:val="16"/>
                <w:color w:val="1C2790"/>
              </w:rPr>
              <w:t>Warrant Agreement (including Form of Warrant), dated February 3, 2026,</w:t>
            </w:r>
          </w:p>
        </w:tc>
        <w:tc>
          <w:tcPr>
            <w:tcW w:w="0" w:type="dxa"/>
            <w:vAlign w:val="bottom"/>
          </w:tcPr>
          <w:p>
            <w:pPr>
              <w:spacing w:after="0"/>
              <w:rPr>
                <w:sz w:val="1"/>
                <w:szCs w:val="1"/>
                <w:color w:val="auto"/>
              </w:rPr>
            </w:pPr>
          </w:p>
        </w:tc>
      </w:tr>
      <w:tr>
        <w:trPr>
          <w:trHeight w:val="165"/>
        </w:trPr>
        <w:tc>
          <w:tcPr>
            <w:tcW w:w="620" w:type="dxa"/>
            <w:vAlign w:val="bottom"/>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w w:val="99"/>
              </w:rPr>
              <w:t>4.8</w:t>
            </w:r>
          </w:p>
        </w:tc>
        <w:tc>
          <w:tcPr>
            <w:tcW w:w="4760" w:type="dxa"/>
            <w:vAlign w:val="bottom"/>
            <w:tcBorders>
              <w:top w:val="single" w:sz="8" w:color="19228E"/>
            </w:tcBorders>
            <w:gridSpan w:val="29"/>
          </w:tcPr>
          <w:p>
            <w:pPr>
              <w:spacing w:after="0" w:line="165" w:lineRule="exact"/>
              <w:rPr>
                <w:sz w:val="20"/>
                <w:szCs w:val="20"/>
                <w:color w:val="auto"/>
              </w:rPr>
            </w:pPr>
            <w:r>
              <w:rPr>
                <w:rFonts w:ascii="Times New Roman" w:cs="Times New Roman" w:eastAsia="Times New Roman" w:hAnsi="Times New Roman"/>
                <w:sz w:val="16"/>
                <w:szCs w:val="16"/>
                <w:color w:val="1C2790"/>
              </w:rPr>
              <w:t>between the Company, Computershare Inc., a Delaware corporation,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vMerge w:val="continue"/>
          </w:tcPr>
          <w:p>
            <w:pPr>
              <w:spacing w:after="0"/>
              <w:rPr>
                <w:sz w:val="14"/>
                <w:szCs w:val="14"/>
                <w:color w:val="auto"/>
              </w:rPr>
            </w:pPr>
          </w:p>
        </w:tc>
        <w:tc>
          <w:tcPr>
            <w:tcW w:w="3680" w:type="dxa"/>
            <w:vAlign w:val="bottom"/>
            <w:tcBorders>
              <w:top w:val="single" w:sz="8" w:color="19228E"/>
              <w:bottom w:val="single" w:sz="8" w:color="19228E"/>
            </w:tcBorders>
            <w:gridSpan w:val="10"/>
          </w:tcPr>
          <w:p>
            <w:pPr>
              <w:spacing w:after="0" w:line="162" w:lineRule="exact"/>
              <w:rPr>
                <w:sz w:val="20"/>
                <w:szCs w:val="20"/>
                <w:color w:val="auto"/>
              </w:rPr>
            </w:pPr>
            <w:r>
              <w:rPr>
                <w:rFonts w:ascii="Times New Roman" w:cs="Times New Roman" w:eastAsia="Times New Roman" w:hAnsi="Times New Roman"/>
                <w:sz w:val="16"/>
                <w:szCs w:val="16"/>
                <w:color w:val="1C2790"/>
              </w:rPr>
              <w:t>Computershare Trust Company, N.A., as Warrant Agent</w:t>
            </w:r>
          </w:p>
        </w:tc>
        <w:tc>
          <w:tcPr>
            <w:tcW w:w="1020" w:type="dxa"/>
            <w:vAlign w:val="bottom"/>
            <w:tcBorders>
              <w:top w:val="single" w:sz="8" w:color="19228E"/>
            </w:tcBorders>
            <w:gridSpan w:val="16"/>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620" w:type="dxa"/>
            <w:vAlign w:val="bottom"/>
          </w:tcPr>
          <w:p>
            <w:pPr>
              <w:jc w:val="center"/>
              <w:ind w:right="200"/>
              <w:spacing w:after="0"/>
              <w:rPr>
                <w:sz w:val="20"/>
                <w:szCs w:val="20"/>
                <w:color w:val="auto"/>
              </w:rPr>
            </w:pPr>
            <w:r>
              <w:rPr>
                <w:rFonts w:ascii="Times New Roman" w:cs="Times New Roman" w:eastAsia="Times New Roman" w:hAnsi="Times New Roman"/>
                <w:sz w:val="16"/>
                <w:szCs w:val="16"/>
                <w:color w:val="auto"/>
                <w:w w:val="99"/>
              </w:rPr>
              <w:t>10.1</w:t>
            </w:r>
            <w:r>
              <w:rPr>
                <w:rFonts w:ascii="Times New Roman" w:cs="Times New Roman" w:eastAsia="Times New Roman" w:hAnsi="Times New Roman"/>
                <w:sz w:val="11"/>
                <w:szCs w:val="11"/>
                <w:color w:val="auto"/>
                <w:w w:val="99"/>
              </w:rPr>
              <w:t>+</w:t>
            </w:r>
          </w:p>
        </w:tc>
        <w:tc>
          <w:tcPr>
            <w:tcW w:w="4780" w:type="dxa"/>
            <w:vAlign w:val="bottom"/>
            <w:gridSpan w:val="30"/>
          </w:tcPr>
          <w:p>
            <w:pPr>
              <w:spacing w:after="0"/>
              <w:rPr>
                <w:sz w:val="20"/>
                <w:szCs w:val="20"/>
                <w:color w:val="auto"/>
              </w:rPr>
            </w:pPr>
            <w:r>
              <w:rPr>
                <w:rFonts w:ascii="Times New Roman" w:cs="Times New Roman" w:eastAsia="Times New Roman" w:hAnsi="Times New Roman"/>
                <w:sz w:val="16"/>
                <w:szCs w:val="16"/>
                <w:color w:val="1C2790"/>
              </w:rPr>
              <w:t>2011 Equity Incentive Plan</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19228E"/>
          </w:tcPr>
          <w:p>
            <w:pPr>
              <w:spacing w:after="0" w:line="20" w:lineRule="exact"/>
              <w:rPr>
                <w:sz w:val="1"/>
                <w:szCs w:val="1"/>
                <w:color w:val="auto"/>
              </w:rPr>
            </w:pPr>
          </w:p>
        </w:tc>
        <w:tc>
          <w:tcPr>
            <w:tcW w:w="60" w:type="dxa"/>
            <w:vAlign w:val="bottom"/>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80" w:type="dxa"/>
            <w:vAlign w:val="bottom"/>
            <w:shd w:val="clear" w:color="auto" w:fill="19228E"/>
          </w:tcPr>
          <w:p>
            <w:pPr>
              <w:spacing w:after="0" w:line="20" w:lineRule="exact"/>
              <w:rPr>
                <w:sz w:val="1"/>
                <w:szCs w:val="1"/>
                <w:color w:val="auto"/>
              </w:rPr>
            </w:pPr>
          </w:p>
        </w:tc>
        <w:tc>
          <w:tcPr>
            <w:tcW w:w="560" w:type="dxa"/>
            <w:vAlign w:val="bottom"/>
            <w:shd w:val="clear" w:color="auto" w:fill="19228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ind w:left="40"/>
        <w:spacing w:after="0"/>
        <w:tabs>
          <w:tab w:leader="none" w:pos="680" w:val="left"/>
          <w:tab w:leader="none" w:pos="1340" w:val="left"/>
          <w:tab w:leader="none" w:pos="18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5"/>
          <w:szCs w:val="15"/>
          <w:color w:val="auto"/>
        </w:rPr>
        <w:t>3/29/2021</w:t>
      </w:r>
    </w:p>
    <w:p>
      <w:pPr>
        <w:spacing w:after="0" w:line="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spacing w:after="0"/>
        <w:tabs>
          <w:tab w:leader="none" w:pos="680" w:val="left"/>
          <w:tab w:leader="none" w:pos="1340" w:val="left"/>
          <w:tab w:leader="none" w:pos="1840" w:val="left"/>
        </w:tabs>
        <w:rPr>
          <w:sz w:val="20"/>
          <w:szCs w:val="20"/>
          <w:color w:val="auto"/>
        </w:rPr>
      </w:pPr>
      <w:r>
        <w:rPr>
          <w:rFonts w:ascii="Times New Roman" w:cs="Times New Roman" w:eastAsia="Times New Roman" w:hAnsi="Times New Roman"/>
          <w:sz w:val="16"/>
          <w:szCs w:val="16"/>
          <w:color w:val="auto"/>
        </w:rPr>
        <w:t>10-Q</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5"/>
          <w:szCs w:val="15"/>
          <w:color w:val="auto"/>
        </w:rPr>
        <w:t>5/15/2019</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ind w:left="40"/>
        <w:spacing w:after="0"/>
        <w:tabs>
          <w:tab w:leader="none" w:pos="680" w:val="left"/>
          <w:tab w:leader="none" w:pos="1340" w:val="left"/>
          <w:tab w:leader="none" w:pos="18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5"/>
          <w:szCs w:val="15"/>
          <w:color w:val="auto"/>
        </w:rPr>
        <w:t>6/28/2021</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ind w:left="40"/>
        <w:spacing w:after="0"/>
        <w:tabs>
          <w:tab w:leader="none" w:pos="680" w:val="left"/>
          <w:tab w:leader="none" w:pos="1340" w:val="left"/>
          <w:tab w:leader="none" w:pos="18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5"/>
          <w:szCs w:val="15"/>
          <w:color w:val="auto"/>
        </w:rPr>
        <w:t>6/28/2021</w:t>
      </w:r>
    </w:p>
    <w:p>
      <w:pPr>
        <w:spacing w:after="0" w:line="2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18" w:lineRule="exact"/>
        <w:rPr>
          <w:sz w:val="20"/>
          <w:szCs w:val="20"/>
          <w:color w:val="auto"/>
        </w:rPr>
      </w:pPr>
    </w:p>
    <w:p>
      <w:pPr>
        <w:ind w:left="40"/>
        <w:spacing w:after="0"/>
        <w:tabs>
          <w:tab w:leader="none" w:pos="680" w:val="left"/>
          <w:tab w:leader="none" w:pos="1340" w:val="left"/>
          <w:tab w:leader="none" w:pos="176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5"/>
          <w:szCs w:val="15"/>
          <w:color w:val="auto"/>
        </w:rPr>
        <w:t>10/11/2023</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18" w:lineRule="exact"/>
        <w:rPr>
          <w:sz w:val="20"/>
          <w:szCs w:val="20"/>
          <w:color w:val="auto"/>
        </w:rPr>
      </w:pPr>
    </w:p>
    <w:p>
      <w:pPr>
        <w:ind w:left="40"/>
        <w:spacing w:after="0"/>
        <w:tabs>
          <w:tab w:leader="none" w:pos="680" w:val="left"/>
          <w:tab w:leader="none" w:pos="1340" w:val="left"/>
          <w:tab w:leader="none" w:pos="192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5"/>
          <w:szCs w:val="15"/>
          <w:color w:val="auto"/>
        </w:rPr>
        <w:t>4/7/2025</w:t>
      </w:r>
    </w:p>
    <w:p>
      <w:pPr>
        <w:spacing w:after="0" w:line="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18" w:lineRule="exact"/>
        <w:rPr>
          <w:sz w:val="20"/>
          <w:szCs w:val="20"/>
          <w:color w:val="auto"/>
        </w:rPr>
      </w:pPr>
    </w:p>
    <w:p>
      <w:pPr>
        <w:ind w:left="40"/>
        <w:spacing w:after="0"/>
        <w:tabs>
          <w:tab w:leader="none" w:pos="680" w:val="left"/>
          <w:tab w:leader="none" w:pos="1340" w:val="left"/>
          <w:tab w:leader="none" w:pos="184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5"/>
          <w:szCs w:val="15"/>
          <w:color w:val="auto"/>
        </w:rPr>
        <w:t>9/24/2021</w:t>
      </w:r>
    </w:p>
    <w:p>
      <w:pPr>
        <w:spacing w:after="0" w:line="269"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6"/>
          <w:szCs w:val="16"/>
          <w:color w:val="auto"/>
        </w:rPr>
        <w:t>X</w:t>
      </w:r>
    </w:p>
    <w:p>
      <w:pPr>
        <w:spacing w:after="0" w:line="1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spacing w:after="0"/>
        <w:tabs>
          <w:tab w:leader="none" w:pos="680" w:val="left"/>
          <w:tab w:leader="none" w:pos="1340" w:val="left"/>
          <w:tab w:leader="none" w:pos="184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color w:val="auto"/>
        </w:rPr>
        <w:t>3/19/2024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1" w:lineRule="exact"/>
        <w:rPr>
          <w:sz w:val="20"/>
          <w:szCs w:val="20"/>
          <w:color w:val="auto"/>
        </w:rPr>
      </w:pPr>
    </w:p>
    <w:p>
      <w:pPr>
        <w:ind w:left="40"/>
        <w:spacing w:after="0"/>
        <w:tabs>
          <w:tab w:leader="none" w:pos="680" w:val="left"/>
          <w:tab w:leader="none" w:pos="1340" w:val="left"/>
          <w:tab w:leader="none" w:pos="176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color w:val="auto"/>
        </w:rPr>
        <w:t>10/11/2023</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18" w:lineRule="exact"/>
        <w:rPr>
          <w:sz w:val="20"/>
          <w:szCs w:val="20"/>
          <w:color w:val="auto"/>
        </w:rPr>
      </w:pPr>
    </w:p>
    <w:p>
      <w:pPr>
        <w:ind w:left="40"/>
        <w:spacing w:after="0"/>
        <w:tabs>
          <w:tab w:leader="none" w:pos="680" w:val="left"/>
          <w:tab w:leader="none" w:pos="1340" w:val="left"/>
          <w:tab w:leader="none" w:pos="176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color w:val="auto"/>
        </w:rPr>
        <w:t>10/10/2024</w:t>
      </w:r>
    </w:p>
    <w:p>
      <w:pPr>
        <w:spacing w:after="0" w:line="200" w:lineRule="exact"/>
        <w:rPr>
          <w:sz w:val="20"/>
          <w:szCs w:val="20"/>
          <w:color w:val="auto"/>
        </w:rPr>
      </w:pPr>
    </w:p>
    <w:p>
      <w:pPr>
        <w:spacing w:after="0" w:line="2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ind w:left="40"/>
        <w:spacing w:after="0"/>
        <w:tabs>
          <w:tab w:leader="none" w:pos="680" w:val="left"/>
          <w:tab w:leader="none" w:pos="1340" w:val="left"/>
          <w:tab w:leader="none" w:pos="176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color w:val="auto"/>
        </w:rPr>
        <w:t>12/06/2024</w:t>
      </w:r>
    </w:p>
    <w:p>
      <w:pPr>
        <w:spacing w:after="0" w:line="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ind w:left="40"/>
        <w:spacing w:after="0"/>
        <w:tabs>
          <w:tab w:leader="none" w:pos="680" w:val="left"/>
          <w:tab w:leader="none" w:pos="1340" w:val="left"/>
          <w:tab w:leader="none" w:pos="176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5"/>
          <w:szCs w:val="15"/>
          <w:color w:val="auto"/>
        </w:rPr>
        <w:t>11/26/2025</w:t>
      </w:r>
    </w:p>
    <w:p>
      <w:pPr>
        <w:spacing w:after="0" w:line="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ind w:left="40"/>
        <w:spacing w:after="0"/>
        <w:tabs>
          <w:tab w:leader="none" w:pos="680" w:val="left"/>
          <w:tab w:leader="none" w:pos="1340" w:val="left"/>
          <w:tab w:leader="none" w:pos="176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5"/>
          <w:szCs w:val="15"/>
          <w:color w:val="auto"/>
        </w:rPr>
        <w:t>11/26/2025</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001-</w:t>
      </w:r>
    </w:p>
    <w:p>
      <w:pPr>
        <w:spacing w:after="0" w:line="20" w:lineRule="exact"/>
        <w:rPr>
          <w:sz w:val="20"/>
          <w:szCs w:val="20"/>
          <w:color w:val="auto"/>
        </w:rPr>
      </w:pPr>
    </w:p>
    <w:p>
      <w:pPr>
        <w:ind w:left="40"/>
        <w:spacing w:after="0"/>
        <w:tabs>
          <w:tab w:leader="none" w:pos="680" w:val="left"/>
          <w:tab w:leader="none" w:pos="1340" w:val="left"/>
          <w:tab w:leader="none" w:pos="192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35890</w:t>
      </w:r>
      <w:r>
        <w:rPr>
          <w:sz w:val="20"/>
          <w:szCs w:val="20"/>
          <w:color w:val="auto"/>
        </w:rPr>
        <w:tab/>
      </w: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color w:val="auto"/>
        </w:rPr>
        <w:t>2/6/2026</w:t>
      </w:r>
    </w:p>
    <w:p>
      <w:pPr>
        <w:spacing w:after="0" w:line="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333-</w:t>
      </w:r>
    </w:p>
    <w:p>
      <w:pPr>
        <w:spacing w:after="0" w:line="20" w:lineRule="exact"/>
        <w:rPr>
          <w:sz w:val="20"/>
          <w:szCs w:val="20"/>
          <w:color w:val="auto"/>
        </w:rPr>
      </w:pPr>
    </w:p>
    <w:p>
      <w:pPr>
        <w:ind w:left="60"/>
        <w:spacing w:after="0"/>
        <w:tabs>
          <w:tab w:leader="none" w:pos="600" w:val="left"/>
          <w:tab w:leader="none" w:pos="1300" w:val="left"/>
          <w:tab w:leader="none" w:pos="1920" w:val="left"/>
        </w:tabs>
        <w:rPr>
          <w:sz w:val="20"/>
          <w:szCs w:val="20"/>
          <w:color w:val="auto"/>
        </w:rPr>
      </w:pPr>
      <w:r>
        <w:rPr>
          <w:rFonts w:ascii="Times New Roman" w:cs="Times New Roman" w:eastAsia="Times New Roman" w:hAnsi="Times New Roman"/>
          <w:sz w:val="16"/>
          <w:szCs w:val="16"/>
          <w:color w:val="auto"/>
        </w:rPr>
        <w:t>S-8</w:t>
      </w:r>
      <w:r>
        <w:rPr>
          <w:sz w:val="20"/>
          <w:szCs w:val="20"/>
          <w:color w:val="auto"/>
        </w:rPr>
        <w:tab/>
      </w:r>
      <w:r>
        <w:rPr>
          <w:rFonts w:ascii="Times New Roman" w:cs="Times New Roman" w:eastAsia="Times New Roman" w:hAnsi="Times New Roman"/>
          <w:sz w:val="16"/>
          <w:szCs w:val="16"/>
          <w:color w:val="auto"/>
        </w:rPr>
        <w:t>257727</w:t>
        <w:tab/>
        <w:t>10.2</w:t>
      </w:r>
      <w:r>
        <w:rPr>
          <w:sz w:val="20"/>
          <w:szCs w:val="20"/>
          <w:color w:val="auto"/>
        </w:rPr>
        <w:tab/>
      </w:r>
      <w:r>
        <w:rPr>
          <w:rFonts w:ascii="Times New Roman" w:cs="Times New Roman" w:eastAsia="Times New Roman" w:hAnsi="Times New Roman"/>
          <w:sz w:val="15"/>
          <w:szCs w:val="15"/>
          <w:color w:val="auto"/>
        </w:rPr>
        <w:t>7/7/2021</w:t>
      </w:r>
    </w:p>
    <w:p>
      <w:pPr>
        <w:spacing w:after="0" w:line="126" w:lineRule="exact"/>
        <w:rPr>
          <w:sz w:val="20"/>
          <w:szCs w:val="20"/>
          <w:color w:val="auto"/>
        </w:rPr>
      </w:pPr>
    </w:p>
    <w:p>
      <w:pPr>
        <w:sectPr>
          <w:pgSz w:w="12240" w:h="15840" w:orient="portrait"/>
          <w:cols w:equalWidth="0" w:num="2">
            <w:col w:w="5600" w:space="140"/>
            <w:col w:w="3620"/>
          </w:cols>
          <w:pgMar w:left="1440" w:top="144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857" name="Shape 8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857" o:spid="_x0000_s18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858" name="Shape 8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58" o:spid="_x0000_s18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859" name="Shape 8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859" o:spid="_x0000_s1884"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860" name="Shape 8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860" o:spid="_x0000_s18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861" name="Shape 8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8">
                          <a:solidFill>
                            <a:srgbClr val="E3E3E3"/>
                          </a:solidFill>
                          <a:miter lim="800000"/>
                          <a:headEnd/>
                          <a:tailEnd/>
                        </a:ln>
                      </wps:spPr>
                      <wps:bodyPr/>
                    </wps:wsp>
                  </a:graphicData>
                </a:graphic>
              </wp:anchor>
            </w:drawing>
          </mc:Choice>
          <mc:Fallback>
            <w:pict>
              <v:line id="Shape 861" o:spid="_x0000_s18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4pt"/>
            </w:pict>
          </mc:Fallback>
        </mc:AlternateContent>
      </w:r>
    </w:p>
    <w:p>
      <w:pPr>
        <w:sectPr>
          <w:pgSz w:w="12240" w:h="15840" w:orient="portrait"/>
          <w:cols w:equalWidth="0" w:num="1">
            <w:col w:w="9360"/>
          </w:cols>
          <w:pgMar w:left="1440" w:top="1440" w:right="1440" w:bottom="1440" w:gutter="0" w:footer="0" w:header="0"/>
          <w:type w:val="continuous"/>
        </w:sectPr>
      </w:pPr>
    </w:p>
    <w:bookmarkStart w:id="158" w:name="page159"/>
    <w:bookmarkEnd w:id="158"/>
    <w:p>
      <w:pPr>
        <w:spacing w:after="0" w:line="243"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16"/>
          <w:szCs w:val="16"/>
          <w:color w:val="auto"/>
        </w:rPr>
        <w:t>10.2</w:t>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5"/>
          <w:szCs w:val="15"/>
          <w:color w:val="1C2790"/>
        </w:rPr>
        <w:t>2017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1109345" cy="0"/>
                <wp:wrapNone/>
                <wp:docPr id="862" name="Shape 8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9345"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62" o:spid="_x0000_s18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117.35pt,0.05pt" o:allowincell="f" strokecolor="#19228E" strokeweight="0.36pt"/>
            </w:pict>
          </mc:Fallback>
        </mc:AlternateContent>
      </w:r>
    </w:p>
    <w:p>
      <w:pPr>
        <w:spacing w:after="0" w:line="269"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16"/>
          <w:szCs w:val="16"/>
          <w:color w:val="auto"/>
        </w:rPr>
        <w:t>10.3</w:t>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5"/>
          <w:szCs w:val="15"/>
          <w:color w:val="1C2790"/>
        </w:rPr>
        <w:t>Form of Stock Option Agreement under the 2017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2912745" cy="0"/>
                <wp:wrapNone/>
                <wp:docPr id="863" name="Shape 8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2745"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63" o:spid="_x0000_s18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259.35pt,0.05pt" o:allowincell="f" strokecolor="#19228E" strokeweight="0.3599pt"/>
            </w:pict>
          </mc:Fallback>
        </mc:AlternateContent>
      </w:r>
    </w:p>
    <w:p>
      <w:pPr>
        <w:spacing w:after="0" w:line="269"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16"/>
          <w:szCs w:val="16"/>
          <w:color w:val="auto"/>
        </w:rPr>
        <w:t>10.4</w:t>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5"/>
          <w:szCs w:val="15"/>
          <w:color w:val="1C2790"/>
        </w:rPr>
        <w:t>Amended and Restated 2019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2077720" cy="0"/>
                <wp:wrapNone/>
                <wp:docPr id="864" name="Shape 8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7720"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64" o:spid="_x0000_s18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193.6pt,0.05pt" o:allowincell="f" strokecolor="#19228E" strokeweight="0.3599pt"/>
            </w:pict>
          </mc:Fallback>
        </mc:AlternateContent>
      </w:r>
    </w:p>
    <w:p>
      <w:pPr>
        <w:spacing w:after="0" w:line="269"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16"/>
          <w:szCs w:val="16"/>
          <w:color w:val="auto"/>
        </w:rPr>
        <w:t>10.5</w:t>
      </w:r>
      <w:r>
        <w:rPr>
          <w:rFonts w:ascii="Times New Roman" w:cs="Times New Roman" w:eastAsia="Times New Roman" w:hAnsi="Times New Roman"/>
          <w:sz w:val="11"/>
          <w:szCs w:val="11"/>
          <w:color w:val="auto"/>
        </w:rPr>
        <w:t>+</w:t>
      </w:r>
      <w:r>
        <w:rPr>
          <w:rFonts w:ascii="Times New Roman" w:cs="Times New Roman" w:eastAsia="Times New Roman" w:hAnsi="Times New Roman"/>
          <w:sz w:val="16"/>
          <w:szCs w:val="16"/>
          <w:color w:val="1C2790"/>
        </w:rPr>
        <w:tab/>
        <w:t>Form of Option Grant Package under 2019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2650490" cy="0"/>
                <wp:wrapNone/>
                <wp:docPr id="865" name="Shape 8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049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65" o:spid="_x0000_s18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238.7pt,0.05pt" o:allowincell="f" strokecolor="#19228E" strokeweight="0.36pt"/>
            </w:pict>
          </mc:Fallback>
        </mc:AlternateContent>
      </w:r>
    </w:p>
    <w:p>
      <w:pPr>
        <w:spacing w:after="0" w:line="86" w:lineRule="exact"/>
        <w:rPr>
          <w:sz w:val="20"/>
          <w:szCs w:val="20"/>
          <w:color w:val="auto"/>
        </w:rPr>
      </w:pPr>
    </w:p>
    <w:p>
      <w:pPr>
        <w:ind w:left="100" w:right="200" w:firstLine="499"/>
        <w:spacing w:after="0" w:line="276" w:lineRule="auto"/>
        <w:rPr>
          <w:sz w:val="20"/>
          <w:szCs w:val="20"/>
          <w:color w:val="auto"/>
        </w:rPr>
      </w:pPr>
      <w:r>
        <w:rPr>
          <w:rFonts w:ascii="Times New Roman" w:cs="Times New Roman" w:eastAsia="Times New Roman" w:hAnsi="Times New Roman"/>
          <w:sz w:val="16"/>
          <w:szCs w:val="16"/>
          <w:color w:val="1C2790"/>
        </w:rPr>
        <w:t xml:space="preserve">Form of Stock Option Agreement under the Sub Plan for French Residents under 2019 Equity </w:t>
      </w:r>
      <w:r>
        <w:rPr>
          <w:rFonts w:ascii="Times New Roman" w:cs="Times New Roman" w:eastAsia="Times New Roman" w:hAnsi="Times New Roman"/>
          <w:sz w:val="16"/>
          <w:szCs w:val="16"/>
          <w:color w:val="000000"/>
        </w:rPr>
        <w:t>10.6</w:t>
      </w:r>
      <w:r>
        <w:rPr>
          <w:rFonts w:ascii="Times New Roman" w:cs="Times New Roman" w:eastAsia="Times New Roman" w:hAnsi="Times New Roman"/>
          <w:sz w:val="11"/>
          <w:szCs w:val="11"/>
          <w:color w:val="000000"/>
        </w:rPr>
        <w: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1C2790"/>
        </w:rPr>
        <w:t>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-152400</wp:posOffset>
            </wp:positionV>
            <wp:extent cx="3822700" cy="4763"/>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18">
                      <a:extLst>
                        <a:ext uri="{28A0092B-C50C-407E-A947-70E740481C1C}"/>
                      </a:extLst>
                    </a:blip>
                    <a:srcRect/>
                    <a:stretch>
                      <a:fillRect/>
                    </a:stretch>
                  </pic:blipFill>
                  <pic:spPr bwMode="auto">
                    <a:xfrm>
                      <a:off x="0" y="0"/>
                      <a:ext cx="3822700" cy="4763"/>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-36830</wp:posOffset>
            </wp:positionV>
            <wp:extent cx="609600" cy="4763"/>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19">
                      <a:extLst>
                        <a:ext uri="{28A0092B-C50C-407E-A947-70E740481C1C}"/>
                      </a:extLst>
                    </a:blip>
                    <a:srcRect/>
                    <a:stretch>
                      <a:fillRect/>
                    </a:stretch>
                  </pic:blipFill>
                  <pic:spPr bwMode="auto">
                    <a:xfrm>
                      <a:off x="0" y="0"/>
                      <a:ext cx="609600" cy="4763"/>
                    </a:xfrm>
                    <a:prstGeom prst="rect">
                      <a:avLst/>
                    </a:prstGeom>
                    <a:noFill/>
                  </pic:spPr>
                </pic:pic>
              </a:graphicData>
            </a:graphic>
          </wp:anchor>
        </w:drawing>
      </w:r>
    </w:p>
    <w:p>
      <w:pPr>
        <w:spacing w:after="0" w:line="30" w:lineRule="exact"/>
        <w:rPr>
          <w:sz w:val="20"/>
          <w:szCs w:val="20"/>
          <w:color w:val="auto"/>
        </w:rPr>
      </w:pPr>
    </w:p>
    <w:p>
      <w:pPr>
        <w:ind w:left="100" w:right="320" w:firstLine="499"/>
        <w:spacing w:after="0" w:line="276" w:lineRule="auto"/>
        <w:rPr>
          <w:sz w:val="20"/>
          <w:szCs w:val="20"/>
          <w:color w:val="auto"/>
        </w:rPr>
      </w:pPr>
      <w:r>
        <w:rPr>
          <w:rFonts w:ascii="Times New Roman" w:cs="Times New Roman" w:eastAsia="Times New Roman" w:hAnsi="Times New Roman"/>
          <w:sz w:val="16"/>
          <w:szCs w:val="16"/>
          <w:color w:val="1C2790"/>
        </w:rPr>
        <w:t xml:space="preserve">Form of Inducement Nonqualified Stock Option Agreement subject to the terms of the 2019 </w:t>
      </w:r>
      <w:r>
        <w:rPr>
          <w:rFonts w:ascii="Times New Roman" w:cs="Times New Roman" w:eastAsia="Times New Roman" w:hAnsi="Times New Roman"/>
          <w:sz w:val="16"/>
          <w:szCs w:val="16"/>
          <w:color w:val="000000"/>
        </w:rPr>
        <w:t>10.7</w:t>
      </w:r>
      <w:r>
        <w:rPr>
          <w:rFonts w:ascii="Times New Roman" w:cs="Times New Roman" w:eastAsia="Times New Roman" w:hAnsi="Times New Roman"/>
          <w:sz w:val="11"/>
          <w:szCs w:val="11"/>
          <w:color w:val="000000"/>
        </w:rPr>
        <w: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1C2790"/>
        </w:rPr>
        <w:t>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-150495</wp:posOffset>
                </wp:positionV>
                <wp:extent cx="3746500" cy="0"/>
                <wp:wrapNone/>
                <wp:docPr id="868" name="Shape 8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0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68" o:spid="_x0000_s18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1.8499pt" to="325pt,-11.8499pt" o:allowincell="f" strokecolor="#19228E" strokeweight="0.36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-34925</wp:posOffset>
                </wp:positionV>
                <wp:extent cx="880745" cy="0"/>
                <wp:wrapNone/>
                <wp:docPr id="869" name="Shape 8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745"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69" o:spid="_x0000_s18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2.7499pt" to="99.35pt,-2.7499pt" o:allowincell="f" strokecolor="#19228E" strokeweight="0.3599pt"/>
            </w:pict>
          </mc:Fallback>
        </mc:AlternateContent>
      </w:r>
    </w:p>
    <w:p>
      <w:pPr>
        <w:spacing w:after="0" w:line="212"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16"/>
          <w:szCs w:val="16"/>
          <w:color w:val="auto"/>
        </w:rPr>
        <w:t>10.8</w:t>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5"/>
          <w:szCs w:val="15"/>
          <w:color w:val="1C2790"/>
        </w:rPr>
        <w:t>Amended and Restated 2019 Employee Stock Purchase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2463165" cy="0"/>
                <wp:wrapNone/>
                <wp:docPr id="870" name="Shape 8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3165"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70" o:spid="_x0000_s18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223.95pt,0.05pt" o:allowincell="f" strokecolor="#19228E" strokeweight="0.3599pt"/>
            </w:pict>
          </mc:Fallback>
        </mc:AlternateContent>
      </w:r>
    </w:p>
    <w:p>
      <w:pPr>
        <w:spacing w:after="0" w:line="269"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16"/>
          <w:szCs w:val="16"/>
          <w:color w:val="auto"/>
        </w:rPr>
        <w:t>10.9</w:t>
      </w:r>
      <w:r>
        <w:rPr>
          <w:rFonts w:ascii="Times New Roman" w:cs="Times New Roman" w:eastAsia="Times New Roman" w:hAnsi="Times New Roman"/>
          <w:sz w:val="11"/>
          <w:szCs w:val="11"/>
          <w:color w:val="auto"/>
        </w:rPr>
        <w:t>+</w:t>
      </w:r>
      <w:r>
        <w:rPr>
          <w:rFonts w:ascii="Times New Roman" w:cs="Times New Roman" w:eastAsia="Times New Roman" w:hAnsi="Times New Roman"/>
          <w:sz w:val="16"/>
          <w:szCs w:val="16"/>
          <w:color w:val="1C2790"/>
        </w:rPr>
        <w:tab/>
        <w:t>Form of Indemnification Agreement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1507490" cy="0"/>
                <wp:wrapNone/>
                <wp:docPr id="871" name="Shape 8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749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71" o:spid="_x0000_s18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148.7pt,0.05pt" o:allowincell="f" strokecolor="#19228E" strokeweight="0.36pt"/>
            </w:pict>
          </mc:Fallback>
        </mc:AlternateContent>
      </w:r>
    </w:p>
    <w:p>
      <w:pPr>
        <w:spacing w:after="0" w:line="86" w:lineRule="exact"/>
        <w:rPr>
          <w:sz w:val="20"/>
          <w:szCs w:val="20"/>
          <w:color w:val="auto"/>
        </w:rPr>
      </w:pPr>
    </w:p>
    <w:p>
      <w:pPr>
        <w:ind w:left="100" w:right="260" w:firstLine="509"/>
        <w:spacing w:after="0" w:line="276" w:lineRule="auto"/>
        <w:rPr>
          <w:sz w:val="20"/>
          <w:szCs w:val="20"/>
          <w:color w:val="auto"/>
        </w:rPr>
      </w:pPr>
      <w:r>
        <w:rPr>
          <w:rFonts w:ascii="Times New Roman" w:cs="Times New Roman" w:eastAsia="Times New Roman" w:hAnsi="Times New Roman"/>
          <w:sz w:val="16"/>
          <w:szCs w:val="16"/>
          <w:color w:val="1C2790"/>
        </w:rPr>
        <w:t xml:space="preserve">Lease Agreement, dated January 24, 2022, by and between HCP Life Science REIT, Inc. and </w:t>
      </w:r>
      <w:r>
        <w:rPr>
          <w:rFonts w:ascii="Times New Roman" w:cs="Times New Roman" w:eastAsia="Times New Roman" w:hAnsi="Times New Roman"/>
          <w:sz w:val="16"/>
          <w:szCs w:val="16"/>
          <w:color w:val="000000"/>
        </w:rPr>
        <w:t xml:space="preserve">10.10 </w:t>
      </w:r>
      <w:r>
        <w:rPr>
          <w:rFonts w:ascii="Times New Roman" w:cs="Times New Roman" w:eastAsia="Times New Roman" w:hAnsi="Times New Roman"/>
          <w:sz w:val="16"/>
          <w:szCs w:val="16"/>
          <w:color w:val="1C2790"/>
        </w:rPr>
        <w:t>Tempest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-152400</wp:posOffset>
            </wp:positionV>
            <wp:extent cx="3784600" cy="4763"/>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20">
                      <a:extLst>
                        <a:ext uri="{28A0092B-C50C-407E-A947-70E740481C1C}"/>
                      </a:extLst>
                    </a:blip>
                    <a:srcRect/>
                    <a:stretch>
                      <a:fillRect/>
                    </a:stretch>
                  </pic:blipFill>
                  <pic:spPr bwMode="auto">
                    <a:xfrm>
                      <a:off x="0" y="0"/>
                      <a:ext cx="3784600" cy="4763"/>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-36830</wp:posOffset>
            </wp:positionV>
            <wp:extent cx="1130935" cy="4763"/>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21">
                      <a:extLst>
                        <a:ext uri="{28A0092B-C50C-407E-A947-70E740481C1C}"/>
                      </a:extLst>
                    </a:blip>
                    <a:srcRect/>
                    <a:stretch>
                      <a:fillRect/>
                    </a:stretch>
                  </pic:blipFill>
                  <pic:spPr bwMode="auto">
                    <a:xfrm>
                      <a:off x="0" y="0"/>
                      <a:ext cx="1130935" cy="4763"/>
                    </a:xfrm>
                    <a:prstGeom prst="rect">
                      <a:avLst/>
                    </a:prstGeom>
                    <a:noFill/>
                  </pic:spPr>
                </pic:pic>
              </a:graphicData>
            </a:graphic>
          </wp:anchor>
        </w:drawing>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10.11</w:t>
      </w:r>
      <w:r>
        <w:rPr>
          <w:rFonts w:ascii="Times New Roman" w:cs="Times New Roman" w:eastAsia="Times New Roman" w:hAnsi="Times New Roman"/>
          <w:sz w:val="11"/>
          <w:szCs w:val="1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C2790"/>
        </w:rPr>
        <w:t>Tempest Therapeutics, Inc. Amended and Restated 2023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3207385" cy="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7385"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74" o:spid="_x0000_s18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282.55pt,0.05pt" o:allowincell="f" strokecolor="#19228E" strokeweight="0.36pt"/>
            </w:pict>
          </mc:Fallback>
        </mc:AlternateContent>
      </w:r>
    </w:p>
    <w:p>
      <w:pPr>
        <w:spacing w:after="0" w:line="9" w:lineRule="exact"/>
        <w:rPr>
          <w:sz w:val="20"/>
          <w:szCs w:val="20"/>
          <w:color w:val="auto"/>
        </w:rPr>
      </w:pPr>
    </w:p>
    <w:p>
      <w:pPr>
        <w:ind w:left="60" w:right="100" w:firstLine="540"/>
        <w:spacing w:after="0" w:line="185" w:lineRule="auto"/>
        <w:rPr>
          <w:sz w:val="20"/>
          <w:szCs w:val="20"/>
          <w:color w:val="auto"/>
        </w:rPr>
      </w:pPr>
      <w:r>
        <w:rPr>
          <w:rFonts w:ascii="Times New Roman" w:cs="Times New Roman" w:eastAsia="Times New Roman" w:hAnsi="Times New Roman"/>
          <w:sz w:val="15"/>
          <w:szCs w:val="15"/>
          <w:color w:val="1C2790"/>
        </w:rPr>
        <w:t xml:space="preserve">Amendment No. 1 to Tempest Therapeutics, Inc. Amended and Restated 2023 Equity Incentive </w:t>
      </w:r>
      <w:r>
        <w:rPr>
          <w:rFonts w:ascii="Times New Roman" w:cs="Times New Roman" w:eastAsia="Times New Roman" w:hAnsi="Times New Roman"/>
          <w:sz w:val="15"/>
          <w:szCs w:val="15"/>
          <w:color w:val="000000"/>
        </w:rPr>
        <w:t>10.12</w:t>
      </w:r>
      <w:r>
        <w:rPr>
          <w:rFonts w:ascii="Times New Roman" w:cs="Times New Roman" w:eastAsia="Times New Roman" w:hAnsi="Times New Roman"/>
          <w:sz w:val="11"/>
          <w:szCs w:val="11"/>
          <w:color w:val="000000"/>
        </w:rPr>
        <w:t>+</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30"/>
          <w:szCs w:val="30"/>
          <w:color w:val="1C2790"/>
          <w:vertAlign w:val="subscript"/>
        </w:rPr>
        <w:t>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-133350</wp:posOffset>
                </wp:positionV>
                <wp:extent cx="3886835" cy="0"/>
                <wp:wrapNone/>
                <wp:docPr id="875" name="Shape 8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6835"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75" o:spid="_x0000_s19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0.4999pt" to="336.05pt,-10.4999pt" o:allowincell="f" strokecolor="#19228E" strokeweight="0.3599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-15875</wp:posOffset>
                </wp:positionV>
                <wp:extent cx="181610" cy="0"/>
                <wp:wrapNone/>
                <wp:docPr id="876" name="Shape 8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61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76" o:spid="_x0000_s19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2499pt" to="44.3pt,-1.2499pt" o:allowincell="f" strokecolor="#19228E" strokeweight="0.36pt"/>
            </w:pict>
          </mc:Fallback>
        </mc:AlternateConten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10.13</w:t>
      </w:r>
      <w:r>
        <w:rPr>
          <w:rFonts w:ascii="Times New Roman" w:cs="Times New Roman" w:eastAsia="Times New Roman" w:hAnsi="Times New Roman"/>
          <w:sz w:val="11"/>
          <w:szCs w:val="1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C2790"/>
        </w:rPr>
        <w:t>Form of Option Grant Package under the Amended and Restated 2023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3768090" cy="0"/>
                <wp:wrapNone/>
                <wp:docPr id="877" name="Shape 8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68090"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77" o:spid="_x0000_s19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326.7pt,0.05pt" o:allowincell="f" strokecolor="#19228E" strokeweight="0.3599pt"/>
            </w:pict>
          </mc:Fallback>
        </mc:AlternateContent>
      </w: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10.14</w:t>
      </w:r>
      <w:r>
        <w:rPr>
          <w:rFonts w:ascii="Times New Roman" w:cs="Times New Roman" w:eastAsia="Times New Roman" w:hAnsi="Times New Roman"/>
          <w:sz w:val="11"/>
          <w:szCs w:val="1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C2790"/>
        </w:rPr>
        <w:t>Tempest Therapeutics, Inc. 2023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-635</wp:posOffset>
            </wp:positionV>
            <wp:extent cx="2047240" cy="4763"/>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22">
                      <a:extLst>
                        <a:ext uri="{28A0092B-C50C-407E-A947-70E740481C1C}"/>
                      </a:extLst>
                    </a:blip>
                    <a:srcRect/>
                    <a:stretch>
                      <a:fillRect/>
                    </a:stretch>
                  </pic:blipFill>
                  <pic:spPr bwMode="auto">
                    <a:xfrm>
                      <a:off x="0" y="0"/>
                      <a:ext cx="2047240" cy="4763"/>
                    </a:xfrm>
                    <a:prstGeom prst="rect">
                      <a:avLst/>
                    </a:prstGeom>
                    <a:noFill/>
                  </pic:spPr>
                </pic:pic>
              </a:graphicData>
            </a:graphic>
          </wp:anchor>
        </w:drawing>
      </w: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10.15</w:t>
      </w:r>
      <w:r>
        <w:rPr>
          <w:rFonts w:ascii="Times New Roman" w:cs="Times New Roman" w:eastAsia="Times New Roman" w:hAnsi="Times New Roman"/>
          <w:sz w:val="11"/>
          <w:szCs w:val="1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C2790"/>
        </w:rPr>
        <w:t>Form of Option Grant Package under the 2023 Inducement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2604770" cy="0"/>
                <wp:wrapNone/>
                <wp:docPr id="879" name="Shape 8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4770"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79" o:spid="_x0000_s19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235.1pt,0.05pt" o:allowincell="f" strokecolor="#19228E" strokeweight="0.3599pt"/>
            </w:pict>
          </mc:Fallback>
        </mc:AlternateContent>
      </w: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1C2790"/>
        </w:rPr>
        <w:t>Roche Supply Agreement, dated October 7, 2024, by and between the Registrant and 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635</wp:posOffset>
                </wp:positionV>
                <wp:extent cx="3565525" cy="0"/>
                <wp:wrapNone/>
                <wp:docPr id="880" name="Shape 8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5525"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80" o:spid="_x0000_s19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05pt" to="310.75pt,0.05pt" o:allowincell="f" strokecolor="#19228E" strokeweight="0.36pt"/>
            </w:pict>
          </mc:Fallback>
        </mc:AlternateConten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10.16#  </w:t>
      </w:r>
      <w:r>
        <w:rPr>
          <w:rFonts w:ascii="Times New Roman" w:cs="Times New Roman" w:eastAsia="Times New Roman" w:hAnsi="Times New Roman"/>
          <w:sz w:val="16"/>
          <w:szCs w:val="16"/>
          <w:color w:val="1C2790"/>
        </w:rPr>
        <w:t>Hoffmann-La Roche Ltd.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-12700</wp:posOffset>
                </wp:positionV>
                <wp:extent cx="1035050" cy="0"/>
                <wp:wrapNone/>
                <wp:docPr id="881" name="Shape 8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505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81" o:spid="_x0000_s19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pt" to="111.5pt,-1pt" o:allowincell="f" strokecolor="#19228E" strokeweight="0.36pt"/>
            </w:pict>
          </mc:Fallback>
        </mc:AlternateContent>
      </w:r>
    </w:p>
    <w:p>
      <w:pPr>
        <w:spacing w:after="0" w:line="96" w:lineRule="exact"/>
        <w:rPr>
          <w:sz w:val="20"/>
          <w:szCs w:val="20"/>
          <w:color w:val="auto"/>
        </w:rPr>
      </w:pPr>
    </w:p>
    <w:p>
      <w:pPr>
        <w:ind w:left="60" w:right="720" w:firstLine="540"/>
        <w:spacing w:after="0" w:line="215" w:lineRule="auto"/>
        <w:rPr>
          <w:sz w:val="20"/>
          <w:szCs w:val="20"/>
          <w:color w:val="auto"/>
        </w:rPr>
      </w:pPr>
      <w:r>
        <w:rPr>
          <w:rFonts w:ascii="Times New Roman" w:cs="Times New Roman" w:eastAsia="Times New Roman" w:hAnsi="Times New Roman"/>
          <w:sz w:val="16"/>
          <w:szCs w:val="16"/>
          <w:color w:val="1C2790"/>
        </w:rPr>
        <w:t xml:space="preserve">Amended and Restated Offer Letter, dated August 11, 2025, by and between Tempest </w:t>
      </w:r>
      <w:r>
        <w:rPr>
          <w:rFonts w:ascii="Times New Roman" w:cs="Times New Roman" w:eastAsia="Times New Roman" w:hAnsi="Times New Roman"/>
          <w:sz w:val="32"/>
          <w:szCs w:val="32"/>
          <w:color w:val="000000"/>
          <w:vertAlign w:val="superscript"/>
        </w:rPr>
        <w:t>10.17</w:t>
      </w:r>
      <w:r>
        <w:rPr>
          <w:rFonts w:ascii="Times New Roman" w:cs="Times New Roman" w:eastAsia="Times New Roman" w:hAnsi="Times New Roman"/>
          <w:sz w:val="11"/>
          <w:szCs w:val="11"/>
          <w:color w:val="000000"/>
        </w:rPr>
        <w:t xml:space="preserve">+ </w:t>
      </w:r>
      <w:r>
        <w:rPr>
          <w:rFonts w:ascii="Times New Roman" w:cs="Times New Roman" w:eastAsia="Times New Roman" w:hAnsi="Times New Roman"/>
          <w:sz w:val="16"/>
          <w:szCs w:val="16"/>
          <w:color w:val="1C2790"/>
        </w:rPr>
        <w:t>Therapeutics, Inc. and Justin Trojanowski.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-195580</wp:posOffset>
                </wp:positionV>
                <wp:extent cx="3491865" cy="0"/>
                <wp:wrapNone/>
                <wp:docPr id="882" name="Shape 8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1865"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82" o:spid="_x0000_s19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5.3999pt" to="304.95pt,-15.3999pt" o:allowincell="f" strokecolor="#19228E" strokeweight="0.3599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-80010</wp:posOffset>
                </wp:positionV>
                <wp:extent cx="1729740" cy="0"/>
                <wp:wrapNone/>
                <wp:docPr id="883" name="Shape 8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974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83" o:spid="_x0000_s19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6.2999pt" to="166.2pt,-6.2999pt" o:allowincell="f" strokecolor="#19228E" strokeweight="0.36pt"/>
            </w:pict>
          </mc:Fallback>
        </mc:AlternateContent>
      </w:r>
    </w:p>
    <w:p>
      <w:pPr>
        <w:ind w:left="60" w:right="300" w:firstLine="540"/>
        <w:spacing w:after="0" w:line="205" w:lineRule="auto"/>
        <w:rPr>
          <w:sz w:val="20"/>
          <w:szCs w:val="20"/>
          <w:color w:val="auto"/>
        </w:rPr>
      </w:pPr>
      <w:r>
        <w:rPr>
          <w:rFonts w:ascii="Times New Roman" w:cs="Times New Roman" w:eastAsia="Times New Roman" w:hAnsi="Times New Roman"/>
          <w:sz w:val="16"/>
          <w:szCs w:val="16"/>
          <w:color w:val="1C2790"/>
        </w:rPr>
        <w:t xml:space="preserve">Separation Agreement, dated June 13, 2025, by and between Tempest Therapeutics, Inc. and </w:t>
      </w:r>
      <w:r>
        <w:rPr>
          <w:rFonts w:ascii="Times New Roman" w:cs="Times New Roman" w:eastAsia="Times New Roman" w:hAnsi="Times New Roman"/>
          <w:sz w:val="32"/>
          <w:szCs w:val="32"/>
          <w:color w:val="000000"/>
          <w:vertAlign w:val="superscript"/>
        </w:rPr>
        <w:t>10.18</w:t>
      </w:r>
      <w:r>
        <w:rPr>
          <w:rFonts w:ascii="Times New Roman" w:cs="Times New Roman" w:eastAsia="Times New Roman" w:hAnsi="Times New Roman"/>
          <w:sz w:val="11"/>
          <w:szCs w:val="11"/>
          <w:color w:val="000000"/>
        </w:rPr>
        <w:t xml:space="preserve">+ </w:t>
      </w:r>
      <w:r>
        <w:rPr>
          <w:rFonts w:ascii="Times New Roman" w:cs="Times New Roman" w:eastAsia="Times New Roman" w:hAnsi="Times New Roman"/>
          <w:sz w:val="16"/>
          <w:szCs w:val="16"/>
          <w:color w:val="1C2790"/>
        </w:rPr>
        <w:t>Stephen Brady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-194945</wp:posOffset>
                </wp:positionV>
                <wp:extent cx="3769360" cy="0"/>
                <wp:wrapNone/>
                <wp:docPr id="884" name="Shape 8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6936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84" o:spid="_x0000_s19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5.3499pt" to="326.8pt,-15.3499pt" o:allowincell="f" strokecolor="#19228E" strokeweight="0.36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-79375</wp:posOffset>
                </wp:positionV>
                <wp:extent cx="600710" cy="0"/>
                <wp:wrapNone/>
                <wp:docPr id="885" name="Shape 8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710"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85" o:spid="_x0000_s19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6.2499pt" to="77.3pt,-6.2499pt" o:allowincell="f" strokecolor="#19228E" strokeweight="0.3599pt"/>
            </w:pict>
          </mc:Fallback>
        </mc:AlternateContent>
      </w:r>
    </w:p>
    <w:p>
      <w:pPr>
        <w:ind w:left="60" w:right="300" w:firstLine="540"/>
        <w:spacing w:after="0" w:line="205" w:lineRule="auto"/>
        <w:rPr>
          <w:sz w:val="20"/>
          <w:szCs w:val="20"/>
          <w:color w:val="auto"/>
        </w:rPr>
      </w:pPr>
      <w:r>
        <w:rPr>
          <w:rFonts w:ascii="Times New Roman" w:cs="Times New Roman" w:eastAsia="Times New Roman" w:hAnsi="Times New Roman"/>
          <w:sz w:val="16"/>
          <w:szCs w:val="16"/>
          <w:color w:val="1C2790"/>
        </w:rPr>
        <w:t xml:space="preserve">Separation Agreement, dated June 13, 2025, by and between Tempest Therapeutics, Inc. and </w:t>
      </w:r>
      <w:r>
        <w:rPr>
          <w:rFonts w:ascii="Times New Roman" w:cs="Times New Roman" w:eastAsia="Times New Roman" w:hAnsi="Times New Roman"/>
          <w:sz w:val="32"/>
          <w:szCs w:val="32"/>
          <w:color w:val="000000"/>
          <w:vertAlign w:val="superscript"/>
        </w:rPr>
        <w:t>10.19</w:t>
      </w:r>
      <w:r>
        <w:rPr>
          <w:rFonts w:ascii="Times New Roman" w:cs="Times New Roman" w:eastAsia="Times New Roman" w:hAnsi="Times New Roman"/>
          <w:sz w:val="11"/>
          <w:szCs w:val="11"/>
          <w:color w:val="000000"/>
        </w:rPr>
        <w:t xml:space="preserve">+ </w:t>
      </w:r>
      <w:r>
        <w:rPr>
          <w:rFonts w:ascii="Times New Roman" w:cs="Times New Roman" w:eastAsia="Times New Roman" w:hAnsi="Times New Roman"/>
          <w:sz w:val="16"/>
          <w:szCs w:val="16"/>
          <w:color w:val="1C2790"/>
        </w:rPr>
        <w:t>Samuel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-196850</wp:posOffset>
            </wp:positionV>
            <wp:extent cx="3769360" cy="4763"/>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23">
                      <a:extLst>
                        <a:ext uri="{28A0092B-C50C-407E-A947-70E740481C1C}"/>
                      </a:extLst>
                    </a:blip>
                    <a:srcRect/>
                    <a:stretch>
                      <a:fillRect/>
                    </a:stretch>
                  </pic:blipFill>
                  <pic:spPr bwMode="auto">
                    <a:xfrm>
                      <a:off x="0" y="0"/>
                      <a:ext cx="3769360" cy="4763"/>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-80010</wp:posOffset>
            </wp:positionV>
            <wp:extent cx="662940" cy="4763"/>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24">
                      <a:extLst>
                        <a:ext uri="{28A0092B-C50C-407E-A947-70E740481C1C}"/>
                      </a:extLst>
                    </a:blip>
                    <a:srcRect/>
                    <a:stretch>
                      <a:fillRect/>
                    </a:stretch>
                  </pic:blipFill>
                  <pic:spPr bwMode="auto">
                    <a:xfrm>
                      <a:off x="0" y="0"/>
                      <a:ext cx="662940" cy="4763"/>
                    </a:xfrm>
                    <a:prstGeom prst="rect">
                      <a:avLst/>
                    </a:prstGeom>
                    <a:noFill/>
                  </pic:spPr>
                </pic:pic>
              </a:graphicData>
            </a:graphic>
          </wp:anchor>
        </w:drawing>
      </w:r>
    </w:p>
    <w:p>
      <w:pPr>
        <w:ind w:left="60" w:right="300" w:firstLine="540"/>
        <w:spacing w:after="0" w:line="243" w:lineRule="auto"/>
        <w:rPr>
          <w:sz w:val="20"/>
          <w:szCs w:val="20"/>
          <w:color w:val="auto"/>
        </w:rPr>
      </w:pPr>
      <w:r>
        <w:rPr>
          <w:rFonts w:ascii="Times New Roman" w:cs="Times New Roman" w:eastAsia="Times New Roman" w:hAnsi="Times New Roman"/>
          <w:sz w:val="16"/>
          <w:szCs w:val="16"/>
          <w:color w:val="1C2790"/>
        </w:rPr>
        <w:t xml:space="preserve">Separation Agreement, dated June 13, 2025, by and between Tempest Therapeutics, Inc. and </w:t>
      </w:r>
      <w:r>
        <w:rPr>
          <w:rFonts w:ascii="Times New Roman" w:cs="Times New Roman" w:eastAsia="Times New Roman" w:hAnsi="Times New Roman"/>
          <w:sz w:val="32"/>
          <w:szCs w:val="32"/>
          <w:color w:val="000000"/>
          <w:vertAlign w:val="superscript"/>
        </w:rPr>
        <w:t>10.20</w:t>
      </w:r>
      <w:r>
        <w:rPr>
          <w:rFonts w:ascii="Times New Roman" w:cs="Times New Roman" w:eastAsia="Times New Roman" w:hAnsi="Times New Roman"/>
          <w:sz w:val="11"/>
          <w:szCs w:val="11"/>
          <w:color w:val="000000"/>
        </w:rPr>
        <w:t xml:space="preserve">+ </w:t>
      </w:r>
      <w:r>
        <w:rPr>
          <w:rFonts w:ascii="Times New Roman" w:cs="Times New Roman" w:eastAsia="Times New Roman" w:hAnsi="Times New Roman"/>
          <w:sz w:val="16"/>
          <w:szCs w:val="16"/>
          <w:color w:val="1C2790"/>
        </w:rPr>
        <w:t>Nicholas Maestas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-250825</wp:posOffset>
                </wp:positionV>
                <wp:extent cx="3769360" cy="0"/>
                <wp:wrapNone/>
                <wp:docPr id="888" name="Shape 8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6936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88" o:spid="_x0000_s19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9.7499pt" to="326.8pt,-19.7499pt" o:allowincell="f" strokecolor="#19228E" strokeweight="0.36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-133350</wp:posOffset>
                </wp:positionV>
                <wp:extent cx="719455" cy="0"/>
                <wp:wrapNone/>
                <wp:docPr id="889" name="Shape 8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9455"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89" o:spid="_x0000_s19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0.4999pt" to="86.65pt,-10.4999pt" o:allowincell="f" strokecolor="#19228E" strokeweight="0.36pt"/>
            </w:pict>
          </mc:Fallback>
        </mc:AlternateContent>
      </w:r>
    </w:p>
    <w:p>
      <w:pPr>
        <w:spacing w:after="0" w:line="23" w:lineRule="exact"/>
        <w:rPr>
          <w:sz w:val="20"/>
          <w:szCs w:val="20"/>
          <w:color w:val="auto"/>
        </w:rPr>
      </w:pPr>
    </w:p>
    <w:p>
      <w:pPr>
        <w:ind w:left="60"/>
        <w:spacing w:after="0"/>
        <w:tabs>
          <w:tab w:leader="none" w:pos="580" w:val="left"/>
        </w:tabs>
        <w:rPr>
          <w:sz w:val="20"/>
          <w:szCs w:val="20"/>
          <w:color w:val="auto"/>
        </w:rPr>
      </w:pPr>
      <w:r>
        <w:rPr>
          <w:rFonts w:ascii="Times New Roman" w:cs="Times New Roman" w:eastAsia="Times New Roman" w:hAnsi="Times New Roman"/>
          <w:sz w:val="32"/>
          <w:szCs w:val="32"/>
          <w:color w:val="auto"/>
          <w:vertAlign w:val="superscript"/>
        </w:rPr>
        <w:t>10.21</w:t>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6"/>
          <w:szCs w:val="16"/>
          <w:color w:val="1C2790"/>
        </w:rPr>
        <w:t>Form of Consulting Agreement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-93980</wp:posOffset>
                </wp:positionV>
                <wp:extent cx="1278890" cy="0"/>
                <wp:wrapNone/>
                <wp:docPr id="890" name="Shape 8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889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90" o:spid="_x0000_s19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7.3999pt" to="130.7pt,-7.3999pt" o:allowincell="f" strokecolor="#19228E" strokeweight="0.36pt"/>
            </w:pict>
          </mc:Fallback>
        </mc:AlternateContent>
      </w:r>
    </w:p>
    <w:p>
      <w:pPr>
        <w:spacing w:after="0" w:line="60" w:lineRule="exact"/>
        <w:rPr>
          <w:sz w:val="20"/>
          <w:szCs w:val="20"/>
          <w:color w:val="auto"/>
        </w:rPr>
      </w:pPr>
    </w:p>
    <w:p>
      <w:pPr>
        <w:ind w:left="60"/>
        <w:spacing w:after="0"/>
        <w:tabs>
          <w:tab w:leader="none" w:pos="580" w:val="left"/>
        </w:tabs>
        <w:rPr>
          <w:sz w:val="20"/>
          <w:szCs w:val="20"/>
          <w:color w:val="auto"/>
        </w:rPr>
      </w:pPr>
      <w:r>
        <w:rPr>
          <w:rFonts w:ascii="Times New Roman" w:cs="Times New Roman" w:eastAsia="Times New Roman" w:hAnsi="Times New Roman"/>
          <w:sz w:val="32"/>
          <w:szCs w:val="32"/>
          <w:color w:val="auto"/>
          <w:vertAlign w:val="superscript"/>
        </w:rPr>
        <w:t>10.22</w:t>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5"/>
          <w:szCs w:val="15"/>
          <w:color w:val="1C2790"/>
        </w:rPr>
        <w:t>Form of Success Bonus Agreement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-78740</wp:posOffset>
                </wp:positionV>
                <wp:extent cx="1438910" cy="0"/>
                <wp:wrapNone/>
                <wp:docPr id="891" name="Shape 8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891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91" o:spid="_x0000_s19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6.1999pt" to="143.3pt,-6.1999pt" o:allowincell="f" strokecolor="#19228E" strokeweight="0.36pt"/>
            </w:pict>
          </mc:Fallback>
        </mc:AlternateContent>
      </w:r>
    </w:p>
    <w:p>
      <w:pPr>
        <w:ind w:left="60" w:right="480" w:firstLine="547"/>
        <w:spacing w:after="0" w:line="205" w:lineRule="auto"/>
        <w:rPr>
          <w:sz w:val="20"/>
          <w:szCs w:val="20"/>
          <w:color w:val="auto"/>
        </w:rPr>
      </w:pPr>
      <w:r>
        <w:rPr>
          <w:rFonts w:ascii="Times New Roman" w:cs="Times New Roman" w:eastAsia="Times New Roman" w:hAnsi="Times New Roman"/>
          <w:sz w:val="16"/>
          <w:szCs w:val="16"/>
          <w:color w:val="1C2790"/>
        </w:rPr>
        <w:t xml:space="preserve">Asset Purchase Agreement, dated November 19, 2025, by and among Erigen LLC, Factor </w:t>
      </w:r>
      <w:r>
        <w:rPr>
          <w:rFonts w:ascii="Times New Roman" w:cs="Times New Roman" w:eastAsia="Times New Roman" w:hAnsi="Times New Roman"/>
          <w:sz w:val="32"/>
          <w:szCs w:val="32"/>
          <w:color w:val="000000"/>
          <w:vertAlign w:val="superscript"/>
        </w:rPr>
        <w:t>10.23*</w:t>
      </w:r>
      <w:r>
        <w:rPr>
          <w:rFonts w:ascii="Times New Roman" w:cs="Times New Roman" w:eastAsia="Times New Roman" w:hAnsi="Times New Roman"/>
          <w:sz w:val="16"/>
          <w:szCs w:val="16"/>
          <w:color w:val="1C2790"/>
        </w:rPr>
        <w:t xml:space="preserve"> Bioscience Inc., and Tempest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-196850</wp:posOffset>
            </wp:positionV>
            <wp:extent cx="3651885" cy="4763"/>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25">
                      <a:extLst>
                        <a:ext uri="{28A0092B-C50C-407E-A947-70E740481C1C}"/>
                      </a:extLst>
                    </a:blip>
                    <a:srcRect/>
                    <a:stretch>
                      <a:fillRect/>
                    </a:stretch>
                  </pic:blipFill>
                  <pic:spPr bwMode="auto">
                    <a:xfrm>
                      <a:off x="0" y="0"/>
                      <a:ext cx="3651885" cy="4763"/>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-79375</wp:posOffset>
            </wp:positionV>
            <wp:extent cx="1955800" cy="4763"/>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26">
                      <a:extLst>
                        <a:ext uri="{28A0092B-C50C-407E-A947-70E740481C1C}"/>
                      </a:extLst>
                    </a:blip>
                    <a:srcRect/>
                    <a:stretch>
                      <a:fillRect/>
                    </a:stretch>
                  </pic:blipFill>
                  <pic:spPr bwMode="auto">
                    <a:xfrm>
                      <a:off x="0" y="0"/>
                      <a:ext cx="1955800" cy="4763"/>
                    </a:xfrm>
                    <a:prstGeom prst="rect">
                      <a:avLst/>
                    </a:prstGeom>
                    <a:noFill/>
                  </pic:spPr>
                </pic:pic>
              </a:graphicData>
            </a:graphic>
          </wp:anchor>
        </w:drawing>
      </w:r>
    </w:p>
    <w:p>
      <w:pPr>
        <w:ind w:left="100" w:right="400" w:firstLine="509"/>
        <w:spacing w:after="0" w:line="188" w:lineRule="auto"/>
        <w:rPr>
          <w:sz w:val="20"/>
          <w:szCs w:val="20"/>
          <w:color w:val="auto"/>
        </w:rPr>
      </w:pPr>
      <w:r>
        <w:rPr>
          <w:rFonts w:ascii="Times New Roman" w:cs="Times New Roman" w:eastAsia="Times New Roman" w:hAnsi="Times New Roman"/>
          <w:sz w:val="14"/>
          <w:szCs w:val="14"/>
          <w:color w:val="1C2790"/>
        </w:rPr>
        <w:t xml:space="preserve">Lock-Up Agreement, dated November 19, 2025, by and between Erigen LLC and Tempest </w:t>
      </w:r>
      <w:r>
        <w:rPr>
          <w:rFonts w:ascii="Times New Roman" w:cs="Times New Roman" w:eastAsia="Times New Roman" w:hAnsi="Times New Roman"/>
          <w:sz w:val="27"/>
          <w:szCs w:val="27"/>
          <w:color w:val="000000"/>
          <w:vertAlign w:val="superscript"/>
        </w:rPr>
        <w:t>10.24</w:t>
      </w:r>
      <w:r>
        <w:rPr>
          <w:rFonts w:ascii="Times New Roman" w:cs="Times New Roman" w:eastAsia="Times New Roman" w:hAnsi="Times New Roman"/>
          <w:sz w:val="14"/>
          <w:szCs w:val="14"/>
          <w:color w:val="1C2790"/>
        </w:rPr>
        <w:t xml:space="preserve"> Therapeutics,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-130175</wp:posOffset>
                </wp:positionV>
                <wp:extent cx="3699510" cy="0"/>
                <wp:wrapNone/>
                <wp:docPr id="894" name="Shape 8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9951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94" o:spid="_x0000_s19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0.2499pt" to="321.3pt,-10.2499pt" o:allowincell="f" strokecolor="#19228E" strokeweight="0.36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-12700</wp:posOffset>
                </wp:positionV>
                <wp:extent cx="730250" cy="0"/>
                <wp:wrapNone/>
                <wp:docPr id="895" name="Shape 8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0250"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95" o:spid="_x0000_s19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pt" to="87.5pt,-1pt" o:allowincell="f" strokecolor="#19228E" strokeweight="0.3599pt"/>
            </w:pict>
          </mc:Fallback>
        </mc:AlternateContent>
      </w:r>
    </w:p>
    <w:p>
      <w:pPr>
        <w:ind w:left="60" w:right="220" w:firstLine="547"/>
        <w:spacing w:after="0" w:line="186" w:lineRule="auto"/>
        <w:rPr>
          <w:sz w:val="20"/>
          <w:szCs w:val="20"/>
          <w:color w:val="auto"/>
        </w:rPr>
      </w:pPr>
      <w:r>
        <w:rPr>
          <w:rFonts w:ascii="Times New Roman" w:cs="Times New Roman" w:eastAsia="Times New Roman" w:hAnsi="Times New Roman"/>
          <w:sz w:val="14"/>
          <w:szCs w:val="14"/>
          <w:color w:val="1C2790"/>
        </w:rPr>
        <w:t xml:space="preserve">Exclusive License and Collaboration Agreement, dated July 18, 2025, by and between Erigen </w:t>
      </w:r>
      <w:r>
        <w:rPr>
          <w:rFonts w:ascii="Times New Roman" w:cs="Times New Roman" w:eastAsia="Times New Roman" w:hAnsi="Times New Roman"/>
          <w:sz w:val="27"/>
          <w:szCs w:val="27"/>
          <w:color w:val="000000"/>
          <w:vertAlign w:val="superscript"/>
        </w:rPr>
        <w:t>10.25#</w:t>
      </w:r>
      <w:r>
        <w:rPr>
          <w:rFonts w:ascii="Times New Roman" w:cs="Times New Roman" w:eastAsia="Times New Roman" w:hAnsi="Times New Roman"/>
          <w:sz w:val="14"/>
          <w:szCs w:val="14"/>
          <w:color w:val="1C2790"/>
        </w:rPr>
        <w:t xml:space="preserve"> LLC and Novatim Immune Therapeutics Co., Ltd.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-127635</wp:posOffset>
                </wp:positionV>
                <wp:extent cx="3809365" cy="0"/>
                <wp:wrapNone/>
                <wp:docPr id="896" name="Shape 8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09365"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896" o:spid="_x0000_s19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0.0499pt" to="329.95pt,-10.0499pt" o:allowincell="f" strokecolor="#19228E" strokeweight="0.3599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-12065</wp:posOffset>
                </wp:positionV>
                <wp:extent cx="2047240" cy="0"/>
                <wp:wrapNone/>
                <wp:docPr id="897" name="Shape 8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724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97" o:spid="_x0000_s19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9499pt" to="191.2pt,-0.9499pt" o:allowincell="f" strokecolor="#19228E" strokeweight="0.36pt"/>
            </w:pict>
          </mc:Fallback>
        </mc:AlternateContent>
      </w:r>
    </w:p>
    <w:p>
      <w:pPr>
        <w:ind w:left="60" w:firstLine="547"/>
        <w:spacing w:after="0" w:line="186" w:lineRule="auto"/>
        <w:rPr>
          <w:sz w:val="20"/>
          <w:szCs w:val="20"/>
          <w:color w:val="auto"/>
        </w:rPr>
      </w:pPr>
      <w:r>
        <w:rPr>
          <w:rFonts w:ascii="Times New Roman" w:cs="Times New Roman" w:eastAsia="Times New Roman" w:hAnsi="Times New Roman"/>
          <w:sz w:val="14"/>
          <w:szCs w:val="14"/>
          <w:color w:val="1C2790"/>
        </w:rPr>
        <w:t xml:space="preserve">Amended and Restated License and Collaboration Agreement, dated November 19, 2025, by and </w:t>
      </w:r>
      <w:r>
        <w:rPr>
          <w:rFonts w:ascii="Times New Roman" w:cs="Times New Roman" w:eastAsia="Times New Roman" w:hAnsi="Times New Roman"/>
          <w:sz w:val="27"/>
          <w:szCs w:val="27"/>
          <w:color w:val="000000"/>
          <w:vertAlign w:val="superscript"/>
        </w:rPr>
        <w:t>10.26#</w:t>
      </w:r>
      <w:r>
        <w:rPr>
          <w:rFonts w:ascii="Times New Roman" w:cs="Times New Roman" w:eastAsia="Times New Roman" w:hAnsi="Times New Roman"/>
          <w:sz w:val="14"/>
          <w:szCs w:val="14"/>
          <w:color w:val="1C2790"/>
        </w:rPr>
        <w:t xml:space="preserve"> between Factor Bioscience Limited and Erigen LLC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-127635</wp:posOffset>
                </wp:positionV>
                <wp:extent cx="3949065" cy="0"/>
                <wp:wrapNone/>
                <wp:docPr id="898" name="Shape 8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49065"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98" o:spid="_x0000_s19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0.0499pt" to="340.95pt,-10.0499pt" o:allowincell="f" strokecolor="#19228E" strokeweight="0.36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-10160</wp:posOffset>
                </wp:positionV>
                <wp:extent cx="2127885" cy="0"/>
                <wp:wrapNone/>
                <wp:docPr id="899" name="Shape 8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885"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899" o:spid="_x0000_s19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0.7999pt" to="197.55pt,-0.7999pt" o:allowincell="f" strokecolor="#19228E" strokeweight="0.36pt"/>
            </w:pict>
          </mc:Fallback>
        </mc:AlternateContent>
      </w:r>
    </w:p>
    <w:p>
      <w:pPr>
        <w:ind w:left="60" w:right="100" w:firstLine="547"/>
        <w:spacing w:after="0" w:line="186" w:lineRule="auto"/>
        <w:rPr>
          <w:sz w:val="20"/>
          <w:szCs w:val="20"/>
          <w:color w:val="auto"/>
        </w:rPr>
      </w:pPr>
      <w:r>
        <w:rPr>
          <w:rFonts w:ascii="Times New Roman" w:cs="Times New Roman" w:eastAsia="Times New Roman" w:hAnsi="Times New Roman"/>
          <w:sz w:val="14"/>
          <w:szCs w:val="14"/>
          <w:color w:val="1C2790"/>
        </w:rPr>
        <w:t xml:space="preserve">Amended and Restated Master Services Agreement, dated November 19, 2025, by and between </w:t>
      </w:r>
      <w:r>
        <w:rPr>
          <w:rFonts w:ascii="Times New Roman" w:cs="Times New Roman" w:eastAsia="Times New Roman" w:hAnsi="Times New Roman"/>
          <w:sz w:val="27"/>
          <w:szCs w:val="27"/>
          <w:color w:val="000000"/>
          <w:vertAlign w:val="superscript"/>
        </w:rPr>
        <w:t>10.27#</w:t>
      </w:r>
      <w:r>
        <w:rPr>
          <w:rFonts w:ascii="Times New Roman" w:cs="Times New Roman" w:eastAsia="Times New Roman" w:hAnsi="Times New Roman"/>
          <w:sz w:val="14"/>
          <w:szCs w:val="14"/>
          <w:color w:val="1C2790"/>
        </w:rPr>
        <w:t xml:space="preserve"> Factor Bioscience Limited and Erigen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-129540</wp:posOffset>
            </wp:positionV>
            <wp:extent cx="3891280" cy="4763"/>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27">
                      <a:extLst>
                        <a:ext uri="{28A0092B-C50C-407E-A947-70E740481C1C}"/>
                      </a:extLst>
                    </a:blip>
                    <a:srcRect/>
                    <a:stretch>
                      <a:fillRect/>
                    </a:stretch>
                  </pic:blipFill>
                  <pic:spPr bwMode="auto">
                    <a:xfrm>
                      <a:off x="0" y="0"/>
                      <a:ext cx="3891280" cy="4763"/>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-12700</wp:posOffset>
            </wp:positionV>
            <wp:extent cx="1765300" cy="4763"/>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28">
                      <a:extLst>
                        <a:ext uri="{28A0092B-C50C-407E-A947-70E740481C1C}"/>
                      </a:extLst>
                    </a:blip>
                    <a:srcRect/>
                    <a:stretch>
                      <a:fillRect/>
                    </a:stretch>
                  </pic:blipFill>
                  <pic:spPr bwMode="auto">
                    <a:xfrm>
                      <a:off x="0" y="0"/>
                      <a:ext cx="1765300" cy="4763"/>
                    </a:xfrm>
                    <a:prstGeom prst="rect">
                      <a:avLst/>
                    </a:prstGeom>
                    <a:noFill/>
                  </pic:spPr>
                </pic:pic>
              </a:graphicData>
            </a:graphic>
          </wp:anchor>
        </w:drawing>
      </w:r>
    </w:p>
    <w:p>
      <w:pPr>
        <w:ind w:left="60" w:right="200" w:firstLine="540"/>
        <w:spacing w:after="0" w:line="188" w:lineRule="auto"/>
        <w:rPr>
          <w:sz w:val="20"/>
          <w:szCs w:val="20"/>
          <w:color w:val="auto"/>
        </w:rPr>
      </w:pPr>
      <w:r>
        <w:rPr>
          <w:rFonts w:ascii="Times New Roman" w:cs="Times New Roman" w:eastAsia="Times New Roman" w:hAnsi="Times New Roman"/>
          <w:sz w:val="14"/>
          <w:szCs w:val="14"/>
          <w:color w:val="1C2790"/>
        </w:rPr>
        <w:t xml:space="preserve">Executive Employment Agreement, dated November 19, 2025, by and between the Registrant </w:t>
      </w:r>
      <w:r>
        <w:rPr>
          <w:rFonts w:ascii="Times New Roman" w:cs="Times New Roman" w:eastAsia="Times New Roman" w:hAnsi="Times New Roman"/>
          <w:sz w:val="27"/>
          <w:szCs w:val="27"/>
          <w:color w:val="000000"/>
          <w:vertAlign w:val="superscript"/>
        </w:rPr>
        <w:t>10.28</w:t>
      </w:r>
      <w:r>
        <w:rPr>
          <w:rFonts w:ascii="Times New Roman" w:cs="Times New Roman" w:eastAsia="Times New Roman" w:hAnsi="Times New Roman"/>
          <w:sz w:val="10"/>
          <w:szCs w:val="10"/>
          <w:color w:val="000000"/>
        </w:rPr>
        <w:t xml:space="preserve">+ </w:t>
      </w:r>
      <w:r>
        <w:rPr>
          <w:rFonts w:ascii="Times New Roman" w:cs="Times New Roman" w:eastAsia="Times New Roman" w:hAnsi="Times New Roman"/>
          <w:sz w:val="14"/>
          <w:szCs w:val="14"/>
          <w:color w:val="1C2790"/>
        </w:rPr>
        <w:t>and Matthew Angel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-130175</wp:posOffset>
                </wp:positionV>
                <wp:extent cx="3821430" cy="0"/>
                <wp:wrapNone/>
                <wp:docPr id="902" name="Shape 9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1430"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902" o:spid="_x0000_s19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0.2499pt" to="330.9pt,-10.2499pt" o:allowincell="f" strokecolor="#19228E" strokeweight="0.3599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-12700</wp:posOffset>
                </wp:positionV>
                <wp:extent cx="807720" cy="0"/>
                <wp:wrapNone/>
                <wp:docPr id="903" name="Shape 9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4572">
                          <a:solidFill>
                            <a:srgbClr val="19228E"/>
                          </a:solidFill>
                          <a:miter lim="800000"/>
                          <a:headEnd/>
                          <a:tailEnd/>
                        </a:ln>
                      </wps:spPr>
                      <wps:bodyPr/>
                    </wps:wsp>
                  </a:graphicData>
                </a:graphic>
              </wp:anchor>
            </w:drawing>
          </mc:Choice>
          <mc:Fallback>
            <w:pict>
              <v:line id="Shape 903" o:spid="_x0000_s19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pt" to="93.6pt,-1pt" o:allowincell="f" strokecolor="#19228E" strokeweight="0.36pt"/>
            </w:pict>
          </mc:Fallback>
        </mc:AlternateContent>
      </w:r>
    </w:p>
    <w:p>
      <w:pPr>
        <w:ind w:left="60" w:right="160" w:firstLine="540"/>
        <w:spacing w:after="0" w:line="243" w:lineRule="auto"/>
        <w:rPr>
          <w:sz w:val="20"/>
          <w:szCs w:val="20"/>
          <w:color w:val="auto"/>
        </w:rPr>
      </w:pPr>
      <w:r>
        <w:rPr>
          <w:rFonts w:ascii="Times New Roman" w:cs="Times New Roman" w:eastAsia="Times New Roman" w:hAnsi="Times New Roman"/>
          <w:sz w:val="16"/>
          <w:szCs w:val="16"/>
          <w:color w:val="1C2790"/>
        </w:rPr>
        <w:t xml:space="preserve">Executive Employment Agreement, dated February 3, 2026 by and between the Registrant and </w:t>
      </w:r>
      <w:r>
        <w:rPr>
          <w:rFonts w:ascii="Times New Roman" w:cs="Times New Roman" w:eastAsia="Times New Roman" w:hAnsi="Times New Roman"/>
          <w:sz w:val="32"/>
          <w:szCs w:val="32"/>
          <w:color w:val="000000"/>
          <w:vertAlign w:val="superscript"/>
        </w:rPr>
        <w:t>10.29</w:t>
      </w:r>
      <w:r>
        <w:rPr>
          <w:rFonts w:ascii="Times New Roman" w:cs="Times New Roman" w:eastAsia="Times New Roman" w:hAnsi="Times New Roman"/>
          <w:sz w:val="11"/>
          <w:szCs w:val="11"/>
          <w:color w:val="000000"/>
        </w:rPr>
        <w:t xml:space="preserve">+ </w:t>
      </w:r>
      <w:r>
        <w:rPr>
          <w:rFonts w:ascii="Times New Roman" w:cs="Times New Roman" w:eastAsia="Times New Roman" w:hAnsi="Times New Roman"/>
          <w:sz w:val="16"/>
          <w:szCs w:val="16"/>
          <w:color w:val="1C2790"/>
        </w:rPr>
        <w:t>Nicholas Maestas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381000</wp:posOffset>
                </wp:positionH>
                <wp:positionV relativeFrom="paragraph">
                  <wp:posOffset>-250825</wp:posOffset>
                </wp:positionV>
                <wp:extent cx="3855085" cy="0"/>
                <wp:wrapNone/>
                <wp:docPr id="904" name="Shape 9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55085"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904" o:spid="_x0000_s19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9.7499pt" to="333.55pt,-19.7499pt" o:allowincell="f" strokecolor="#19228E" strokeweight="0.3599pt"/>
            </w:pict>
          </mc:Fallback>
        </mc:AlternateContent>
        <mc:AlternateContent>
          <mc:Choice Requires="wps">
            <w:drawing>
              <wp:anchor simplePos="0" relativeHeight="251657728" behindDoc="1" locked="0" layoutInCell="0" allowOverlap="1">
                <wp:simplePos x="0" y="0"/>
                <wp:positionH relativeFrom="column">
                  <wp:posOffset>381000</wp:posOffset>
                </wp:positionH>
                <wp:positionV relativeFrom="paragraph">
                  <wp:posOffset>-134620</wp:posOffset>
                </wp:positionV>
                <wp:extent cx="719455" cy="0"/>
                <wp:wrapNone/>
                <wp:docPr id="905" name="Shape 9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9455" cy="4763"/>
                        </a:xfrm>
                        <a:prstGeom prst="line">
                          <a:avLst/>
                        </a:prstGeom>
                        <a:solidFill>
                          <a:srgbClr val="FFFFFF"/>
                        </a:solidFill>
                        <a:ln w="4571">
                          <a:solidFill>
                            <a:srgbClr val="19228E"/>
                          </a:solidFill>
                          <a:miter lim="800000"/>
                          <a:headEnd/>
                          <a:tailEnd/>
                        </a:ln>
                      </wps:spPr>
                      <wps:bodyPr/>
                    </wps:wsp>
                  </a:graphicData>
                </a:graphic>
              </wp:anchor>
            </w:drawing>
          </mc:Choice>
          <mc:Fallback>
            <w:pict>
              <v:line id="Shape 905" o:spid="_x0000_s19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pt,-10.5999pt" to="86.65pt,-10.5999pt" o:allowincell="f" strokecolor="#19228E" strokeweight="0.3599pt"/>
            </w:pict>
          </mc:Fallback>
        </mc:AlternateConten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257727</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7/7/2021</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3/29/2022</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6/21/2022</w:t>
            </w:r>
          </w:p>
        </w:tc>
        <w:tc>
          <w:tcPr>
            <w:tcW w:w="0" w:type="dxa"/>
            <w:vAlign w:val="bottom"/>
          </w:tcPr>
          <w:p>
            <w:pPr>
              <w:spacing w:after="0"/>
              <w:rPr>
                <w:sz w:val="1"/>
                <w:szCs w:val="1"/>
                <w:color w:val="auto"/>
              </w:rPr>
            </w:pPr>
          </w:p>
        </w:tc>
      </w:tr>
      <w:tr>
        <w:trPr>
          <w:trHeight w:val="260"/>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8/12/2019</w:t>
            </w:r>
          </w:p>
        </w:tc>
        <w:tc>
          <w:tcPr>
            <w:tcW w:w="0" w:type="dxa"/>
            <w:vAlign w:val="bottom"/>
          </w:tcPr>
          <w:p>
            <w:pPr>
              <w:spacing w:after="0"/>
              <w:rPr>
                <w:sz w:val="1"/>
                <w:szCs w:val="1"/>
                <w:color w:val="auto"/>
              </w:rPr>
            </w:pPr>
          </w:p>
        </w:tc>
      </w:tr>
      <w:tr>
        <w:trPr>
          <w:trHeight w:val="260"/>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3/11/2020</w:t>
            </w:r>
          </w:p>
        </w:tc>
        <w:tc>
          <w:tcPr>
            <w:tcW w:w="0" w:type="dxa"/>
            <w:vAlign w:val="bottom"/>
          </w:tcPr>
          <w:p>
            <w:pPr>
              <w:spacing w:after="0"/>
              <w:rPr>
                <w:sz w:val="1"/>
                <w:szCs w:val="1"/>
                <w:color w:val="auto"/>
              </w:rPr>
            </w:pPr>
          </w:p>
        </w:tc>
      </w:tr>
      <w:tr>
        <w:trPr>
          <w:trHeight w:val="260"/>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3/11/2020</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6/21/2022</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7/07/2021</w:t>
            </w:r>
          </w:p>
        </w:tc>
        <w:tc>
          <w:tcPr>
            <w:tcW w:w="0" w:type="dxa"/>
            <w:vAlign w:val="bottom"/>
          </w:tcPr>
          <w:p>
            <w:pPr>
              <w:spacing w:after="0"/>
              <w:rPr>
                <w:sz w:val="1"/>
                <w:szCs w:val="1"/>
                <w:color w:val="auto"/>
              </w:rPr>
            </w:pPr>
          </w:p>
        </w:tc>
      </w:tr>
      <w:tr>
        <w:trPr>
          <w:trHeight w:val="260"/>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10.24 03/22/2023</w:t>
            </w:r>
          </w:p>
        </w:tc>
        <w:tc>
          <w:tcPr>
            <w:tcW w:w="0" w:type="dxa"/>
            <w:vAlign w:val="bottom"/>
          </w:tcPr>
          <w:p>
            <w:pPr>
              <w:spacing w:after="0"/>
              <w:rPr>
                <w:sz w:val="1"/>
                <w:szCs w:val="1"/>
                <w:color w:val="auto"/>
              </w:rPr>
            </w:pPr>
          </w:p>
        </w:tc>
      </w:tr>
      <w:tr>
        <w:trPr>
          <w:trHeight w:val="262"/>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8/10/2023</w:t>
            </w:r>
          </w:p>
        </w:tc>
        <w:tc>
          <w:tcPr>
            <w:tcW w:w="0" w:type="dxa"/>
            <w:vAlign w:val="bottom"/>
          </w:tcPr>
          <w:p>
            <w:pPr>
              <w:spacing w:after="0"/>
              <w:rPr>
                <w:sz w:val="1"/>
                <w:szCs w:val="1"/>
                <w:color w:val="auto"/>
              </w:rPr>
            </w:pPr>
          </w:p>
        </w:tc>
      </w:tr>
      <w:tr>
        <w:trPr>
          <w:trHeight w:val="213"/>
        </w:trPr>
        <w:tc>
          <w:tcPr>
            <w:tcW w:w="3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8/10/2023</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8/10/2023</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8/10/2023</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10.32</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3/27/2025</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8/11/2025</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8/11/2025</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8/11/2025</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8/11/2025</w:t>
            </w:r>
          </w:p>
        </w:tc>
        <w:tc>
          <w:tcPr>
            <w:tcW w:w="0" w:type="dxa"/>
            <w:vAlign w:val="bottom"/>
          </w:tcPr>
          <w:p>
            <w:pPr>
              <w:spacing w:after="0"/>
              <w:rPr>
                <w:sz w:val="1"/>
                <w:szCs w:val="1"/>
                <w:color w:val="auto"/>
              </w:rPr>
            </w:pPr>
          </w:p>
        </w:tc>
      </w:tr>
      <w:tr>
        <w:trPr>
          <w:trHeight w:val="260"/>
        </w:trPr>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8/11/2025</w:t>
            </w:r>
          </w:p>
        </w:tc>
        <w:tc>
          <w:tcPr>
            <w:tcW w:w="0" w:type="dxa"/>
            <w:vAlign w:val="bottom"/>
          </w:tcPr>
          <w:p>
            <w:pPr>
              <w:spacing w:after="0"/>
              <w:rPr>
                <w:sz w:val="1"/>
                <w:szCs w:val="1"/>
                <w:color w:val="auto"/>
              </w:rPr>
            </w:pPr>
          </w:p>
        </w:tc>
      </w:tr>
      <w:tr>
        <w:trPr>
          <w:trHeight w:val="262"/>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9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8/11/2025</w:t>
            </w:r>
          </w:p>
        </w:tc>
        <w:tc>
          <w:tcPr>
            <w:tcW w:w="0" w:type="dxa"/>
            <w:vAlign w:val="bottom"/>
          </w:tcPr>
          <w:p>
            <w:pPr>
              <w:spacing w:after="0"/>
              <w:rPr>
                <w:sz w:val="1"/>
                <w:szCs w:val="1"/>
                <w:color w:val="auto"/>
              </w:rPr>
            </w:pPr>
          </w:p>
        </w:tc>
      </w:tr>
      <w:tr>
        <w:trPr>
          <w:trHeight w:val="213"/>
        </w:trPr>
        <w:tc>
          <w:tcPr>
            <w:tcW w:w="3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11/19/2025</w:t>
            </w:r>
          </w:p>
        </w:tc>
        <w:tc>
          <w:tcPr>
            <w:tcW w:w="0" w:type="dxa"/>
            <w:vAlign w:val="bottom"/>
          </w:tcPr>
          <w:p>
            <w:pPr>
              <w:spacing w:after="0"/>
              <w:rPr>
                <w:sz w:val="1"/>
                <w:szCs w:val="1"/>
                <w:color w:val="auto"/>
              </w:rPr>
            </w:pPr>
          </w:p>
        </w:tc>
      </w:tr>
      <w:tr>
        <w:trPr>
          <w:trHeight w:val="213"/>
        </w:trPr>
        <w:tc>
          <w:tcPr>
            <w:tcW w:w="3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11/19/2025</w:t>
            </w:r>
          </w:p>
        </w:tc>
        <w:tc>
          <w:tcPr>
            <w:tcW w:w="0" w:type="dxa"/>
            <w:vAlign w:val="bottom"/>
          </w:tcPr>
          <w:p>
            <w:pPr>
              <w:spacing w:after="0"/>
              <w:rPr>
                <w:sz w:val="1"/>
                <w:szCs w:val="1"/>
                <w:color w:val="auto"/>
              </w:rPr>
            </w:pPr>
          </w:p>
        </w:tc>
      </w:tr>
      <w:tr>
        <w:trPr>
          <w:trHeight w:val="213"/>
        </w:trPr>
        <w:tc>
          <w:tcPr>
            <w:tcW w:w="3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35890</w:t>
            </w:r>
          </w:p>
        </w:tc>
        <w:tc>
          <w:tcPr>
            <w:tcW w:w="4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X</w:t>
      </w:r>
    </w:p>
    <w:p>
      <w:pPr>
        <w:spacing w:after="0" w:line="18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X</w:t>
      </w:r>
    </w:p>
    <w:p>
      <w:pPr>
        <w:spacing w:after="0" w:line="18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X</w:t>
      </w:r>
    </w:p>
    <w:p>
      <w:pPr>
        <w:spacing w:after="0" w:line="18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X</w:t>
      </w:r>
    </w:p>
    <w:p>
      <w:pPr>
        <w:spacing w:after="0" w:line="18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X</w:t>
      </w:r>
    </w:p>
    <w:p>
      <w:pPr>
        <w:sectPr>
          <w:pgSz w:w="12240" w:h="15840" w:orient="portrait"/>
          <w:cols w:equalWidth="0" w:num="2">
            <w:col w:w="6820" w:space="100"/>
            <w:col w:w="2440"/>
          </w:cols>
          <w:pgMar w:left="1440" w:top="1440" w:right="1440" w:bottom="1022" w:gutter="0" w:footer="0" w:header="0"/>
        </w:sectPr>
      </w:pPr>
    </w:p>
    <w:bookmarkStart w:id="159" w:name="page160"/>
    <w:bookmarkEnd w:id="159"/>
    <w:p>
      <w:pPr>
        <w:spacing w:after="0" w:line="5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2"/>
        </w:trPr>
        <w:tc>
          <w:tcPr>
            <w:tcW w:w="460" w:type="dxa"/>
            <w:vAlign w:val="bottom"/>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w w:val="92"/>
              </w:rPr>
              <w:t>19.1</w:t>
            </w:r>
          </w:p>
        </w:tc>
        <w:tc>
          <w:tcPr>
            <w:tcW w:w="3220" w:type="dxa"/>
            <w:vAlign w:val="bottom"/>
            <w:tcBorders>
              <w:bottom w:val="single" w:sz="8" w:color="19228E"/>
            </w:tcBorders>
            <w:gridSpan w:val="2"/>
          </w:tcPr>
          <w:p>
            <w:pPr>
              <w:spacing w:after="0" w:line="182" w:lineRule="exact"/>
              <w:rPr>
                <w:sz w:val="20"/>
                <w:szCs w:val="20"/>
                <w:color w:val="auto"/>
              </w:rPr>
            </w:pPr>
            <w:r>
              <w:rPr>
                <w:rFonts w:ascii="Times New Roman" w:cs="Times New Roman" w:eastAsia="Times New Roman" w:hAnsi="Times New Roman"/>
                <w:sz w:val="16"/>
                <w:szCs w:val="16"/>
                <w:color w:val="1C2790"/>
                <w:w w:val="99"/>
              </w:rPr>
              <w:t>Tempest Therapeutics, Inc. Insider Trading Policy</w:t>
            </w:r>
          </w:p>
        </w:tc>
        <w:tc>
          <w:tcPr>
            <w:tcW w:w="3540" w:type="dxa"/>
            <w:vAlign w:val="bottom"/>
          </w:tcPr>
          <w:p>
            <w:pPr>
              <w:jc w:val="center"/>
              <w:ind w:left="2900"/>
              <w:spacing w:after="0" w:line="182" w:lineRule="exact"/>
              <w:rPr>
                <w:sz w:val="20"/>
                <w:szCs w:val="20"/>
                <w:color w:val="auto"/>
              </w:rPr>
            </w:pPr>
            <w:r>
              <w:rPr>
                <w:rFonts w:ascii="Times New Roman" w:cs="Times New Roman" w:eastAsia="Times New Roman" w:hAnsi="Times New Roman"/>
                <w:sz w:val="16"/>
                <w:szCs w:val="16"/>
                <w:color w:val="auto"/>
                <w:w w:val="97"/>
              </w:rPr>
              <w:t>10-K</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35890</w:t>
            </w:r>
          </w:p>
        </w:tc>
        <w:tc>
          <w:tcPr>
            <w:tcW w:w="480" w:type="dxa"/>
            <w:vAlign w:val="bottom"/>
          </w:tcPr>
          <w:p>
            <w:pPr>
              <w:jc w:val="right"/>
              <w:ind w:right="80"/>
              <w:spacing w:after="0" w:line="182" w:lineRule="exact"/>
              <w:rPr>
                <w:sz w:val="20"/>
                <w:szCs w:val="20"/>
                <w:color w:val="auto"/>
              </w:rPr>
            </w:pPr>
            <w:r>
              <w:rPr>
                <w:rFonts w:ascii="Times New Roman" w:cs="Times New Roman" w:eastAsia="Times New Roman" w:hAnsi="Times New Roman"/>
                <w:sz w:val="16"/>
                <w:szCs w:val="16"/>
                <w:color w:val="auto"/>
              </w:rPr>
              <w:t>19.1</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3/27/25</w:t>
            </w:r>
          </w:p>
        </w:tc>
      </w:tr>
      <w:tr>
        <w:trPr>
          <w:trHeight w:val="271"/>
        </w:trPr>
        <w:tc>
          <w:tcPr>
            <w:tcW w:w="4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540" w:type="dxa"/>
            <w:vAlign w:val="bottom"/>
          </w:tcPr>
          <w:p>
            <w:pPr>
              <w:jc w:val="center"/>
              <w:ind w:left="2920"/>
              <w:spacing w:after="0"/>
              <w:rPr>
                <w:sz w:val="20"/>
                <w:szCs w:val="20"/>
                <w:color w:val="auto"/>
              </w:rPr>
            </w:pPr>
            <w:r>
              <w:rPr>
                <w:rFonts w:ascii="Times New Roman" w:cs="Times New Roman" w:eastAsia="Times New Roman" w:hAnsi="Times New Roman"/>
                <w:sz w:val="16"/>
                <w:szCs w:val="16"/>
                <w:color w:val="auto"/>
              </w:rPr>
              <w:t>10-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82"/>
        </w:trPr>
        <w:tc>
          <w:tcPr>
            <w:tcW w:w="460" w:type="dxa"/>
            <w:vAlign w:val="bottom"/>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w w:val="92"/>
              </w:rPr>
              <w:t>21.1</w:t>
            </w:r>
          </w:p>
        </w:tc>
        <w:tc>
          <w:tcPr>
            <w:tcW w:w="322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1C2790"/>
              </w:rPr>
              <w:t>Subsidiaries of the Registrant</w:t>
            </w:r>
          </w:p>
        </w:tc>
        <w:tc>
          <w:tcPr>
            <w:tcW w:w="3540" w:type="dxa"/>
            <w:vAlign w:val="bottom"/>
          </w:tcPr>
          <w:p>
            <w:pPr>
              <w:jc w:val="center"/>
              <w:ind w:left="2900"/>
              <w:spacing w:after="0" w:line="182" w:lineRule="exact"/>
              <w:rPr>
                <w:sz w:val="20"/>
                <w:szCs w:val="20"/>
                <w:color w:val="auto"/>
              </w:rPr>
            </w:pPr>
            <w:r>
              <w:rPr>
                <w:rFonts w:ascii="Times New Roman" w:cs="Times New Roman" w:eastAsia="Times New Roman" w:hAnsi="Times New Roman"/>
                <w:sz w:val="16"/>
                <w:szCs w:val="16"/>
                <w:color w:val="auto"/>
              </w:rPr>
              <w:t>K/A</w:t>
            </w:r>
          </w:p>
        </w:tc>
        <w:tc>
          <w:tcPr>
            <w:tcW w:w="5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35890</w:t>
            </w:r>
          </w:p>
        </w:tc>
        <w:tc>
          <w:tcPr>
            <w:tcW w:w="480" w:type="dxa"/>
            <w:vAlign w:val="bottom"/>
          </w:tcPr>
          <w:p>
            <w:pPr>
              <w:jc w:val="right"/>
              <w:ind w:right="80"/>
              <w:spacing w:after="0" w:line="182" w:lineRule="exact"/>
              <w:rPr>
                <w:sz w:val="20"/>
                <w:szCs w:val="20"/>
                <w:color w:val="auto"/>
              </w:rPr>
            </w:pPr>
            <w:r>
              <w:rPr>
                <w:rFonts w:ascii="Times New Roman" w:cs="Times New Roman" w:eastAsia="Times New Roman" w:hAnsi="Times New Roman"/>
                <w:sz w:val="16"/>
                <w:szCs w:val="16"/>
                <w:color w:val="auto"/>
              </w:rPr>
              <w:t>21.1</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4/1/2022</w:t>
            </w:r>
          </w:p>
        </w:tc>
      </w:tr>
      <w:tr>
        <w:trPr>
          <w:trHeight w:val="20"/>
        </w:trPr>
        <w:tc>
          <w:tcPr>
            <w:tcW w:w="460" w:type="dxa"/>
            <w:vAlign w:val="bottom"/>
          </w:tcPr>
          <w:p>
            <w:pPr>
              <w:spacing w:after="0" w:line="20" w:lineRule="exact"/>
              <w:rPr>
                <w:sz w:val="1"/>
                <w:szCs w:val="1"/>
                <w:color w:val="auto"/>
              </w:rPr>
            </w:pPr>
          </w:p>
        </w:tc>
        <w:tc>
          <w:tcPr>
            <w:tcW w:w="1880" w:type="dxa"/>
            <w:vAlign w:val="bottom"/>
            <w:shd w:val="clear" w:color="auto" w:fill="19228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5080" w:type="dxa"/>
            <w:vAlign w:val="bottom"/>
            <w:tcBorders>
              <w:bottom w:val="single" w:sz="8" w:color="19228E"/>
            </w:tcBorders>
            <w:gridSpan w:val="5"/>
          </w:tcPr>
          <w:p>
            <w:pPr>
              <w:spacing w:after="0"/>
              <w:rPr>
                <w:sz w:val="20"/>
                <w:szCs w:val="20"/>
                <w:color w:val="auto"/>
              </w:rPr>
            </w:pPr>
            <w:r>
              <w:rPr>
                <w:rFonts w:ascii="Times New Roman" w:cs="Times New Roman" w:eastAsia="Times New Roman" w:hAnsi="Times New Roman"/>
                <w:sz w:val="16"/>
                <w:szCs w:val="16"/>
                <w:color w:val="1C2790"/>
                <w:w w:val="99"/>
              </w:rPr>
              <w:t>Consent of Ernst &amp; Young LLP, independent registered public accounting firm</w:t>
            </w:r>
          </w:p>
        </w:tc>
        <w:tc>
          <w:tcPr>
            <w:tcW w:w="1080" w:type="dxa"/>
            <w:vAlign w:val="bottom"/>
            <w:gridSpan w:val="7"/>
          </w:tcPr>
          <w:p>
            <w:pPr>
              <w:spacing w:after="0"/>
              <w:rPr>
                <w:sz w:val="16"/>
                <w:szCs w:val="16"/>
                <w:color w:val="auto"/>
              </w:rPr>
            </w:pPr>
          </w:p>
        </w:tc>
        <w:tc>
          <w:tcPr>
            <w:tcW w:w="26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7"/>
        </w:trPr>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24.1</w:t>
            </w:r>
          </w:p>
        </w:tc>
        <w:tc>
          <w:tcPr>
            <w:tcW w:w="3060" w:type="dxa"/>
            <w:vAlign w:val="bottom"/>
            <w:tcBorders>
              <w:bottom w:val="single" w:sz="8" w:color="19228E"/>
            </w:tcBorders>
            <w:gridSpan w:val="4"/>
          </w:tcPr>
          <w:p>
            <w:pPr>
              <w:spacing w:after="0"/>
              <w:rPr>
                <w:sz w:val="20"/>
                <w:szCs w:val="20"/>
                <w:color w:val="auto"/>
              </w:rPr>
            </w:pPr>
            <w:r>
              <w:rPr>
                <w:rFonts w:ascii="Times New Roman" w:cs="Times New Roman" w:eastAsia="Times New Roman" w:hAnsi="Times New Roman"/>
                <w:sz w:val="16"/>
                <w:szCs w:val="16"/>
                <w:color w:val="1C2790"/>
                <w:w w:val="99"/>
              </w:rPr>
              <w:t>Power of Attorney (included on signature page)</w:t>
            </w:r>
          </w:p>
        </w:tc>
        <w:tc>
          <w:tcPr>
            <w:tcW w:w="3100" w:type="dxa"/>
            <w:vAlign w:val="bottom"/>
            <w:gridSpan w:val="8"/>
          </w:tcPr>
          <w:p>
            <w:pPr>
              <w:spacing w:after="0"/>
              <w:rPr>
                <w:sz w:val="24"/>
                <w:szCs w:val="24"/>
                <w:color w:val="auto"/>
              </w:rPr>
            </w:pPr>
          </w:p>
        </w:tc>
        <w:tc>
          <w:tcPr>
            <w:tcW w:w="26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1C2790"/>
              </w:rPr>
              <w:t>Certification of Principal Executive Officer pursuant to Rules 13a-14(a) and 15d-14(a)</w:t>
            </w: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5540" w:type="dxa"/>
            <w:vAlign w:val="bottom"/>
            <w:tcBorders>
              <w:top w:val="single" w:sz="8" w:color="19228E"/>
            </w:tcBorders>
            <w:gridSpan w:val="8"/>
          </w:tcPr>
          <w:p>
            <w:pPr>
              <w:spacing w:after="0" w:line="165" w:lineRule="exact"/>
              <w:rPr>
                <w:sz w:val="20"/>
                <w:szCs w:val="20"/>
                <w:color w:val="auto"/>
              </w:rPr>
            </w:pPr>
            <w:r>
              <w:rPr>
                <w:rFonts w:ascii="Times New Roman" w:cs="Times New Roman" w:eastAsia="Times New Roman" w:hAnsi="Times New Roman"/>
                <w:sz w:val="16"/>
                <w:szCs w:val="16"/>
                <w:color w:val="1C2790"/>
                <w:w w:val="98"/>
              </w:rPr>
              <w:t>promulgated under the Securities Exchange Act of 1934, as adopted pursuant to Section</w:t>
            </w:r>
          </w:p>
        </w:tc>
        <w:tc>
          <w:tcPr>
            <w:tcW w:w="620" w:type="dxa"/>
            <w:vAlign w:val="bottom"/>
            <w:gridSpan w:val="4"/>
          </w:tcPr>
          <w:p>
            <w:pPr>
              <w:ind w:left="140"/>
              <w:spacing w:after="0" w:line="165" w:lineRule="exact"/>
              <w:rPr>
                <w:sz w:val="20"/>
                <w:szCs w:val="20"/>
                <w:color w:val="auto"/>
              </w:rPr>
            </w:pPr>
            <w:r>
              <w:rPr>
                <w:rFonts w:ascii="Times New Roman" w:cs="Times New Roman" w:eastAsia="Times New Roman" w:hAnsi="Times New Roman"/>
                <w:sz w:val="16"/>
                <w:szCs w:val="16"/>
                <w:color w:val="1C2790"/>
              </w:rPr>
              <w:t>302 of</w:t>
            </w:r>
          </w:p>
        </w:tc>
        <w:tc>
          <w:tcPr>
            <w:tcW w:w="2600" w:type="dxa"/>
            <w:vAlign w:val="bottom"/>
            <w:vMerge w:val="restart"/>
          </w:tcPr>
          <w:p>
            <w:pPr>
              <w:ind w:left="24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2"/>
        </w:trPr>
        <w:tc>
          <w:tcPr>
            <w:tcW w:w="600" w:type="dxa"/>
            <w:vAlign w:val="bottom"/>
            <w:vMerge w:val="continue"/>
          </w:tcPr>
          <w:p>
            <w:pPr>
              <w:spacing w:after="0"/>
              <w:rPr>
                <w:sz w:val="14"/>
                <w:szCs w:val="14"/>
                <w:color w:val="auto"/>
              </w:rPr>
            </w:pPr>
          </w:p>
        </w:tc>
        <w:tc>
          <w:tcPr>
            <w:tcW w:w="6080" w:type="dxa"/>
            <w:vAlign w:val="bottom"/>
            <w:tcBorders>
              <w:top w:val="single" w:sz="8" w:color="19228E"/>
            </w:tcBorders>
            <w:gridSpan w:val="11"/>
          </w:tcPr>
          <w:p>
            <w:pPr>
              <w:spacing w:after="0" w:line="162" w:lineRule="exact"/>
              <w:rPr>
                <w:sz w:val="20"/>
                <w:szCs w:val="20"/>
                <w:color w:val="auto"/>
              </w:rPr>
            </w:pPr>
            <w:r>
              <w:rPr>
                <w:rFonts w:ascii="Times New Roman" w:cs="Times New Roman" w:eastAsia="Times New Roman" w:hAnsi="Times New Roman"/>
                <w:sz w:val="16"/>
                <w:szCs w:val="16"/>
                <w:color w:val="1C2790"/>
              </w:rPr>
              <w:t>the Sarbanes-Oxley Act of 2002</w:t>
            </w:r>
          </w:p>
        </w:tc>
        <w:tc>
          <w:tcPr>
            <w:tcW w:w="8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60" w:type="dxa"/>
            <w:vAlign w:val="bottom"/>
            <w:gridSpan w:val="2"/>
            <w:shd w:val="clear" w:color="auto" w:fill="19228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1C2790"/>
              </w:rPr>
              <w:t>Certification of Principal Financial Officer pursuant to Rules 13a-14(a) and 15d-14(a)</w:t>
            </w: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5500" w:type="dxa"/>
            <w:vAlign w:val="bottom"/>
            <w:tcBorders>
              <w:top w:val="single" w:sz="8" w:color="19228E"/>
            </w:tcBorders>
            <w:gridSpan w:val="7"/>
          </w:tcPr>
          <w:p>
            <w:pPr>
              <w:spacing w:after="0" w:line="165" w:lineRule="exact"/>
              <w:rPr>
                <w:sz w:val="20"/>
                <w:szCs w:val="20"/>
                <w:color w:val="auto"/>
              </w:rPr>
            </w:pPr>
            <w:r>
              <w:rPr>
                <w:rFonts w:ascii="Times New Roman" w:cs="Times New Roman" w:eastAsia="Times New Roman" w:hAnsi="Times New Roman"/>
                <w:sz w:val="16"/>
                <w:szCs w:val="16"/>
                <w:color w:val="1C2790"/>
                <w:w w:val="97"/>
              </w:rPr>
              <w:t>promulgated under the Securities Exchange Act of 1934, as adopted pursuant to section</w:t>
            </w:r>
          </w:p>
        </w:tc>
        <w:tc>
          <w:tcPr>
            <w:tcW w:w="660" w:type="dxa"/>
            <w:vAlign w:val="bottom"/>
            <w:gridSpan w:val="5"/>
          </w:tcPr>
          <w:p>
            <w:pPr>
              <w:ind w:left="140"/>
              <w:spacing w:after="0" w:line="165" w:lineRule="exact"/>
              <w:rPr>
                <w:sz w:val="20"/>
                <w:szCs w:val="20"/>
                <w:color w:val="auto"/>
              </w:rPr>
            </w:pPr>
            <w:r>
              <w:rPr>
                <w:rFonts w:ascii="Times New Roman" w:cs="Times New Roman" w:eastAsia="Times New Roman" w:hAnsi="Times New Roman"/>
                <w:sz w:val="16"/>
                <w:szCs w:val="16"/>
                <w:color w:val="1C2790"/>
              </w:rPr>
              <w:t>302 of</w:t>
            </w:r>
          </w:p>
        </w:tc>
        <w:tc>
          <w:tcPr>
            <w:tcW w:w="2600" w:type="dxa"/>
            <w:vAlign w:val="bottom"/>
            <w:vMerge w:val="restart"/>
          </w:tcPr>
          <w:p>
            <w:pPr>
              <w:ind w:left="24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2"/>
        </w:trPr>
        <w:tc>
          <w:tcPr>
            <w:tcW w:w="600" w:type="dxa"/>
            <w:vAlign w:val="bottom"/>
            <w:vMerge w:val="continue"/>
          </w:tcPr>
          <w:p>
            <w:pPr>
              <w:spacing w:after="0"/>
              <w:rPr>
                <w:sz w:val="14"/>
                <w:szCs w:val="14"/>
                <w:color w:val="auto"/>
              </w:rPr>
            </w:pPr>
          </w:p>
        </w:tc>
        <w:tc>
          <w:tcPr>
            <w:tcW w:w="6060" w:type="dxa"/>
            <w:vAlign w:val="bottom"/>
            <w:tcBorders>
              <w:top w:val="single" w:sz="8" w:color="19228E"/>
            </w:tcBorders>
            <w:gridSpan w:val="10"/>
          </w:tcPr>
          <w:p>
            <w:pPr>
              <w:spacing w:after="0" w:line="162" w:lineRule="exact"/>
              <w:rPr>
                <w:sz w:val="20"/>
                <w:szCs w:val="20"/>
                <w:color w:val="auto"/>
              </w:rPr>
            </w:pPr>
            <w:r>
              <w:rPr>
                <w:rFonts w:ascii="Times New Roman" w:cs="Times New Roman" w:eastAsia="Times New Roman" w:hAnsi="Times New Roman"/>
                <w:sz w:val="16"/>
                <w:szCs w:val="16"/>
                <w:color w:val="1C2790"/>
              </w:rPr>
              <w:t>the Sarbanes-Oxley Act of 2002</w:t>
            </w:r>
          </w:p>
        </w:tc>
        <w:tc>
          <w:tcPr>
            <w:tcW w:w="100" w:type="dxa"/>
            <w:vAlign w:val="bottom"/>
            <w:gridSpan w:val="2"/>
          </w:tcPr>
          <w:p>
            <w:pPr>
              <w:spacing w:after="0"/>
              <w:rPr>
                <w:sz w:val="14"/>
                <w:szCs w:val="14"/>
                <w:color w:val="auto"/>
              </w:rPr>
            </w:pP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060" w:type="dxa"/>
            <w:vAlign w:val="bottom"/>
            <w:gridSpan w:val="2"/>
            <w:shd w:val="clear" w:color="auto" w:fill="19228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00" w:type="dxa"/>
            <w:vAlign w:val="bottom"/>
          </w:tcPr>
          <w:p>
            <w:pPr>
              <w:spacing w:after="0"/>
              <w:rPr>
                <w:sz w:val="24"/>
                <w:szCs w:val="24"/>
                <w:color w:val="auto"/>
              </w:rPr>
            </w:pPr>
          </w:p>
        </w:tc>
        <w:tc>
          <w:tcPr>
            <w:tcW w:w="5980" w:type="dxa"/>
            <w:vAlign w:val="bottom"/>
            <w:tcBorders>
              <w:bottom w:val="single" w:sz="8" w:color="19228E"/>
            </w:tcBorders>
            <w:gridSpan w:val="9"/>
          </w:tcPr>
          <w:p>
            <w:pPr>
              <w:spacing w:after="0"/>
              <w:rPr>
                <w:sz w:val="20"/>
                <w:szCs w:val="20"/>
                <w:color w:val="auto"/>
              </w:rPr>
            </w:pPr>
            <w:r>
              <w:rPr>
                <w:rFonts w:ascii="Times New Roman" w:cs="Times New Roman" w:eastAsia="Times New Roman" w:hAnsi="Times New Roman"/>
                <w:sz w:val="16"/>
                <w:szCs w:val="16"/>
                <w:color w:val="1C2790"/>
                <w:w w:val="99"/>
              </w:rPr>
              <w:t>Certification of Principal Executive Officer and Principal Financial Officer pursuant to Rules</w:t>
            </w:r>
          </w:p>
        </w:tc>
        <w:tc>
          <w:tcPr>
            <w:tcW w:w="180" w:type="dxa"/>
            <w:vAlign w:val="bottom"/>
            <w:gridSpan w:val="3"/>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32.1</w:t>
            </w:r>
            <w:r>
              <w:rPr>
                <w:rFonts w:ascii="Times New Roman" w:cs="Times New Roman" w:eastAsia="Times New Roman" w:hAnsi="Times New Roman"/>
                <w:sz w:val="11"/>
                <w:szCs w:val="11"/>
                <w:color w:val="auto"/>
              </w:rPr>
              <w:t>^</w:t>
            </w:r>
          </w:p>
        </w:tc>
        <w:tc>
          <w:tcPr>
            <w:tcW w:w="6160" w:type="dxa"/>
            <w:vAlign w:val="bottom"/>
            <w:tcBorders>
              <w:bottom w:val="single" w:sz="8" w:color="19228E"/>
            </w:tcBorders>
            <w:gridSpan w:val="12"/>
          </w:tcPr>
          <w:p>
            <w:pPr>
              <w:spacing w:after="0" w:line="165" w:lineRule="exact"/>
              <w:rPr>
                <w:sz w:val="20"/>
                <w:szCs w:val="20"/>
                <w:color w:val="auto"/>
              </w:rPr>
            </w:pPr>
            <w:r>
              <w:rPr>
                <w:rFonts w:ascii="Times New Roman" w:cs="Times New Roman" w:eastAsia="Times New Roman" w:hAnsi="Times New Roman"/>
                <w:sz w:val="16"/>
                <w:szCs w:val="16"/>
                <w:color w:val="1C2790"/>
                <w:w w:val="99"/>
              </w:rPr>
              <w:t>13a-14(b) and 15d-14(b) promulgated under the Securities Exchange Act of 1934 and 18 U.S.C.</w:t>
            </w:r>
          </w:p>
        </w:tc>
        <w:tc>
          <w:tcPr>
            <w:tcW w:w="2600" w:type="dxa"/>
            <w:vAlign w:val="bottom"/>
            <w:vMerge w:val="restart"/>
          </w:tcPr>
          <w:p>
            <w:pPr>
              <w:ind w:left="24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63"/>
        </w:trPr>
        <w:tc>
          <w:tcPr>
            <w:tcW w:w="600" w:type="dxa"/>
            <w:vAlign w:val="bottom"/>
            <w:vMerge w:val="continue"/>
          </w:tcPr>
          <w:p>
            <w:pPr>
              <w:spacing w:after="0"/>
              <w:rPr>
                <w:sz w:val="14"/>
                <w:szCs w:val="14"/>
                <w:color w:val="auto"/>
              </w:rPr>
            </w:pPr>
          </w:p>
        </w:tc>
        <w:tc>
          <w:tcPr>
            <w:tcW w:w="6160" w:type="dxa"/>
            <w:vAlign w:val="bottom"/>
            <w:gridSpan w:val="12"/>
          </w:tcPr>
          <w:p>
            <w:pPr>
              <w:spacing w:after="0" w:line="163" w:lineRule="exact"/>
              <w:rPr>
                <w:sz w:val="20"/>
                <w:szCs w:val="20"/>
                <w:color w:val="auto"/>
              </w:rPr>
            </w:pPr>
            <w:r>
              <w:rPr>
                <w:rFonts w:ascii="Times New Roman" w:cs="Times New Roman" w:eastAsia="Times New Roman" w:hAnsi="Times New Roman"/>
                <w:sz w:val="16"/>
                <w:szCs w:val="16"/>
                <w:color w:val="1C2790"/>
              </w:rPr>
              <w:t>Section 1350, as adopted pursuant to section 906 of The Sarbanes-Oxley Act of 2002</w:t>
            </w: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600" w:type="dxa"/>
            <w:vAlign w:val="bottom"/>
          </w:tcPr>
          <w:p>
            <w:pPr>
              <w:spacing w:after="0"/>
              <w:rPr>
                <w:sz w:val="23"/>
                <w:szCs w:val="23"/>
                <w:color w:val="auto"/>
              </w:rPr>
            </w:pPr>
          </w:p>
        </w:tc>
        <w:tc>
          <w:tcPr>
            <w:tcW w:w="100" w:type="dxa"/>
            <w:vAlign w:val="bottom"/>
            <w:tcBorders>
              <w:top w:val="single" w:sz="8" w:color="19228E"/>
            </w:tcBorders>
          </w:tcPr>
          <w:p>
            <w:pPr>
              <w:spacing w:after="0"/>
              <w:rPr>
                <w:sz w:val="23"/>
                <w:szCs w:val="23"/>
                <w:color w:val="auto"/>
              </w:rPr>
            </w:pPr>
          </w:p>
        </w:tc>
        <w:tc>
          <w:tcPr>
            <w:tcW w:w="1960" w:type="dxa"/>
            <w:vAlign w:val="bottom"/>
            <w:tcBorders>
              <w:top w:val="single" w:sz="8" w:color="19228E"/>
            </w:tcBorders>
          </w:tcPr>
          <w:p>
            <w:pPr>
              <w:spacing w:after="0"/>
              <w:rPr>
                <w:sz w:val="23"/>
                <w:szCs w:val="23"/>
                <w:color w:val="auto"/>
              </w:rPr>
            </w:pPr>
          </w:p>
        </w:tc>
        <w:tc>
          <w:tcPr>
            <w:tcW w:w="800" w:type="dxa"/>
            <w:vAlign w:val="bottom"/>
            <w:tcBorders>
              <w:top w:val="single" w:sz="8" w:color="19228E"/>
            </w:tcBorders>
          </w:tcPr>
          <w:p>
            <w:pPr>
              <w:spacing w:after="0"/>
              <w:rPr>
                <w:sz w:val="23"/>
                <w:szCs w:val="23"/>
                <w:color w:val="auto"/>
              </w:rPr>
            </w:pPr>
          </w:p>
        </w:tc>
        <w:tc>
          <w:tcPr>
            <w:tcW w:w="200" w:type="dxa"/>
            <w:vAlign w:val="bottom"/>
            <w:tcBorders>
              <w:top w:val="single" w:sz="8" w:color="19228E"/>
            </w:tcBorders>
          </w:tcPr>
          <w:p>
            <w:pPr>
              <w:spacing w:after="0"/>
              <w:rPr>
                <w:sz w:val="23"/>
                <w:szCs w:val="23"/>
                <w:color w:val="auto"/>
              </w:rPr>
            </w:pPr>
          </w:p>
        </w:tc>
        <w:tc>
          <w:tcPr>
            <w:tcW w:w="2020" w:type="dxa"/>
            <w:vAlign w:val="bottom"/>
            <w:tcBorders>
              <w:top w:val="single" w:sz="8" w:color="19228E"/>
            </w:tcBorders>
          </w:tcPr>
          <w:p>
            <w:pPr>
              <w:spacing w:after="0"/>
              <w:rPr>
                <w:sz w:val="23"/>
                <w:szCs w:val="23"/>
                <w:color w:val="auto"/>
              </w:rPr>
            </w:pPr>
          </w:p>
        </w:tc>
        <w:tc>
          <w:tcPr>
            <w:tcW w:w="380" w:type="dxa"/>
            <w:vAlign w:val="bottom"/>
            <w:tcBorders>
              <w:top w:val="single" w:sz="8" w:color="19228E"/>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82"/>
        </w:trPr>
        <w:tc>
          <w:tcPr>
            <w:tcW w:w="6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97.1+</w:t>
            </w:r>
          </w:p>
        </w:tc>
        <w:tc>
          <w:tcPr>
            <w:tcW w:w="2860" w:type="dxa"/>
            <w:vAlign w:val="bottom"/>
            <w:tcBorders>
              <w:bottom w:val="single" w:sz="8" w:color="19228E"/>
            </w:tcBorders>
            <w:gridSpan w:val="3"/>
          </w:tcPr>
          <w:p>
            <w:pPr>
              <w:spacing w:after="0" w:line="182" w:lineRule="exact"/>
              <w:rPr>
                <w:sz w:val="20"/>
                <w:szCs w:val="20"/>
                <w:color w:val="auto"/>
              </w:rPr>
            </w:pPr>
            <w:r>
              <w:rPr>
                <w:rFonts w:ascii="Times New Roman" w:cs="Times New Roman" w:eastAsia="Times New Roman" w:hAnsi="Times New Roman"/>
                <w:sz w:val="16"/>
                <w:szCs w:val="16"/>
                <w:color w:val="1C2790"/>
                <w:w w:val="99"/>
              </w:rPr>
              <w:t>Incentive Compensation Recoupment Policy</w:t>
            </w:r>
          </w:p>
        </w:tc>
        <w:tc>
          <w:tcPr>
            <w:tcW w:w="3300" w:type="dxa"/>
            <w:vAlign w:val="bottom"/>
            <w:gridSpan w:val="9"/>
          </w:tcPr>
          <w:p>
            <w:pPr>
              <w:spacing w:after="0"/>
              <w:rPr>
                <w:sz w:val="15"/>
                <w:szCs w:val="15"/>
                <w:color w:val="auto"/>
              </w:rPr>
            </w:pPr>
          </w:p>
        </w:tc>
        <w:tc>
          <w:tcPr>
            <w:tcW w:w="2600" w:type="dxa"/>
            <w:vAlign w:val="bottom"/>
          </w:tcPr>
          <w:p>
            <w:pPr>
              <w:ind w:left="160"/>
              <w:spacing w:after="0" w:line="182" w:lineRule="exact"/>
              <w:rPr>
                <w:sz w:val="20"/>
                <w:szCs w:val="20"/>
                <w:color w:val="auto"/>
              </w:rPr>
            </w:pPr>
            <w:r>
              <w:rPr>
                <w:rFonts w:ascii="Times New Roman" w:cs="Times New Roman" w:eastAsia="Times New Roman" w:hAnsi="Times New Roman"/>
                <w:sz w:val="16"/>
                <w:szCs w:val="16"/>
                <w:color w:val="auto"/>
              </w:rPr>
              <w:t>10-K  35890   97.1  03/19/2024</w:t>
            </w:r>
          </w:p>
        </w:tc>
        <w:tc>
          <w:tcPr>
            <w:tcW w:w="0" w:type="dxa"/>
            <w:vAlign w:val="bottom"/>
          </w:tcPr>
          <w:p>
            <w:pPr>
              <w:spacing w:after="0"/>
              <w:rPr>
                <w:sz w:val="1"/>
                <w:szCs w:val="1"/>
                <w:color w:val="auto"/>
              </w:rPr>
            </w:pPr>
          </w:p>
        </w:tc>
      </w:tr>
      <w:tr>
        <w:trPr>
          <w:trHeight w:val="398"/>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4"/>
          </w:tcPr>
          <w:p>
            <w:pPr>
              <w:ind w:left="3820"/>
              <w:spacing w:after="0"/>
              <w:rPr>
                <w:sz w:val="20"/>
                <w:szCs w:val="20"/>
                <w:color w:val="auto"/>
              </w:rPr>
            </w:pPr>
            <w:r>
              <w:rPr>
                <w:rFonts w:ascii="Times New Roman" w:cs="Times New Roman" w:eastAsia="Times New Roman" w:hAnsi="Times New Roman"/>
                <w:sz w:val="20"/>
                <w:szCs w:val="20"/>
                <w:color w:val="auto"/>
              </w:rPr>
              <w:t>145</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660" w:type="dxa"/>
            <w:vAlign w:val="bottom"/>
            <w:tcBorders>
              <w:bottom w:val="single" w:sz="8" w:color="808080"/>
            </w:tcBorders>
            <w:gridSpan w:val="12"/>
          </w:tcPr>
          <w:p>
            <w:pPr>
              <w:spacing w:after="0"/>
              <w:rPr>
                <w:sz w:val="16"/>
                <w:szCs w:val="16"/>
                <w:color w:val="auto"/>
              </w:rPr>
            </w:pPr>
          </w:p>
        </w:tc>
        <w:tc>
          <w:tcPr>
            <w:tcW w:w="0" w:type="dxa"/>
            <w:vAlign w:val="bottom"/>
          </w:tcPr>
          <w:p>
            <w:pPr>
              <w:spacing w:after="0"/>
              <w:rPr>
                <w:sz w:val="1"/>
                <w:szCs w:val="1"/>
                <w:color w:val="auto"/>
              </w:rPr>
            </w:pPr>
          </w:p>
        </w:tc>
      </w:tr>
      <w:tr>
        <w:trPr>
          <w:trHeight w:val="521"/>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60" w:type="dxa"/>
            <w:vAlign w:val="bottom"/>
            <w:gridSpan w:val="12"/>
          </w:tcPr>
          <w:p>
            <w:pPr>
              <w:ind w:left="6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as its XBRL tags are</w:t>
            </w:r>
          </w:p>
        </w:tc>
        <w:tc>
          <w:tcPr>
            <w:tcW w:w="0" w:type="dxa"/>
            <w:vAlign w:val="bottom"/>
          </w:tcPr>
          <w:p>
            <w:pPr>
              <w:spacing w:after="0"/>
              <w:rPr>
                <w:sz w:val="1"/>
                <w:szCs w:val="1"/>
                <w:color w:val="auto"/>
              </w:rPr>
            </w:pPr>
          </w:p>
        </w:tc>
      </w:tr>
      <w:tr>
        <w:trPr>
          <w:trHeight w:val="213"/>
        </w:trPr>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6060" w:type="dxa"/>
            <w:vAlign w:val="bottom"/>
            <w:gridSpan w:val="11"/>
          </w:tcPr>
          <w:p>
            <w:pPr>
              <w:ind w:left="60"/>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26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17"/>
        </w:trPr>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101.SCH</w:t>
            </w:r>
          </w:p>
        </w:tc>
        <w:tc>
          <w:tcPr>
            <w:tcW w:w="6060" w:type="dxa"/>
            <w:vAlign w:val="bottom"/>
            <w:gridSpan w:val="11"/>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w:t>
            </w:r>
          </w:p>
        </w:tc>
        <w:tc>
          <w:tcPr>
            <w:tcW w:w="26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90"/>
        </w:trPr>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6060" w:type="dxa"/>
            <w:vAlign w:val="bottom"/>
            <w:gridSpan w:val="11"/>
          </w:tcPr>
          <w:p>
            <w:pPr>
              <w:ind w:left="60"/>
              <w:spacing w:after="0"/>
              <w:rPr>
                <w:sz w:val="20"/>
                <w:szCs w:val="20"/>
                <w:color w:val="auto"/>
              </w:rPr>
            </w:pPr>
            <w:r>
              <w:rPr>
                <w:rFonts w:ascii="Times New Roman" w:cs="Times New Roman" w:eastAsia="Times New Roman" w:hAnsi="Times New Roman"/>
                <w:sz w:val="16"/>
                <w:szCs w:val="16"/>
                <w:color w:val="auto"/>
              </w:rPr>
              <w:t>Cover Page formatted as Inline XBRL and contained in Exhibit 101</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5942965</wp:posOffset>
                </wp:positionH>
                <wp:positionV relativeFrom="paragraph">
                  <wp:posOffset>-868045</wp:posOffset>
                </wp:positionV>
                <wp:extent cx="0" cy="16510"/>
                <wp:wrapNone/>
                <wp:docPr id="906" name="Shape 9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06" o:spid="_x0000_s19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68.3499pt" to="467.95pt,-67.0499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-871220</wp:posOffset>
                </wp:positionV>
                <wp:extent cx="0" cy="19685"/>
                <wp:wrapNone/>
                <wp:docPr id="907" name="Shape 9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907" o:spid="_x0000_s19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68.5999pt" to="0.1pt,-67.0499pt" o:allowincell="f" strokecolor="#A0A0A0" strokeweight="0.24pt"/>
            </w:pict>
          </mc:Fallback>
        </mc:AlternateContent>
      </w:r>
    </w:p>
    <w:p>
      <w:pPr>
        <w:spacing w:after="0"/>
        <w:rPr>
          <w:sz w:val="20"/>
          <w:szCs w:val="20"/>
          <w:color w:val="auto"/>
        </w:rPr>
      </w:pPr>
      <w:r>
        <w:rPr>
          <w:rFonts w:ascii="Times New Roman" w:cs="Times New Roman" w:eastAsia="Times New Roman" w:hAnsi="Times New Roman"/>
          <w:sz w:val="20"/>
          <w:szCs w:val="20"/>
          <w:color w:val="auto"/>
        </w:rPr>
        <w:t>_______________________________________</w:t>
      </w:r>
    </w:p>
    <w:p>
      <w:pPr>
        <w:spacing w:after="0" w:line="27" w:lineRule="exact"/>
        <w:rPr>
          <w:sz w:val="20"/>
          <w:szCs w:val="20"/>
          <w:color w:val="auto"/>
        </w:rPr>
      </w:pPr>
    </w:p>
    <w:p>
      <w:pPr>
        <w:spacing w:after="0" w:line="248" w:lineRule="auto"/>
        <w:tabs>
          <w:tab w:leader="none" w:pos="20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and/or schedules have been omitted pursuant to Item 601(a)(5) of Regulation S-K. The registrant hereby undertakes to furnish supplementally copies of any of the omitted exhibits and schedules upon request by the SEC.</w:t>
      </w:r>
    </w:p>
    <w:p>
      <w:pPr>
        <w:spacing w:after="0" w:line="196" w:lineRule="exact"/>
        <w:rPr>
          <w:sz w:val="20"/>
          <w:szCs w:val="20"/>
          <w:color w:val="auto"/>
        </w:rPr>
      </w:pPr>
    </w:p>
    <w:p>
      <w:pPr>
        <w:ind w:left="360" w:hanging="360"/>
        <w:spacing w:after="0"/>
        <w:tabs>
          <w:tab w:leader="none" w:pos="3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w:t>
      </w:r>
    </w:p>
    <w:p>
      <w:pPr>
        <w:spacing w:after="0" w:line="240" w:lineRule="exact"/>
        <w:rPr>
          <w:sz w:val="20"/>
          <w:szCs w:val="20"/>
          <w:color w:val="auto"/>
        </w:rPr>
      </w:pPr>
    </w:p>
    <w:p>
      <w:pPr>
        <w:jc w:val="both"/>
        <w:spacing w:after="0" w:line="252" w:lineRule="auto"/>
        <w:tabs>
          <w:tab w:leader="none" w:pos="38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93" w:lineRule="exact"/>
        <w:rPr>
          <w:sz w:val="20"/>
          <w:szCs w:val="20"/>
          <w:color w:val="auto"/>
        </w:rPr>
      </w:pPr>
    </w:p>
    <w:p>
      <w:pPr>
        <w:jc w:val="both"/>
        <w:spacing w:after="0" w:line="258" w:lineRule="auto"/>
        <w:tabs>
          <w:tab w:leader="none" w:pos="37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Item 601(b)(10)(iv) of Regulation S-K, certain portions of this exhibit (indicated by ***) have been omitted because the identified information is not material and is the type that the Registrant treats as private or confidential.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143510</wp:posOffset>
                </wp:positionV>
                <wp:extent cx="5943600" cy="0"/>
                <wp:wrapNone/>
                <wp:docPr id="908" name="Shape 9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908" o:spid="_x0000_s19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pt" to="468pt,11.3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137795</wp:posOffset>
                </wp:positionV>
                <wp:extent cx="0" cy="17145"/>
                <wp:wrapNone/>
                <wp:docPr id="909" name="Shape 9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09" o:spid="_x0000_s19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85pt" to="467.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2700"/>
                <wp:wrapNone/>
                <wp:docPr id="910" name="Shape 9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2700"/>
                        </a:xfrm>
                        <a:prstGeom prst="rect">
                          <a:avLst/>
                        </a:prstGeom>
                        <a:solidFill>
                          <a:srgbClr val="A0A0A0"/>
                        </a:solidFill>
                      </wps:spPr>
                      <wps:bodyPr/>
                    </wps:wsp>
                  </a:graphicData>
                </a:graphic>
              </wp:anchor>
            </w:drawing>
          </mc:Choice>
          <mc:Fallback>
            <w:pict>
              <v:rect id="Shape 910" o:spid="_x0000_s1935" style="position:absolute;margin-left:0pt;margin-top:10.25pt;width:468.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911" name="Shape 9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911" o:spid="_x0000_s19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5944870" cy="0"/>
                <wp:wrapNone/>
                <wp:docPr id="912" name="Shape 9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12" o:spid="_x0000_s19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468.1pt,12.05pt" o:allowincell="f" strokecolor="#E3E3E3" strokeweight="0.2399pt"/>
            </w:pict>
          </mc:Fallback>
        </mc:AlternateConten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ectPr>
          <w:pgSz w:w="12240" w:h="15840" w:orient="portrait"/>
          <w:cols w:equalWidth="0" w:num="1">
            <w:col w:w="9360"/>
          </w:cols>
          <w:pgMar w:left="1440" w:top="1440"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color w:val="auto"/>
        </w:rPr>
        <w:t>TEMPEST THERAPEUTICS, INC.</w:t>
      </w:r>
    </w:p>
    <w:p>
      <w:pPr>
        <w:spacing w:after="0" w:line="25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Matthew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25400</wp:posOffset>
            </wp:positionV>
            <wp:extent cx="503301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29">
                      <a:extLst>
                        <a:ext uri="{28A0092B-C50C-407E-A947-70E740481C1C}"/>
                      </a:extLst>
                    </a:blip>
                    <a:srcRect/>
                    <a:stretch>
                      <a:fillRect/>
                    </a:stretch>
                  </pic:blipFill>
                  <pic:spPr bwMode="auto">
                    <a:xfrm>
                      <a:off x="0" y="0"/>
                      <a:ext cx="503301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Matthew Angel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 &amp; President (Principal Executive Officer)</w:t>
      </w:r>
    </w:p>
    <w:p>
      <w:pPr>
        <w:spacing w:after="0" w:line="200" w:lineRule="exact"/>
        <w:rPr>
          <w:sz w:val="20"/>
          <w:szCs w:val="20"/>
          <w:color w:val="auto"/>
        </w:rPr>
      </w:pPr>
    </w:p>
    <w:p>
      <w:pPr>
        <w:spacing w:after="0" w:line="28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24130</wp:posOffset>
            </wp:positionV>
            <wp:extent cx="503301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30">
                      <a:extLst>
                        <a:ext uri="{28A0092B-C50C-407E-A947-70E740481C1C}"/>
                      </a:extLst>
                    </a:blip>
                    <a:srcRect/>
                    <a:stretch>
                      <a:fillRect/>
                    </a:stretch>
                  </pic:blipFill>
                  <pic:spPr bwMode="auto">
                    <a:xfrm>
                      <a:off x="0" y="0"/>
                      <a:ext cx="503301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Nicholas Maestas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 &amp; Head of Corporate Strategy (Principal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30, 2026</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5943600" cy="0"/>
                <wp:wrapNone/>
                <wp:docPr id="915" name="Shape 9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4">
                          <a:solidFill>
                            <a:srgbClr val="808080"/>
                          </a:solidFill>
                          <a:miter lim="800000"/>
                          <a:headEnd/>
                          <a:tailEnd/>
                        </a:ln>
                      </wps:spPr>
                      <wps:bodyPr/>
                    </wps:wsp>
                  </a:graphicData>
                </a:graphic>
              </wp:anchor>
            </w:drawing>
          </mc:Choice>
          <mc:Fallback>
            <w:pict>
              <v:line id="Shape 915" o:spid="_x0000_s19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pt" to="468pt,11.4pt" o:allowincell="f" strokecolor="#808080" strokeweight="1.5499pt"/>
            </w:pict>
          </mc:Fallback>
        </mc:AlternateContent>
        <mc:AlternateContent>
          <mc:Choice Requires="wps">
            <w:drawing>
              <wp:anchor simplePos="0" relativeHeight="251657728" behindDoc="1" locked="0" layoutInCell="0" allowOverlap="1">
                <wp:simplePos x="0" y="0"/>
                <wp:positionH relativeFrom="column">
                  <wp:posOffset>5936615</wp:posOffset>
                </wp:positionH>
                <wp:positionV relativeFrom="paragraph">
                  <wp:posOffset>130175</wp:posOffset>
                </wp:positionV>
                <wp:extent cx="13335" cy="13335"/>
                <wp:wrapNone/>
                <wp:docPr id="916" name="Shape 9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3335"/>
                        </a:xfrm>
                        <a:prstGeom prst="rect">
                          <a:avLst/>
                        </a:prstGeom>
                        <a:solidFill>
                          <a:srgbClr val="E3E3E3"/>
                        </a:solidFill>
                      </wps:spPr>
                      <wps:bodyPr/>
                    </wps:wsp>
                  </a:graphicData>
                </a:graphic>
              </wp:anchor>
            </w:drawing>
          </mc:Choice>
          <mc:Fallback>
            <w:pict>
              <v:rect id="Shape 916" o:spid="_x0000_s1941" style="position:absolute;margin-left:467.45pt;margin-top:10.25pt;width:1.0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5944870" cy="13335"/>
                <wp:wrapNone/>
                <wp:docPr id="917" name="Shape 9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917" o:spid="_x0000_s1942" style="position:absolute;margin-left:0pt;margin-top:10.25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135255</wp:posOffset>
                </wp:positionV>
                <wp:extent cx="0" cy="19685"/>
                <wp:wrapNone/>
                <wp:docPr id="918" name="Shape 9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918" o:spid="_x0000_s19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0.65pt" to="0.1pt,12.2pt" o:allowincell="f" strokecolor="#A0A0A0" strokeweight="0.2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153670</wp:posOffset>
                </wp:positionV>
                <wp:extent cx="5944870" cy="0"/>
                <wp:wrapNone/>
                <wp:docPr id="919" name="Shape 9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19" o:spid="_x0000_s19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pt" to="468.1pt,12.1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5942965</wp:posOffset>
                </wp:positionH>
                <wp:positionV relativeFrom="paragraph">
                  <wp:posOffset>138430</wp:posOffset>
                </wp:positionV>
                <wp:extent cx="0" cy="16510"/>
                <wp:wrapNone/>
                <wp:docPr id="920" name="Shape 9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20" o:spid="_x0000_s19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95pt,10.9pt" to="467.95pt,12.2pt" o:allowincell="f" strokecolor="#E3E3E3"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Matthew Angel and Nicolas Maestas, jointly and severally, as his or her true and lawful attorneys-in-fact and agents, with full power of substitution and resubstitution, for him or her and in his or her name, place and stead, in any and all capacities, to sign this Annual Report on Form 10- K of Tempest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2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ectPr>
          <w:pgSz w:w="12240" w:h="15840" w:orient="portrait"/>
          <w:cols w:equalWidth="0" w:num="1">
            <w:col w:w="9360"/>
          </w:cols>
          <w:pgMar w:left="1440" w:top="1436" w:right="1440" w:bottom="1440" w:gutter="0" w:footer="0" w:header="0"/>
        </w:sectPr>
      </w:pPr>
    </w:p>
    <w:bookmarkStart w:id="161" w:name="page162"/>
    <w:bookmarkEnd w:id="161"/>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/s/ Matthew Angel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34290</wp:posOffset>
                </wp:positionV>
                <wp:extent cx="1176655" cy="0"/>
                <wp:wrapNone/>
                <wp:docPr id="921" name="Shape 9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66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21" o:spid="_x0000_s19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pt" to="92.65pt,2.7pt" o:allowincell="f" strokecolor="#000000" strokeweight="0.96pt"/>
            </w:pict>
          </mc:Fallback>
        </mc:AlternateConten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Matthew Angel</w:t>
      </w:r>
    </w:p>
    <w:p>
      <w:pPr>
        <w:spacing w:after="0" w:line="380" w:lineRule="exact"/>
        <w:rPr>
          <w:sz w:val="20"/>
          <w:szCs w:val="20"/>
          <w:color w:val="auto"/>
        </w:rPr>
      </w:pPr>
    </w:p>
    <w:p>
      <w:pPr>
        <w:jc w:val="center"/>
        <w:ind w:left="120" w:right="60"/>
        <w:spacing w:after="0" w:line="450" w:lineRule="auto"/>
        <w:rPr>
          <w:sz w:val="20"/>
          <w:szCs w:val="20"/>
          <w:color w:val="auto"/>
        </w:rPr>
      </w:pPr>
      <w:r>
        <w:rPr>
          <w:rFonts w:ascii="Times New Roman" w:cs="Times New Roman" w:eastAsia="Times New Roman" w:hAnsi="Times New Roman"/>
          <w:sz w:val="17"/>
          <w:szCs w:val="17"/>
          <w:i w:val="1"/>
          <w:iCs w:val="1"/>
          <w:color w:val="auto"/>
        </w:rPr>
        <w:t xml:space="preserve">/s/ Nicholas Maestas </w:t>
      </w:r>
      <w:r>
        <w:rPr>
          <w:rFonts w:ascii="Times New Roman" w:cs="Times New Roman" w:eastAsia="Times New Roman" w:hAnsi="Times New Roman"/>
          <w:sz w:val="17"/>
          <w:szCs w:val="17"/>
          <w:color w:val="auto"/>
        </w:rPr>
        <w:t>Nicholas Maestas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-299085</wp:posOffset>
                </wp:positionV>
                <wp:extent cx="1176655" cy="0"/>
                <wp:wrapNone/>
                <wp:docPr id="922" name="Shape 9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66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22" o:spid="_x0000_s19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499pt" to="92.65pt,-23.5499pt" o:allowincell="f" strokecolor="#000000" strokeweight="0.96pt"/>
            </w:pict>
          </mc:Fallback>
        </mc:AlternateContent>
      </w:r>
    </w:p>
    <w:p>
      <w:pPr>
        <w:spacing w:after="0" w:line="157" w:lineRule="exact"/>
        <w:rPr>
          <w:sz w:val="20"/>
          <w:szCs w:val="20"/>
          <w:color w:val="auto"/>
        </w:rPr>
      </w:pPr>
    </w:p>
    <w:p>
      <w:pPr>
        <w:jc w:val="center"/>
        <w:ind w:left="120" w:right="20"/>
        <w:spacing w:after="0" w:line="450" w:lineRule="auto"/>
        <w:rPr>
          <w:sz w:val="20"/>
          <w:szCs w:val="20"/>
          <w:color w:val="auto"/>
        </w:rPr>
      </w:pPr>
      <w:r>
        <w:rPr>
          <w:rFonts w:ascii="Times New Roman" w:cs="Times New Roman" w:eastAsia="Times New Roman" w:hAnsi="Times New Roman"/>
          <w:sz w:val="17"/>
          <w:szCs w:val="17"/>
          <w:i w:val="1"/>
          <w:iCs w:val="1"/>
          <w:color w:val="auto"/>
        </w:rPr>
        <w:t xml:space="preserve">/s/ Justin Trojanowski </w:t>
      </w:r>
      <w:r>
        <w:rPr>
          <w:rFonts w:ascii="Times New Roman" w:cs="Times New Roman" w:eastAsia="Times New Roman" w:hAnsi="Times New Roman"/>
          <w:sz w:val="17"/>
          <w:szCs w:val="17"/>
          <w:color w:val="auto"/>
        </w:rPr>
        <w:t>Justin Trojanowski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-299085</wp:posOffset>
                </wp:positionV>
                <wp:extent cx="1176655" cy="0"/>
                <wp:wrapNone/>
                <wp:docPr id="923" name="Shape 9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66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23" o:spid="_x0000_s19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499pt" to="92.65pt,-23.5499pt" o:allowincell="f" strokecolor="#000000" strokeweight="0.96pt"/>
            </w:pict>
          </mc:Fallback>
        </mc:AlternateContent>
      </w:r>
    </w:p>
    <w:p>
      <w:pPr>
        <w:spacing w:after="0" w:line="157"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i w:val="1"/>
          <w:iCs w:val="1"/>
          <w:color w:val="auto"/>
        </w:rPr>
        <w:t>/s/ Stephen Brady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34290</wp:posOffset>
                </wp:positionV>
                <wp:extent cx="1176655" cy="0"/>
                <wp:wrapNone/>
                <wp:docPr id="924" name="Shape 9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66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24" o:spid="_x0000_s19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pt" to="92.65pt,2.7pt" o:allowincell="f" strokecolor="#000000" strokeweight="0.96pt"/>
            </w:pict>
          </mc:Fallback>
        </mc:AlternateContent>
      </w:r>
    </w:p>
    <w:p>
      <w:pPr>
        <w:spacing w:after="0" w:line="82"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Stephen Brady</w:t>
      </w:r>
    </w:p>
    <w:p>
      <w:pPr>
        <w:spacing w:after="0" w:line="366"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i w:val="1"/>
          <w:iCs w:val="1"/>
          <w:color w:val="auto"/>
        </w:rPr>
        <w:t>/s/ Michael Raab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34290</wp:posOffset>
                </wp:positionV>
                <wp:extent cx="1176655" cy="0"/>
                <wp:wrapNone/>
                <wp:docPr id="925" name="Shape 9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66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25" o:spid="_x0000_s19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pt" to="92.65pt,2.7pt" o:allowincell="f" strokecolor="#000000" strokeweight="0.96pt"/>
            </w:pict>
          </mc:Fallback>
        </mc:AlternateContent>
      </w:r>
    </w:p>
    <w:p>
      <w:pPr>
        <w:spacing w:after="0" w:line="81"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Michael Raab</w:t>
      </w:r>
    </w:p>
    <w:p>
      <w:pPr>
        <w:spacing w:after="0" w:line="366" w:lineRule="exact"/>
        <w:rPr>
          <w:sz w:val="20"/>
          <w:szCs w:val="20"/>
          <w:color w:val="auto"/>
        </w:rPr>
      </w:pPr>
    </w:p>
    <w:p>
      <w:pPr>
        <w:jc w:val="center"/>
        <w:ind w:left="120"/>
        <w:spacing w:after="0" w:line="433" w:lineRule="auto"/>
        <w:rPr>
          <w:sz w:val="20"/>
          <w:szCs w:val="20"/>
          <w:color w:val="auto"/>
        </w:rPr>
      </w:pPr>
      <w:r>
        <w:rPr>
          <w:rFonts w:ascii="Times New Roman" w:cs="Times New Roman" w:eastAsia="Times New Roman" w:hAnsi="Times New Roman"/>
          <w:sz w:val="17"/>
          <w:szCs w:val="17"/>
          <w:i w:val="1"/>
          <w:iCs w:val="1"/>
          <w:color w:val="auto"/>
        </w:rPr>
        <w:t xml:space="preserve">/s/ Christine Pellizzari </w:t>
      </w:r>
      <w:r>
        <w:rPr>
          <w:rFonts w:ascii="Times New Roman" w:cs="Times New Roman" w:eastAsia="Times New Roman" w:hAnsi="Times New Roman"/>
          <w:sz w:val="17"/>
          <w:szCs w:val="17"/>
          <w:color w:val="auto"/>
        </w:rPr>
        <w:t>Christine Pellizzari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-281305</wp:posOffset>
                </wp:positionV>
                <wp:extent cx="1176655" cy="0"/>
                <wp:wrapNone/>
                <wp:docPr id="926" name="Shape 9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66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926" o:spid="_x0000_s19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1499pt" to="92.65pt,-22.1499pt" o:allowincell="f" strokecolor="#000000" strokeweight="0.96pt"/>
            </w:pict>
          </mc:Fallback>
        </mc:AlternateContent>
      </w:r>
    </w:p>
    <w:p>
      <w:pPr>
        <w:spacing w:after="0" w:line="153" w:lineRule="exact"/>
        <w:rPr>
          <w:sz w:val="20"/>
          <w:szCs w:val="20"/>
          <w:color w:val="auto"/>
        </w:rPr>
      </w:pPr>
    </w:p>
    <w:p>
      <w:pPr>
        <w:jc w:val="center"/>
        <w:ind w:left="100" w:right="20"/>
        <w:spacing w:after="0" w:line="433" w:lineRule="auto"/>
        <w:rPr>
          <w:sz w:val="20"/>
          <w:szCs w:val="20"/>
          <w:color w:val="auto"/>
        </w:rPr>
      </w:pPr>
      <w:r>
        <w:rPr>
          <w:rFonts w:ascii="Times New Roman" w:cs="Times New Roman" w:eastAsia="Times New Roman" w:hAnsi="Times New Roman"/>
          <w:sz w:val="17"/>
          <w:szCs w:val="17"/>
          <w:i w:val="1"/>
          <w:iCs w:val="1"/>
          <w:color w:val="auto"/>
        </w:rPr>
        <w:t xml:space="preserve">/s/ Ronit Simantov </w:t>
      </w:r>
      <w:r>
        <w:rPr>
          <w:rFonts w:ascii="Times New Roman" w:cs="Times New Roman" w:eastAsia="Times New Roman" w:hAnsi="Times New Roman"/>
          <w:sz w:val="17"/>
          <w:szCs w:val="17"/>
          <w:color w:val="auto"/>
        </w:rPr>
        <w:t>Ronit Simantov,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-281305</wp:posOffset>
                </wp:positionV>
                <wp:extent cx="1176655" cy="0"/>
                <wp:wrapNone/>
                <wp:docPr id="927" name="Shape 9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665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27" o:spid="_x0000_s19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1499pt" to="92.65pt,-22.1499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411480</wp:posOffset>
                </wp:positionV>
                <wp:extent cx="5943600" cy="0"/>
                <wp:wrapNone/>
                <wp:docPr id="928" name="Shape 9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685">
                          <a:solidFill>
                            <a:srgbClr val="808080"/>
                          </a:solidFill>
                          <a:miter lim="800000"/>
                          <a:headEnd/>
                          <a:tailEnd/>
                        </a:ln>
                      </wps:spPr>
                      <wps:bodyPr/>
                    </wps:wsp>
                  </a:graphicData>
                </a:graphic>
              </wp:anchor>
            </w:drawing>
          </mc:Choice>
          <mc:Fallback>
            <w:pict>
              <v:line id="Shape 928" o:spid="_x0000_s19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4pt" to="468pt,32.4pt" o:allowincell="f" strokecolor="#808080" strokeweight="1.5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397510</wp:posOffset>
                </wp:positionV>
                <wp:extent cx="5944870" cy="13335"/>
                <wp:wrapNone/>
                <wp:docPr id="929" name="Shape 9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13335"/>
                        </a:xfrm>
                        <a:prstGeom prst="rect">
                          <a:avLst/>
                        </a:prstGeom>
                        <a:solidFill>
                          <a:srgbClr val="A0A0A0"/>
                        </a:solidFill>
                      </wps:spPr>
                      <wps:bodyPr/>
                    </wps:wsp>
                  </a:graphicData>
                </a:graphic>
              </wp:anchor>
            </w:drawing>
          </mc:Choice>
          <mc:Fallback>
            <w:pict>
              <v:rect id="Shape 929" o:spid="_x0000_s1954" style="position:absolute;margin-left:0pt;margin-top:31.3pt;width:468.1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402590</wp:posOffset>
                </wp:positionV>
                <wp:extent cx="0" cy="19685"/>
                <wp:wrapNone/>
                <wp:docPr id="930" name="Shape 9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8">
                          <a:solidFill>
                            <a:srgbClr val="A0A0A0"/>
                          </a:solidFill>
                          <a:miter lim="800000"/>
                          <a:headEnd/>
                          <a:tailEnd/>
                        </a:ln>
                      </wps:spPr>
                      <wps:bodyPr/>
                    </wps:wsp>
                  </a:graphicData>
                </a:graphic>
              </wp:anchor>
            </w:drawing>
          </mc:Choice>
          <mc:Fallback>
            <w:pict>
              <v:line id="Shape 930" o:spid="_x0000_s19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31.7pt" to="0.1pt,33.25pt" o:allowincell="f" strokecolor="#A0A0A0" strokeweight="0.24pt"/>
            </w:pict>
          </mc:Fallback>
        </mc:AlternateConten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1"/>
        </w:trPr>
        <w:tc>
          <w:tcPr>
            <w:tcW w:w="5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277"/>
        </w:trPr>
        <w:tc>
          <w:tcPr>
            <w:tcW w:w="5960" w:type="dxa"/>
            <w:vAlign w:val="bottom"/>
          </w:tcPr>
          <w:p>
            <w:pPr>
              <w:spacing w:after="0"/>
              <w:rPr>
                <w:sz w:val="24"/>
                <w:szCs w:val="24"/>
                <w:color w:val="auto"/>
              </w:rPr>
            </w:pP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30, 2026</w:t>
            </w:r>
          </w:p>
        </w:tc>
        <w:tc>
          <w:tcPr>
            <w:tcW w:w="0" w:type="dxa"/>
            <w:vAlign w:val="bottom"/>
          </w:tcPr>
          <w:p>
            <w:pPr>
              <w:spacing w:after="0"/>
              <w:rPr>
                <w:sz w:val="1"/>
                <w:szCs w:val="1"/>
                <w:color w:val="auto"/>
              </w:rPr>
            </w:pPr>
          </w:p>
        </w:tc>
      </w:tr>
      <w:tr>
        <w:trPr>
          <w:trHeight w:val="32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Chief Executive Officer, President and Director </w:t>
            </w:r>
            <w:r>
              <w:rPr>
                <w:rFonts w:ascii="Times New Roman" w:cs="Times New Roman" w:eastAsia="Times New Roman" w:hAnsi="Times New Roman"/>
                <w:sz w:val="18"/>
                <w:szCs w:val="18"/>
                <w:i w:val="1"/>
                <w:iCs w:val="1"/>
                <w:color w:val="auto"/>
              </w:rPr>
              <w:t>(Principal Executive Officer)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Chief Financial Officer &amp; Head of Corporate Strategy</w:t>
            </w: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30, 2026</w:t>
            </w:r>
          </w:p>
        </w:tc>
        <w:tc>
          <w:tcPr>
            <w:tcW w:w="0" w:type="dxa"/>
            <w:vAlign w:val="bottom"/>
          </w:tcPr>
          <w:p>
            <w:pPr>
              <w:spacing w:after="0"/>
              <w:rPr>
                <w:sz w:val="1"/>
                <w:szCs w:val="1"/>
                <w:color w:val="auto"/>
              </w:rPr>
            </w:pPr>
          </w:p>
        </w:tc>
      </w:tr>
      <w:tr>
        <w:trPr>
          <w:trHeight w:val="90"/>
        </w:trPr>
        <w:tc>
          <w:tcPr>
            <w:tcW w:w="596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3"/>
        </w:trPr>
        <w:tc>
          <w:tcPr>
            <w:tcW w:w="59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 Controller, Treasurer</w:t>
            </w: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30, 2026</w:t>
            </w:r>
          </w:p>
        </w:tc>
        <w:tc>
          <w:tcPr>
            <w:tcW w:w="0" w:type="dxa"/>
            <w:vAlign w:val="bottom"/>
          </w:tcPr>
          <w:p>
            <w:pPr>
              <w:spacing w:after="0"/>
              <w:rPr>
                <w:sz w:val="1"/>
                <w:szCs w:val="1"/>
                <w:color w:val="auto"/>
              </w:rPr>
            </w:pPr>
          </w:p>
        </w:tc>
      </w:tr>
      <w:tr>
        <w:trPr>
          <w:trHeight w:val="90"/>
        </w:trPr>
        <w:tc>
          <w:tcPr>
            <w:tcW w:w="596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3"/>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30, 2026</w:t>
            </w:r>
          </w:p>
        </w:tc>
        <w:tc>
          <w:tcPr>
            <w:tcW w:w="0" w:type="dxa"/>
            <w:vAlign w:val="bottom"/>
          </w:tcPr>
          <w:p>
            <w:pPr>
              <w:spacing w:after="0"/>
              <w:rPr>
                <w:sz w:val="1"/>
                <w:szCs w:val="1"/>
                <w:color w:val="auto"/>
              </w:rPr>
            </w:pPr>
          </w:p>
        </w:tc>
      </w:tr>
      <w:tr>
        <w:trPr>
          <w:trHeight w:val="881"/>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30, 2026</w:t>
            </w:r>
          </w:p>
        </w:tc>
        <w:tc>
          <w:tcPr>
            <w:tcW w:w="0" w:type="dxa"/>
            <w:vAlign w:val="bottom"/>
          </w:tcPr>
          <w:p>
            <w:pPr>
              <w:spacing w:after="0"/>
              <w:rPr>
                <w:sz w:val="1"/>
                <w:szCs w:val="1"/>
                <w:color w:val="auto"/>
              </w:rPr>
            </w:pPr>
          </w:p>
        </w:tc>
      </w:tr>
      <w:tr>
        <w:trPr>
          <w:trHeight w:val="881"/>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30, 2026</w:t>
            </w:r>
          </w:p>
        </w:tc>
        <w:tc>
          <w:tcPr>
            <w:tcW w:w="0" w:type="dxa"/>
            <w:vAlign w:val="bottom"/>
          </w:tcPr>
          <w:p>
            <w:pPr>
              <w:spacing w:after="0"/>
              <w:rPr>
                <w:sz w:val="1"/>
                <w:szCs w:val="1"/>
                <w:color w:val="auto"/>
              </w:rPr>
            </w:pPr>
          </w:p>
        </w:tc>
      </w:tr>
      <w:tr>
        <w:trPr>
          <w:trHeight w:val="878"/>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30,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-1180465</wp:posOffset>
                </wp:positionH>
                <wp:positionV relativeFrom="paragraph">
                  <wp:posOffset>-3797300</wp:posOffset>
                </wp:positionV>
                <wp:extent cx="5944235" cy="0"/>
                <wp:wrapNone/>
                <wp:docPr id="931" name="Shape 9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24383">
                          <a:solidFill>
                            <a:srgbClr val="000000"/>
                          </a:solidFill>
                          <a:miter lim="800000"/>
                          <a:headEnd/>
                          <a:tailEnd/>
                        </a:ln>
                      </wps:spPr>
                      <wps:bodyPr/>
                    </wps:wsp>
                  </a:graphicData>
                </a:graphic>
              </wp:anchor>
            </w:drawing>
          </mc:Choice>
          <mc:Fallback>
            <w:pict>
              <v:line id="Shape 931" o:spid="_x0000_s19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9499pt,-299pt" to="375.1pt,-299pt" o:allowincell="f" strokecolor="#000000" strokeweight="1.9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4761865</wp:posOffset>
                </wp:positionH>
                <wp:positionV relativeFrom="paragraph">
                  <wp:posOffset>137795</wp:posOffset>
                </wp:positionV>
                <wp:extent cx="0" cy="17145"/>
                <wp:wrapNone/>
                <wp:docPr id="932" name="Shape 9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145"/>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32" o:spid="_x0000_s19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95pt,10.85pt" to="374.95pt,12.2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-1180465</wp:posOffset>
                </wp:positionH>
                <wp:positionV relativeFrom="paragraph">
                  <wp:posOffset>153035</wp:posOffset>
                </wp:positionV>
                <wp:extent cx="5944235" cy="0"/>
                <wp:wrapNone/>
                <wp:docPr id="933" name="Shape 9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33" o:spid="_x0000_s19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9499pt,12.05pt" to="375.1pt,12.05pt" o:allowincell="f" strokecolor="#E3E3E3" strokeweight="0.2399pt"/>
            </w:pict>
          </mc:Fallback>
        </mc:AlternateContent>
      </w:r>
    </w:p>
    <w:sectPr>
      <w:pgSz w:w="12240" w:h="15840" w:orient="portrait"/>
      <w:cols w:equalWidth="0" w:num="2">
        <w:col w:w="1740" w:space="120"/>
        <w:col w:w="75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Segoe UI Emoji">
    <w:panose1 w:val="020B0502040204020203"/>
    <w:charset w:val="00"/>
    <w:family w:val="swiss"/>
    <w:pitch w:val="variable"/>
    <w:sig w:usb0="00000001" w:usb1="02000000" w:usb2="00000000" w:usb3="00000000" w:csb0="00000001"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decimal"/>
      <w:start w:val="40"/>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lowerRoman"/>
      <w:start w:val="2"/>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lowerRoman"/>
      <w:start w:val="2"/>
    </w:lvl>
  </w:abstractNum>
  <w:abstractNum w:abstractNumId="12">
    <w:nsid w:val="431BD7B7"/>
    <w:multiLevelType w:val="hybridMultilevel"/>
    <w:lvl w:ilvl="0">
      <w:lvlJc w:val="left"/>
      <w:lvlText w:val="%1."/>
      <w:numFmt w:val="decimal"/>
      <w:start w:val="13"/>
    </w:lvl>
  </w:abstractNum>
  <w:abstractNum w:abstractNumId="13">
    <w:nsid w:val="3F2DBA31"/>
    <w:multiLevelType w:val="hybridMultilevel"/>
    <w:lvl w:ilvl="0">
      <w:lvlJc w:val="left"/>
      <w:lvlText w:val="(%1)"/>
      <w:numFmt w:val="lowerRoman"/>
      <w:start w:val="1"/>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2"/>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2026-11-02T15:11:22Z</dcterms:created>
  <dcterms:modified xsi:type="dcterms:W3CDTF">2026-11-02T15:11:22Z</dcterms:modified>
</cp:coreProperties>
</file>