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December 9, 2025</w:t>
      </w:r>
    </w:p>
    <w:p>
      <w:pPr>
        <w:spacing w:after="0" w:line="5" w:lineRule="exact"/>
        <w:rPr>
          <w:sz w:val="24"/>
          <w:szCs w:val="24"/>
          <w:color w:val="auto"/>
        </w:rPr>
      </w:pPr>
    </w:p>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817880</wp:posOffset>
            </wp:positionH>
            <wp:positionV relativeFrom="paragraph">
              <wp:posOffset>52070</wp:posOffset>
            </wp:positionV>
            <wp:extent cx="55384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38470" cy="698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85725</wp:posOffset>
            </wp:positionV>
            <wp:extent cx="55384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38470" cy="6985"/>
                    </a:xfrm>
                    <a:prstGeom prst="rect">
                      <a:avLst/>
                    </a:prstGeom>
                    <a:noFill/>
                  </pic:spPr>
                </pic:pic>
              </a:graphicData>
            </a:graphic>
          </wp:anchor>
        </w:drawing>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120650</wp:posOffset>
            </wp:positionV>
            <wp:extent cx="11607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FORM S-1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spacing w:after="0" w:line="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128905</wp:posOffset>
            </wp:positionV>
            <wp:extent cx="11607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TEMPEST THERAPEUTICS, INC.</w:t>
      </w:r>
    </w:p>
    <w:p>
      <w:pPr>
        <w:spacing w:after="0" w:line="3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113030</wp:posOffset>
            </wp:positionV>
            <wp:extent cx="11607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73" w:lineRule="exact"/>
        <w:rPr>
          <w:sz w:val="24"/>
          <w:szCs w:val="24"/>
          <w:color w:val="auto"/>
        </w:rPr>
      </w:pPr>
    </w:p>
    <w:tbl>
      <w:tblPr>
        <w:tblLayout w:type="fixed"/>
        <w:tblInd w:w="2120" w:type="dxa"/>
        <w:tblCellMar>
          <w:top w:w="0" w:type="dxa"/>
          <w:left w:w="0" w:type="dxa"/>
          <w:bottom w:w="0" w:type="dxa"/>
          <w:right w:w="0" w:type="dxa"/>
        </w:tblCellMar>
      </w:tblPr>
      <w:tr>
        <w:trPr>
          <w:trHeight w:val="126"/>
        </w:trPr>
        <w:tc>
          <w:tcPr>
            <w:tcW w:w="2180" w:type="dxa"/>
            <w:vAlign w:val="bottom"/>
          </w:tcPr>
          <w:p>
            <w:pPr>
              <w:jc w:val="center"/>
              <w:ind w:right="828"/>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2834</w:t>
            </w:r>
          </w:p>
        </w:tc>
        <w:tc>
          <w:tcPr>
            <w:tcW w:w="1900" w:type="dxa"/>
            <w:vAlign w:val="bottom"/>
          </w:tcPr>
          <w:p>
            <w:pPr>
              <w:jc w:val="center"/>
              <w:ind w:left="868"/>
              <w:spacing w:after="0"/>
              <w:rPr>
                <w:sz w:val="20"/>
                <w:szCs w:val="20"/>
                <w:color w:val="auto"/>
              </w:rPr>
            </w:pPr>
            <w:r>
              <w:rPr>
                <w:rFonts w:ascii="Times New Roman" w:cs="Times New Roman" w:eastAsia="Times New Roman" w:hAnsi="Times New Roman"/>
                <w:sz w:val="11"/>
                <w:szCs w:val="11"/>
                <w:b w:val="1"/>
                <w:bCs w:val="1"/>
                <w:color w:val="auto"/>
              </w:rPr>
              <w:t>45-1472564</w:t>
            </w:r>
          </w:p>
        </w:tc>
      </w:tr>
      <w:tr>
        <w:trPr>
          <w:trHeight w:val="107"/>
        </w:trPr>
        <w:tc>
          <w:tcPr>
            <w:tcW w:w="2180" w:type="dxa"/>
            <w:vAlign w:val="bottom"/>
          </w:tcPr>
          <w:p>
            <w:pPr>
              <w:jc w:val="center"/>
              <w:ind w:right="848"/>
              <w:spacing w:after="0" w:line="107" w:lineRule="exact"/>
              <w:rPr>
                <w:sz w:val="20"/>
                <w:szCs w:val="20"/>
                <w:color w:val="auto"/>
              </w:rPr>
            </w:pPr>
            <w:r>
              <w:rPr>
                <w:rFonts w:ascii="Times New Roman" w:cs="Times New Roman" w:eastAsia="Times New Roman" w:hAnsi="Times New Roman"/>
                <w:sz w:val="10"/>
                <w:szCs w:val="10"/>
                <w:b w:val="1"/>
                <w:bCs w:val="1"/>
                <w:color w:val="auto"/>
                <w:w w:val="99"/>
              </w:rPr>
              <w:t>(State or other jurisdiction of</w:t>
            </w:r>
          </w:p>
        </w:tc>
        <w:tc>
          <w:tcPr>
            <w:tcW w:w="29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(Primary Standard</w:t>
            </w:r>
          </w:p>
        </w:tc>
        <w:tc>
          <w:tcPr>
            <w:tcW w:w="1900" w:type="dxa"/>
            <w:vAlign w:val="bottom"/>
          </w:tcPr>
          <w:p>
            <w:pPr>
              <w:jc w:val="center"/>
              <w:ind w:left="888"/>
              <w:spacing w:after="0" w:line="107" w:lineRule="exact"/>
              <w:rPr>
                <w:sz w:val="20"/>
                <w:szCs w:val="20"/>
                <w:color w:val="auto"/>
              </w:rPr>
            </w:pPr>
            <w:r>
              <w:rPr>
                <w:rFonts w:ascii="Times New Roman" w:cs="Times New Roman" w:eastAsia="Times New Roman" w:hAnsi="Times New Roman"/>
                <w:sz w:val="10"/>
                <w:szCs w:val="10"/>
                <w:b w:val="1"/>
                <w:bCs w:val="1"/>
                <w:color w:val="auto"/>
                <w:w w:val="99"/>
              </w:rPr>
              <w:t>(I.R.S. Employer</w:t>
            </w:r>
          </w:p>
        </w:tc>
      </w:tr>
      <w:tr>
        <w:trPr>
          <w:trHeight w:val="131"/>
        </w:trPr>
        <w:tc>
          <w:tcPr>
            <w:tcW w:w="2180" w:type="dxa"/>
            <w:vAlign w:val="bottom"/>
          </w:tcPr>
          <w:p>
            <w:pPr>
              <w:jc w:val="center"/>
              <w:ind w:right="828"/>
              <w:spacing w:after="0"/>
              <w:rPr>
                <w:sz w:val="20"/>
                <w:szCs w:val="20"/>
                <w:color w:val="auto"/>
              </w:rPr>
            </w:pPr>
            <w:r>
              <w:rPr>
                <w:rFonts w:ascii="Times New Roman" w:cs="Times New Roman" w:eastAsia="Times New Roman" w:hAnsi="Times New Roman"/>
                <w:sz w:val="10"/>
                <w:szCs w:val="10"/>
                <w:b w:val="1"/>
                <w:bCs w:val="1"/>
                <w:color w:val="auto"/>
                <w:w w:val="99"/>
              </w:rPr>
              <w:t>incorporation or organization)</w:t>
            </w:r>
          </w:p>
        </w:tc>
        <w:tc>
          <w:tcPr>
            <w:tcW w:w="2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Industrial Code Number)</w:t>
            </w:r>
          </w:p>
        </w:tc>
        <w:tc>
          <w:tcPr>
            <w:tcW w:w="1900" w:type="dxa"/>
            <w:vAlign w:val="bottom"/>
          </w:tcPr>
          <w:p>
            <w:pPr>
              <w:jc w:val="center"/>
              <w:ind w:left="868"/>
              <w:spacing w:after="0"/>
              <w:rPr>
                <w:sz w:val="20"/>
                <w:szCs w:val="20"/>
                <w:color w:val="auto"/>
              </w:rPr>
            </w:pPr>
            <w:r>
              <w:rPr>
                <w:rFonts w:ascii="Times New Roman" w:cs="Times New Roman" w:eastAsia="Times New Roman" w:hAnsi="Times New Roman"/>
                <w:sz w:val="10"/>
                <w:szCs w:val="10"/>
                <w:b w:val="1"/>
                <w:bCs w:val="1"/>
                <w:color w:val="auto"/>
                <w:w w:val="98"/>
              </w:rPr>
              <w:t>Identification Number)</w:t>
            </w:r>
          </w:p>
        </w:tc>
      </w:tr>
    </w:tbl>
    <w:p>
      <w:pPr>
        <w:spacing w:after="0" w:line="6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2000 Sierra Point Parkway, Suite 400</w:t>
      </w:r>
    </w:p>
    <w:p>
      <w:pPr>
        <w:jc w:val="center"/>
        <w:ind w:right="-1120"/>
        <w:spacing w:after="0" w:line="232" w:lineRule="auto"/>
        <w:rPr>
          <w:sz w:val="20"/>
          <w:szCs w:val="20"/>
          <w:color w:val="auto"/>
        </w:rPr>
      </w:pPr>
      <w:r>
        <w:rPr>
          <w:rFonts w:ascii="Times New Roman" w:cs="Times New Roman" w:eastAsia="Times New Roman" w:hAnsi="Times New Roman"/>
          <w:sz w:val="11"/>
          <w:szCs w:val="11"/>
          <w:b w:val="1"/>
          <w:bCs w:val="1"/>
          <w:color w:val="auto"/>
        </w:rPr>
        <w:t>Brisbane, California, 94005</w:t>
      </w:r>
    </w:p>
    <w:p>
      <w:pPr>
        <w:jc w:val="center"/>
        <w:ind w:right="-1120"/>
        <w:spacing w:after="0" w:line="227" w:lineRule="auto"/>
        <w:rPr>
          <w:sz w:val="20"/>
          <w:szCs w:val="20"/>
          <w:color w:val="auto"/>
        </w:rPr>
      </w:pPr>
      <w:r>
        <w:rPr>
          <w:rFonts w:ascii="Times New Roman" w:cs="Times New Roman" w:eastAsia="Times New Roman" w:hAnsi="Times New Roman"/>
          <w:sz w:val="11"/>
          <w:szCs w:val="11"/>
          <w:b w:val="1"/>
          <w:bCs w:val="1"/>
          <w:color w:val="auto"/>
        </w:rPr>
        <w:t>(415) 798-8589</w:t>
      </w:r>
    </w:p>
    <w:p>
      <w:pPr>
        <w:ind w:left="3220"/>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112395</wp:posOffset>
            </wp:positionV>
            <wp:extent cx="11607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Stephen Brady</w:t>
      </w:r>
    </w:p>
    <w:p>
      <w:pPr>
        <w:jc w:val="center"/>
        <w:ind w:right="-1120"/>
        <w:spacing w:after="0" w:line="232" w:lineRule="auto"/>
        <w:rPr>
          <w:sz w:val="20"/>
          <w:szCs w:val="20"/>
          <w:color w:val="auto"/>
        </w:rPr>
      </w:pPr>
      <w:r>
        <w:rPr>
          <w:rFonts w:ascii="Times New Roman" w:cs="Times New Roman" w:eastAsia="Times New Roman" w:hAnsi="Times New Roman"/>
          <w:sz w:val="11"/>
          <w:szCs w:val="11"/>
          <w:b w:val="1"/>
          <w:bCs w:val="1"/>
          <w:color w:val="auto"/>
        </w:rPr>
        <w:t>Chief Executive Officer</w:t>
      </w:r>
    </w:p>
    <w:p>
      <w:pPr>
        <w:jc w:val="center"/>
        <w:ind w:right="-1120"/>
        <w:spacing w:after="0" w:line="223" w:lineRule="auto"/>
        <w:rPr>
          <w:sz w:val="20"/>
          <w:szCs w:val="20"/>
          <w:color w:val="auto"/>
        </w:rPr>
      </w:pPr>
      <w:r>
        <w:rPr>
          <w:rFonts w:ascii="Times New Roman" w:cs="Times New Roman" w:eastAsia="Times New Roman" w:hAnsi="Times New Roman"/>
          <w:sz w:val="11"/>
          <w:szCs w:val="11"/>
          <w:b w:val="1"/>
          <w:bCs w:val="1"/>
          <w:color w:val="auto"/>
        </w:rPr>
        <w:t>2000 Sierra Point Parkway, Suite 400</w:t>
      </w:r>
    </w:p>
    <w:p>
      <w:pPr>
        <w:jc w:val="center"/>
        <w:ind w:right="-1120"/>
        <w:spacing w:after="0" w:line="223" w:lineRule="auto"/>
        <w:rPr>
          <w:sz w:val="20"/>
          <w:szCs w:val="20"/>
          <w:color w:val="auto"/>
        </w:rPr>
      </w:pPr>
      <w:r>
        <w:rPr>
          <w:rFonts w:ascii="Times New Roman" w:cs="Times New Roman" w:eastAsia="Times New Roman" w:hAnsi="Times New Roman"/>
          <w:sz w:val="11"/>
          <w:szCs w:val="11"/>
          <w:b w:val="1"/>
          <w:bCs w:val="1"/>
          <w:color w:val="auto"/>
        </w:rPr>
        <w:t>Brisbane, CA 94005</w:t>
      </w:r>
    </w:p>
    <w:p>
      <w:pPr>
        <w:jc w:val="center"/>
        <w:ind w:right="-1120"/>
        <w:spacing w:after="0" w:line="227" w:lineRule="auto"/>
        <w:rPr>
          <w:sz w:val="20"/>
          <w:szCs w:val="20"/>
          <w:color w:val="auto"/>
        </w:rPr>
      </w:pPr>
      <w:r>
        <w:rPr>
          <w:rFonts w:ascii="Times New Roman" w:cs="Times New Roman" w:eastAsia="Times New Roman" w:hAnsi="Times New Roman"/>
          <w:sz w:val="11"/>
          <w:szCs w:val="11"/>
          <w:b w:val="1"/>
          <w:bCs w:val="1"/>
          <w:color w:val="auto"/>
        </w:rPr>
        <w:t>(415) 798-8589</w:t>
      </w:r>
    </w:p>
    <w:p>
      <w:pPr>
        <w:ind w:left="352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112395</wp:posOffset>
            </wp:positionV>
            <wp:extent cx="11607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p>
      <w:pPr>
        <w:spacing w:after="0" w:line="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Laura Berezin</w:t>
      </w:r>
    </w:p>
    <w:p>
      <w:pPr>
        <w:jc w:val="center"/>
        <w:ind w:right="-1120"/>
        <w:spacing w:after="0" w:line="232" w:lineRule="auto"/>
        <w:rPr>
          <w:sz w:val="20"/>
          <w:szCs w:val="20"/>
          <w:color w:val="auto"/>
        </w:rPr>
      </w:pPr>
      <w:r>
        <w:rPr>
          <w:rFonts w:ascii="Times New Roman" w:cs="Times New Roman" w:eastAsia="Times New Roman" w:hAnsi="Times New Roman"/>
          <w:sz w:val="11"/>
          <w:szCs w:val="11"/>
          <w:b w:val="1"/>
          <w:bCs w:val="1"/>
          <w:color w:val="auto"/>
        </w:rPr>
        <w:t>Jaime L. Chase</w:t>
      </w:r>
    </w:p>
    <w:p>
      <w:pPr>
        <w:jc w:val="center"/>
        <w:ind w:right="-1120"/>
        <w:spacing w:after="0" w:line="223" w:lineRule="auto"/>
        <w:rPr>
          <w:sz w:val="20"/>
          <w:szCs w:val="20"/>
          <w:color w:val="auto"/>
        </w:rPr>
      </w:pPr>
      <w:r>
        <w:rPr>
          <w:rFonts w:ascii="Times New Roman" w:cs="Times New Roman" w:eastAsia="Times New Roman" w:hAnsi="Times New Roman"/>
          <w:sz w:val="11"/>
          <w:szCs w:val="11"/>
          <w:b w:val="1"/>
          <w:bCs w:val="1"/>
          <w:color w:val="auto"/>
        </w:rPr>
        <w:t>Asa M. Henin</w:t>
      </w:r>
    </w:p>
    <w:p>
      <w:pPr>
        <w:jc w:val="center"/>
        <w:ind w:right="-1120"/>
        <w:spacing w:after="0" w:line="223" w:lineRule="auto"/>
        <w:rPr>
          <w:sz w:val="20"/>
          <w:szCs w:val="20"/>
          <w:color w:val="auto"/>
        </w:rPr>
      </w:pPr>
      <w:r>
        <w:rPr>
          <w:rFonts w:ascii="Times New Roman" w:cs="Times New Roman" w:eastAsia="Times New Roman" w:hAnsi="Times New Roman"/>
          <w:sz w:val="11"/>
          <w:szCs w:val="11"/>
          <w:b w:val="1"/>
          <w:bCs w:val="1"/>
          <w:color w:val="auto"/>
        </w:rPr>
        <w:t>Cooley LLP</w:t>
      </w:r>
    </w:p>
    <w:p>
      <w:pPr>
        <w:jc w:val="center"/>
        <w:ind w:right="-1120"/>
        <w:spacing w:after="0" w:line="224" w:lineRule="auto"/>
        <w:rPr>
          <w:sz w:val="20"/>
          <w:szCs w:val="20"/>
          <w:color w:val="auto"/>
        </w:rPr>
      </w:pPr>
      <w:r>
        <w:rPr>
          <w:rFonts w:ascii="Times New Roman" w:cs="Times New Roman" w:eastAsia="Times New Roman" w:hAnsi="Times New Roman"/>
          <w:sz w:val="11"/>
          <w:szCs w:val="11"/>
          <w:b w:val="1"/>
          <w:bCs w:val="1"/>
          <w:color w:val="auto"/>
        </w:rPr>
        <w:t>1700 Seventh Avenue, Suite 1900</w:t>
      </w:r>
    </w:p>
    <w:p>
      <w:pPr>
        <w:jc w:val="center"/>
        <w:ind w:right="-1120"/>
        <w:spacing w:after="0" w:line="223" w:lineRule="auto"/>
        <w:rPr>
          <w:sz w:val="20"/>
          <w:szCs w:val="20"/>
          <w:color w:val="auto"/>
        </w:rPr>
      </w:pPr>
      <w:r>
        <w:rPr>
          <w:rFonts w:ascii="Times New Roman" w:cs="Times New Roman" w:eastAsia="Times New Roman" w:hAnsi="Times New Roman"/>
          <w:sz w:val="11"/>
          <w:szCs w:val="11"/>
          <w:b w:val="1"/>
          <w:bCs w:val="1"/>
          <w:color w:val="auto"/>
        </w:rPr>
        <w:t>Seattle, Washington 98101</w:t>
      </w: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(206) 452-8756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120015</wp:posOffset>
            </wp:positionV>
            <wp:extent cx="116078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46"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As soon as practicable after this registration statement is declared effective.</w:t>
      </w:r>
    </w:p>
    <w:p>
      <w:pPr>
        <w:spacing w:after="0" w:line="63" w:lineRule="exact"/>
        <w:rPr>
          <w:sz w:val="24"/>
          <w:szCs w:val="24"/>
          <w:color w:val="auto"/>
        </w:rPr>
      </w:pPr>
    </w:p>
    <w:p>
      <w:pPr>
        <w:ind w:left="1280"/>
        <w:spacing w:after="0" w:line="127"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114" w:lineRule="exact"/>
        <w:rPr>
          <w:sz w:val="24"/>
          <w:szCs w:val="24"/>
          <w:color w:val="auto"/>
        </w:rPr>
      </w:pPr>
    </w:p>
    <w:p>
      <w:pPr>
        <w:ind w:left="1280" w:right="419"/>
        <w:spacing w:after="0" w:line="147"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9" w:lineRule="exact"/>
        <w:rPr>
          <w:sz w:val="24"/>
          <w:szCs w:val="24"/>
          <w:color w:val="auto"/>
        </w:rPr>
      </w:pPr>
    </w:p>
    <w:p>
      <w:pPr>
        <w:ind w:left="1280" w:right="419"/>
        <w:spacing w:after="0" w:line="147"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9" w:lineRule="exact"/>
        <w:rPr>
          <w:sz w:val="24"/>
          <w:szCs w:val="24"/>
          <w:color w:val="auto"/>
        </w:rPr>
      </w:pPr>
    </w:p>
    <w:p>
      <w:pPr>
        <w:ind w:left="1280" w:right="419"/>
        <w:spacing w:after="0" w:line="147"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9" w:lineRule="exact"/>
        <w:rPr>
          <w:sz w:val="24"/>
          <w:szCs w:val="24"/>
          <w:color w:val="auto"/>
        </w:rPr>
      </w:pPr>
    </w:p>
    <w:p>
      <w:pPr>
        <w:ind w:left="1280" w:right="279"/>
        <w:spacing w:after="0" w:line="263"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or a smaller reporting company. See the definitions of “large accelerated filer,” “accelerated filer,” “smaller reporting company” or “emerging growth company” in Rule 12b-2 of the Exchange Act.</w:t>
      </w:r>
    </w:p>
    <w:p>
      <w:pPr>
        <w:spacing w:after="0" w:line="39" w:lineRule="exact"/>
        <w:rPr>
          <w:sz w:val="24"/>
          <w:szCs w:val="24"/>
          <w:color w:val="auto"/>
        </w:rPr>
      </w:pPr>
    </w:p>
    <w:tbl>
      <w:tblPr>
        <w:tblLayout w:type="fixed"/>
        <w:tblInd w:w="1280" w:type="dxa"/>
        <w:tblCellMar>
          <w:top w:w="0" w:type="dxa"/>
          <w:left w:w="0" w:type="dxa"/>
          <w:bottom w:w="0" w:type="dxa"/>
          <w:right w:w="0" w:type="dxa"/>
        </w:tblCellMar>
      </w:tblPr>
      <w:tr>
        <w:trPr>
          <w:trHeight w:val="192"/>
        </w:trPr>
        <w:tc>
          <w:tcPr>
            <w:tcW w:w="12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9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4100" w:type="dxa"/>
            <w:vAlign w:val="bottom"/>
          </w:tcPr>
          <w:p>
            <w:pPr>
              <w:ind w:left="2620"/>
              <w:spacing w:after="0"/>
              <w:rPr>
                <w:sz w:val="20"/>
                <w:szCs w:val="20"/>
                <w:color w:val="auto"/>
              </w:rPr>
            </w:pPr>
            <w:r>
              <w:rPr>
                <w:rFonts w:ascii="Times New Roman" w:cs="Times New Roman" w:eastAsia="Times New Roman" w:hAnsi="Times New Roman"/>
                <w:sz w:val="11"/>
                <w:szCs w:val="11"/>
                <w:color w:val="auto"/>
              </w:rPr>
              <w:t>Accelerated filer</w:t>
            </w:r>
          </w:p>
        </w:tc>
        <w:tc>
          <w:tcPr>
            <w:tcW w:w="360" w:type="dxa"/>
            <w:vAlign w:val="bottom"/>
          </w:tcPr>
          <w:p>
            <w:pPr>
              <w:ind w:left="2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4"/>
        </w:trPr>
        <w:tc>
          <w:tcPr>
            <w:tcW w:w="12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9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4100" w:type="dxa"/>
            <w:vAlign w:val="bottom"/>
          </w:tcPr>
          <w:p>
            <w:pPr>
              <w:ind w:left="26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60" w:type="dxa"/>
            <w:vAlign w:val="bottom"/>
          </w:tcPr>
          <w:p>
            <w:pPr>
              <w:ind w:left="2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4"/>
        </w:trPr>
        <w:tc>
          <w:tcPr>
            <w:tcW w:w="12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100" w:type="dxa"/>
            <w:vAlign w:val="bottom"/>
          </w:tcPr>
          <w:p>
            <w:pPr>
              <w:ind w:left="2620"/>
              <w:spacing w:after="0"/>
              <w:rPr>
                <w:sz w:val="20"/>
                <w:szCs w:val="20"/>
                <w:color w:val="auto"/>
              </w:rPr>
            </w:pPr>
            <w:r>
              <w:rPr>
                <w:rFonts w:ascii="Times New Roman" w:cs="Times New Roman" w:eastAsia="Times New Roman" w:hAnsi="Times New Roman"/>
                <w:sz w:val="11"/>
                <w:szCs w:val="11"/>
                <w:color w:val="auto"/>
              </w:rPr>
              <w:t>Emerging growth company</w:t>
            </w:r>
          </w:p>
        </w:tc>
        <w:tc>
          <w:tcPr>
            <w:tcW w:w="360" w:type="dxa"/>
            <w:vAlign w:val="bottom"/>
          </w:tcPr>
          <w:p>
            <w:pPr>
              <w:ind w:left="2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102870</wp:posOffset>
            </wp:positionV>
            <wp:extent cx="11607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21" w:lineRule="exact"/>
        <w:rPr>
          <w:sz w:val="24"/>
          <w:szCs w:val="24"/>
          <w:color w:val="auto"/>
        </w:rPr>
      </w:pPr>
    </w:p>
    <w:p>
      <w:pPr>
        <w:ind w:left="1280" w:right="439"/>
        <w:spacing w:after="0" w:line="14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47" w:lineRule="exact"/>
        <w:rPr>
          <w:sz w:val="24"/>
          <w:szCs w:val="24"/>
          <w:color w:val="auto"/>
        </w:rPr>
      </w:pPr>
    </w:p>
    <w:p>
      <w:pPr>
        <w:ind w:left="1280" w:right="379"/>
        <w:spacing w:after="0" w:line="244"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817880</wp:posOffset>
            </wp:positionH>
            <wp:positionV relativeFrom="paragraph">
              <wp:posOffset>38735</wp:posOffset>
            </wp:positionV>
            <wp:extent cx="553847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8470" cy="698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73025</wp:posOffset>
            </wp:positionV>
            <wp:extent cx="553847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8470" cy="6985"/>
                    </a:xfrm>
                    <a:prstGeom prst="rect">
                      <a:avLst/>
                    </a:prstGeom>
                    <a:noFill/>
                  </pic:spPr>
                </pic:pic>
              </a:graphicData>
            </a:graphic>
          </wp:anchor>
        </w:drawing>
      </w:r>
    </w:p>
    <w:p>
      <w:pPr>
        <w:sectPr>
          <w:pgSz w:w="11900" w:h="16838" w:orient="portrait"/>
          <w:cols w:equalWidth="0" w:num="1">
            <w:col w:w="10159"/>
          </w:cols>
          <w:pgMar w:left="300" w:top="20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ectPr>
          <w:pgSz w:w="11900" w:h="16838" w:orient="portrait"/>
          <w:cols w:equalWidth="0" w:num="1">
            <w:col w:w="10159"/>
          </w:cols>
          <w:pgMar w:left="300" w:top="390" w:right="1440" w:bottom="1440" w:gutter="0" w:footer="0" w:header="0"/>
        </w:sectPr>
      </w:pPr>
    </w:p>
    <w:p>
      <w:pPr>
        <w:spacing w:after="0" w:line="267" w:lineRule="exact"/>
        <w:rPr>
          <w:sz w:val="20"/>
          <w:szCs w:val="20"/>
          <w:color w:val="auto"/>
        </w:rPr>
      </w:pPr>
    </w:p>
    <w:tbl>
      <w:tblPr>
        <w:tblLayout w:type="fixed"/>
        <w:tblInd w:w="1227" w:type="dxa"/>
        <w:tblCellMar>
          <w:top w:w="0" w:type="dxa"/>
          <w:left w:w="0" w:type="dxa"/>
          <w:bottom w:w="0" w:type="dxa"/>
          <w:right w:w="0" w:type="dxa"/>
        </w:tblCellMar>
      </w:tblPr>
      <w:tr>
        <w:trPr>
          <w:trHeight w:val="9280"/>
        </w:trPr>
        <w:tc>
          <w:tcPr>
            <w:tcW w:w="684" w:type="dxa"/>
            <w:vAlign w:val="bottom"/>
            <w:textDirection w:val="btLr"/>
          </w:tcPr>
          <w:p>
            <w:pPr>
              <w:spacing w:after="0" w:line="255" w:lineRule="auto"/>
              <w:rPr>
                <w:sz w:val="20"/>
                <w:szCs w:val="20"/>
                <w:color w:val="auto"/>
              </w:rPr>
            </w:pPr>
            <w:r>
              <w:rPr>
                <w:rFonts w:ascii="Arial" w:cs="Arial" w:eastAsia="Arial" w:hAnsi="Arial"/>
                <w:sz w:val="14"/>
                <w:szCs w:val="14"/>
                <w:b w:val="1"/>
                <w:bCs w:val="1"/>
                <w:color w:val="FF4338"/>
              </w:rPr>
              <w:t>sale is not permitted. prospectus is not an offer to sell these securities and it is not soliciting offers to buy these securities in any state where such offer or an offer to buy these securities until the registration statement filed with the Securities and Exchange Commission is effective. This The information in this prospectus is not complete and may be changed. The selling stockholders may not sell these securities or accept</w:t>
            </w:r>
          </w:p>
        </w:tc>
      </w:tr>
    </w:tbl>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FF4338"/>
        </w:rPr>
        <w:t>SUBJECT TO COMPLETION, DATED DECEMBER 9,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6"/>
          <w:szCs w:val="26"/>
          <w:b w:val="1"/>
          <w:bCs w:val="1"/>
          <w:color w:val="auto"/>
        </w:rPr>
        <w:t>1,172,414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1731645</wp:posOffset>
            </wp:positionH>
            <wp:positionV relativeFrom="paragraph">
              <wp:posOffset>139700</wp:posOffset>
            </wp:positionV>
            <wp:extent cx="1214755" cy="298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14755" cy="29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200660</wp:posOffset>
            </wp:positionV>
            <wp:extent cx="98425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4250" cy="69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right="859" w:firstLine="294"/>
        <w:spacing w:after="0" w:line="260" w:lineRule="auto"/>
        <w:rPr>
          <w:sz w:val="20"/>
          <w:szCs w:val="20"/>
          <w:color w:val="auto"/>
        </w:rPr>
      </w:pPr>
      <w:r>
        <w:rPr>
          <w:rFonts w:ascii="Times New Roman" w:cs="Times New Roman" w:eastAsia="Times New Roman" w:hAnsi="Times New Roman"/>
          <w:sz w:val="14"/>
          <w:szCs w:val="14"/>
          <w:color w:val="auto"/>
        </w:rPr>
        <w:t>This prospectus relates to the offer and resale from time to time of up to an aggregate 1,172,414 shares of our common stock, par value $0.001 per share, all of which are issuable upon the exercise of warrants to purchase shares of common stock (the “Warrants,” and such shares of common stock issuable upon exercise of the Warrants, the “Warrant Shares”), by the selling stockholder named herein, together with any additional selling stockholders listed in a prospectus supplement (together with any of such stockholders’ transferees, pledgees, donees or successors). The Warrants were acquired by the selling stockholder named herein pursuant to a securities purchase agreement, dated November 24, 2025 (the “Purchase Agreement”), in a transaction more fully described in the section titled “Prospectus Summary.”</w:t>
      </w:r>
    </w:p>
    <w:p>
      <w:pPr>
        <w:spacing w:after="0" w:line="147" w:lineRule="exact"/>
        <w:rPr>
          <w:sz w:val="20"/>
          <w:szCs w:val="20"/>
          <w:color w:val="auto"/>
        </w:rPr>
      </w:pPr>
    </w:p>
    <w:p>
      <w:pPr>
        <w:ind w:right="879" w:firstLine="294"/>
        <w:spacing w:after="0" w:line="272" w:lineRule="auto"/>
        <w:rPr>
          <w:sz w:val="20"/>
          <w:szCs w:val="20"/>
          <w:color w:val="auto"/>
        </w:rPr>
      </w:pPr>
      <w:r>
        <w:rPr>
          <w:rFonts w:ascii="Times New Roman" w:cs="Times New Roman" w:eastAsia="Times New Roman" w:hAnsi="Times New Roman"/>
          <w:sz w:val="14"/>
          <w:szCs w:val="14"/>
          <w:color w:val="auto"/>
        </w:rPr>
        <w:t>We are registering the offer and sale of the Warrant Shares from time to time by the selling stockholders to satisfy the registration rights granted in connection with the issuance of the Warrants. We will not receive any proceeds from the sale of the Warrant Shares by the selling stockholders.</w:t>
      </w:r>
    </w:p>
    <w:p>
      <w:pPr>
        <w:spacing w:after="0" w:line="137" w:lineRule="exact"/>
        <w:rPr>
          <w:sz w:val="20"/>
          <w:szCs w:val="20"/>
          <w:color w:val="auto"/>
        </w:rPr>
      </w:pPr>
    </w:p>
    <w:p>
      <w:pPr>
        <w:ind w:right="939" w:firstLine="294"/>
        <w:spacing w:after="0" w:line="262" w:lineRule="auto"/>
        <w:rPr>
          <w:sz w:val="20"/>
          <w:szCs w:val="20"/>
          <w:color w:val="auto"/>
        </w:rPr>
      </w:pPr>
      <w:r>
        <w:rPr>
          <w:rFonts w:ascii="Times New Roman" w:cs="Times New Roman" w:eastAsia="Times New Roman" w:hAnsi="Times New Roman"/>
          <w:sz w:val="14"/>
          <w:szCs w:val="14"/>
          <w:color w:val="auto"/>
        </w:rPr>
        <w:t>The selling stockholders may offer and sell or otherwise dispose of the Warrant Shares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Warrant Shares and any transfer taxes. We will bear all other costs, expenses and fees in connection with the registration of the Warrant Shares. See “Plan of Distribution” for more information about how the selling stockholders may sell or dispose of their Warrant Shares.</w:t>
      </w:r>
    </w:p>
    <w:p>
      <w:pPr>
        <w:spacing w:after="0" w:line="143" w:lineRule="exact"/>
        <w:rPr>
          <w:sz w:val="20"/>
          <w:szCs w:val="20"/>
          <w:color w:val="auto"/>
        </w:rPr>
      </w:pPr>
    </w:p>
    <w:p>
      <w:pPr>
        <w:ind w:right="1019" w:firstLine="294"/>
        <w:spacing w:after="0" w:line="290"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trading symbol “TPST.” On December 8, 2025, the closing price of our common stock was $3.11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156210</wp:posOffset>
            </wp:positionV>
            <wp:extent cx="98425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4250" cy="6985"/>
                    </a:xfrm>
                    <a:prstGeom prst="rect">
                      <a:avLst/>
                    </a:prstGeom>
                    <a:noFill/>
                  </pic:spPr>
                </pic:pic>
              </a:graphicData>
            </a:graphic>
          </wp:anchor>
        </w:drawing>
      </w:r>
    </w:p>
    <w:p>
      <w:pPr>
        <w:spacing w:after="0" w:line="383" w:lineRule="exact"/>
        <w:rPr>
          <w:sz w:val="20"/>
          <w:szCs w:val="20"/>
          <w:color w:val="auto"/>
        </w:rPr>
      </w:pPr>
    </w:p>
    <w:p>
      <w:pPr>
        <w:ind w:right="1039" w:firstLine="294"/>
        <w:spacing w:after="0" w:line="248"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a high degree of risk. Before making an investment decision, please read the information under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4 of this prospectus and under similar headings in any amendment or supplement to this prospectus or in any filing with the Securities and Exchange Commission that is incorporated by reference herein.</w:t>
      </w:r>
    </w:p>
    <w:p>
      <w:pPr>
        <w:spacing w:after="0" w:line="141" w:lineRule="exact"/>
        <w:rPr>
          <w:sz w:val="20"/>
          <w:szCs w:val="20"/>
          <w:color w:val="auto"/>
        </w:rPr>
      </w:pPr>
    </w:p>
    <w:p>
      <w:pPr>
        <w:ind w:right="919" w:firstLine="294"/>
        <w:spacing w:after="0" w:line="27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162560</wp:posOffset>
            </wp:positionV>
            <wp:extent cx="98425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4250" cy="698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2025.</w:t>
      </w:r>
    </w:p>
    <w:p>
      <w:pPr>
        <w:sectPr>
          <w:pgSz w:w="11900" w:h="16838" w:orient="portrait"/>
          <w:cols w:equalWidth="0" w:num="2">
            <w:col w:w="1911" w:space="49"/>
            <w:col w:w="8199"/>
          </w:cols>
          <w:pgMar w:left="300" w:top="390"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6" w:lineRule="exact"/>
        <w:rPr>
          <w:sz w:val="20"/>
          <w:szCs w:val="20"/>
          <w:color w:val="auto"/>
        </w:rPr>
      </w:pPr>
    </w:p>
    <w:tbl>
      <w:tblPr>
        <w:tblLayout w:type="fixed"/>
        <w:tblInd w:w="1280" w:type="dxa"/>
        <w:tblCellMar>
          <w:top w:w="0" w:type="dxa"/>
          <w:left w:w="0" w:type="dxa"/>
          <w:bottom w:w="0" w:type="dxa"/>
          <w:right w:w="0" w:type="dxa"/>
        </w:tblCellMar>
      </w:tblPr>
      <w:tr>
        <w:trPr>
          <w:trHeight w:val="126"/>
        </w:trPr>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4"/>
        </w:trPr>
        <w:tc>
          <w:tcPr>
            <w:tcW w:w="1780" w:type="dxa"/>
            <w:vAlign w:val="bottom"/>
            <w:tcBorders>
              <w:bottom w:val="single" w:sz="8" w:color="0000EE"/>
            </w:tcBorders>
            <w:gridSpan w:val="8"/>
          </w:tcPr>
          <w:p>
            <w:pPr>
              <w:spacing w:after="0" w:line="154" w:lineRule="exact"/>
              <w:rPr>
                <w:sz w:val="20"/>
                <w:szCs w:val="20"/>
                <w:color w:val="auto"/>
              </w:rPr>
            </w:pPr>
            <w:r>
              <w:rPr>
                <w:rFonts w:ascii="Times New Roman" w:cs="Times New Roman" w:eastAsia="Times New Roman" w:hAnsi="Times New Roman"/>
                <w:sz w:val="14"/>
                <w:szCs w:val="14"/>
                <w:color w:val="0000EE"/>
              </w:rPr>
              <w:t>ABOUT THIS PROSPECTUS</w:t>
            </w:r>
          </w:p>
        </w:tc>
        <w:tc>
          <w:tcPr>
            <w:tcW w:w="4560" w:type="dxa"/>
            <w:vAlign w:val="bottom"/>
            <w:gridSpan w:val="4"/>
          </w:tcPr>
          <w:p>
            <w:pPr>
              <w:spacing w:after="0"/>
              <w:rPr>
                <w:sz w:val="13"/>
                <w:szCs w:val="13"/>
                <w:color w:val="auto"/>
              </w:rPr>
            </w:pPr>
          </w:p>
        </w:tc>
        <w:tc>
          <w:tcPr>
            <w:tcW w:w="234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i</w:t>
            </w:r>
          </w:p>
        </w:tc>
      </w:tr>
      <w:tr>
        <w:trPr>
          <w:trHeight w:val="151"/>
        </w:trPr>
        <w:tc>
          <w:tcPr>
            <w:tcW w:w="1660" w:type="dxa"/>
            <w:vAlign w:val="bottom"/>
            <w:tcBorders>
              <w:bottom w:val="single" w:sz="8" w:color="0000EE"/>
            </w:tcBorders>
            <w:gridSpan w:val="6"/>
          </w:tcPr>
          <w:p>
            <w:pPr>
              <w:spacing w:after="0" w:line="151" w:lineRule="exact"/>
              <w:rPr>
                <w:sz w:val="20"/>
                <w:szCs w:val="20"/>
                <w:color w:val="auto"/>
              </w:rPr>
            </w:pPr>
            <w:r>
              <w:rPr>
                <w:rFonts w:ascii="Times New Roman" w:cs="Times New Roman" w:eastAsia="Times New Roman" w:hAnsi="Times New Roman"/>
                <w:sz w:val="14"/>
                <w:szCs w:val="14"/>
                <w:color w:val="0000EE"/>
              </w:rPr>
              <w:t>PROSPECTUS SUMMARY</w:t>
            </w:r>
          </w:p>
        </w:tc>
        <w:tc>
          <w:tcPr>
            <w:tcW w:w="4680" w:type="dxa"/>
            <w:vAlign w:val="bottom"/>
            <w:gridSpan w:val="6"/>
          </w:tcPr>
          <w:p>
            <w:pPr>
              <w:spacing w:after="0"/>
              <w:rPr>
                <w:sz w:val="13"/>
                <w:szCs w:val="13"/>
                <w:color w:val="auto"/>
              </w:rPr>
            </w:pP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r>
      <w:tr>
        <w:trPr>
          <w:trHeight w:val="151"/>
        </w:trPr>
        <w:tc>
          <w:tcPr>
            <w:tcW w:w="1000" w:type="dxa"/>
            <w:vAlign w:val="bottom"/>
            <w:tcBorders>
              <w:bottom w:val="single" w:sz="8" w:color="0000EE"/>
            </w:tcBorders>
            <w:gridSpan w:val="2"/>
          </w:tcPr>
          <w:p>
            <w:pPr>
              <w:spacing w:after="0" w:line="151" w:lineRule="exact"/>
              <w:rPr>
                <w:sz w:val="20"/>
                <w:szCs w:val="20"/>
                <w:color w:val="auto"/>
              </w:rPr>
            </w:pPr>
            <w:r>
              <w:rPr>
                <w:rFonts w:ascii="Times New Roman" w:cs="Times New Roman" w:eastAsia="Times New Roman" w:hAnsi="Times New Roman"/>
                <w:sz w:val="14"/>
                <w:szCs w:val="14"/>
                <w:color w:val="0000EE"/>
                <w:w w:val="99"/>
              </w:rPr>
              <w:t>RISK FACTORS</w:t>
            </w:r>
          </w:p>
        </w:tc>
        <w:tc>
          <w:tcPr>
            <w:tcW w:w="5340" w:type="dxa"/>
            <w:vAlign w:val="bottom"/>
            <w:gridSpan w:val="10"/>
          </w:tcPr>
          <w:p>
            <w:pPr>
              <w:spacing w:after="0"/>
              <w:rPr>
                <w:sz w:val="13"/>
                <w:szCs w:val="13"/>
                <w:color w:val="auto"/>
              </w:rPr>
            </w:pP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4</w:t>
            </w:r>
          </w:p>
        </w:tc>
      </w:tr>
      <w:tr>
        <w:trPr>
          <w:trHeight w:val="151"/>
        </w:trPr>
        <w:tc>
          <w:tcPr>
            <w:tcW w:w="6340" w:type="dxa"/>
            <w:vAlign w:val="bottom"/>
            <w:gridSpan w:val="12"/>
          </w:tcPr>
          <w:p>
            <w:pPr>
              <w:spacing w:after="0" w:line="151"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w:t>
            </w:r>
          </w:p>
        </w:tc>
      </w:tr>
      <w:tr>
        <w:trPr>
          <w:trHeight w:val="151"/>
        </w:trPr>
        <w:tc>
          <w:tcPr>
            <w:tcW w:w="1260" w:type="dxa"/>
            <w:vAlign w:val="bottom"/>
            <w:tcBorders>
              <w:top w:val="single" w:sz="8" w:color="0000EE"/>
              <w:bottom w:val="single" w:sz="8" w:color="0000EE"/>
            </w:tcBorders>
            <w:gridSpan w:val="4"/>
          </w:tcPr>
          <w:p>
            <w:pPr>
              <w:spacing w:after="0" w:line="151" w:lineRule="exact"/>
              <w:rPr>
                <w:sz w:val="20"/>
                <w:szCs w:val="20"/>
                <w:color w:val="auto"/>
              </w:rPr>
            </w:pPr>
            <w:r>
              <w:rPr>
                <w:rFonts w:ascii="Times New Roman" w:cs="Times New Roman" w:eastAsia="Times New Roman" w:hAnsi="Times New Roman"/>
                <w:sz w:val="14"/>
                <w:szCs w:val="14"/>
                <w:color w:val="0000EE"/>
              </w:rPr>
              <w:t>USE OF PROCEEDS</w:t>
            </w:r>
          </w:p>
        </w:tc>
        <w:tc>
          <w:tcPr>
            <w:tcW w:w="2960" w:type="dxa"/>
            <w:vAlign w:val="bottom"/>
            <w:tcBorders>
              <w:top w:val="single" w:sz="8" w:color="0000EE"/>
            </w:tcBorders>
            <w:gridSpan w:val="7"/>
          </w:tcPr>
          <w:p>
            <w:pPr>
              <w:spacing w:after="0"/>
              <w:rPr>
                <w:sz w:val="13"/>
                <w:szCs w:val="13"/>
                <w:color w:val="auto"/>
              </w:rPr>
            </w:pPr>
          </w:p>
        </w:tc>
        <w:tc>
          <w:tcPr>
            <w:tcW w:w="2120" w:type="dxa"/>
            <w:vAlign w:val="bottom"/>
          </w:tcPr>
          <w:p>
            <w:pPr>
              <w:spacing w:after="0"/>
              <w:rPr>
                <w:sz w:val="13"/>
                <w:szCs w:val="13"/>
                <w:color w:val="auto"/>
              </w:rPr>
            </w:pP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6</w:t>
            </w:r>
          </w:p>
        </w:tc>
      </w:tr>
      <w:tr>
        <w:trPr>
          <w:trHeight w:val="151"/>
        </w:trPr>
        <w:tc>
          <w:tcPr>
            <w:tcW w:w="1760" w:type="dxa"/>
            <w:vAlign w:val="bottom"/>
            <w:tcBorders>
              <w:bottom w:val="single" w:sz="8" w:color="0000EE"/>
            </w:tcBorders>
            <w:gridSpan w:val="7"/>
          </w:tcPr>
          <w:p>
            <w:pPr>
              <w:spacing w:after="0" w:line="151" w:lineRule="exact"/>
              <w:rPr>
                <w:sz w:val="20"/>
                <w:szCs w:val="20"/>
                <w:color w:val="auto"/>
              </w:rPr>
            </w:pPr>
            <w:r>
              <w:rPr>
                <w:rFonts w:ascii="Times New Roman" w:cs="Times New Roman" w:eastAsia="Times New Roman" w:hAnsi="Times New Roman"/>
                <w:sz w:val="14"/>
                <w:szCs w:val="14"/>
                <w:color w:val="0000EE"/>
              </w:rPr>
              <w:t>SELLING STOCKHOLDERS</w:t>
            </w:r>
          </w:p>
        </w:tc>
        <w:tc>
          <w:tcPr>
            <w:tcW w:w="4580" w:type="dxa"/>
            <w:vAlign w:val="bottom"/>
            <w:gridSpan w:val="5"/>
          </w:tcPr>
          <w:p>
            <w:pPr>
              <w:spacing w:after="0"/>
              <w:rPr>
                <w:sz w:val="13"/>
                <w:szCs w:val="13"/>
                <w:color w:val="auto"/>
              </w:rPr>
            </w:pP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7</w:t>
            </w:r>
          </w:p>
        </w:tc>
      </w:tr>
      <w:tr>
        <w:trPr>
          <w:trHeight w:val="151"/>
        </w:trPr>
        <w:tc>
          <w:tcPr>
            <w:tcW w:w="6340" w:type="dxa"/>
            <w:vAlign w:val="bottom"/>
            <w:gridSpan w:val="12"/>
          </w:tcPr>
          <w:p>
            <w:pPr>
              <w:spacing w:after="0" w:line="151" w:lineRule="exact"/>
              <w:rPr>
                <w:sz w:val="20"/>
                <w:szCs w:val="20"/>
                <w:color w:val="auto"/>
              </w:rPr>
            </w:pPr>
            <w:r>
              <w:rPr>
                <w:rFonts w:ascii="Times New Roman" w:cs="Times New Roman" w:eastAsia="Times New Roman" w:hAnsi="Times New Roman"/>
                <w:sz w:val="14"/>
                <w:szCs w:val="14"/>
                <w:color w:val="0000EE"/>
              </w:rPr>
              <w:t>PLAN OF DISTRIBUTION</w:t>
            </w: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9</w:t>
            </w:r>
          </w:p>
        </w:tc>
      </w:tr>
      <w:tr>
        <w:trPr>
          <w:trHeight w:val="151"/>
        </w:trPr>
        <w:tc>
          <w:tcPr>
            <w:tcW w:w="1160" w:type="dxa"/>
            <w:vAlign w:val="bottom"/>
            <w:tcBorders>
              <w:top w:val="single" w:sz="8" w:color="0000EE"/>
              <w:bottom w:val="single" w:sz="8" w:color="0000EE"/>
            </w:tcBorders>
            <w:gridSpan w:val="3"/>
          </w:tcPr>
          <w:p>
            <w:pPr>
              <w:spacing w:after="0" w:line="151" w:lineRule="exact"/>
              <w:rPr>
                <w:sz w:val="20"/>
                <w:szCs w:val="20"/>
                <w:color w:val="auto"/>
              </w:rPr>
            </w:pPr>
            <w:r>
              <w:rPr>
                <w:rFonts w:ascii="Times New Roman" w:cs="Times New Roman" w:eastAsia="Times New Roman" w:hAnsi="Times New Roman"/>
                <w:sz w:val="14"/>
                <w:szCs w:val="14"/>
                <w:color w:val="0000EE"/>
                <w:w w:val="99"/>
              </w:rPr>
              <w:t>LEGAL MATTERS</w:t>
            </w:r>
          </w:p>
        </w:tc>
        <w:tc>
          <w:tcPr>
            <w:tcW w:w="460" w:type="dxa"/>
            <w:vAlign w:val="bottom"/>
            <w:tcBorders>
              <w:top w:val="single" w:sz="8" w:color="0000EE"/>
            </w:tcBorders>
            <w:gridSpan w:val="2"/>
          </w:tcPr>
          <w:p>
            <w:pPr>
              <w:spacing w:after="0"/>
              <w:rPr>
                <w:sz w:val="13"/>
                <w:szCs w:val="13"/>
                <w:color w:val="auto"/>
              </w:rPr>
            </w:pPr>
          </w:p>
        </w:tc>
        <w:tc>
          <w:tcPr>
            <w:tcW w:w="4720" w:type="dxa"/>
            <w:vAlign w:val="bottom"/>
            <w:gridSpan w:val="7"/>
          </w:tcPr>
          <w:p>
            <w:pPr>
              <w:spacing w:after="0"/>
              <w:rPr>
                <w:sz w:val="13"/>
                <w:szCs w:val="13"/>
                <w:color w:val="auto"/>
              </w:rPr>
            </w:pP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11</w:t>
            </w:r>
          </w:p>
        </w:tc>
      </w:tr>
      <w:tr>
        <w:trPr>
          <w:trHeight w:val="151"/>
        </w:trPr>
        <w:tc>
          <w:tcPr>
            <w:tcW w:w="620" w:type="dxa"/>
            <w:vAlign w:val="bottom"/>
            <w:tcBorders>
              <w:bottom w:val="single" w:sz="8" w:color="0000EE"/>
            </w:tcBorders>
          </w:tcPr>
          <w:p>
            <w:pPr>
              <w:spacing w:after="0" w:line="151" w:lineRule="exact"/>
              <w:rPr>
                <w:sz w:val="20"/>
                <w:szCs w:val="20"/>
                <w:color w:val="auto"/>
              </w:rPr>
            </w:pPr>
            <w:r>
              <w:rPr>
                <w:rFonts w:ascii="Times New Roman" w:cs="Times New Roman" w:eastAsia="Times New Roman" w:hAnsi="Times New Roman"/>
                <w:sz w:val="14"/>
                <w:szCs w:val="14"/>
                <w:color w:val="0000EE"/>
                <w:w w:val="98"/>
              </w:rPr>
              <w:t>EXPERTS</w:t>
            </w:r>
          </w:p>
        </w:tc>
        <w:tc>
          <w:tcPr>
            <w:tcW w:w="5720" w:type="dxa"/>
            <w:vAlign w:val="bottom"/>
            <w:gridSpan w:val="11"/>
          </w:tcPr>
          <w:p>
            <w:pPr>
              <w:spacing w:after="0"/>
              <w:rPr>
                <w:sz w:val="13"/>
                <w:szCs w:val="13"/>
                <w:color w:val="auto"/>
              </w:rPr>
            </w:pP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11</w:t>
            </w:r>
          </w:p>
        </w:tc>
      </w:tr>
      <w:tr>
        <w:trPr>
          <w:trHeight w:val="151"/>
        </w:trPr>
        <w:tc>
          <w:tcPr>
            <w:tcW w:w="3500" w:type="dxa"/>
            <w:vAlign w:val="bottom"/>
            <w:tcBorders>
              <w:bottom w:val="single" w:sz="8" w:color="0000EE"/>
            </w:tcBorders>
            <w:gridSpan w:val="9"/>
          </w:tcPr>
          <w:p>
            <w:pPr>
              <w:spacing w:after="0" w:line="151" w:lineRule="exact"/>
              <w:rPr>
                <w:sz w:val="20"/>
                <w:szCs w:val="20"/>
                <w:color w:val="auto"/>
              </w:rPr>
            </w:pPr>
            <w:r>
              <w:rPr>
                <w:rFonts w:ascii="Times New Roman" w:cs="Times New Roman" w:eastAsia="Times New Roman" w:hAnsi="Times New Roman"/>
                <w:sz w:val="14"/>
                <w:szCs w:val="14"/>
                <w:color w:val="0000EE"/>
              </w:rPr>
              <w:t>WHERE YOU CAN FIND ADDITIONAL INFORMATION</w:t>
            </w:r>
          </w:p>
        </w:tc>
        <w:tc>
          <w:tcPr>
            <w:tcW w:w="2840" w:type="dxa"/>
            <w:vAlign w:val="bottom"/>
            <w:gridSpan w:val="3"/>
          </w:tcPr>
          <w:p>
            <w:pPr>
              <w:spacing w:after="0"/>
              <w:rPr>
                <w:sz w:val="13"/>
                <w:szCs w:val="13"/>
                <w:color w:val="auto"/>
              </w:rPr>
            </w:pP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11</w:t>
            </w:r>
          </w:p>
        </w:tc>
      </w:tr>
      <w:tr>
        <w:trPr>
          <w:trHeight w:val="151"/>
        </w:trPr>
        <w:tc>
          <w:tcPr>
            <w:tcW w:w="6340" w:type="dxa"/>
            <w:vAlign w:val="bottom"/>
            <w:gridSpan w:val="12"/>
          </w:tcPr>
          <w:p>
            <w:pPr>
              <w:spacing w:after="0" w:line="151"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12</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189865</wp:posOffset>
            </wp:positionV>
            <wp:extent cx="116078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3" w:lineRule="exact"/>
        <w:rPr>
          <w:sz w:val="20"/>
          <w:szCs w:val="20"/>
          <w:color w:val="auto"/>
        </w:rPr>
      </w:pPr>
    </w:p>
    <w:p>
      <w:pPr>
        <w:ind w:left="1280" w:right="239" w:firstLine="349"/>
        <w:spacing w:after="0" w:line="262" w:lineRule="auto"/>
        <w:rPr>
          <w:sz w:val="20"/>
          <w:szCs w:val="20"/>
          <w:color w:val="auto"/>
        </w:rPr>
      </w:pPr>
      <w:r>
        <w:rPr>
          <w:rFonts w:ascii="Times New Roman" w:cs="Times New Roman" w:eastAsia="Times New Roman" w:hAnsi="Times New Roman"/>
          <w:sz w:val="14"/>
          <w:szCs w:val="14"/>
          <w:color w:val="auto"/>
        </w:rPr>
        <w:t>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spacing w:after="0" w:line="14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Throughout this prospectus, the terms “we,” “us,” “our,” and our “company” refer to Tempest Therapeutics, Inc.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192405</wp:posOffset>
            </wp:positionV>
            <wp:extent cx="116078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9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170180</wp:posOffset>
            </wp:positionV>
            <wp:extent cx="5544820" cy="4967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44820" cy="4967605"/>
                    </a:xfrm>
                    <a:prstGeom prst="rect">
                      <a:avLst/>
                    </a:prstGeom>
                    <a:noFill/>
                  </pic:spPr>
                </pic:pic>
              </a:graphicData>
            </a:graphic>
          </wp:anchor>
        </w:drawing>
      </w:r>
    </w:p>
    <w:p>
      <w:pPr>
        <w:spacing w:after="0" w:line="3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81" w:lineRule="exact"/>
        <w:rPr>
          <w:sz w:val="20"/>
          <w:szCs w:val="20"/>
          <w:color w:val="auto"/>
        </w:rPr>
      </w:pPr>
    </w:p>
    <w:p>
      <w:pPr>
        <w:ind w:left="1420" w:right="339"/>
        <w:spacing w:after="0" w:line="262" w:lineRule="auto"/>
        <w:rPr>
          <w:sz w:val="20"/>
          <w:szCs w:val="20"/>
          <w:color w:val="auto"/>
        </w:rPr>
      </w:pPr>
      <w:r>
        <w:rPr>
          <w:rFonts w:ascii="Times New Roman" w:cs="Times New Roman" w:eastAsia="Times New Roman" w:hAnsi="Times New Roman"/>
          <w:sz w:val="14"/>
          <w:szCs w:val="14"/>
          <w:i w:val="1"/>
          <w:iCs w:val="1"/>
          <w:color w:val="auto"/>
        </w:rPr>
        <w:t>This summary highlights certain information about us, the Private Placement and selected information contained elsewhere in or incorporated by reference into this prospectus.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the factors described under the heading “Risk Factors” on page 4 of this prospectus, as well as the information incorporated herein by reference, before making an investment decision</w:t>
      </w:r>
      <w:r>
        <w:rPr>
          <w:rFonts w:ascii="Times New Roman" w:cs="Times New Roman" w:eastAsia="Times New Roman" w:hAnsi="Times New Roman"/>
          <w:sz w:val="14"/>
          <w:szCs w:val="14"/>
          <w:color w:val="auto"/>
        </w:rPr>
        <w:t>.</w:t>
      </w:r>
    </w:p>
    <w:p>
      <w:pPr>
        <w:spacing w:after="0" w:line="22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8" w:lineRule="exact"/>
        <w:rPr>
          <w:sz w:val="20"/>
          <w:szCs w:val="20"/>
          <w:color w:val="auto"/>
        </w:rPr>
      </w:pPr>
    </w:p>
    <w:p>
      <w:pPr>
        <w:ind w:left="1420" w:right="339"/>
        <w:spacing w:after="0" w:line="263" w:lineRule="auto"/>
        <w:rPr>
          <w:sz w:val="20"/>
          <w:szCs w:val="20"/>
          <w:color w:val="auto"/>
        </w:rPr>
      </w:pPr>
      <w:r>
        <w:rPr>
          <w:rFonts w:ascii="Times New Roman" w:cs="Times New Roman" w:eastAsia="Times New Roman" w:hAnsi="Times New Roman"/>
          <w:sz w:val="14"/>
          <w:szCs w:val="14"/>
          <w:color w:val="auto"/>
        </w:rPr>
        <w:t>We are a clinical-stage biotechnology company with a diverse portfolio of targeted and immune-mediated product candidates with the potential to be first-in-class to treat a wide range of cancers. Our novel programs range from early research to the lead program, amezalpat (previously known as TPST-1120), that, subject to the need for additional resources, is ready to begin a pivotal study in first-line hepatocellular carcinoma, or HCC. In addition to amezalpat, our second clinical-stage therapeutic product candidate is TPST-1495 for Familial Adenomatous Polyposis. We believe both amezalpat and TPST-1495 are the first clinical-stage molecules designed to inhibit their respective targets.</w:t>
      </w:r>
    </w:p>
    <w:p>
      <w:pPr>
        <w:spacing w:after="0" w:line="144" w:lineRule="exact"/>
        <w:rPr>
          <w:sz w:val="20"/>
          <w:szCs w:val="20"/>
          <w:color w:val="auto"/>
        </w:rPr>
      </w:pPr>
    </w:p>
    <w:p>
      <w:pPr>
        <w:ind w:left="1420" w:right="699"/>
        <w:spacing w:after="0" w:line="272" w:lineRule="auto"/>
        <w:rPr>
          <w:sz w:val="20"/>
          <w:szCs w:val="20"/>
          <w:color w:val="auto"/>
        </w:rPr>
      </w:pPr>
      <w:r>
        <w:rPr>
          <w:rFonts w:ascii="Times New Roman" w:cs="Times New Roman" w:eastAsia="Times New Roman" w:hAnsi="Times New Roman"/>
          <w:sz w:val="14"/>
          <w:szCs w:val="14"/>
          <w:color w:val="auto"/>
        </w:rPr>
        <w:t>Additional information about our company, including recent developments, is contained in the documents incorporated by reference into this prospectus supplement and the accompanying prospectus, including our Current Report on Form 8-K that we filed with the Securities and Exchange Commission (“SEC”) on November 19, 2025.</w:t>
      </w:r>
    </w:p>
    <w:p>
      <w:pPr>
        <w:spacing w:after="0" w:line="22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 and a Non-Accelerated Filer</w:t>
      </w:r>
    </w:p>
    <w:p>
      <w:pPr>
        <w:spacing w:after="0" w:line="98" w:lineRule="exact"/>
        <w:rPr>
          <w:sz w:val="20"/>
          <w:szCs w:val="20"/>
          <w:color w:val="auto"/>
        </w:rPr>
      </w:pPr>
    </w:p>
    <w:p>
      <w:pPr>
        <w:ind w:left="1420" w:right="299"/>
        <w:spacing w:after="0" w:line="258" w:lineRule="auto"/>
        <w:rPr>
          <w:sz w:val="20"/>
          <w:szCs w:val="20"/>
          <w:color w:val="auto"/>
        </w:rPr>
      </w:pPr>
      <w:r>
        <w:rPr>
          <w:rFonts w:ascii="Times New Roman" w:cs="Times New Roman" w:eastAsia="Times New Roman" w:hAnsi="Times New Roman"/>
          <w:sz w:val="14"/>
          <w:szCs w:val="14"/>
          <w:color w:val="auto"/>
        </w:rPr>
        <w:t>We are a “smaller reporting company,” as defined in Rule 12b-2 of the Securities Exchange Act of 1934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322" w:lineRule="exact"/>
        <w:rPr>
          <w:sz w:val="20"/>
          <w:szCs w:val="20"/>
          <w:color w:val="auto"/>
        </w:rPr>
      </w:pPr>
    </w:p>
    <w:p>
      <w:pPr>
        <w:ind w:left="1420" w:right="939"/>
        <w:spacing w:after="0" w:line="290" w:lineRule="auto"/>
        <w:rPr>
          <w:sz w:val="20"/>
          <w:szCs w:val="20"/>
          <w:color w:val="auto"/>
        </w:rPr>
      </w:pPr>
      <w:r>
        <w:rPr>
          <w:rFonts w:ascii="Times New Roman" w:cs="Times New Roman" w:eastAsia="Times New Roman" w:hAnsi="Times New Roman"/>
          <w:sz w:val="14"/>
          <w:szCs w:val="14"/>
          <w:color w:val="auto"/>
        </w:rPr>
        <w:t>Additionally, as a non-accelerated filer, we may continue to take advantage of the exception from compliance with the auditor attestation requirements of Section 404 of the Sarbanes-Oxley Act of 2002, as amended.</w:t>
      </w:r>
    </w:p>
    <w:p>
      <w:pPr>
        <w:spacing w:after="0" w:line="2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Corporate Background</w:t>
      </w:r>
    </w:p>
    <w:p>
      <w:pPr>
        <w:spacing w:after="0" w:line="98" w:lineRule="exact"/>
        <w:rPr>
          <w:sz w:val="20"/>
          <w:szCs w:val="20"/>
          <w:color w:val="auto"/>
        </w:rPr>
      </w:pPr>
    </w:p>
    <w:p>
      <w:pPr>
        <w:ind w:left="1420" w:right="499"/>
        <w:spacing w:after="0" w:line="266" w:lineRule="auto"/>
        <w:rPr>
          <w:sz w:val="20"/>
          <w:szCs w:val="20"/>
          <w:color w:val="auto"/>
        </w:rPr>
      </w:pPr>
      <w:r>
        <w:rPr>
          <w:rFonts w:ascii="Times New Roman" w:cs="Times New Roman" w:eastAsia="Times New Roman" w:hAnsi="Times New Roman"/>
          <w:sz w:val="14"/>
          <w:szCs w:val="14"/>
          <w:color w:val="auto"/>
        </w:rPr>
        <w:t>Tempest was founded in 2011 and is currently incorporated in Delaware with headquarters in Brisbane, California. We are a clinical-stage biotechnology company moving into late-stage development with a diverse portfolio of first-in-class targeted and immune-mediated product candidates with the potential to treat a wide range of cancers. Our philosophy is to build a company based upon not only good ideas and creative science, but also upon the efficient translation of those ideas into therapies that will improve patients’ lives.</w:t>
      </w: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9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170180</wp:posOffset>
            </wp:positionV>
            <wp:extent cx="5544820" cy="2469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44820" cy="2469515"/>
                    </a:xfrm>
                    <a:prstGeom prst="rect">
                      <a:avLst/>
                    </a:prstGeom>
                    <a:noFill/>
                  </pic:spPr>
                </pic:pic>
              </a:graphicData>
            </a:graphic>
          </wp:anchor>
        </w:drawing>
      </w:r>
    </w:p>
    <w:p>
      <w:pPr>
        <w:spacing w:after="0" w:line="377" w:lineRule="exact"/>
        <w:rPr>
          <w:sz w:val="20"/>
          <w:szCs w:val="20"/>
          <w:color w:val="auto"/>
        </w:rPr>
      </w:pPr>
    </w:p>
    <w:p>
      <w:pPr>
        <w:ind w:left="1420" w:right="339"/>
        <w:spacing w:after="0" w:line="266" w:lineRule="auto"/>
        <w:rPr>
          <w:sz w:val="20"/>
          <w:szCs w:val="20"/>
          <w:color w:val="auto"/>
        </w:rPr>
      </w:pPr>
      <w:r>
        <w:rPr>
          <w:rFonts w:ascii="Times New Roman" w:cs="Times New Roman" w:eastAsia="Times New Roman" w:hAnsi="Times New Roman"/>
          <w:sz w:val="14"/>
          <w:szCs w:val="14"/>
          <w:color w:val="auto"/>
        </w:rPr>
        <w:t>The Tempest logo and other trademarks or service marks of Tempest Therapeutics, Inc. appearing in this prospectus supplement are the property of Tempest Therapeutics, Inc.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w:t>
      </w:r>
    </w:p>
    <w:p>
      <w:pPr>
        <w:spacing w:after="0" w:line="141" w:lineRule="exact"/>
        <w:rPr>
          <w:sz w:val="20"/>
          <w:szCs w:val="20"/>
          <w:color w:val="auto"/>
        </w:rPr>
      </w:pPr>
    </w:p>
    <w:p>
      <w:pPr>
        <w:ind w:left="1420" w:right="319"/>
        <w:spacing w:after="0" w:line="272" w:lineRule="auto"/>
        <w:rPr>
          <w:sz w:val="20"/>
          <w:szCs w:val="20"/>
          <w:color w:val="auto"/>
        </w:rPr>
      </w:pPr>
      <w:r>
        <w:rPr>
          <w:rFonts w:ascii="Times New Roman" w:cs="Times New Roman" w:eastAsia="Times New Roman" w:hAnsi="Times New Roman"/>
          <w:sz w:val="14"/>
          <w:szCs w:val="14"/>
          <w:color w:val="auto"/>
        </w:rPr>
        <w:t>Our principal executive offices are located at 2000 Sierra Point Parkway, Suite 400, Brisbane, CA 94005. Our telephone number is (415) 798-8589. Our website is located at http://www.tempesttx.com. We do not incorporate by reference into this prospectus supplement the information on, or accessible through, our website, and you should not consider it as part of this prospectus supplement.</w:t>
      </w:r>
    </w:p>
    <w:p>
      <w:pPr>
        <w:spacing w:after="0" w:line="22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Financing</w:t>
      </w:r>
    </w:p>
    <w:p>
      <w:pPr>
        <w:spacing w:after="0" w:line="98" w:lineRule="exact"/>
        <w:rPr>
          <w:sz w:val="20"/>
          <w:szCs w:val="20"/>
          <w:color w:val="auto"/>
        </w:rPr>
      </w:pPr>
    </w:p>
    <w:p>
      <w:pPr>
        <w:ind w:left="1420" w:right="379"/>
        <w:spacing w:after="0" w:line="261" w:lineRule="auto"/>
        <w:rPr>
          <w:sz w:val="20"/>
          <w:szCs w:val="20"/>
          <w:color w:val="auto"/>
        </w:rPr>
      </w:pPr>
      <w:r>
        <w:rPr>
          <w:rFonts w:ascii="Times New Roman" w:cs="Times New Roman" w:eastAsia="Times New Roman" w:hAnsi="Times New Roman"/>
          <w:sz w:val="14"/>
          <w:szCs w:val="14"/>
          <w:color w:val="auto"/>
        </w:rPr>
        <w:t>On November 24, 2025, we entered into the Purchase Agreement with the selling stockholder named herein, pursuant to which we agreed to issue and sell (i) in a registered direct offering an aggregate of 487,000 shares of our common stock, and prefunded warrants to purchase 685,414 shares of our common stock (the “Prefunded Warrants”), pursuant to an effective shelf registration statement on Form S-3 (File No. 333-280918) and a related prospectus and prospectus supplement thereunder, and (ii) in a concurrent private placement (the “Private Placement”), Warrants to purchase an aggregate of 1,172,414 shares of our common stock. For additional information regarding the Purchase Agreement, refer to the summary included under Item 8.01 of our Current Report on Form 8-K filed with the SEC on November 26, 2025, which is incorporated by reference herein.</w:t>
      </w:r>
    </w:p>
    <w:p>
      <w:pPr>
        <w:spacing w:after="0" w:line="318" w:lineRule="exact"/>
        <w:rPr>
          <w:sz w:val="20"/>
          <w:szCs w:val="20"/>
          <w:color w:val="auto"/>
        </w:rPr>
      </w:pPr>
    </w:p>
    <w:p>
      <w:pPr>
        <w:ind w:left="1420" w:right="419"/>
        <w:spacing w:after="0" w:line="290" w:lineRule="auto"/>
        <w:rPr>
          <w:sz w:val="20"/>
          <w:szCs w:val="20"/>
          <w:color w:val="auto"/>
        </w:rPr>
      </w:pPr>
      <w:r>
        <w:rPr>
          <w:rFonts w:ascii="Times New Roman" w:cs="Times New Roman" w:eastAsia="Times New Roman" w:hAnsi="Times New Roman"/>
          <w:sz w:val="14"/>
          <w:szCs w:val="14"/>
          <w:color w:val="auto"/>
        </w:rPr>
        <w:t>Under the terms of the Purchase Agreement, we agreed to prepare and file, within 15 days after the date of the Purchase Agreement, a registration statement with the SEC to register for resale the Warrant Shares, and generally to cause the registration statement to promptly become effective.</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90"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170180</wp:posOffset>
            </wp:positionV>
            <wp:extent cx="5544820" cy="2646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44820" cy="2646045"/>
                    </a:xfrm>
                    <a:prstGeom prst="rect">
                      <a:avLst/>
                    </a:prstGeom>
                    <a:noFill/>
                  </pic:spPr>
                </pic:pic>
              </a:graphicData>
            </a:graphic>
          </wp:anchor>
        </w:drawing>
      </w:r>
    </w:p>
    <w:p>
      <w:pPr>
        <w:sectPr>
          <w:pgSz w:w="11900" w:h="16838" w:orient="portrait"/>
          <w:cols w:equalWidth="0" w:num="1">
            <w:col w:w="10159"/>
          </w:cols>
          <w:pgMar w:left="300" w:top="3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420"/>
        <w:spacing w:after="0" w:line="453" w:lineRule="auto"/>
        <w:rPr>
          <w:sz w:val="20"/>
          <w:szCs w:val="20"/>
          <w:color w:val="auto"/>
        </w:rPr>
      </w:pPr>
      <w:r>
        <w:rPr>
          <w:rFonts w:ascii="Times New Roman" w:cs="Times New Roman" w:eastAsia="Times New Roman" w:hAnsi="Times New Roman"/>
          <w:sz w:val="14"/>
          <w:szCs w:val="14"/>
          <w:b w:val="1"/>
          <w:bCs w:val="1"/>
          <w:color w:val="auto"/>
        </w:rPr>
        <w:t>Common stock offered by the selling stockholders Terms of the offering</w:t>
      </w:r>
    </w:p>
    <w:p>
      <w:pPr>
        <w:spacing w:after="0" w:line="1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2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1,172,414 shares</w:t>
      </w:r>
      <w:r>
        <w:rPr>
          <w:rFonts w:ascii="Times New Roman" w:cs="Times New Roman" w:eastAsia="Times New Roman" w:hAnsi="Times New Roman"/>
          <w:sz w:val="21"/>
          <w:szCs w:val="21"/>
          <w:color w:val="auto"/>
          <w:vertAlign w:val="superscript"/>
        </w:rPr>
        <w:t>(1)</w:t>
      </w:r>
    </w:p>
    <w:p>
      <w:pPr>
        <w:spacing w:after="0" w:line="44" w:lineRule="exact"/>
        <w:rPr>
          <w:sz w:val="20"/>
          <w:szCs w:val="20"/>
          <w:color w:val="auto"/>
        </w:rPr>
      </w:pPr>
    </w:p>
    <w:p>
      <w:pPr>
        <w:ind w:right="719"/>
        <w:spacing w:after="0" w:line="279" w:lineRule="auto"/>
        <w:rPr>
          <w:sz w:val="20"/>
          <w:szCs w:val="20"/>
          <w:color w:val="auto"/>
        </w:rPr>
      </w:pPr>
      <w:r>
        <w:rPr>
          <w:rFonts w:ascii="Times New Roman" w:cs="Times New Roman" w:eastAsia="Times New Roman" w:hAnsi="Times New Roman"/>
          <w:sz w:val="14"/>
          <w:szCs w:val="14"/>
          <w:color w:val="auto"/>
        </w:rPr>
        <w:t>Each selling stockholder will determine when and how it will sell the common stock offered in this prospectus, as described in “Plan of Distribution.”</w:t>
      </w:r>
    </w:p>
    <w:p>
      <w:pPr>
        <w:spacing w:after="0" w:line="56" w:lineRule="exact"/>
        <w:rPr>
          <w:sz w:val="20"/>
          <w:szCs w:val="20"/>
          <w:color w:val="auto"/>
        </w:rPr>
      </w:pPr>
    </w:p>
    <w:p>
      <w:pPr>
        <w:ind w:right="419"/>
        <w:spacing w:after="0" w:line="290" w:lineRule="auto"/>
        <w:rPr>
          <w:sz w:val="20"/>
          <w:szCs w:val="20"/>
          <w:color w:val="auto"/>
        </w:rPr>
      </w:pPr>
      <w:r>
        <w:rPr>
          <w:rFonts w:ascii="Times New Roman" w:cs="Times New Roman" w:eastAsia="Times New Roman" w:hAnsi="Times New Roman"/>
          <w:sz w:val="14"/>
          <w:szCs w:val="14"/>
          <w:color w:val="auto"/>
        </w:rPr>
        <w:t>We will not receive any proceeds from the sale of the shares of common stock covered by this prospectus.</w:t>
      </w:r>
    </w:p>
    <w:p>
      <w:pPr>
        <w:spacing w:after="0" w:line="49" w:lineRule="exact"/>
        <w:rPr>
          <w:sz w:val="20"/>
          <w:szCs w:val="20"/>
          <w:color w:val="auto"/>
        </w:rPr>
      </w:pPr>
    </w:p>
    <w:p>
      <w:pPr>
        <w:ind w:right="639"/>
        <w:spacing w:after="0" w:line="290" w:lineRule="auto"/>
        <w:rPr>
          <w:sz w:val="20"/>
          <w:szCs w:val="20"/>
          <w:color w:val="auto"/>
        </w:rPr>
      </w:pPr>
      <w:r>
        <w:rPr>
          <w:rFonts w:ascii="Times New Roman" w:cs="Times New Roman" w:eastAsia="Times New Roman" w:hAnsi="Times New Roman"/>
          <w:sz w:val="14"/>
          <w:szCs w:val="14"/>
          <w:color w:val="auto"/>
        </w:rPr>
        <w:t>See “Risk Factors” on page 4 for a discussion of factors you should carefully consider before deciding to invest in our common stock.</w:t>
      </w:r>
    </w:p>
    <w:p>
      <w:pPr>
        <w:spacing w:after="0" w:line="47" w:lineRule="exact"/>
        <w:rPr>
          <w:sz w:val="20"/>
          <w:szCs w:val="20"/>
          <w:color w:val="auto"/>
        </w:rPr>
      </w:pPr>
    </w:p>
    <w:p>
      <w:pPr>
        <w:sectPr>
          <w:pgSz w:w="11900" w:h="16838" w:orient="portrait"/>
          <w:cols w:equalWidth="0" w:num="2">
            <w:col w:w="4440" w:space="180"/>
            <w:col w:w="5539"/>
          </w:cols>
          <w:pgMar w:left="300" w:top="390" w:right="1440" w:bottom="1440" w:gutter="0" w:footer="0" w:header="0"/>
          <w:type w:val="continuous"/>
        </w:sectPr>
      </w:pPr>
    </w:p>
    <w:p>
      <w:pPr>
        <w:ind w:left="1420"/>
        <w:spacing w:after="0"/>
        <w:tabs>
          <w:tab w:leader="none" w:pos="4600" w:val="left"/>
        </w:tabs>
        <w:rPr>
          <w:sz w:val="20"/>
          <w:szCs w:val="20"/>
          <w:color w:val="auto"/>
        </w:rPr>
      </w:pPr>
      <w:r>
        <w:rPr>
          <w:rFonts w:ascii="Times New Roman" w:cs="Times New Roman" w:eastAsia="Times New Roman" w:hAnsi="Times New Roman"/>
          <w:sz w:val="14"/>
          <w:szCs w:val="14"/>
          <w:b w:val="1"/>
          <w:bCs w:val="1"/>
          <w:color w:val="auto"/>
        </w:rPr>
        <w:t>Nasdaq Capital Market symbol</w:t>
      </w:r>
      <w:r>
        <w:rPr>
          <w:sz w:val="20"/>
          <w:szCs w:val="20"/>
          <w:color w:val="auto"/>
        </w:rPr>
        <w:tab/>
      </w:r>
      <w:r>
        <w:rPr>
          <w:rFonts w:ascii="Times New Roman" w:cs="Times New Roman" w:eastAsia="Times New Roman" w:hAnsi="Times New Roman"/>
          <w:sz w:val="13"/>
          <w:szCs w:val="13"/>
          <w:color w:val="auto"/>
        </w:rPr>
        <w:t>TPST.</w:t>
      </w:r>
    </w:p>
    <w:p>
      <w:pPr>
        <w:spacing w:after="0" w:line="159" w:lineRule="exact"/>
        <w:rPr>
          <w:sz w:val="20"/>
          <w:szCs w:val="20"/>
          <w:color w:val="auto"/>
        </w:rPr>
      </w:pPr>
    </w:p>
    <w:p>
      <w:pPr>
        <w:ind w:left="1760" w:hanging="333"/>
        <w:spacing w:after="0"/>
        <w:tabs>
          <w:tab w:leader="none" w:pos="1760" w:val="left"/>
        </w:tabs>
        <w:numPr>
          <w:ilvl w:val="0"/>
          <w:numId w:val="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Consists of Warrant Shares held by the selling stockholder named in this prospectus.</w:t>
      </w:r>
    </w:p>
    <w:p>
      <w:pPr>
        <w:spacing w:after="0" w:line="157" w:lineRule="exact"/>
        <w:rPr>
          <w:sz w:val="20"/>
          <w:szCs w:val="20"/>
          <w:color w:val="auto"/>
        </w:rPr>
      </w:pPr>
    </w:p>
    <w:p>
      <w:pPr>
        <w:ind w:left="1420" w:right="319" w:firstLine="337"/>
        <w:spacing w:after="0" w:line="260" w:lineRule="auto"/>
        <w:rPr>
          <w:sz w:val="20"/>
          <w:szCs w:val="20"/>
          <w:color w:val="auto"/>
        </w:rPr>
      </w:pPr>
      <w:r>
        <w:rPr>
          <w:rFonts w:ascii="Times New Roman" w:cs="Times New Roman" w:eastAsia="Times New Roman" w:hAnsi="Times New Roman"/>
          <w:sz w:val="14"/>
          <w:szCs w:val="14"/>
          <w:color w:val="auto"/>
        </w:rPr>
        <w:t>The selling stockholder named in this prospectus may offer and sell up to 1,172,414 shares of our common stock. Our common stock is currently listed on Nasdaq Capital Market under the symbol “TPST.” Shares of our common stock that may be offered under this prospectus will be fully paid and non-assessable. We will not receive any of the proceeds of sales by the selling stockholders of any of the common stock covered by this prospectus. Throughout this prospectus, when we refer to the shares of our common stock being registered on behalf of the selling stockholders for offer and resale, we are referring to the Warrant Shares. When we refer to the selling stockholders in this prospectus, we are referring to the selling stockholder identified in this prospectus and, as applicable, its permitted transferees or other successors-in-interest that may be identified in a supplement to this prospectus or, if required, a post-effective amendment to the registration statement of which this prospectus is a part.</w:t>
      </w:r>
    </w:p>
    <w:p>
      <w:pPr>
        <w:spacing w:after="0" w:line="24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90" w:right="1440"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3" w:lineRule="exact"/>
        <w:rPr>
          <w:sz w:val="20"/>
          <w:szCs w:val="20"/>
          <w:color w:val="auto"/>
        </w:rPr>
      </w:pPr>
    </w:p>
    <w:p>
      <w:pPr>
        <w:ind w:left="1280" w:right="179" w:firstLine="349"/>
        <w:spacing w:after="0" w:line="259"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Before making an investment decision, you should carefully consider the risks described in the sections entitled “Risk Factors” in our most recent Annual Report on Form 10-K and subsequent Quarterly Reports on Form 10-Q, as filed with the SEC, which are incorporated herein by reference in their entirety, as well any amendment or updates to our risk factors reflected in subsequent filings with the SEC, including any applicable prospectus supplement. Our business, financial condition, results of operations or prospects could be materially adversely affected by any of these risks. The trading price of our securities could decline due to any of these risks, and you may lose all or part of your investment.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For more information, see the section entitled “Where You Can Find Additional Information.” Please also read carefully the section entitled “Special Note Regarding Forward-Looking Statements.”</w:t>
      </w:r>
    </w:p>
    <w:p>
      <w:pPr>
        <w:spacing w:after="0" w:line="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9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3" w:lineRule="exact"/>
        <w:rPr>
          <w:sz w:val="20"/>
          <w:szCs w:val="20"/>
          <w:color w:val="auto"/>
        </w:rPr>
      </w:pPr>
    </w:p>
    <w:p>
      <w:pPr>
        <w:ind w:left="1280" w:right="259" w:firstLine="349"/>
        <w:spacing w:after="0" w:line="262" w:lineRule="auto"/>
        <w:rPr>
          <w:sz w:val="20"/>
          <w:szCs w:val="20"/>
          <w:color w:val="auto"/>
        </w:rPr>
      </w:pPr>
      <w:r>
        <w:rPr>
          <w:rFonts w:ascii="Times New Roman" w:cs="Times New Roman" w:eastAsia="Times New Roman" w:hAnsi="Times New Roman"/>
          <w:sz w:val="14"/>
          <w:szCs w:val="14"/>
          <w:color w:val="auto"/>
        </w:rPr>
        <w:t>This prospectus and any applicable prospectus supplement or free writing prospectus, including the documents that we incorporate by reference herein and therein, contain “forward-looking statements” within the meaning of Section 27A of the Securities Act of 1933, as amended (the “Securities Act”), and Section 21E of the Securities Exchange Act of 1934, as amended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w:t>
      </w:r>
    </w:p>
    <w:p>
      <w:pPr>
        <w:spacing w:after="0" w:line="143" w:lineRule="exact"/>
        <w:rPr>
          <w:sz w:val="20"/>
          <w:szCs w:val="20"/>
          <w:color w:val="auto"/>
        </w:rPr>
      </w:pPr>
    </w:p>
    <w:p>
      <w:pPr>
        <w:ind w:left="1280" w:right="199" w:firstLine="349"/>
        <w:spacing w:after="0" w:line="259"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As such, our actual results may differ significantly from those expressed in any forward-looking statements. Given these uncertainties, you should not place undue reliance on these forward-looking statements. In addition, statements indicating that “we believe” and similar statements reflect our beliefs and opinions on the relevant subject. These statements are based upon information available to us as of the date they were made, and while we believe such information formed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7" w:lineRule="exact"/>
        <w:rPr>
          <w:sz w:val="20"/>
          <w:szCs w:val="20"/>
          <w:color w:val="auto"/>
        </w:rPr>
      </w:pPr>
    </w:p>
    <w:p>
      <w:pPr>
        <w:ind w:left="1280" w:right="179" w:firstLine="349"/>
        <w:spacing w:after="0" w:line="266" w:lineRule="auto"/>
        <w:rPr>
          <w:sz w:val="20"/>
          <w:szCs w:val="20"/>
          <w:color w:val="auto"/>
        </w:rPr>
      </w:pPr>
      <w:r>
        <w:rPr>
          <w:rFonts w:ascii="Times New Roman" w:cs="Times New Roman" w:eastAsia="Times New Roman" w:hAnsi="Times New Roman"/>
          <w:sz w:val="14"/>
          <w:szCs w:val="14"/>
          <w:color w:val="auto"/>
        </w:rPr>
        <w:t>We discuss many of these risks in greater detail under “Risk Factors” in this prospectus and in the “Risk Factors,” “Business” and “Management’s Discussion and Analysis of Financial Condition and Results of Operations” sections incorporated by reference from our most recent Annual Report on Form 10-K and in our Quarterly Reports on Form 10-Q for the quarterly periods ended subsequent to our filing of such Annual Report on Form 10-K, as well as any amendments thereto reflected in subsequent filings with the SEC.</w:t>
      </w:r>
    </w:p>
    <w:p>
      <w:pPr>
        <w:spacing w:after="0" w:line="141" w:lineRule="exact"/>
        <w:rPr>
          <w:sz w:val="20"/>
          <w:szCs w:val="20"/>
          <w:color w:val="auto"/>
        </w:rPr>
      </w:pPr>
    </w:p>
    <w:p>
      <w:pPr>
        <w:ind w:left="1280" w:right="159" w:firstLine="349"/>
        <w:spacing w:after="0" w:line="260" w:lineRule="auto"/>
        <w:rPr>
          <w:sz w:val="20"/>
          <w:szCs w:val="20"/>
          <w:color w:val="auto"/>
        </w:rPr>
      </w:pPr>
      <w:r>
        <w:rPr>
          <w:rFonts w:ascii="Times New Roman" w:cs="Times New Roman" w:eastAsia="Times New Roman" w:hAnsi="Times New Roman"/>
          <w:sz w:val="14"/>
          <w:szCs w:val="14"/>
          <w:color w:val="auto"/>
        </w:rPr>
        <w:t>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that we have filed with the SEC that are incorporated by reference and any free writing prospectus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90"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3" w:lineRule="exact"/>
        <w:rPr>
          <w:sz w:val="20"/>
          <w:szCs w:val="20"/>
          <w:color w:val="auto"/>
        </w:rPr>
      </w:pPr>
    </w:p>
    <w:p>
      <w:pPr>
        <w:ind w:left="1280" w:right="179" w:firstLine="349"/>
        <w:spacing w:after="0" w:line="266" w:lineRule="auto"/>
        <w:rPr>
          <w:sz w:val="20"/>
          <w:szCs w:val="20"/>
          <w:color w:val="auto"/>
        </w:rPr>
      </w:pPr>
      <w:r>
        <w:rPr>
          <w:rFonts w:ascii="Times New Roman" w:cs="Times New Roman" w:eastAsia="Times New Roman" w:hAnsi="Times New Roman"/>
          <w:sz w:val="14"/>
          <w:szCs w:val="14"/>
          <w:color w:val="auto"/>
        </w:rPr>
        <w:t>We will not receive any of the proceeds from the sale or other disposition of shares of our common stock held by the selling stockholders pursuant to this prospectus. We will bear the out-of-pocket costs, expenses and fees incurred in connection with the registration of shares of our common stock to be sold by the selling stockholders pursuant to this prospectus. Other than registration expenses, the selling stockholders will bear underwriting discounts, commissions, placement agent fees or other similar expenses payable with respect to sales of shares of our common stock.</w:t>
      </w: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90"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83" w:lineRule="exact"/>
        <w:rPr>
          <w:sz w:val="20"/>
          <w:szCs w:val="20"/>
          <w:color w:val="auto"/>
        </w:rPr>
      </w:pPr>
    </w:p>
    <w:p>
      <w:pPr>
        <w:ind w:left="1280" w:right="219" w:firstLine="349"/>
        <w:spacing w:after="0" w:line="262" w:lineRule="auto"/>
        <w:rPr>
          <w:sz w:val="20"/>
          <w:szCs w:val="20"/>
          <w:color w:val="auto"/>
        </w:rPr>
      </w:pPr>
      <w:r>
        <w:rPr>
          <w:rFonts w:ascii="Times New Roman" w:cs="Times New Roman" w:eastAsia="Times New Roman" w:hAnsi="Times New Roman"/>
          <w:sz w:val="14"/>
          <w:szCs w:val="14"/>
          <w:color w:val="auto"/>
        </w:rPr>
        <w:t>The selling stockholders may sell some, all or none of their shares. We do not know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each of the selling stockholders will beneficially own after termination of sales under this prospectus. In addition, the selling stockholder may have sold, transferred or otherwise disposed of all or a portion of its shares of common stock since the date on which it provided information for the table below.</w:t>
      </w:r>
    </w:p>
    <w:p>
      <w:pPr>
        <w:spacing w:after="0" w:line="143" w:lineRule="exact"/>
        <w:rPr>
          <w:sz w:val="20"/>
          <w:szCs w:val="20"/>
          <w:color w:val="auto"/>
        </w:rPr>
      </w:pPr>
    </w:p>
    <w:p>
      <w:pPr>
        <w:ind w:left="1280" w:right="219" w:firstLine="349"/>
        <w:spacing w:after="0" w:line="272"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spacing w:after="0" w:line="137" w:lineRule="exact"/>
        <w:rPr>
          <w:sz w:val="20"/>
          <w:szCs w:val="20"/>
          <w:color w:val="auto"/>
        </w:rPr>
      </w:pPr>
    </w:p>
    <w:p>
      <w:pPr>
        <w:ind w:left="1280" w:right="179" w:firstLine="349"/>
        <w:spacing w:after="0" w:line="263" w:lineRule="auto"/>
        <w:rPr>
          <w:sz w:val="20"/>
          <w:szCs w:val="20"/>
          <w:color w:val="auto"/>
        </w:rPr>
      </w:pPr>
      <w:r>
        <w:rPr>
          <w:rFonts w:ascii="Times New Roman" w:cs="Times New Roman" w:eastAsia="Times New Roman" w:hAnsi="Times New Roman"/>
          <w:sz w:val="14"/>
          <w:szCs w:val="14"/>
          <w:color w:val="auto"/>
        </w:rPr>
        <w:t>The information in the table below and the footnotes thereto regarding shares of common stock to be beneficially owned after the offering assumes the sale of all shares being offered by the selling stockholder under this prospectus, consisting of the Warrant Shares. This information has been obtained from the selling stockholder. The percentage of shares owned after the offering is based on 4,927,161 shares outstanding as of December 1, 2025 plus the Warrant Shares plus the specified number of shares of common stock issuable upon exercise of Prefunded Warrants that are held by the selling stockholder.</w:t>
      </w:r>
    </w:p>
    <w:p>
      <w:pPr>
        <w:spacing w:after="0" w:line="144" w:lineRule="exact"/>
        <w:rPr>
          <w:sz w:val="20"/>
          <w:szCs w:val="20"/>
          <w:color w:val="auto"/>
        </w:rPr>
      </w:pPr>
    </w:p>
    <w:p>
      <w:pPr>
        <w:ind w:left="1280" w:right="299" w:firstLine="349"/>
        <w:spacing w:after="0" w:line="272" w:lineRule="auto"/>
        <w:rPr>
          <w:sz w:val="20"/>
          <w:szCs w:val="20"/>
          <w:color w:val="auto"/>
        </w:rPr>
      </w:pPr>
      <w:r>
        <w:rPr>
          <w:rFonts w:ascii="Times New Roman" w:cs="Times New Roman" w:eastAsia="Times New Roman" w:hAnsi="Times New Roman"/>
          <w:sz w:val="14"/>
          <w:szCs w:val="14"/>
          <w:color w:val="auto"/>
        </w:rPr>
        <w:t>As used in this prospectus, the term “selling stockholders” includes the selling stockholder listed in the table below, together with any additional selling stockholders listed in a prospectus supplement, and their donees, pledgees, assignees, transferees, distributees and successors-in-interest that receive Warrant Shares in any non-sale transfer after the date of this prospectus.</w:t>
      </w:r>
    </w:p>
    <w:p>
      <w:pPr>
        <w:spacing w:after="0" w:line="153" w:lineRule="exact"/>
        <w:rPr>
          <w:sz w:val="20"/>
          <w:szCs w:val="20"/>
          <w:color w:val="auto"/>
        </w:rPr>
      </w:pPr>
    </w:p>
    <w:tbl>
      <w:tblPr>
        <w:tblLayout w:type="fixed"/>
        <w:tblInd w:w="1640" w:type="dxa"/>
        <w:tblCellMar>
          <w:top w:w="0" w:type="dxa"/>
          <w:left w:w="0" w:type="dxa"/>
          <w:bottom w:w="0" w:type="dxa"/>
          <w:right w:w="0" w:type="dxa"/>
        </w:tblCellMar>
      </w:tblPr>
      <w:tr>
        <w:trPr>
          <w:trHeight w:val="137"/>
        </w:trPr>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Shares of Common Stock</w:t>
            </w:r>
          </w:p>
        </w:tc>
        <w:tc>
          <w:tcPr>
            <w:tcW w:w="6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600" w:type="dxa"/>
            <w:vAlign w:val="bottom"/>
          </w:tcPr>
          <w:p>
            <w:pPr>
              <w:spacing w:after="0"/>
              <w:rPr>
                <w:sz w:val="11"/>
                <w:szCs w:val="11"/>
                <w:color w:val="auto"/>
              </w:rPr>
            </w:pPr>
          </w:p>
        </w:tc>
        <w:tc>
          <w:tcPr>
            <w:tcW w:w="26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Beneficial Ownership After this Offering</w:t>
            </w:r>
            <w:r>
              <w:rPr>
                <w:rFonts w:ascii="Times New Roman" w:cs="Times New Roman" w:eastAsia="Times New Roman" w:hAnsi="Times New Roman"/>
                <w:sz w:val="8"/>
                <w:szCs w:val="8"/>
                <w:b w:val="1"/>
                <w:bCs w:val="1"/>
                <w:color w:val="auto"/>
              </w:rPr>
              <w:t>(3)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w:t>
            </w:r>
          </w:p>
        </w:tc>
        <w:tc>
          <w:tcPr>
            <w:tcW w:w="16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900" w:type="dxa"/>
            <w:vAlign w:val="bottom"/>
            <w:gridSpan w:val="3"/>
            <w:vMerge w:val="restart"/>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rPr>
              <w:t>Percent of Outstanding</w:t>
            </w:r>
          </w:p>
        </w:tc>
        <w:tc>
          <w:tcPr>
            <w:tcW w:w="0" w:type="dxa"/>
            <w:vAlign w:val="bottom"/>
          </w:tcPr>
          <w:p>
            <w:pPr>
              <w:spacing w:after="0"/>
              <w:rPr>
                <w:sz w:val="1"/>
                <w:szCs w:val="1"/>
                <w:color w:val="auto"/>
              </w:rPr>
            </w:pPr>
          </w:p>
        </w:tc>
      </w:tr>
      <w:tr>
        <w:trPr>
          <w:trHeight w:val="116"/>
        </w:trPr>
        <w:tc>
          <w:tcPr>
            <w:tcW w:w="1780" w:type="dxa"/>
            <w:vAlign w:val="bottom"/>
            <w:gridSpan w:val="2"/>
            <w:vMerge w:val="continue"/>
          </w:tcPr>
          <w:p>
            <w:pPr>
              <w:spacing w:after="0"/>
              <w:rPr>
                <w:sz w:val="10"/>
                <w:szCs w:val="10"/>
                <w:color w:val="auto"/>
              </w:rPr>
            </w:pPr>
          </w:p>
        </w:tc>
        <w:tc>
          <w:tcPr>
            <w:tcW w:w="1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 Owned prior</w:t>
            </w:r>
          </w:p>
        </w:tc>
        <w:tc>
          <w:tcPr>
            <w:tcW w:w="1240" w:type="dxa"/>
            <w:vAlign w:val="bottom"/>
            <w:gridSpan w:val="2"/>
          </w:tcPr>
          <w:p>
            <w:pPr>
              <w:jc w:val="center"/>
              <w:ind w:left="536"/>
              <w:spacing w:after="0" w:line="116" w:lineRule="exact"/>
              <w:rPr>
                <w:sz w:val="20"/>
                <w:szCs w:val="20"/>
                <w:color w:val="auto"/>
              </w:rPr>
            </w:pPr>
            <w:r>
              <w:rPr>
                <w:rFonts w:ascii="Times New Roman" w:cs="Times New Roman" w:eastAsia="Times New Roman" w:hAnsi="Times New Roman"/>
                <w:sz w:val="11"/>
                <w:szCs w:val="11"/>
                <w:b w:val="1"/>
                <w:bCs w:val="1"/>
                <w:color w:val="auto"/>
              </w:rPr>
              <w:t>Shares Being</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Stockholder</w:t>
            </w: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to this Offering</w:t>
            </w:r>
            <w:r>
              <w:rPr>
                <w:rFonts w:ascii="Times New Roman" w:cs="Times New Roman" w:eastAsia="Times New Roman" w:hAnsi="Times New Roman"/>
                <w:sz w:val="8"/>
                <w:szCs w:val="8"/>
                <w:b w:val="1"/>
                <w:bCs w:val="1"/>
                <w:color w:val="auto"/>
              </w:rPr>
              <w:t>(1)</w:t>
            </w:r>
          </w:p>
        </w:tc>
        <w:tc>
          <w:tcPr>
            <w:tcW w:w="6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Offered</w:t>
            </w:r>
            <w:r>
              <w:rPr>
                <w:rFonts w:ascii="Times New Roman" w:cs="Times New Roman" w:eastAsia="Times New Roman" w:hAnsi="Times New Roman"/>
                <w:sz w:val="8"/>
                <w:szCs w:val="8"/>
                <w:b w:val="1"/>
                <w:bCs w:val="1"/>
                <w:color w:val="auto"/>
              </w:rPr>
              <w:t>(2)</w:t>
            </w:r>
          </w:p>
        </w:tc>
        <w:tc>
          <w:tcPr>
            <w:tcW w:w="150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gridSpan w:val="2"/>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Sabby Volatility Warrant</w:t>
            </w:r>
          </w:p>
        </w:tc>
        <w:tc>
          <w:tcPr>
            <w:tcW w:w="3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780" w:type="dxa"/>
            <w:vAlign w:val="bottom"/>
            <w:gridSpan w:val="2"/>
            <w:shd w:val="clear" w:color="auto" w:fill="CCEEFF"/>
          </w:tcPr>
          <w:p>
            <w:pPr>
              <w:ind w:left="140"/>
              <w:spacing w:after="0" w:line="186" w:lineRule="exact"/>
              <w:rPr>
                <w:sz w:val="20"/>
                <w:szCs w:val="20"/>
                <w:color w:val="auto"/>
              </w:rPr>
            </w:pPr>
            <w:r>
              <w:rPr>
                <w:rFonts w:ascii="Times New Roman" w:cs="Times New Roman" w:eastAsia="Times New Roman" w:hAnsi="Times New Roman"/>
                <w:sz w:val="14"/>
                <w:szCs w:val="14"/>
                <w:color w:val="auto"/>
              </w:rPr>
              <w:t>Master Fund, Ltd.</w:t>
            </w:r>
            <w:r>
              <w:rPr>
                <w:rFonts w:ascii="Times New Roman" w:cs="Times New Roman" w:eastAsia="Times New Roman" w:hAnsi="Times New Roman"/>
                <w:sz w:val="21"/>
                <w:szCs w:val="21"/>
                <w:color w:val="auto"/>
                <w:vertAlign w:val="superscript"/>
              </w:rPr>
              <w:t>(4)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516,488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1,172,414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646,612</w:t>
            </w:r>
          </w:p>
        </w:tc>
        <w:tc>
          <w:tcPr>
            <w:tcW w:w="1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67945</wp:posOffset>
            </wp:positionV>
            <wp:extent cx="60388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885" cy="6985"/>
                    </a:xfrm>
                    <a:prstGeom prst="rect">
                      <a:avLst/>
                    </a:prstGeom>
                    <a:noFill/>
                  </pic:spPr>
                </pic:pic>
              </a:graphicData>
            </a:graphic>
          </wp:anchor>
        </w:drawing>
      </w:r>
    </w:p>
    <w:p>
      <w:pPr>
        <w:spacing w:after="0" w:line="115" w:lineRule="exact"/>
        <w:rPr>
          <w:sz w:val="20"/>
          <w:szCs w:val="20"/>
          <w:color w:val="auto"/>
        </w:rPr>
      </w:pPr>
    </w:p>
    <w:p>
      <w:pPr>
        <w:ind w:left="1620" w:right="239" w:hanging="337"/>
        <w:spacing w:after="0" w:line="261" w:lineRule="auto"/>
        <w:tabs>
          <w:tab w:leader="none" w:pos="1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273,590 shares of common stock held by the selling stockholder and 242,898 shares of common stock issuable upon exercise of outstanding Prefunded Warrants. Excludes (i) 442,516 shares of common stock issuable upon exercise of outstanding Prefunded Warrants and (ii) 1,172,414 Warrant Shares, each of which are not currently exercisable by virtue of the exercise limitations described in footnote (4).</w:t>
      </w:r>
    </w:p>
    <w:p>
      <w:pPr>
        <w:spacing w:after="0" w:line="1" w:lineRule="exact"/>
        <w:rPr>
          <w:rFonts w:ascii="Times New Roman" w:cs="Times New Roman" w:eastAsia="Times New Roman" w:hAnsi="Times New Roman"/>
          <w:sz w:val="14"/>
          <w:szCs w:val="14"/>
          <w:color w:val="auto"/>
        </w:rPr>
      </w:pPr>
    </w:p>
    <w:p>
      <w:pPr>
        <w:ind w:left="1620" w:hanging="337"/>
        <w:spacing w:after="0"/>
        <w:tabs>
          <w:tab w:leader="none" w:pos="1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being offered are comprised of the Warrant Shares.</w:t>
      </w:r>
    </w:p>
    <w:p>
      <w:pPr>
        <w:spacing w:after="0" w:line="10" w:lineRule="exact"/>
        <w:rPr>
          <w:rFonts w:ascii="Times New Roman" w:cs="Times New Roman" w:eastAsia="Times New Roman" w:hAnsi="Times New Roman"/>
          <w:sz w:val="14"/>
          <w:szCs w:val="14"/>
          <w:color w:val="auto"/>
        </w:rPr>
      </w:pPr>
    </w:p>
    <w:p>
      <w:pPr>
        <w:ind w:left="1620" w:right="199" w:hanging="337"/>
        <w:spacing w:after="0" w:line="254" w:lineRule="auto"/>
        <w:tabs>
          <w:tab w:leader="none" w:pos="1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the selling stockholder exercises all of the Warrants for cash and sells all shares of the Warrant Shares registered under this prospectus, but that the selling stockholder doesn’t sell or otherwise dispose of any of the other shares of common stock that it beneficially owns as of the date hereof. Number of shares beneficially owned after this offering consists of 273,590 shares of common stock held by the selling stockholder and 373,022 shares of common stock issuable upon exercise of outstanding Prefunded Warrants. Excludes 312,392 shares of common stock issuable upon exercise of outstanding Prefunded Warrants which are not currently exercisable by virtue of the exercise limitations described in footnote (4).</w:t>
      </w:r>
    </w:p>
    <w:p>
      <w:pPr>
        <w:spacing w:after="0" w:line="3" w:lineRule="exact"/>
        <w:rPr>
          <w:rFonts w:ascii="Times New Roman" w:cs="Times New Roman" w:eastAsia="Times New Roman" w:hAnsi="Times New Roman"/>
          <w:sz w:val="14"/>
          <w:szCs w:val="14"/>
          <w:color w:val="auto"/>
        </w:rPr>
      </w:pPr>
    </w:p>
    <w:p>
      <w:pPr>
        <w:ind w:left="1620" w:right="359" w:hanging="337"/>
        <w:spacing w:after="0" w:line="259" w:lineRule="auto"/>
        <w:tabs>
          <w:tab w:leader="none" w:pos="1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are held by Sabby Volatility Warrant Master Fund, Ltd. Sabby Volatility Warrant Master Fund, Ltd. is managed by Sabby Management, LLC. Sabby Management, LLC, in its capacity as the investment manager of Sabby Volatility Warrant Master Fund, Ltd., has the power to vote and the power to direct the disposition of all securities held by Sabby Volatility Warrant Master Fund, Ltd.. Hal Mintz is the Managing Member of Sabby Management, LLC. Each of Sabby Volatility Warrant Master Fund, Ltd.,</w:t>
      </w:r>
    </w:p>
    <w:p>
      <w:pPr>
        <w:spacing w:after="0" w:line="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9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1620" w:right="299"/>
        <w:spacing w:after="0" w:line="263" w:lineRule="auto"/>
        <w:rPr>
          <w:sz w:val="20"/>
          <w:szCs w:val="20"/>
          <w:color w:val="auto"/>
        </w:rPr>
      </w:pPr>
      <w:r>
        <w:rPr>
          <w:rFonts w:ascii="Times New Roman" w:cs="Times New Roman" w:eastAsia="Times New Roman" w:hAnsi="Times New Roman"/>
          <w:sz w:val="14"/>
          <w:szCs w:val="14"/>
          <w:color w:val="auto"/>
        </w:rPr>
        <w:t>Sabby Management, LLC and Mr. Mintz disclaim beneficial ownership of these securities, except to the extent of any pecuniary interest therein. In accordance with the terms of the Prefunded Warrants and the Warrants, the holder thereof will not be entitled to exercise any portion of any Prefunded Warrant or Warrant, which, upon giving effect to such exercise would cause the aggregate number of shares of the our common stock beneficially owned by the holder (together with its affiliates) to exceed 9.99% or 4.99%, respectively, of the number of shares of the common stock outstanding immediately after giving effect to the exercise.</w:t>
      </w:r>
    </w:p>
    <w:p>
      <w:pPr>
        <w:spacing w:after="0" w:line="2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Relationship with Selling Stockholder</w:t>
      </w:r>
    </w:p>
    <w:p>
      <w:pPr>
        <w:spacing w:after="0" w:line="98" w:lineRule="exact"/>
        <w:rPr>
          <w:sz w:val="20"/>
          <w:szCs w:val="20"/>
          <w:color w:val="auto"/>
        </w:rPr>
      </w:pPr>
    </w:p>
    <w:p>
      <w:pPr>
        <w:ind w:left="1280" w:right="219" w:firstLine="349"/>
        <w:spacing w:after="0" w:line="262" w:lineRule="auto"/>
        <w:rPr>
          <w:sz w:val="20"/>
          <w:szCs w:val="20"/>
          <w:color w:val="auto"/>
        </w:rPr>
      </w:pPr>
      <w:r>
        <w:rPr>
          <w:rFonts w:ascii="Times New Roman" w:cs="Times New Roman" w:eastAsia="Times New Roman" w:hAnsi="Times New Roman"/>
          <w:sz w:val="14"/>
          <w:szCs w:val="14"/>
          <w:color w:val="auto"/>
        </w:rPr>
        <w:t>As discussed in greater detail above under the section “Prospectus Summary—Financing,” on November 24, 2025, we entered into the Purchase Agreement with the selling stockholder named herein pursuant to which we sold shares of common stock, the Prefunded Warrants and the Warrants and agreed with the selling stockholder to file a registration statement to enable the resale of the Warrant Shares covered by this prospectus. None of the selling stockholder or any persons having control over such selling stockholder have held any position or office with us or our affiliates within the last three years or has had a material relationship with us or any of our predecessors or affiliates within the past three years, other than as a result of the ownership of our shares.</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9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3" w:lineRule="exact"/>
        <w:rPr>
          <w:sz w:val="20"/>
          <w:szCs w:val="20"/>
          <w:color w:val="auto"/>
        </w:rPr>
      </w:pPr>
    </w:p>
    <w:p>
      <w:pPr>
        <w:ind w:left="1280" w:right="239" w:firstLine="349"/>
        <w:spacing w:after="0" w:line="266" w:lineRule="auto"/>
        <w:rPr>
          <w:sz w:val="20"/>
          <w:szCs w:val="20"/>
          <w:color w:val="auto"/>
        </w:rPr>
      </w:pPr>
      <w:r>
        <w:rPr>
          <w:rFonts w:ascii="Times New Roman" w:cs="Times New Roman" w:eastAsia="Times New Roman" w:hAnsi="Times New Roman"/>
          <w:sz w:val="14"/>
          <w:szCs w:val="14"/>
          <w:color w:val="auto"/>
        </w:rPr>
        <w:t>The selling stockholders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selling stockholders may use any one or more of the following methods when disposing of shares or interests therein:</w:t>
      </w:r>
    </w:p>
    <w:p>
      <w:pPr>
        <w:spacing w:after="0" w:line="106" w:lineRule="exact"/>
        <w:rPr>
          <w:sz w:val="20"/>
          <w:szCs w:val="20"/>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members, partners, stockholders or other equityholders of the selling stockholders;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06" w:lineRule="exact"/>
        <w:rPr>
          <w:rFonts w:ascii="Times New Roman" w:cs="Times New Roman" w:eastAsia="Times New Roman" w:hAnsi="Times New Roman"/>
          <w:sz w:val="14"/>
          <w:szCs w:val="14"/>
          <w:color w:val="auto"/>
        </w:rPr>
      </w:pPr>
    </w:p>
    <w:p>
      <w:pPr>
        <w:ind w:left="2060" w:right="639" w:hanging="350"/>
        <w:spacing w:after="0" w:line="290" w:lineRule="auto"/>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and settlement of short sales entered into after the effective date of the registration statement of which this prospectus is a part;</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stockholders to sell a specified number of such shares at a stipulated price per share;</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and</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81" w:lineRule="exact"/>
        <w:rPr>
          <w:sz w:val="20"/>
          <w:szCs w:val="20"/>
          <w:color w:val="auto"/>
        </w:rPr>
      </w:pPr>
    </w:p>
    <w:p>
      <w:pPr>
        <w:jc w:val="both"/>
        <w:ind w:left="1280" w:right="239" w:firstLine="349"/>
        <w:spacing w:after="0" w:line="260" w:lineRule="auto"/>
        <w:rPr>
          <w:sz w:val="20"/>
          <w:szCs w:val="20"/>
          <w:color w:val="auto"/>
        </w:rPr>
      </w:pPr>
      <w:r>
        <w:rPr>
          <w:rFonts w:ascii="Times New Roman" w:cs="Times New Roman" w:eastAsia="Times New Roman" w:hAnsi="Times New Roman"/>
          <w:sz w:val="14"/>
          <w:szCs w:val="14"/>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w:t>
      </w:r>
    </w:p>
    <w:p>
      <w:pPr>
        <w:ind w:left="1280" w:right="759"/>
        <w:spacing w:after="0" w:line="269" w:lineRule="auto"/>
        <w:rPr>
          <w:sz w:val="20"/>
          <w:szCs w:val="20"/>
          <w:color w:val="auto"/>
        </w:rPr>
      </w:pPr>
      <w:r>
        <w:rPr>
          <w:rFonts w:ascii="Times New Roman" w:cs="Times New Roman" w:eastAsia="Times New Roman" w:hAnsi="Times New Roman"/>
          <w:sz w:val="14"/>
          <w:szCs w:val="14"/>
          <w:color w:val="auto"/>
        </w:rPr>
        <w:t>The selling stockholders also may transfer the shares of common stock in other circumstances, in which case the transferees, pledgees or other successors in interest may become the selling stockholders for purposes of this prospectus.</w:t>
      </w:r>
    </w:p>
    <w:p>
      <w:pPr>
        <w:spacing w:after="0" w:line="138" w:lineRule="exact"/>
        <w:rPr>
          <w:sz w:val="20"/>
          <w:szCs w:val="20"/>
          <w:color w:val="auto"/>
        </w:rPr>
      </w:pPr>
    </w:p>
    <w:p>
      <w:pPr>
        <w:ind w:left="1280" w:right="199" w:firstLine="349"/>
        <w:spacing w:after="0" w:line="260" w:lineRule="auto"/>
        <w:rPr>
          <w:sz w:val="20"/>
          <w:szCs w:val="20"/>
          <w:color w:val="auto"/>
        </w:rPr>
      </w:pPr>
      <w:r>
        <w:rPr>
          <w:rFonts w:ascii="Times New Roman" w:cs="Times New Roman" w:eastAsia="Times New Roman" w:hAnsi="Times New Roman"/>
          <w:sz w:val="14"/>
          <w:szCs w:val="14"/>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47" w:lineRule="exact"/>
        <w:rPr>
          <w:sz w:val="20"/>
          <w:szCs w:val="20"/>
          <w:color w:val="auto"/>
        </w:rPr>
      </w:pPr>
    </w:p>
    <w:p>
      <w:pPr>
        <w:ind w:left="1280" w:right="299" w:firstLine="349"/>
        <w:spacing w:after="0" w:line="290" w:lineRule="auto"/>
        <w:rPr>
          <w:sz w:val="20"/>
          <w:szCs w:val="20"/>
          <w:color w:val="auto"/>
        </w:rPr>
      </w:pPr>
      <w:r>
        <w:rPr>
          <w:rFonts w:ascii="Times New Roman" w:cs="Times New Roman" w:eastAsia="Times New Roman" w:hAnsi="Times New Roman"/>
          <w:sz w:val="14"/>
          <w:szCs w:val="14"/>
          <w:color w:val="auto"/>
        </w:rPr>
        <w:t>The aggregate proceeds to the selling stockholders from the sale of the common stock offered by them will be the purchase price of the common stock less discounts or commissions, if any. Each of the selling stockholders</w:t>
      </w:r>
    </w:p>
    <w:p>
      <w:pPr>
        <w:spacing w:after="0" w:line="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9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1280" w:right="179"/>
        <w:spacing w:after="0" w:line="272" w:lineRule="auto"/>
        <w:rPr>
          <w:sz w:val="20"/>
          <w:szCs w:val="20"/>
          <w:color w:val="auto"/>
        </w:rPr>
      </w:pPr>
      <w:r>
        <w:rPr>
          <w:rFonts w:ascii="Times New Roman" w:cs="Times New Roman" w:eastAsia="Times New Roman" w:hAnsi="Times New Roman"/>
          <w:sz w:val="14"/>
          <w:szCs w:val="14"/>
          <w:color w:val="auto"/>
        </w:rPr>
        <w:t>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nominal exercise price of the pre-funded warrants.</w:t>
      </w:r>
    </w:p>
    <w:p>
      <w:pPr>
        <w:spacing w:after="0" w:line="137" w:lineRule="exact"/>
        <w:rPr>
          <w:sz w:val="20"/>
          <w:szCs w:val="20"/>
          <w:color w:val="auto"/>
        </w:rPr>
      </w:pPr>
    </w:p>
    <w:p>
      <w:pPr>
        <w:ind w:left="1280" w:right="219" w:firstLine="349"/>
        <w:spacing w:after="0" w:line="272" w:lineRule="auto"/>
        <w:rPr>
          <w:sz w:val="20"/>
          <w:szCs w:val="20"/>
          <w:color w:val="auto"/>
        </w:rPr>
      </w:pPr>
      <w:r>
        <w:rPr>
          <w:rFonts w:ascii="Times New Roman" w:cs="Times New Roman" w:eastAsia="Times New Roman" w:hAnsi="Times New Roman"/>
          <w:sz w:val="14"/>
          <w:szCs w:val="14"/>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37" w:lineRule="exact"/>
        <w:rPr>
          <w:sz w:val="20"/>
          <w:szCs w:val="20"/>
          <w:color w:val="auto"/>
        </w:rPr>
      </w:pPr>
    </w:p>
    <w:p>
      <w:pPr>
        <w:ind w:left="1280" w:right="179" w:firstLine="349"/>
        <w:spacing w:after="0" w:line="263" w:lineRule="auto"/>
        <w:rPr>
          <w:sz w:val="20"/>
          <w:szCs w:val="20"/>
          <w:color w:val="auto"/>
        </w:rPr>
      </w:pPr>
      <w:r>
        <w:rPr>
          <w:rFonts w:ascii="Times New Roman" w:cs="Times New Roman" w:eastAsia="Times New Roman" w:hAnsi="Times New Roman"/>
          <w:sz w:val="14"/>
          <w:szCs w:val="14"/>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44" w:lineRule="exact"/>
        <w:rPr>
          <w:sz w:val="20"/>
          <w:szCs w:val="20"/>
          <w:color w:val="auto"/>
        </w:rPr>
      </w:pPr>
    </w:p>
    <w:p>
      <w:pPr>
        <w:ind w:left="1280" w:right="219" w:firstLine="349"/>
        <w:spacing w:after="0" w:line="270" w:lineRule="auto"/>
        <w:rPr>
          <w:sz w:val="20"/>
          <w:szCs w:val="20"/>
          <w:color w:val="auto"/>
        </w:rPr>
      </w:pPr>
      <w:r>
        <w:rPr>
          <w:rFonts w:ascii="Times New Roman" w:cs="Times New Roman" w:eastAsia="Times New Roman" w:hAnsi="Times New Roman"/>
          <w:sz w:val="14"/>
          <w:szCs w:val="14"/>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312" w:lineRule="exact"/>
        <w:rPr>
          <w:sz w:val="20"/>
          <w:szCs w:val="20"/>
          <w:color w:val="auto"/>
        </w:rPr>
      </w:pPr>
    </w:p>
    <w:p>
      <w:pPr>
        <w:ind w:left="1280" w:right="219" w:firstLine="349"/>
        <w:spacing w:after="0" w:line="272" w:lineRule="auto"/>
        <w:rPr>
          <w:sz w:val="20"/>
          <w:szCs w:val="20"/>
          <w:color w:val="auto"/>
        </w:rPr>
      </w:pPr>
      <w:r>
        <w:rPr>
          <w:rFonts w:ascii="Times New Roman" w:cs="Times New Roman" w:eastAsia="Times New Roman" w:hAnsi="Times New Roman"/>
          <w:sz w:val="14"/>
          <w:szCs w:val="14"/>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37" w:lineRule="exact"/>
        <w:rPr>
          <w:sz w:val="20"/>
          <w:szCs w:val="20"/>
          <w:color w:val="auto"/>
        </w:rPr>
      </w:pPr>
    </w:p>
    <w:p>
      <w:pPr>
        <w:ind w:left="1280" w:right="159" w:firstLine="349"/>
        <w:spacing w:after="0" w:line="263" w:lineRule="auto"/>
        <w:rPr>
          <w:sz w:val="20"/>
          <w:szCs w:val="20"/>
          <w:color w:val="auto"/>
        </w:rPr>
      </w:pPr>
      <w:r>
        <w:rPr>
          <w:rFonts w:ascii="Times New Roman" w:cs="Times New Roman" w:eastAsia="Times New Roman" w:hAnsi="Times New Roman"/>
          <w:sz w:val="14"/>
          <w:szCs w:val="14"/>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44" w:lineRule="exact"/>
        <w:rPr>
          <w:sz w:val="20"/>
          <w:szCs w:val="20"/>
          <w:color w:val="auto"/>
        </w:rPr>
      </w:pPr>
    </w:p>
    <w:p>
      <w:pPr>
        <w:ind w:left="1280" w:right="319" w:firstLine="349"/>
        <w:spacing w:after="0" w:line="272" w:lineRule="auto"/>
        <w:rPr>
          <w:sz w:val="20"/>
          <w:szCs w:val="20"/>
          <w:color w:val="auto"/>
        </w:rPr>
      </w:pPr>
      <w:r>
        <w:rPr>
          <w:rFonts w:ascii="Times New Roman" w:cs="Times New Roman" w:eastAsia="Times New Roman" w:hAnsi="Times New Roman"/>
          <w:sz w:val="14"/>
          <w:szCs w:val="14"/>
          <w:color w:val="auto"/>
        </w:rPr>
        <w:t>We have agreed with the selling stockholders to use commercially reasonable efforts to cause the registration statement of which this prospectus constitutes a part to become effective and to remain continuously effective until such time as the selling stockholder no longer owns any Warrants or Warrant Shares.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9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Certain legal matters, including the validity of the shares of common stock offered by this prospectus, will be passed upon by Cooley LLP.</w:t>
      </w:r>
    </w:p>
    <w:p>
      <w:pPr>
        <w:spacing w:after="0" w:line="35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3" w:lineRule="exact"/>
        <w:rPr>
          <w:sz w:val="20"/>
          <w:szCs w:val="20"/>
          <w:color w:val="auto"/>
        </w:rPr>
      </w:pPr>
    </w:p>
    <w:p>
      <w:pPr>
        <w:ind w:left="1280" w:right="159" w:firstLine="349"/>
        <w:spacing w:after="0" w:line="266" w:lineRule="auto"/>
        <w:rPr>
          <w:sz w:val="20"/>
          <w:szCs w:val="20"/>
          <w:color w:val="auto"/>
        </w:rPr>
      </w:pPr>
      <w:r>
        <w:rPr>
          <w:rFonts w:ascii="Times New Roman" w:cs="Times New Roman" w:eastAsia="Times New Roman" w:hAnsi="Times New Roman"/>
          <w:sz w:val="14"/>
          <w:szCs w:val="14"/>
          <w:color w:val="auto"/>
        </w:rPr>
        <w:t>The consolidated financial statements of Tempest Therapeutics, Inc. appearing in our Annual Report on Form 10-K for the year ended December 31, 2024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83" w:lineRule="exact"/>
        <w:rPr>
          <w:sz w:val="20"/>
          <w:szCs w:val="20"/>
          <w:color w:val="auto"/>
        </w:rPr>
      </w:pPr>
    </w:p>
    <w:p>
      <w:pPr>
        <w:ind w:left="1280" w:right="439" w:firstLine="349"/>
        <w:spacing w:after="0" w:line="262" w:lineRule="auto"/>
        <w:rPr>
          <w:sz w:val="20"/>
          <w:szCs w:val="20"/>
          <w:color w:val="auto"/>
        </w:rPr>
      </w:pPr>
      <w:r>
        <w:rPr>
          <w:rFonts w:ascii="Times New Roman" w:cs="Times New Roman" w:eastAsia="Times New Roman" w:hAnsi="Times New Roman"/>
          <w:sz w:val="14"/>
          <w:szCs w:val="14"/>
          <w:color w:val="auto"/>
        </w:rPr>
        <w:t>This prospectus is part of the registration statement on Form S-1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spacing w:after="0" w:line="143" w:lineRule="exact"/>
        <w:rPr>
          <w:sz w:val="20"/>
          <w:szCs w:val="20"/>
          <w:color w:val="auto"/>
        </w:rPr>
      </w:pPr>
    </w:p>
    <w:p>
      <w:pPr>
        <w:ind w:left="1280" w:right="599" w:firstLine="349"/>
        <w:spacing w:after="0" w:line="290" w:lineRule="auto"/>
        <w:rPr>
          <w:sz w:val="20"/>
          <w:szCs w:val="20"/>
          <w:color w:val="auto"/>
        </w:rPr>
      </w:pPr>
      <w:r>
        <w:rPr>
          <w:rFonts w:ascii="Times New Roman" w:cs="Times New Roman" w:eastAsia="Times New Roman" w:hAnsi="Times New Roman"/>
          <w:sz w:val="14"/>
          <w:szCs w:val="14"/>
          <w:color w:val="auto"/>
        </w:rPr>
        <w:t>We maintain a website at www.tempesttx.com. Information contained in or accessible through our website does not constitute a part of this prospectus.</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9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83" w:lineRule="exact"/>
        <w:rPr>
          <w:sz w:val="20"/>
          <w:szCs w:val="20"/>
          <w:color w:val="auto"/>
        </w:rPr>
      </w:pPr>
    </w:p>
    <w:p>
      <w:pPr>
        <w:ind w:left="1280" w:right="179" w:firstLine="349"/>
        <w:spacing w:after="0" w:line="272" w:lineRule="auto"/>
        <w:rPr>
          <w:sz w:val="20"/>
          <w:szCs w:val="20"/>
          <w:color w:val="auto"/>
        </w:rPr>
      </w:pPr>
      <w:r>
        <w:rPr>
          <w:rFonts w:ascii="Times New Roman" w:cs="Times New Roman" w:eastAsia="Times New Roman" w:hAnsi="Times New Roman"/>
          <w:sz w:val="14"/>
          <w:szCs w:val="14"/>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37" w:lineRule="exact"/>
        <w:rPr>
          <w:sz w:val="20"/>
          <w:szCs w:val="20"/>
          <w:color w:val="auto"/>
        </w:rPr>
      </w:pPr>
    </w:p>
    <w:p>
      <w:pPr>
        <w:ind w:left="1280" w:right="419" w:firstLine="349"/>
        <w:spacing w:after="0" w:line="290" w:lineRule="auto"/>
        <w:rPr>
          <w:sz w:val="20"/>
          <w:szCs w:val="20"/>
          <w:color w:val="auto"/>
        </w:rPr>
      </w:pPr>
      <w:r>
        <w:rPr>
          <w:rFonts w:ascii="Times New Roman" w:cs="Times New Roman" w:eastAsia="Times New Roman" w:hAnsi="Times New Roman"/>
          <w:sz w:val="14"/>
          <w:szCs w:val="14"/>
          <w:color w:val="auto"/>
        </w:rPr>
        <w:t>We incorporate by reference into this prospectus and the registration statement of which this prospectus is a part the information or documents listed below that we have filed with the SEC (File No. 001-35890):</w:t>
      </w:r>
    </w:p>
    <w:p>
      <w:pPr>
        <w:spacing w:after="0" w:line="49" w:lineRule="exact"/>
        <w:rPr>
          <w:sz w:val="20"/>
          <w:szCs w:val="20"/>
          <w:color w:val="auto"/>
        </w:rPr>
      </w:pPr>
    </w:p>
    <w:p>
      <w:pPr>
        <w:ind w:left="2060" w:right="459" w:hanging="350"/>
        <w:spacing w:after="0" w:line="272" w:lineRule="auto"/>
        <w:tabs>
          <w:tab w:leader="none" w:pos="2060" w:val="left"/>
        </w:tabs>
        <w:numPr>
          <w:ilvl w:val="0"/>
          <w:numId w:val="4"/>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Annual Report on Form 10-K for the fiscal year ended December 31, 2024, filed with the SEC on </w:t>
      </w:r>
      <w:hyperlink r:id="rId43">
        <w:r>
          <w:rPr>
            <w:rFonts w:ascii="Times New Roman" w:cs="Times New Roman" w:eastAsia="Times New Roman" w:hAnsi="Times New Roman"/>
            <w:sz w:val="14"/>
            <w:szCs w:val="14"/>
            <w:u w:val="single" w:color="auto"/>
            <w:color w:val="0000EE"/>
          </w:rPr>
          <w:t>March 27, 2025</w:t>
        </w:r>
      </w:hyperlink>
      <w:r>
        <w:rPr>
          <w:rFonts w:ascii="Times New Roman" w:cs="Times New Roman" w:eastAsia="Times New Roman" w:hAnsi="Times New Roman"/>
          <w:sz w:val="14"/>
          <w:szCs w:val="14"/>
          <w:color w:val="auto"/>
        </w:rPr>
        <w:t xml:space="preserve">, as amended by </w:t>
      </w:r>
      <w:hyperlink r:id="rId44">
        <w:r>
          <w:rPr>
            <w:rFonts w:ascii="Times New Roman" w:cs="Times New Roman" w:eastAsia="Times New Roman" w:hAnsi="Times New Roman"/>
            <w:sz w:val="14"/>
            <w:szCs w:val="14"/>
            <w:color w:val="auto"/>
          </w:rPr>
          <w:t xml:space="preserve">Amendment No. 1 to the Annual Report on Form 10-K for the fiscal year ended December 31, 2024, filed with the SEC on </w:t>
        </w:r>
        <w:r>
          <w:rPr>
            <w:rFonts w:ascii="Times New Roman" w:cs="Times New Roman" w:eastAsia="Times New Roman" w:hAnsi="Times New Roman"/>
            <w:sz w:val="14"/>
            <w:szCs w:val="14"/>
            <w:u w:val="single" w:color="auto"/>
            <w:color w:val="0000EE"/>
          </w:rPr>
          <w:t>April 30,</w:t>
        </w:r>
      </w:hyperlink>
      <w:r>
        <w:rPr>
          <w:rFonts w:ascii="Times New Roman" w:cs="Times New Roman" w:eastAsia="Times New Roman" w:hAnsi="Times New Roman"/>
          <w:sz w:val="14"/>
          <w:szCs w:val="14"/>
          <w:color w:val="auto"/>
        </w:rPr>
        <w:t xml:space="preserve"> </w:t>
      </w:r>
      <w:hyperlink r:id="rId44">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w:t>
        </w:r>
      </w:hyperlink>
    </w:p>
    <w:p>
      <w:pPr>
        <w:spacing w:after="0" w:line="61" w:lineRule="exact"/>
        <w:rPr>
          <w:rFonts w:ascii="Times New Roman" w:cs="Times New Roman" w:eastAsia="Times New Roman" w:hAnsi="Times New Roman"/>
          <w:sz w:val="14"/>
          <w:szCs w:val="14"/>
          <w:color w:val="0000EE"/>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quarter ended March 31, 2025 filed with the SEC on </w:t>
      </w:r>
      <w:hyperlink r:id="rId45">
        <w:r>
          <w:rPr>
            <w:rFonts w:ascii="Times New Roman" w:cs="Times New Roman" w:eastAsia="Times New Roman" w:hAnsi="Times New Roman"/>
            <w:sz w:val="14"/>
            <w:szCs w:val="14"/>
            <w:u w:val="single" w:color="auto"/>
            <w:color w:val="0000EE"/>
          </w:rPr>
          <w:t>May 13, 2025</w:t>
        </w:r>
      </w:hyperlink>
      <w:r>
        <w:rPr>
          <w:rFonts w:ascii="Times New Roman" w:cs="Times New Roman" w:eastAsia="Times New Roman" w:hAnsi="Times New Roman"/>
          <w:sz w:val="14"/>
          <w:szCs w:val="14"/>
          <w:color w:val="auto"/>
        </w:rPr>
        <w:t>;</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quarter ended June 30, 2025 filed with the SEC on </w:t>
      </w:r>
      <w:hyperlink r:id="rId46">
        <w:r>
          <w:rPr>
            <w:rFonts w:ascii="Times New Roman" w:cs="Times New Roman" w:eastAsia="Times New Roman" w:hAnsi="Times New Roman"/>
            <w:sz w:val="14"/>
            <w:szCs w:val="14"/>
            <w:u w:val="single" w:color="auto"/>
            <w:color w:val="0000EE"/>
          </w:rPr>
          <w:t>August 11, 2025</w:t>
        </w:r>
      </w:hyperlink>
      <w:r>
        <w:rPr>
          <w:rFonts w:ascii="Times New Roman" w:cs="Times New Roman" w:eastAsia="Times New Roman" w:hAnsi="Times New Roman"/>
          <w:sz w:val="14"/>
          <w:szCs w:val="14"/>
          <w:color w:val="auto"/>
        </w:rPr>
        <w:t>;</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quarter ended September 30, 2025 filed with the SEC on </w:t>
      </w:r>
      <w:hyperlink r:id="rId47">
        <w:r>
          <w:rPr>
            <w:rFonts w:ascii="Times New Roman" w:cs="Times New Roman" w:eastAsia="Times New Roman" w:hAnsi="Times New Roman"/>
            <w:sz w:val="14"/>
            <w:szCs w:val="14"/>
            <w:u w:val="single" w:color="auto"/>
            <w:color w:val="0000EE"/>
          </w:rPr>
          <w:t>November 5, 2025</w:t>
        </w:r>
      </w:hyperlink>
      <w:r>
        <w:rPr>
          <w:rFonts w:ascii="Times New Roman" w:cs="Times New Roman" w:eastAsia="Times New Roman" w:hAnsi="Times New Roman"/>
          <w:sz w:val="14"/>
          <w:szCs w:val="14"/>
          <w:color w:val="auto"/>
        </w:rPr>
        <w:t>;</w:t>
      </w:r>
    </w:p>
    <w:p>
      <w:pPr>
        <w:spacing w:after="0" w:line="106" w:lineRule="exact"/>
        <w:rPr>
          <w:rFonts w:ascii="Times New Roman" w:cs="Times New Roman" w:eastAsia="Times New Roman" w:hAnsi="Times New Roman"/>
          <w:sz w:val="14"/>
          <w:szCs w:val="14"/>
          <w:color w:val="auto"/>
        </w:rPr>
      </w:pPr>
    </w:p>
    <w:p>
      <w:pPr>
        <w:ind w:left="2060" w:right="319" w:hanging="350"/>
        <w:spacing w:after="0" w:line="290" w:lineRule="auto"/>
        <w:tabs>
          <w:tab w:leader="none" w:pos="2060" w:val="left"/>
        </w:tabs>
        <w:numPr>
          <w:ilvl w:val="0"/>
          <w:numId w:val="4"/>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48">
        <w:r>
          <w:rPr>
            <w:rFonts w:ascii="Times New Roman" w:cs="Times New Roman" w:eastAsia="Times New Roman" w:hAnsi="Times New Roman"/>
            <w:sz w:val="14"/>
            <w:szCs w:val="14"/>
            <w:u w:val="single" w:color="auto"/>
            <w:color w:val="0000EE"/>
          </w:rPr>
          <w:t>April 7, 2025</w:t>
        </w:r>
      </w:hyperlink>
      <w:r>
        <w:rPr>
          <w:rFonts w:ascii="Times New Roman" w:cs="Times New Roman" w:eastAsia="Times New Roman" w:hAnsi="Times New Roman"/>
          <w:sz w:val="14"/>
          <w:szCs w:val="14"/>
          <w:color w:val="auto"/>
        </w:rPr>
        <w:t xml:space="preserve">, </w:t>
      </w:r>
      <w:hyperlink r:id="rId49">
        <w:r>
          <w:rPr>
            <w:rFonts w:ascii="Times New Roman" w:cs="Times New Roman" w:eastAsia="Times New Roman" w:hAnsi="Times New Roman"/>
            <w:sz w:val="14"/>
            <w:szCs w:val="14"/>
            <w:u w:val="single" w:color="auto"/>
            <w:color w:val="0000EE"/>
          </w:rPr>
          <w:t>April 9, 2025</w:t>
        </w:r>
      </w:hyperlink>
      <w:r>
        <w:rPr>
          <w:rFonts w:ascii="Times New Roman" w:cs="Times New Roman" w:eastAsia="Times New Roman" w:hAnsi="Times New Roman"/>
          <w:sz w:val="14"/>
          <w:szCs w:val="14"/>
          <w:color w:val="auto"/>
        </w:rPr>
        <w:t xml:space="preserve">, </w:t>
      </w:r>
      <w:hyperlink r:id="rId50">
        <w:r>
          <w:rPr>
            <w:rFonts w:ascii="Times New Roman" w:cs="Times New Roman" w:eastAsia="Times New Roman" w:hAnsi="Times New Roman"/>
            <w:sz w:val="14"/>
            <w:szCs w:val="14"/>
            <w:u w:val="single" w:color="auto"/>
            <w:color w:val="0000EE"/>
          </w:rPr>
          <w:t>April 18, 2025</w:t>
        </w:r>
      </w:hyperlink>
      <w:r>
        <w:rPr>
          <w:rFonts w:ascii="Times New Roman" w:cs="Times New Roman" w:eastAsia="Times New Roman" w:hAnsi="Times New Roman"/>
          <w:sz w:val="14"/>
          <w:szCs w:val="14"/>
          <w:color w:val="auto"/>
        </w:rPr>
        <w:t xml:space="preserve">, </w:t>
      </w:r>
      <w:hyperlink r:id="rId51">
        <w:r>
          <w:rPr>
            <w:rFonts w:ascii="Times New Roman" w:cs="Times New Roman" w:eastAsia="Times New Roman" w:hAnsi="Times New Roman"/>
            <w:sz w:val="14"/>
            <w:szCs w:val="14"/>
            <w:u w:val="single" w:color="auto"/>
            <w:color w:val="0000EE"/>
          </w:rPr>
          <w:t>April 28, 2025</w:t>
        </w:r>
      </w:hyperlink>
      <w:r>
        <w:rPr>
          <w:rFonts w:ascii="Times New Roman" w:cs="Times New Roman" w:eastAsia="Times New Roman" w:hAnsi="Times New Roman"/>
          <w:sz w:val="14"/>
          <w:szCs w:val="14"/>
          <w:color w:val="auto"/>
        </w:rPr>
        <w:t xml:space="preserve">, </w:t>
      </w:r>
      <w:hyperlink r:id="rId52">
        <w:r>
          <w:rPr>
            <w:rFonts w:ascii="Times New Roman" w:cs="Times New Roman" w:eastAsia="Times New Roman" w:hAnsi="Times New Roman"/>
            <w:sz w:val="14"/>
            <w:szCs w:val="14"/>
            <w:u w:val="single" w:color="auto"/>
            <w:color w:val="0000EE"/>
          </w:rPr>
          <w:t>June 6, 2025</w:t>
        </w:r>
      </w:hyperlink>
      <w:r>
        <w:rPr>
          <w:rFonts w:ascii="Times New Roman" w:cs="Times New Roman" w:eastAsia="Times New Roman" w:hAnsi="Times New Roman"/>
          <w:sz w:val="14"/>
          <w:szCs w:val="14"/>
          <w:color w:val="auto"/>
        </w:rPr>
        <w:t xml:space="preserve">, </w:t>
      </w:r>
      <w:hyperlink r:id="rId53">
        <w:r>
          <w:rPr>
            <w:rFonts w:ascii="Times New Roman" w:cs="Times New Roman" w:eastAsia="Times New Roman" w:hAnsi="Times New Roman"/>
            <w:sz w:val="14"/>
            <w:szCs w:val="14"/>
            <w:u w:val="single" w:color="auto"/>
            <w:color w:val="0000EE"/>
          </w:rPr>
          <w:t>June 11,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54">
        <w:r>
          <w:rPr>
            <w:rFonts w:ascii="Times New Roman" w:cs="Times New Roman" w:eastAsia="Times New Roman" w:hAnsi="Times New Roman"/>
            <w:sz w:val="14"/>
            <w:szCs w:val="14"/>
            <w:u w:val="single" w:color="auto"/>
            <w:color w:val="0000EE"/>
          </w:rPr>
          <w:t xml:space="preserve">November 19, 2025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55">
        <w:r>
          <w:rPr>
            <w:rFonts w:ascii="Times New Roman" w:cs="Times New Roman" w:eastAsia="Times New Roman" w:hAnsi="Times New Roman"/>
            <w:sz w:val="14"/>
            <w:szCs w:val="14"/>
            <w:u w:val="single" w:color="auto"/>
            <w:color w:val="0000EE"/>
          </w:rPr>
          <w:t>November 26,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to the extent the information in such reports is filed and not furnished; and</w:t>
      </w:r>
    </w:p>
    <w:p>
      <w:pPr>
        <w:spacing w:after="0" w:line="49" w:lineRule="exact"/>
        <w:rPr>
          <w:rFonts w:ascii="Times New Roman" w:cs="Times New Roman" w:eastAsia="Times New Roman" w:hAnsi="Times New Roman"/>
          <w:sz w:val="14"/>
          <w:szCs w:val="14"/>
          <w:color w:val="0000EE"/>
        </w:rPr>
      </w:pPr>
    </w:p>
    <w:p>
      <w:pPr>
        <w:ind w:left="2060" w:right="379" w:hanging="350"/>
        <w:spacing w:after="0" w:line="272"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set forth in our registration statement on </w:t>
      </w:r>
      <w:hyperlink r:id="rId56">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001-35890), filed with the SEC on April 25, 2013, including any amendments thereto or reports filed for the purposes of updating this description, including Exhibit 4.1 to our Annual Report on Form 10-K for the fiscal year ended December 31, 2024 filed with the SEC on </w:t>
      </w:r>
      <w:hyperlink r:id="rId57">
        <w:r>
          <w:rPr>
            <w:rFonts w:ascii="Times New Roman" w:cs="Times New Roman" w:eastAsia="Times New Roman" w:hAnsi="Times New Roman"/>
            <w:sz w:val="14"/>
            <w:szCs w:val="14"/>
            <w:u w:val="single" w:color="auto"/>
            <w:color w:val="0000EE"/>
          </w:rPr>
          <w:t>March 27, 2025</w:t>
        </w:r>
      </w:hyperlink>
      <w:r>
        <w:rPr>
          <w:rFonts w:ascii="Times New Roman" w:cs="Times New Roman" w:eastAsia="Times New Roman" w:hAnsi="Times New Roman"/>
          <w:sz w:val="14"/>
          <w:szCs w:val="14"/>
          <w:color w:val="auto"/>
        </w:rPr>
        <w:t>.</w:t>
      </w:r>
    </w:p>
    <w:p>
      <w:pPr>
        <w:spacing w:after="0" w:line="137" w:lineRule="exact"/>
        <w:rPr>
          <w:rFonts w:ascii="Times New Roman" w:cs="Times New Roman" w:eastAsia="Times New Roman" w:hAnsi="Times New Roman"/>
          <w:sz w:val="14"/>
          <w:szCs w:val="14"/>
          <w:color w:val="auto"/>
        </w:rPr>
      </w:pPr>
    </w:p>
    <w:p>
      <w:pPr>
        <w:ind w:left="1280" w:right="259" w:firstLine="349"/>
        <w:spacing w:after="0" w:line="290" w:lineRule="auto"/>
        <w:rPr>
          <w:sz w:val="20"/>
          <w:szCs w:val="20"/>
          <w:color w:val="auto"/>
        </w:rPr>
      </w:pPr>
      <w:r>
        <w:rPr>
          <w:rFonts w:ascii="Times New Roman" w:cs="Times New Roman" w:eastAsia="Times New Roman" w:hAnsi="Times New Roman"/>
          <w:sz w:val="14"/>
          <w:szCs w:val="14"/>
          <w:color w:val="auto"/>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spacing w:after="0" w:line="124" w:lineRule="exact"/>
        <w:rPr>
          <w:rFonts w:ascii="Times New Roman" w:cs="Times New Roman" w:eastAsia="Times New Roman" w:hAnsi="Times New Roman"/>
          <w:sz w:val="14"/>
          <w:szCs w:val="14"/>
          <w:color w:val="auto"/>
        </w:rPr>
      </w:pPr>
    </w:p>
    <w:p>
      <w:pPr>
        <w:ind w:left="1280" w:right="219" w:firstLine="349"/>
        <w:spacing w:after="0" w:line="272" w:lineRule="auto"/>
        <w:rPr>
          <w:sz w:val="20"/>
          <w:szCs w:val="20"/>
          <w:color w:val="auto"/>
        </w:rPr>
      </w:pPr>
      <w:r>
        <w:rPr>
          <w:rFonts w:ascii="Times New Roman" w:cs="Times New Roman" w:eastAsia="Times New Roman" w:hAnsi="Times New Roman"/>
          <w:sz w:val="14"/>
          <w:szCs w:val="14"/>
          <w:color w:val="auto"/>
        </w:rPr>
        <w:t>We will furnish without charge to each person, including any beneficial owner, to whom this prospectus is delivered, upon written or oral request, a copy of any document incorporated by reference. Requests should be addressed to Tempest Therapeutics, Inc., Attn: Investor Relations, 2000 Sierra Point Parkway, Suite 400, Brisbane, California 94005; telephone: (415) 798-8589.</w:t>
      </w:r>
    </w:p>
    <w:p>
      <w:pPr>
        <w:spacing w:after="0" w:line="137" w:lineRule="exact"/>
        <w:rPr>
          <w:rFonts w:ascii="Times New Roman" w:cs="Times New Roman" w:eastAsia="Times New Roman" w:hAnsi="Times New Roman"/>
          <w:sz w:val="14"/>
          <w:szCs w:val="14"/>
          <w:color w:val="auto"/>
        </w:rPr>
      </w:pPr>
    </w:p>
    <w:p>
      <w:pPr>
        <w:ind w:left="1280" w:right="459" w:firstLine="349"/>
        <w:spacing w:after="0" w:line="272" w:lineRule="auto"/>
        <w:rPr>
          <w:sz w:val="20"/>
          <w:szCs w:val="20"/>
          <w:color w:val="auto"/>
        </w:rPr>
      </w:pPr>
      <w:r>
        <w:rPr>
          <w:rFonts w:ascii="Times New Roman" w:cs="Times New Roman" w:eastAsia="Times New Roman" w:hAnsi="Times New Roman"/>
          <w:sz w:val="14"/>
          <w:szCs w:val="14"/>
          <w:color w:val="auto"/>
        </w:rPr>
        <w:t>You also may access these filings on our website at www.tempesttx.com. We do not incorporate the information on our website into this prospectus and you should not consider any information on, or that can be accessed through, our website as part of this prospectus (other than those filings with the SEC that we specifically incorporate by reference into this prospectus).</w:t>
      </w:r>
    </w:p>
    <w:p>
      <w:pPr>
        <w:spacing w:after="0" w:line="137" w:lineRule="exact"/>
        <w:rPr>
          <w:rFonts w:ascii="Times New Roman" w:cs="Times New Roman" w:eastAsia="Times New Roman" w:hAnsi="Times New Roman"/>
          <w:sz w:val="14"/>
          <w:szCs w:val="14"/>
          <w:color w:val="auto"/>
        </w:rPr>
      </w:pPr>
    </w:p>
    <w:p>
      <w:pPr>
        <w:jc w:val="both"/>
        <w:ind w:left="1280" w:right="479" w:firstLine="349"/>
        <w:spacing w:after="0" w:line="272" w:lineRule="auto"/>
        <w:rPr>
          <w:sz w:val="20"/>
          <w:szCs w:val="20"/>
          <w:color w:val="auto"/>
        </w:rPr>
      </w:pPr>
      <w:r>
        <w:rPr>
          <w:rFonts w:ascii="Times New Roman" w:cs="Times New Roman" w:eastAsia="Times New Roman" w:hAnsi="Times New Roman"/>
          <w:sz w:val="14"/>
          <w:szCs w:val="14"/>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372"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9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THE PROSPECTUS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98"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The following table sets forth an estimate of the fees and expenses payable by us in connection with the sale of the securities being registered.</w:t>
      </w:r>
    </w:p>
    <w:p>
      <w:pPr>
        <w:sectPr>
          <w:pgSz w:w="11900" w:h="16838" w:orient="portrait"/>
          <w:cols w:equalWidth="0" w:num="1">
            <w:col w:w="10159"/>
          </w:cols>
          <w:pgMar w:left="300" w:top="390" w:right="1440" w:bottom="1440" w:gutter="0" w:footer="0" w:header="0"/>
        </w:sectPr>
      </w:pPr>
    </w:p>
    <w:p>
      <w:pPr>
        <w:spacing w:after="0" w:line="3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SEC registration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-92075</wp:posOffset>
            </wp:positionV>
            <wp:extent cx="3760470" cy="1155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3760470" cy="115570"/>
                    </a:xfrm>
                    <a:prstGeom prst="rect">
                      <a:avLst/>
                    </a:prstGeom>
                    <a:noFill/>
                  </pic:spPr>
                </pic:pic>
              </a:graphicData>
            </a:graphic>
          </wp:anchor>
        </w:drawing>
      </w:r>
    </w:p>
    <w:p>
      <w:pPr>
        <w:spacing w:after="0" w:line="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-100965</wp:posOffset>
            </wp:positionV>
            <wp:extent cx="3760470" cy="1085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3760470" cy="108585"/>
                    </a:xfrm>
                    <a:prstGeom prst="rect">
                      <a:avLst/>
                    </a:prstGeom>
                    <a:noFill/>
                  </pic:spPr>
                </pic:pic>
              </a:graphicData>
            </a:graphic>
          </wp:anchor>
        </w:drawing>
      </w:r>
    </w:p>
    <w:p>
      <w:pPr>
        <w:ind w:left="2680"/>
        <w:spacing w:after="0"/>
        <w:rPr>
          <w:sz w:val="20"/>
          <w:szCs w:val="20"/>
          <w:color w:val="auto"/>
        </w:rPr>
      </w:pPr>
      <w:r>
        <w:rPr>
          <w:rFonts w:ascii="Times New Roman" w:cs="Times New Roman" w:eastAsia="Times New Roman" w:hAnsi="Times New Roman"/>
          <w:sz w:val="14"/>
          <w:szCs w:val="14"/>
          <w:color w:val="auto"/>
        </w:rPr>
        <w:t>Miscellaneous fees and expenses</w:t>
      </w:r>
    </w:p>
    <w:p>
      <w:pPr>
        <w:spacing w:after="0" w:line="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-92075</wp:posOffset>
            </wp:positionV>
            <wp:extent cx="3760470" cy="1085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3760470" cy="108585"/>
                    </a:xfrm>
                    <a:prstGeom prst="rect">
                      <a:avLst/>
                    </a:prstGeom>
                    <a:noFill/>
                  </pic:spPr>
                </pic:pic>
              </a:graphicData>
            </a:graphic>
          </wp:anchor>
        </w:drawing>
      </w:r>
    </w:p>
    <w:p>
      <w:pPr>
        <w:spacing w:after="0" w:line="2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p>
      <w:pPr>
        <w:spacing w:after="0" w:line="22" w:lineRule="exact"/>
        <w:rPr>
          <w:sz w:val="20"/>
          <w:szCs w:val="20"/>
          <w:color w:val="auto"/>
        </w:rPr>
      </w:pPr>
    </w:p>
    <w:p>
      <w:pPr>
        <w:ind w:left="280" w:hanging="280"/>
        <w:spacing w:after="0"/>
        <w:tabs>
          <w:tab w:leader="none" w:pos="2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497</w:t>
      </w:r>
    </w:p>
    <w:p>
      <w:pPr>
        <w:spacing w:after="0" w:line="7" w:lineRule="exact"/>
        <w:rPr>
          <w:rFonts w:ascii="Times New Roman" w:cs="Times New Roman" w:eastAsia="Times New Roman" w:hAnsi="Times New Roman"/>
          <w:sz w:val="14"/>
          <w:szCs w:val="14"/>
          <w:color w:val="auto"/>
        </w:rPr>
      </w:pPr>
    </w:p>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w:t>
      </w:r>
    </w:p>
    <w:p>
      <w:pPr>
        <w:spacing w:after="0" w:line="10" w:lineRule="exact"/>
        <w:rPr>
          <w:rFonts w:ascii="Times New Roman" w:cs="Times New Roman" w:eastAsia="Times New Roman" w:hAnsi="Times New Roman"/>
          <w:sz w:val="14"/>
          <w:szCs w:val="14"/>
          <w:color w:val="auto"/>
        </w:rPr>
      </w:pPr>
    </w:p>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30,000</w:t>
      </w:r>
    </w:p>
    <w:p>
      <w:pPr>
        <w:spacing w:after="0" w:line="10" w:lineRule="exact"/>
        <w:rPr>
          <w:rFonts w:ascii="Times New Roman" w:cs="Times New Roman" w:eastAsia="Times New Roman" w:hAnsi="Times New Roman"/>
          <w:sz w:val="14"/>
          <w:szCs w:val="14"/>
          <w:color w:val="auto"/>
        </w:rPr>
      </w:pPr>
    </w:p>
    <w:p>
      <w:pPr>
        <w:ind w:left="1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31242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31242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u w:val="single" w:color="auto"/>
          <w:color w:val="auto"/>
        </w:rPr>
        <w:t>$ 85,000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31242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312420" cy="6985"/>
                    </a:xfrm>
                    <a:prstGeom prst="rect">
                      <a:avLst/>
                    </a:prstGeom>
                    <a:noFill/>
                  </pic:spPr>
                </pic:pic>
              </a:graphicData>
            </a:graphic>
          </wp:anchor>
        </w:drawing>
      </w:r>
    </w:p>
    <w:p>
      <w:pPr>
        <w:spacing w:after="0" w:line="566" w:lineRule="exact"/>
        <w:rPr>
          <w:sz w:val="20"/>
          <w:szCs w:val="20"/>
          <w:color w:val="auto"/>
        </w:rPr>
      </w:pPr>
    </w:p>
    <w:p>
      <w:pPr>
        <w:sectPr>
          <w:pgSz w:w="11900" w:h="16838" w:orient="portrait"/>
          <w:cols w:equalWidth="0" w:num="2">
            <w:col w:w="7340" w:space="720"/>
            <w:col w:w="2099"/>
          </w:cols>
          <w:pgMar w:left="300" w:top="390" w:right="1440" w:bottom="1440" w:gutter="0" w:footer="0" w:header="0"/>
          <w:type w:val="continuous"/>
        </w:sectPr>
      </w:pPr>
    </w:p>
    <w:p>
      <w:pPr>
        <w:ind w:left="1280" w:right="239" w:firstLine="349"/>
        <w:spacing w:after="0" w:line="272" w:lineRule="auto"/>
        <w:rPr>
          <w:sz w:val="20"/>
          <w:szCs w:val="20"/>
          <w:color w:val="auto"/>
        </w:rPr>
      </w:pPr>
      <w:r>
        <w:rPr>
          <w:rFonts w:ascii="Times New Roman" w:cs="Times New Roman" w:eastAsia="Times New Roman" w:hAnsi="Times New Roman"/>
          <w:sz w:val="14"/>
          <w:szCs w:val="14"/>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or the Securities Act.</w:t>
      </w:r>
    </w:p>
    <w:p>
      <w:pPr>
        <w:spacing w:after="0" w:line="137" w:lineRule="exact"/>
        <w:rPr>
          <w:sz w:val="20"/>
          <w:szCs w:val="20"/>
          <w:color w:val="auto"/>
        </w:rPr>
      </w:pPr>
    </w:p>
    <w:p>
      <w:pPr>
        <w:ind w:left="1280" w:right="379" w:firstLine="349"/>
        <w:spacing w:after="0" w:line="290"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for indemnification of our directors, officers, employees and other agents to the maximum extent permitted by the Delaware General Corporation Law.</w:t>
      </w:r>
    </w:p>
    <w:p>
      <w:pPr>
        <w:spacing w:after="0" w:line="124" w:lineRule="exact"/>
        <w:rPr>
          <w:sz w:val="20"/>
          <w:szCs w:val="20"/>
          <w:color w:val="auto"/>
        </w:rPr>
      </w:pPr>
    </w:p>
    <w:p>
      <w:pPr>
        <w:ind w:left="1280" w:right="199" w:firstLine="349"/>
        <w:spacing w:after="0" w:line="263"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spacing w:after="0" w:line="2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98" w:lineRule="exact"/>
        <w:rPr>
          <w:sz w:val="20"/>
          <w:szCs w:val="20"/>
          <w:color w:val="auto"/>
        </w:rPr>
      </w:pPr>
    </w:p>
    <w:p>
      <w:pPr>
        <w:ind w:left="1280" w:right="199" w:firstLine="349"/>
        <w:spacing w:after="0" w:line="260" w:lineRule="auto"/>
        <w:rPr>
          <w:sz w:val="20"/>
          <w:szCs w:val="20"/>
          <w:color w:val="auto"/>
        </w:rPr>
      </w:pPr>
      <w:r>
        <w:rPr>
          <w:rFonts w:ascii="Times New Roman" w:cs="Times New Roman" w:eastAsia="Times New Roman" w:hAnsi="Times New Roman"/>
          <w:sz w:val="14"/>
          <w:szCs w:val="14"/>
          <w:color w:val="auto"/>
        </w:rPr>
        <w:t>On November 24, 2025, we entered into the Purchase Agreement with the selling stockholder named herein, pursuant to which we agreed to issue and sell (i) in a registered direct offering an aggregate of 487,000 shares of our common stock, and prefunded warrants to purchase 685,414 shares of our common stock, pursuant to an effective shelf registration statement on Form S-3 (File No. 333-280918) and a related prospectus and prospectus supplement thereunder, and (ii) in a concurrent private placement, Warrants to purchase an aggregate of 1,172,414 shares of our common stock. The combined purchase price of each share of common stock and accompanying Warrant was $3.625. The combined purchase price of each prefunded warrant and accompanying Warrant was $3.624 (equal to the combined purchase price per Share and accompanying Warrant, minus $0.001). The Warrants have an exercise price of $3.50 per share and are exercisable immediately upon issuance for an eighteen month period following the date of effectiveness of this registration statement.</w:t>
      </w:r>
    </w:p>
    <w:p>
      <w:pPr>
        <w:spacing w:after="0" w:line="144" w:lineRule="exact"/>
        <w:rPr>
          <w:sz w:val="20"/>
          <w:szCs w:val="20"/>
          <w:color w:val="auto"/>
        </w:rPr>
      </w:pPr>
    </w:p>
    <w:p>
      <w:pPr>
        <w:ind w:left="1280" w:right="219" w:firstLine="349"/>
        <w:spacing w:after="0" w:line="262" w:lineRule="auto"/>
        <w:rPr>
          <w:sz w:val="20"/>
          <w:szCs w:val="20"/>
          <w:color w:val="auto"/>
        </w:rPr>
      </w:pPr>
      <w:r>
        <w:rPr>
          <w:rFonts w:ascii="Times New Roman" w:cs="Times New Roman" w:eastAsia="Times New Roman" w:hAnsi="Times New Roman"/>
          <w:sz w:val="14"/>
          <w:szCs w:val="14"/>
          <w:color w:val="auto"/>
        </w:rPr>
        <w:t>For additional information regarding the Purchase Agreement, refer to the summary included under Item 8.01 of our Current Report on Form 8-K filed with the SEC on November 26, 2025, which is incorporated by reference herein. H.C. Wainwright &amp; Co., LLC acted as sole placement agent for this private placement. The Warrants described in this paragraph were not registered under the Securities Act at the time of issuance, and are the subject of this registration statement. The registrant relied on the exemption from the registration requirements of the Securities Act by virtue of Section 4(a)(2) thereof. The selling stockholder represented that it was acquiring the securities for investment only and not with a view towards, or for resale in connection with, the public sale or distribution thereof, and appropriate legends were affixed to the securities.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90"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200" w:lineRule="exact"/>
        <w:rPr>
          <w:sz w:val="20"/>
          <w:szCs w:val="20"/>
          <w:color w:val="auto"/>
        </w:rPr>
      </w:pPr>
    </w:p>
    <w:p>
      <w:pPr>
        <w:spacing w:after="0" w:line="226" w:lineRule="exact"/>
        <w:rPr>
          <w:sz w:val="20"/>
          <w:szCs w:val="20"/>
          <w:color w:val="auto"/>
        </w:rPr>
      </w:pPr>
    </w:p>
    <w:tbl>
      <w:tblPr>
        <w:tblLayout w:type="fixed"/>
        <w:tblInd w:w="1280" w:type="dxa"/>
        <w:tblCellMar>
          <w:top w:w="0" w:type="dxa"/>
          <w:left w:w="0" w:type="dxa"/>
          <w:bottom w:w="0" w:type="dxa"/>
          <w:right w:w="0" w:type="dxa"/>
        </w:tblCellMar>
      </w:tblPr>
      <w:tr>
        <w:trPr>
          <w:trHeight w:val="126"/>
        </w:trPr>
        <w:tc>
          <w:tcPr>
            <w:tcW w:w="1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00" w:type="dxa"/>
            <w:vAlign w:val="bottom"/>
            <w:vMerge w:val="restart"/>
          </w:tcPr>
          <w:p>
            <w:pPr>
              <w:ind w:left="92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0" w:type="dxa"/>
            <w:vAlign w:val="bottom"/>
          </w:tcPr>
          <w:p>
            <w:pPr>
              <w:spacing w:after="0"/>
              <w:rPr>
                <w:sz w:val="1"/>
                <w:szCs w:val="1"/>
                <w:color w:val="auto"/>
              </w:rPr>
            </w:pPr>
          </w:p>
        </w:tc>
      </w:tr>
      <w:tr>
        <w:trPr>
          <w:trHeight w:val="150"/>
        </w:trPr>
        <w:tc>
          <w:tcPr>
            <w:tcW w:w="1320" w:type="dxa"/>
            <w:vAlign w:val="bottom"/>
          </w:tcPr>
          <w:p>
            <w:pPr>
              <w:spacing w:after="0"/>
              <w:rPr>
                <w:sz w:val="20"/>
                <w:szCs w:val="20"/>
                <w:color w:val="auto"/>
              </w:rPr>
            </w:pPr>
            <w:r>
              <w:rPr>
                <w:rFonts w:ascii="Times New Roman" w:cs="Times New Roman" w:eastAsia="Times New Roman" w:hAnsi="Times New Roman"/>
                <w:sz w:val="11"/>
                <w:szCs w:val="11"/>
                <w:b w:val="1"/>
                <w:bCs w:val="1"/>
                <w:u w:val="single" w:color="auto"/>
                <w:color w:val="auto"/>
              </w:rPr>
              <w:t>Number</w:t>
            </w:r>
          </w:p>
        </w:tc>
        <w:tc>
          <w:tcPr>
            <w:tcW w:w="2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-635</wp:posOffset>
            </wp:positionV>
            <wp:extent cx="265366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2653665" cy="6985"/>
                    </a:xfrm>
                    <a:prstGeom prst="rect">
                      <a:avLst/>
                    </a:prstGeom>
                    <a:noFill/>
                  </pic:spPr>
                </pic:pic>
              </a:graphicData>
            </a:graphic>
          </wp:anchor>
        </w:drawing>
      </w:r>
    </w:p>
    <w:p>
      <w:pPr>
        <w:spacing w:after="0" w:line="49" w:lineRule="exact"/>
        <w:rPr>
          <w:sz w:val="20"/>
          <w:szCs w:val="20"/>
          <w:color w:val="auto"/>
        </w:rPr>
      </w:pPr>
    </w:p>
    <w:p>
      <w:pPr>
        <w:ind w:left="1980" w:right="240" w:hanging="697"/>
        <w:spacing w:after="0" w:line="272" w:lineRule="auto"/>
        <w:tabs>
          <w:tab w:leader="none" w:pos="1356" w:val="left"/>
        </w:tabs>
        <w:numPr>
          <w:ilvl w:val="0"/>
          <w:numId w:val="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2.1*</w:t>
      </w:r>
      <w:hyperlink r:id="rId66">
        <w:r>
          <w:rPr>
            <w:rFonts w:ascii="Times New Roman" w:cs="Times New Roman" w:eastAsia="Times New Roman" w:hAnsi="Times New Roman"/>
            <w:sz w:val="14"/>
            <w:szCs w:val="14"/>
            <w:u w:val="single" w:color="auto"/>
            <w:color w:val="0000EE"/>
          </w:rPr>
          <w:t>Agreement and Plan of Merger, dated as of March 29, 2021, by and</w:t>
        </w:r>
      </w:hyperlink>
      <w:r>
        <w:rPr>
          <w:rFonts w:ascii="Times New Roman" w:cs="Times New Roman" w:eastAsia="Times New Roman" w:hAnsi="Times New Roman"/>
          <w:sz w:val="14"/>
          <w:szCs w:val="14"/>
          <w:u w:val="single" w:color="auto"/>
          <w:color w:val="0000EE"/>
        </w:rPr>
        <w:t xml:space="preserve"> </w:t>
      </w:r>
      <w:hyperlink r:id="rId66">
        <w:r>
          <w:rPr>
            <w:rFonts w:ascii="Times New Roman" w:cs="Times New Roman" w:eastAsia="Times New Roman" w:hAnsi="Times New Roman"/>
            <w:sz w:val="14"/>
            <w:szCs w:val="14"/>
            <w:u w:val="single" w:color="auto"/>
            <w:color w:val="0000EE"/>
          </w:rPr>
          <w:t>among Tempest Therapeutics, Inc., Mars Merger Corp. and Tempest</w:t>
        </w:r>
      </w:hyperlink>
      <w:r>
        <w:rPr>
          <w:rFonts w:ascii="Times New Roman" w:cs="Times New Roman" w:eastAsia="Times New Roman" w:hAnsi="Times New Roman"/>
          <w:sz w:val="14"/>
          <w:szCs w:val="14"/>
          <w:u w:val="single" w:color="auto"/>
          <w:color w:val="0000EE"/>
        </w:rPr>
        <w:t xml:space="preserve"> </w:t>
      </w:r>
      <w:hyperlink r:id="rId66">
        <w:r>
          <w:rPr>
            <w:rFonts w:ascii="Times New Roman" w:cs="Times New Roman" w:eastAsia="Times New Roman" w:hAnsi="Times New Roman"/>
            <w:sz w:val="14"/>
            <w:szCs w:val="14"/>
            <w:u w:val="single" w:color="auto"/>
            <w:color w:val="0000EE"/>
          </w:rPr>
          <w:t>Therapeutics, Inc.</w:t>
        </w:r>
      </w:hyperlink>
    </w:p>
    <w:p>
      <w:pPr>
        <w:spacing w:after="0" w:line="51" w:lineRule="exact"/>
        <w:rPr>
          <w:rFonts w:ascii="Times New Roman" w:cs="Times New Roman" w:eastAsia="Times New Roman" w:hAnsi="Times New Roman"/>
          <w:sz w:val="14"/>
          <w:szCs w:val="14"/>
          <w:u w:val="single" w:color="auto"/>
          <w:color w:val="0000EE"/>
        </w:rPr>
      </w:pPr>
    </w:p>
    <w:p>
      <w:pPr>
        <w:ind w:left="1360" w:hanging="77"/>
        <w:spacing w:after="0"/>
        <w:tabs>
          <w:tab w:leader="none" w:pos="1360" w:val="left"/>
        </w:tabs>
        <w:numPr>
          <w:ilvl w:val="0"/>
          <w:numId w:val="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3.1</w:t>
      </w:r>
      <w:hyperlink r:id="rId67">
        <w:r>
          <w:rPr>
            <w:rFonts w:ascii="Times New Roman" w:cs="Times New Roman" w:eastAsia="Times New Roman" w:hAnsi="Times New Roman"/>
            <w:sz w:val="14"/>
            <w:szCs w:val="14"/>
            <w:u w:val="single" w:color="auto"/>
            <w:color w:val="0000EE"/>
          </w:rPr>
          <w:t>Restated Certificate of Incorporation of the Registrant, as amended</w:t>
        </w:r>
      </w:hyperlink>
    </w:p>
    <w:p>
      <w:pPr>
        <w:spacing w:after="0" w:line="95" w:lineRule="exact"/>
        <w:rPr>
          <w:rFonts w:ascii="Times New Roman" w:cs="Times New Roman" w:eastAsia="Times New Roman" w:hAnsi="Times New Roman"/>
          <w:sz w:val="14"/>
          <w:szCs w:val="14"/>
          <w:u w:val="single" w:color="auto"/>
          <w:color w:val="0000EE"/>
        </w:rPr>
      </w:pPr>
    </w:p>
    <w:p>
      <w:pPr>
        <w:ind w:left="1980" w:hanging="697"/>
        <w:spacing w:after="0" w:line="272" w:lineRule="auto"/>
        <w:tabs>
          <w:tab w:leader="none" w:pos="1356" w:val="left"/>
        </w:tabs>
        <w:numPr>
          <w:ilvl w:val="0"/>
          <w:numId w:val="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3.2</w:t>
      </w:r>
      <w:hyperlink r:id="rId68">
        <w:r>
          <w:rPr>
            <w:rFonts w:ascii="Times New Roman" w:cs="Times New Roman" w:eastAsia="Times New Roman" w:hAnsi="Times New Roman"/>
            <w:sz w:val="14"/>
            <w:szCs w:val="14"/>
            <w:u w:val="single" w:color="auto"/>
            <w:color w:val="0000EE"/>
          </w:rPr>
          <w:t>Certificate of Amendment to the Restated Certificate of Incorporation of</w:t>
        </w:r>
      </w:hyperlink>
      <w:r>
        <w:rPr>
          <w:rFonts w:ascii="Times New Roman" w:cs="Times New Roman" w:eastAsia="Times New Roman" w:hAnsi="Times New Roman"/>
          <w:sz w:val="14"/>
          <w:szCs w:val="14"/>
          <w:u w:val="single" w:color="auto"/>
          <w:color w:val="0000EE"/>
        </w:rPr>
        <w:t xml:space="preserve"> </w:t>
      </w:r>
      <w:hyperlink r:id="rId68">
        <w:r>
          <w:rPr>
            <w:rFonts w:ascii="Times New Roman" w:cs="Times New Roman" w:eastAsia="Times New Roman" w:hAnsi="Times New Roman"/>
            <w:sz w:val="14"/>
            <w:szCs w:val="14"/>
            <w:u w:val="single" w:color="auto"/>
            <w:color w:val="0000EE"/>
          </w:rPr>
          <w:t>the Company, as filed with the Secretary of State of the State of</w:t>
        </w:r>
      </w:hyperlink>
      <w:r>
        <w:rPr>
          <w:rFonts w:ascii="Times New Roman" w:cs="Times New Roman" w:eastAsia="Times New Roman" w:hAnsi="Times New Roman"/>
          <w:sz w:val="14"/>
          <w:szCs w:val="14"/>
          <w:u w:val="single" w:color="auto"/>
          <w:color w:val="0000EE"/>
        </w:rPr>
        <w:t xml:space="preserve"> </w:t>
      </w:r>
      <w:hyperlink r:id="rId68">
        <w:r>
          <w:rPr>
            <w:rFonts w:ascii="Times New Roman" w:cs="Times New Roman" w:eastAsia="Times New Roman" w:hAnsi="Times New Roman"/>
            <w:sz w:val="14"/>
            <w:szCs w:val="14"/>
            <w:u w:val="single" w:color="auto"/>
            <w:color w:val="0000EE"/>
          </w:rPr>
          <w:t>Delaware on June 24, 2021</w:t>
        </w:r>
      </w:hyperlink>
    </w:p>
    <w:p>
      <w:pPr>
        <w:spacing w:after="0" w:line="51" w:lineRule="exact"/>
        <w:rPr>
          <w:rFonts w:ascii="Times New Roman" w:cs="Times New Roman" w:eastAsia="Times New Roman" w:hAnsi="Times New Roman"/>
          <w:sz w:val="14"/>
          <w:szCs w:val="14"/>
          <w:u w:val="single" w:color="auto"/>
          <w:color w:val="0000EE"/>
        </w:rPr>
      </w:pPr>
    </w:p>
    <w:p>
      <w:pPr>
        <w:ind w:left="1980" w:hanging="697"/>
        <w:spacing w:after="0" w:line="272" w:lineRule="auto"/>
        <w:tabs>
          <w:tab w:leader="none" w:pos="1356" w:val="left"/>
        </w:tabs>
        <w:numPr>
          <w:ilvl w:val="0"/>
          <w:numId w:val="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3.3</w:t>
      </w:r>
      <w:hyperlink r:id="rId69">
        <w:r>
          <w:rPr>
            <w:rFonts w:ascii="Times New Roman" w:cs="Times New Roman" w:eastAsia="Times New Roman" w:hAnsi="Times New Roman"/>
            <w:sz w:val="14"/>
            <w:szCs w:val="14"/>
            <w:u w:val="single" w:color="auto"/>
            <w:color w:val="0000EE"/>
          </w:rPr>
          <w:t>Certificate of Amendment to the Restated Certificate of Incorporation of</w:t>
        </w:r>
      </w:hyperlink>
      <w:r>
        <w:rPr>
          <w:rFonts w:ascii="Times New Roman" w:cs="Times New Roman" w:eastAsia="Times New Roman" w:hAnsi="Times New Roman"/>
          <w:sz w:val="14"/>
          <w:szCs w:val="14"/>
          <w:u w:val="single" w:color="auto"/>
          <w:color w:val="0000EE"/>
        </w:rPr>
        <w:t xml:space="preserve"> </w:t>
      </w:r>
      <w:hyperlink r:id="rId69">
        <w:r>
          <w:rPr>
            <w:rFonts w:ascii="Times New Roman" w:cs="Times New Roman" w:eastAsia="Times New Roman" w:hAnsi="Times New Roman"/>
            <w:sz w:val="14"/>
            <w:szCs w:val="14"/>
            <w:u w:val="single" w:color="auto"/>
            <w:color w:val="0000EE"/>
          </w:rPr>
          <w:t>the Company, as filed with the Secretary of State of the State of</w:t>
        </w:r>
      </w:hyperlink>
      <w:r>
        <w:rPr>
          <w:rFonts w:ascii="Times New Roman" w:cs="Times New Roman" w:eastAsia="Times New Roman" w:hAnsi="Times New Roman"/>
          <w:sz w:val="14"/>
          <w:szCs w:val="14"/>
          <w:u w:val="single" w:color="auto"/>
          <w:color w:val="0000EE"/>
        </w:rPr>
        <w:t xml:space="preserve"> </w:t>
      </w:r>
      <w:hyperlink r:id="rId69">
        <w:r>
          <w:rPr>
            <w:rFonts w:ascii="Times New Roman" w:cs="Times New Roman" w:eastAsia="Times New Roman" w:hAnsi="Times New Roman"/>
            <w:sz w:val="14"/>
            <w:szCs w:val="14"/>
            <w:u w:val="single" w:color="auto"/>
            <w:color w:val="0000EE"/>
          </w:rPr>
          <w:t>Delaware on June 25, 2021</w:t>
        </w:r>
      </w:hyperlink>
    </w:p>
    <w:p>
      <w:pPr>
        <w:spacing w:after="0" w:line="51" w:lineRule="exact"/>
        <w:rPr>
          <w:rFonts w:ascii="Times New Roman" w:cs="Times New Roman" w:eastAsia="Times New Roman" w:hAnsi="Times New Roman"/>
          <w:sz w:val="14"/>
          <w:szCs w:val="14"/>
          <w:u w:val="single" w:color="auto"/>
          <w:color w:val="0000EE"/>
        </w:rPr>
      </w:pPr>
    </w:p>
    <w:p>
      <w:pPr>
        <w:ind w:left="1980" w:hanging="697"/>
        <w:spacing w:after="0" w:line="272" w:lineRule="auto"/>
        <w:tabs>
          <w:tab w:leader="none" w:pos="1356" w:val="left"/>
        </w:tabs>
        <w:numPr>
          <w:ilvl w:val="0"/>
          <w:numId w:val="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3.4</w:t>
      </w:r>
      <w:hyperlink r:id="rId70">
        <w:r>
          <w:rPr>
            <w:rFonts w:ascii="Times New Roman" w:cs="Times New Roman" w:eastAsia="Times New Roman" w:hAnsi="Times New Roman"/>
            <w:sz w:val="14"/>
            <w:szCs w:val="14"/>
            <w:u w:val="single" w:color="auto"/>
            <w:color w:val="0000EE"/>
          </w:rPr>
          <w:t>Certificate of Amendment to the Restated Certificate of Incorporation of</w:t>
        </w:r>
      </w:hyperlink>
      <w:r>
        <w:rPr>
          <w:rFonts w:ascii="Times New Roman" w:cs="Times New Roman" w:eastAsia="Times New Roman" w:hAnsi="Times New Roman"/>
          <w:sz w:val="14"/>
          <w:szCs w:val="14"/>
          <w:u w:val="single" w:color="auto"/>
          <w:color w:val="0000EE"/>
        </w:rPr>
        <w:t xml:space="preserve"> </w:t>
      </w:r>
      <w:hyperlink r:id="rId70">
        <w:r>
          <w:rPr>
            <w:rFonts w:ascii="Times New Roman" w:cs="Times New Roman" w:eastAsia="Times New Roman" w:hAnsi="Times New Roman"/>
            <w:sz w:val="14"/>
            <w:szCs w:val="14"/>
            <w:u w:val="single" w:color="auto"/>
            <w:color w:val="0000EE"/>
          </w:rPr>
          <w:t>the Company, as filed with the Secretary of State of the State of</w:t>
        </w:r>
      </w:hyperlink>
      <w:r>
        <w:rPr>
          <w:rFonts w:ascii="Times New Roman" w:cs="Times New Roman" w:eastAsia="Times New Roman" w:hAnsi="Times New Roman"/>
          <w:sz w:val="14"/>
          <w:szCs w:val="14"/>
          <w:u w:val="single" w:color="auto"/>
          <w:color w:val="0000EE"/>
        </w:rPr>
        <w:t xml:space="preserve"> </w:t>
      </w:r>
      <w:hyperlink r:id="rId70">
        <w:r>
          <w:rPr>
            <w:rFonts w:ascii="Times New Roman" w:cs="Times New Roman" w:eastAsia="Times New Roman" w:hAnsi="Times New Roman"/>
            <w:sz w:val="14"/>
            <w:szCs w:val="14"/>
            <w:u w:val="single" w:color="auto"/>
            <w:color w:val="0000EE"/>
          </w:rPr>
          <w:t>Delaware on April 4, 2025</w:t>
        </w:r>
      </w:hyperlink>
    </w:p>
    <w:p>
      <w:pPr>
        <w:spacing w:after="0" w:line="51" w:lineRule="exact"/>
        <w:rPr>
          <w:rFonts w:ascii="Times New Roman" w:cs="Times New Roman" w:eastAsia="Times New Roman" w:hAnsi="Times New Roman"/>
          <w:sz w:val="14"/>
          <w:szCs w:val="14"/>
          <w:u w:val="single" w:color="auto"/>
          <w:color w:val="0000EE"/>
        </w:rPr>
      </w:pPr>
    </w:p>
    <w:p>
      <w:pPr>
        <w:ind w:left="1980" w:right="260" w:hanging="697"/>
        <w:spacing w:after="0" w:line="272" w:lineRule="auto"/>
        <w:tabs>
          <w:tab w:leader="none" w:pos="1356" w:val="left"/>
        </w:tabs>
        <w:numPr>
          <w:ilvl w:val="0"/>
          <w:numId w:val="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3.5</w:t>
      </w:r>
      <w:hyperlink r:id="rId71">
        <w:r>
          <w:rPr>
            <w:rFonts w:ascii="Times New Roman" w:cs="Times New Roman" w:eastAsia="Times New Roman" w:hAnsi="Times New Roman"/>
            <w:sz w:val="14"/>
            <w:szCs w:val="14"/>
            <w:u w:val="single" w:color="auto"/>
            <w:color w:val="0000EE"/>
          </w:rPr>
          <w:t>Certificate of Designation of Series A Junior Participating Preferred</w:t>
        </w:r>
      </w:hyperlink>
      <w:r>
        <w:rPr>
          <w:rFonts w:ascii="Times New Roman" w:cs="Times New Roman" w:eastAsia="Times New Roman" w:hAnsi="Times New Roman"/>
          <w:sz w:val="14"/>
          <w:szCs w:val="14"/>
          <w:u w:val="single" w:color="auto"/>
          <w:color w:val="0000EE"/>
        </w:rPr>
        <w:t xml:space="preserve"> </w:t>
      </w:r>
      <w:hyperlink r:id="rId71">
        <w:r>
          <w:rPr>
            <w:rFonts w:ascii="Times New Roman" w:cs="Times New Roman" w:eastAsia="Times New Roman" w:hAnsi="Times New Roman"/>
            <w:sz w:val="14"/>
            <w:szCs w:val="14"/>
            <w:u w:val="single" w:color="auto"/>
            <w:color w:val="0000EE"/>
          </w:rPr>
          <w:t>Stock filed with the Secretary of State of the State of Delaware on</w:t>
        </w:r>
      </w:hyperlink>
      <w:r>
        <w:rPr>
          <w:rFonts w:ascii="Times New Roman" w:cs="Times New Roman" w:eastAsia="Times New Roman" w:hAnsi="Times New Roman"/>
          <w:sz w:val="14"/>
          <w:szCs w:val="14"/>
          <w:u w:val="single" w:color="auto"/>
          <w:color w:val="0000EE"/>
        </w:rPr>
        <w:t xml:space="preserve"> </w:t>
      </w:r>
      <w:hyperlink r:id="rId71">
        <w:r>
          <w:rPr>
            <w:rFonts w:ascii="Times New Roman" w:cs="Times New Roman" w:eastAsia="Times New Roman" w:hAnsi="Times New Roman"/>
            <w:sz w:val="14"/>
            <w:szCs w:val="14"/>
            <w:u w:val="single" w:color="auto"/>
            <w:color w:val="0000EE"/>
          </w:rPr>
          <w:t>October 10, 2023</w:t>
        </w:r>
      </w:hyperlink>
    </w:p>
    <w:p>
      <w:pPr>
        <w:spacing w:after="0" w:line="51" w:lineRule="exact"/>
        <w:rPr>
          <w:rFonts w:ascii="Times New Roman" w:cs="Times New Roman" w:eastAsia="Times New Roman" w:hAnsi="Times New Roman"/>
          <w:sz w:val="14"/>
          <w:szCs w:val="14"/>
          <w:u w:val="single" w:color="auto"/>
          <w:color w:val="0000EE"/>
        </w:rPr>
      </w:pPr>
    </w:p>
    <w:p>
      <w:pPr>
        <w:ind w:left="1360" w:hanging="77"/>
        <w:spacing w:after="0"/>
        <w:tabs>
          <w:tab w:leader="none" w:pos="1360" w:val="left"/>
        </w:tabs>
        <w:numPr>
          <w:ilvl w:val="0"/>
          <w:numId w:val="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3.6</w:t>
      </w:r>
      <w:hyperlink r:id="rId72">
        <w:r>
          <w:rPr>
            <w:rFonts w:ascii="Times New Roman" w:cs="Times New Roman" w:eastAsia="Times New Roman" w:hAnsi="Times New Roman"/>
            <w:sz w:val="14"/>
            <w:szCs w:val="14"/>
            <w:u w:val="single" w:color="auto"/>
            <w:color w:val="0000EE"/>
          </w:rPr>
          <w:t>Amended and Restated Bylaws of the Registrant</w:t>
        </w:r>
      </w:hyperlink>
    </w:p>
    <w:p>
      <w:pPr>
        <w:spacing w:after="0" w:line="95" w:lineRule="exact"/>
        <w:rPr>
          <w:rFonts w:ascii="Times New Roman" w:cs="Times New Roman" w:eastAsia="Times New Roman" w:hAnsi="Times New Roman"/>
          <w:sz w:val="14"/>
          <w:szCs w:val="14"/>
          <w:u w:val="single" w:color="auto"/>
          <w:color w:val="0000EE"/>
        </w:rPr>
      </w:pPr>
    </w:p>
    <w:p>
      <w:pPr>
        <w:ind w:left="1980" w:right="400" w:hanging="697"/>
        <w:spacing w:after="0" w:line="290" w:lineRule="auto"/>
        <w:tabs>
          <w:tab w:leader="none" w:pos="1356" w:val="left"/>
        </w:tabs>
        <w:numPr>
          <w:ilvl w:val="0"/>
          <w:numId w:val="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4.1</w:t>
      </w:r>
      <w:hyperlink r:id="rId57">
        <w:r>
          <w:rPr>
            <w:rFonts w:ascii="Times New Roman" w:cs="Times New Roman" w:eastAsia="Times New Roman" w:hAnsi="Times New Roman"/>
            <w:sz w:val="14"/>
            <w:szCs w:val="14"/>
            <w:u w:val="single" w:color="auto"/>
            <w:color w:val="0000EE"/>
          </w:rPr>
          <w:t>Description of Securities Registered Pursuant to Section 12 of the</w:t>
        </w:r>
      </w:hyperlink>
      <w:r>
        <w:rPr>
          <w:rFonts w:ascii="Times New Roman" w:cs="Times New Roman" w:eastAsia="Times New Roman" w:hAnsi="Times New Roman"/>
          <w:sz w:val="14"/>
          <w:szCs w:val="14"/>
          <w:u w:val="single" w:color="auto"/>
          <w:color w:val="0000EE"/>
        </w:rPr>
        <w:t xml:space="preserve"> </w:t>
      </w:r>
      <w:hyperlink r:id="rId57">
        <w:r>
          <w:rPr>
            <w:rFonts w:ascii="Times New Roman" w:cs="Times New Roman" w:eastAsia="Times New Roman" w:hAnsi="Times New Roman"/>
            <w:sz w:val="14"/>
            <w:szCs w:val="14"/>
            <w:u w:val="single" w:color="auto"/>
            <w:color w:val="0000EE"/>
          </w:rPr>
          <w:t>Securities Exchange Act of 1934</w:t>
        </w:r>
      </w:hyperlink>
    </w:p>
    <w:p>
      <w:pPr>
        <w:spacing w:after="0" w:line="38" w:lineRule="exact"/>
        <w:rPr>
          <w:rFonts w:ascii="Times New Roman" w:cs="Times New Roman" w:eastAsia="Times New Roman" w:hAnsi="Times New Roman"/>
          <w:sz w:val="14"/>
          <w:szCs w:val="14"/>
          <w:u w:val="single" w:color="auto"/>
          <w:color w:val="0000EE"/>
        </w:rPr>
      </w:pPr>
    </w:p>
    <w:p>
      <w:pPr>
        <w:ind w:left="1360" w:hanging="77"/>
        <w:spacing w:after="0"/>
        <w:tabs>
          <w:tab w:leader="none" w:pos="1360" w:val="left"/>
        </w:tabs>
        <w:numPr>
          <w:ilvl w:val="0"/>
          <w:numId w:val="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4.2</w:t>
      </w:r>
      <w:hyperlink r:id="rId73">
        <w:r>
          <w:rPr>
            <w:rFonts w:ascii="Times New Roman" w:cs="Times New Roman" w:eastAsia="Times New Roman" w:hAnsi="Times New Roman"/>
            <w:sz w:val="14"/>
            <w:szCs w:val="14"/>
            <w:u w:val="single" w:color="auto"/>
            <w:color w:val="0000EE"/>
          </w:rPr>
          <w:t>Form of Tempest Therapeutics, Inc. Warrant to Purchase Stock</w:t>
        </w:r>
      </w:hyperlink>
    </w:p>
    <w:p>
      <w:pPr>
        <w:spacing w:after="0" w:line="95" w:lineRule="exact"/>
        <w:rPr>
          <w:rFonts w:ascii="Times New Roman" w:cs="Times New Roman" w:eastAsia="Times New Roman" w:hAnsi="Times New Roman"/>
          <w:sz w:val="14"/>
          <w:szCs w:val="14"/>
          <w:u w:val="single" w:color="auto"/>
          <w:color w:val="0000EE"/>
        </w:rPr>
      </w:pPr>
    </w:p>
    <w:p>
      <w:pPr>
        <w:ind w:left="1980" w:right="20" w:hanging="697"/>
        <w:spacing w:after="0" w:line="263" w:lineRule="auto"/>
        <w:tabs>
          <w:tab w:leader="none" w:pos="1356" w:val="left"/>
        </w:tabs>
        <w:numPr>
          <w:ilvl w:val="0"/>
          <w:numId w:val="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4.3</w:t>
      </w:r>
      <w:hyperlink r:id="rId74">
        <w:r>
          <w:rPr>
            <w:rFonts w:ascii="Times New Roman" w:cs="Times New Roman" w:eastAsia="Times New Roman" w:hAnsi="Times New Roman"/>
            <w:sz w:val="14"/>
            <w:szCs w:val="14"/>
            <w:u w:val="single" w:color="auto"/>
            <w:color w:val="0000EE"/>
          </w:rPr>
          <w:t>Rights Agreement, dated as of October 10, 2023, between Tempest</w:t>
        </w:r>
      </w:hyperlink>
      <w:r>
        <w:rPr>
          <w:rFonts w:ascii="Times New Roman" w:cs="Times New Roman" w:eastAsia="Times New Roman" w:hAnsi="Times New Roman"/>
          <w:sz w:val="14"/>
          <w:szCs w:val="14"/>
          <w:u w:val="single" w:color="auto"/>
          <w:color w:val="0000EE"/>
        </w:rPr>
        <w:t xml:space="preserve"> </w:t>
      </w:r>
      <w:hyperlink r:id="rId74">
        <w:r>
          <w:rPr>
            <w:rFonts w:ascii="Times New Roman" w:cs="Times New Roman" w:eastAsia="Times New Roman" w:hAnsi="Times New Roman"/>
            <w:sz w:val="14"/>
            <w:szCs w:val="14"/>
            <w:u w:val="single" w:color="auto"/>
            <w:color w:val="0000EE"/>
          </w:rPr>
          <w:t>Therapeutics, Inc. and Computershare Trust Company, N.A., which</w:t>
        </w:r>
      </w:hyperlink>
      <w:r>
        <w:rPr>
          <w:rFonts w:ascii="Times New Roman" w:cs="Times New Roman" w:eastAsia="Times New Roman" w:hAnsi="Times New Roman"/>
          <w:sz w:val="14"/>
          <w:szCs w:val="14"/>
          <w:u w:val="single" w:color="auto"/>
          <w:color w:val="0000EE"/>
        </w:rPr>
        <w:t xml:space="preserve"> </w:t>
      </w:r>
      <w:hyperlink r:id="rId74">
        <w:r>
          <w:rPr>
            <w:rFonts w:ascii="Times New Roman" w:cs="Times New Roman" w:eastAsia="Times New Roman" w:hAnsi="Times New Roman"/>
            <w:sz w:val="14"/>
            <w:szCs w:val="14"/>
            <w:u w:val="single" w:color="auto"/>
            <w:color w:val="0000EE"/>
          </w:rPr>
          <w:t>includes the form of Certificate of Designation as Exhibit A, the form of</w:t>
        </w:r>
      </w:hyperlink>
      <w:r>
        <w:rPr>
          <w:rFonts w:ascii="Times New Roman" w:cs="Times New Roman" w:eastAsia="Times New Roman" w:hAnsi="Times New Roman"/>
          <w:sz w:val="14"/>
          <w:szCs w:val="14"/>
          <w:u w:val="single" w:color="auto"/>
          <w:color w:val="0000EE"/>
        </w:rPr>
        <w:t xml:space="preserve"> </w:t>
      </w:r>
      <w:hyperlink r:id="rId74">
        <w:r>
          <w:rPr>
            <w:rFonts w:ascii="Times New Roman" w:cs="Times New Roman" w:eastAsia="Times New Roman" w:hAnsi="Times New Roman"/>
            <w:sz w:val="14"/>
            <w:szCs w:val="14"/>
            <w:u w:val="single" w:color="auto"/>
            <w:color w:val="0000EE"/>
          </w:rPr>
          <w:t>Right Certificate as Exhibit B and the Summary of Rights to Purchase</w:t>
        </w:r>
      </w:hyperlink>
      <w:r>
        <w:rPr>
          <w:rFonts w:ascii="Times New Roman" w:cs="Times New Roman" w:eastAsia="Times New Roman" w:hAnsi="Times New Roman"/>
          <w:sz w:val="14"/>
          <w:szCs w:val="14"/>
          <w:u w:val="single" w:color="auto"/>
          <w:color w:val="0000EE"/>
        </w:rPr>
        <w:t xml:space="preserve"> </w:t>
      </w:r>
      <w:hyperlink r:id="rId74">
        <w:r>
          <w:rPr>
            <w:rFonts w:ascii="Times New Roman" w:cs="Times New Roman" w:eastAsia="Times New Roman" w:hAnsi="Times New Roman"/>
            <w:sz w:val="14"/>
            <w:szCs w:val="14"/>
            <w:u w:val="single" w:color="auto"/>
            <w:color w:val="0000EE"/>
          </w:rPr>
          <w:t>Preferred Shares as Exhibit C</w:t>
        </w:r>
      </w:hyperlink>
    </w:p>
    <w:p>
      <w:pPr>
        <w:spacing w:after="0" w:line="58" w:lineRule="exact"/>
        <w:rPr>
          <w:rFonts w:ascii="Times New Roman" w:cs="Times New Roman" w:eastAsia="Times New Roman" w:hAnsi="Times New Roman"/>
          <w:sz w:val="14"/>
          <w:szCs w:val="14"/>
          <w:u w:val="single" w:color="auto"/>
          <w:color w:val="0000EE"/>
        </w:rPr>
      </w:pPr>
    </w:p>
    <w:p>
      <w:pPr>
        <w:ind w:left="1980" w:right="140" w:hanging="697"/>
        <w:spacing w:after="0" w:line="272" w:lineRule="auto"/>
        <w:tabs>
          <w:tab w:leader="none" w:pos="1356" w:val="left"/>
        </w:tabs>
        <w:numPr>
          <w:ilvl w:val="0"/>
          <w:numId w:val="6"/>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4.4</w:t>
      </w:r>
      <w:hyperlink r:id="rId75">
        <w:r>
          <w:rPr>
            <w:rFonts w:ascii="Times New Roman" w:cs="Times New Roman" w:eastAsia="Times New Roman" w:hAnsi="Times New Roman"/>
            <w:sz w:val="14"/>
            <w:szCs w:val="14"/>
            <w:u w:val="single" w:color="auto"/>
            <w:color w:val="0000EE"/>
          </w:rPr>
          <w:t>Amendment No. 1, dated as of October 9, 2024, to Rights Agreement,</w:t>
        </w:r>
      </w:hyperlink>
      <w:r>
        <w:rPr>
          <w:rFonts w:ascii="Times New Roman" w:cs="Times New Roman" w:eastAsia="Times New Roman" w:hAnsi="Times New Roman"/>
          <w:sz w:val="14"/>
          <w:szCs w:val="14"/>
          <w:u w:val="single" w:color="auto"/>
          <w:color w:val="0000EE"/>
        </w:rPr>
        <w:t xml:space="preserve"> </w:t>
      </w:r>
      <w:hyperlink r:id="rId75">
        <w:r>
          <w:rPr>
            <w:rFonts w:ascii="Times New Roman" w:cs="Times New Roman" w:eastAsia="Times New Roman" w:hAnsi="Times New Roman"/>
            <w:sz w:val="14"/>
            <w:szCs w:val="14"/>
            <w:u w:val="single" w:color="auto"/>
            <w:color w:val="0000EE"/>
          </w:rPr>
          <w:t>dated as of October 10, 2023, by and between Tempest Therapeutics,</w:t>
        </w:r>
      </w:hyperlink>
      <w:r>
        <w:rPr>
          <w:rFonts w:ascii="Times New Roman" w:cs="Times New Roman" w:eastAsia="Times New Roman" w:hAnsi="Times New Roman"/>
          <w:sz w:val="14"/>
          <w:szCs w:val="14"/>
          <w:u w:val="single" w:color="auto"/>
          <w:color w:val="0000EE"/>
        </w:rPr>
        <w:t xml:space="preserve"> </w:t>
      </w:r>
      <w:hyperlink r:id="rId75">
        <w:r>
          <w:rPr>
            <w:rFonts w:ascii="Times New Roman" w:cs="Times New Roman" w:eastAsia="Times New Roman" w:hAnsi="Times New Roman"/>
            <w:sz w:val="14"/>
            <w:szCs w:val="14"/>
            <w:u w:val="single" w:color="auto"/>
            <w:color w:val="0000EE"/>
          </w:rPr>
          <w:t>Inc. and Computershare Trust Company, N.A., as rights agent</w:t>
        </w:r>
      </w:hyperlink>
    </w:p>
    <w:p>
      <w:pPr>
        <w:spacing w:after="0" w:line="83" w:lineRule="exact"/>
        <w:rPr>
          <w:rFonts w:ascii="Times New Roman" w:cs="Times New Roman" w:eastAsia="Times New Roman" w:hAnsi="Times New Roman"/>
          <w:sz w:val="14"/>
          <w:szCs w:val="14"/>
          <w:u w:val="single" w:color="auto"/>
          <w:color w:val="0000EE"/>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br w:type="column"/>
      </w:r>
    </w:p>
    <w:p>
      <w:pPr>
        <w:spacing w:after="0" w:line="200" w:lineRule="exact"/>
        <w:rPr>
          <w:rFonts w:ascii="Times New Roman" w:cs="Times New Roman" w:eastAsia="Times New Roman" w:hAnsi="Times New Roman"/>
          <w:sz w:val="14"/>
          <w:szCs w:val="14"/>
          <w:u w:val="single" w:color="auto"/>
          <w:color w:val="0000EE"/>
        </w:rPr>
      </w:pPr>
    </w:p>
    <w:p>
      <w:pPr>
        <w:spacing w:after="0" w:line="200" w:lineRule="exact"/>
        <w:rPr>
          <w:rFonts w:ascii="Times New Roman" w:cs="Times New Roman" w:eastAsia="Times New Roman" w:hAnsi="Times New Roman"/>
          <w:sz w:val="14"/>
          <w:szCs w:val="14"/>
          <w:u w:val="single" w:color="auto"/>
          <w:color w:val="0000EE"/>
        </w:rPr>
      </w:pPr>
    </w:p>
    <w:p>
      <w:pPr>
        <w:spacing w:after="0" w:line="358" w:lineRule="exact"/>
        <w:rPr>
          <w:rFonts w:ascii="Times New Roman" w:cs="Times New Roman" w:eastAsia="Times New Roman" w:hAnsi="Times New Roman"/>
          <w:sz w:val="14"/>
          <w:szCs w:val="14"/>
          <w:u w:val="single" w:color="auto"/>
          <w:color w:val="0000EE"/>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p>
      <w:pPr>
        <w:spacing w:after="0" w:line="10" w:lineRule="exact"/>
        <w:rPr>
          <w:rFonts w:ascii="Times New Roman" w:cs="Times New Roman" w:eastAsia="Times New Roman" w:hAnsi="Times New Roman"/>
          <w:sz w:val="14"/>
          <w:szCs w:val="14"/>
          <w:u w:val="single" w:color="auto"/>
          <w:color w:val="0000EE"/>
        </w:rPr>
      </w:pPr>
    </w:p>
    <w:tbl>
      <w:tblPr>
        <w:tblLayout w:type="fixed"/>
        <w:tblInd w:w="0" w:type="dxa"/>
        <w:tblCellMar>
          <w:top w:w="0" w:type="dxa"/>
          <w:left w:w="0" w:type="dxa"/>
          <w:bottom w:w="0" w:type="dxa"/>
          <w:right w:w="0" w:type="dxa"/>
        </w:tblCellMar>
      </w:tblPr>
      <w:tr>
        <w:trPr>
          <w:trHeight w:val="89"/>
        </w:trPr>
        <w:tc>
          <w:tcPr>
            <w:tcW w:w="36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rPr>
              <w:t>Filed or</w:t>
            </w:r>
          </w:p>
        </w:tc>
        <w:tc>
          <w:tcPr>
            <w:tcW w:w="0" w:type="dxa"/>
            <w:vAlign w:val="bottom"/>
          </w:tcPr>
          <w:p>
            <w:pPr>
              <w:spacing w:after="0"/>
              <w:rPr>
                <w:sz w:val="1"/>
                <w:szCs w:val="1"/>
                <w:color w:val="auto"/>
              </w:rPr>
            </w:pPr>
          </w:p>
        </w:tc>
      </w:tr>
      <w:tr>
        <w:trPr>
          <w:trHeight w:val="118"/>
        </w:trPr>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Form</w:t>
            </w:r>
          </w:p>
        </w:tc>
        <w:tc>
          <w:tcPr>
            <w:tcW w:w="220" w:type="dxa"/>
            <w:vAlign w:val="bottom"/>
            <w:vMerge w:val="restart"/>
          </w:tcPr>
          <w:p>
            <w:pPr>
              <w:spacing w:after="0"/>
              <w:rPr>
                <w:sz w:val="10"/>
                <w:szCs w:val="10"/>
                <w:color w:val="auto"/>
              </w:rPr>
            </w:pP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220" w:type="dxa"/>
            <w:vAlign w:val="bottom"/>
            <w:vMerge w:val="restart"/>
          </w:tcPr>
          <w:p>
            <w:pPr>
              <w:spacing w:after="0"/>
              <w:rPr>
                <w:sz w:val="10"/>
                <w:szCs w:val="10"/>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20" w:type="dxa"/>
            <w:vAlign w:val="bottom"/>
            <w:vMerge w:val="restart"/>
          </w:tcPr>
          <w:p>
            <w:pPr>
              <w:spacing w:after="0"/>
              <w:rPr>
                <w:sz w:val="10"/>
                <w:szCs w:val="10"/>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220" w:type="dxa"/>
            <w:vAlign w:val="bottom"/>
            <w:vMerge w:val="restart"/>
          </w:tcPr>
          <w:p>
            <w:pPr>
              <w:spacing w:after="0"/>
              <w:rPr>
                <w:sz w:val="10"/>
                <w:szCs w:val="10"/>
                <w:color w:val="auto"/>
              </w:rPr>
            </w:pP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Furnished</w:t>
            </w:r>
          </w:p>
        </w:tc>
        <w:tc>
          <w:tcPr>
            <w:tcW w:w="0" w:type="dxa"/>
            <w:vAlign w:val="bottom"/>
          </w:tcPr>
          <w:p>
            <w:pPr>
              <w:spacing w:after="0"/>
              <w:rPr>
                <w:sz w:val="1"/>
                <w:szCs w:val="1"/>
                <w:color w:val="auto"/>
              </w:rPr>
            </w:pPr>
          </w:p>
        </w:tc>
      </w:tr>
      <w:tr>
        <w:trPr>
          <w:trHeight w:val="137"/>
        </w:trPr>
        <w:tc>
          <w:tcPr>
            <w:tcW w:w="36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4"/>
          <w:szCs w:val="14"/>
          <w:u w:val="single" w:color="auto"/>
          <w:color w:val="0000EE"/>
        </w:rPr>
      </w:pPr>
    </w:p>
    <w:p>
      <w:pPr>
        <w:spacing w:after="0" w:line="202" w:lineRule="exact"/>
        <w:rPr>
          <w:rFonts w:ascii="Times New Roman" w:cs="Times New Roman" w:eastAsia="Times New Roman" w:hAnsi="Times New Roman"/>
          <w:sz w:val="14"/>
          <w:szCs w:val="14"/>
          <w:u w:val="single" w:color="auto"/>
          <w:color w:val="0000EE"/>
        </w:rPr>
      </w:pPr>
    </w:p>
    <w:tbl>
      <w:tblPr>
        <w:tblLayout w:type="fixed"/>
        <w:tblInd w:w="60" w:type="dxa"/>
        <w:tblCellMar>
          <w:top w:w="0" w:type="dxa"/>
          <w:left w:w="0" w:type="dxa"/>
          <w:bottom w:w="0" w:type="dxa"/>
          <w:right w:w="0" w:type="dxa"/>
        </w:tblCellMar>
      </w:tblPr>
      <w:tr>
        <w:trPr>
          <w:trHeight w:val="185"/>
        </w:trPr>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001-35890</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3/29/2021</w:t>
            </w:r>
          </w:p>
        </w:tc>
      </w:tr>
      <w:tr>
        <w:trPr>
          <w:trHeight w:val="257"/>
        </w:trPr>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10-Q</w:t>
            </w: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001-35890</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5/15/2019</w:t>
            </w:r>
          </w:p>
        </w:tc>
      </w:tr>
      <w:tr>
        <w:trPr>
          <w:trHeight w:val="599"/>
        </w:trPr>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001-35890</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6/28/2021</w:t>
            </w:r>
          </w:p>
        </w:tc>
      </w:tr>
      <w:tr>
        <w:trPr>
          <w:trHeight w:val="599"/>
        </w:trPr>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001-35890</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6/28/2021</w:t>
            </w:r>
          </w:p>
        </w:tc>
      </w:tr>
      <w:tr>
        <w:trPr>
          <w:trHeight w:val="599"/>
        </w:trPr>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001-35890</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4/7/2025</w:t>
            </w:r>
          </w:p>
        </w:tc>
      </w:tr>
      <w:tr>
        <w:trPr>
          <w:trHeight w:val="599"/>
        </w:trPr>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001-35890</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10/11/2023</w:t>
            </w:r>
          </w:p>
        </w:tc>
      </w:tr>
      <w:tr>
        <w:trPr>
          <w:trHeight w:val="257"/>
        </w:trPr>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001-35890</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9/24/2021</w:t>
            </w:r>
          </w:p>
        </w:tc>
      </w:tr>
      <w:tr>
        <w:trPr>
          <w:trHeight w:val="428"/>
        </w:trPr>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10-K</w:t>
            </w: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001-35890</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3/27/2025</w:t>
            </w:r>
          </w:p>
        </w:tc>
      </w:tr>
      <w:tr>
        <w:trPr>
          <w:trHeight w:val="257"/>
        </w:trPr>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10-K</w:t>
            </w: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001-35890</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3/27/2025</w:t>
            </w:r>
          </w:p>
        </w:tc>
      </w:tr>
    </w:tbl>
    <w:p>
      <w:pPr>
        <w:spacing w:after="0" w:line="200" w:lineRule="exact"/>
        <w:rPr>
          <w:rFonts w:ascii="Times New Roman" w:cs="Times New Roman" w:eastAsia="Times New Roman" w:hAnsi="Times New Roman"/>
          <w:sz w:val="14"/>
          <w:szCs w:val="14"/>
          <w:u w:val="single" w:color="auto"/>
          <w:color w:val="0000EE"/>
        </w:rPr>
      </w:pPr>
    </w:p>
    <w:p>
      <w:pPr>
        <w:spacing w:after="0" w:line="200" w:lineRule="exact"/>
        <w:rPr>
          <w:rFonts w:ascii="Times New Roman" w:cs="Times New Roman" w:eastAsia="Times New Roman" w:hAnsi="Times New Roman"/>
          <w:sz w:val="14"/>
          <w:szCs w:val="14"/>
          <w:u w:val="single" w:color="auto"/>
          <w:color w:val="0000EE"/>
        </w:rPr>
      </w:pPr>
    </w:p>
    <w:p>
      <w:pPr>
        <w:spacing w:after="0" w:line="356" w:lineRule="exact"/>
        <w:rPr>
          <w:rFonts w:ascii="Times New Roman" w:cs="Times New Roman" w:eastAsia="Times New Roman" w:hAnsi="Times New Roman"/>
          <w:sz w:val="14"/>
          <w:szCs w:val="14"/>
          <w:u w:val="single" w:color="auto"/>
          <w:color w:val="0000EE"/>
        </w:rPr>
      </w:pPr>
    </w:p>
    <w:p>
      <w:pPr>
        <w:ind w:left="140"/>
        <w:spacing w:after="0"/>
        <w:tabs>
          <w:tab w:leader="none" w:pos="640" w:val="left"/>
          <w:tab w:leader="none" w:pos="1680" w:val="left"/>
          <w:tab w:leader="none" w:pos="2180" w:val="left"/>
        </w:tabs>
        <w:rPr>
          <w:sz w:val="20"/>
          <w:szCs w:val="20"/>
          <w:color w:val="auto"/>
        </w:rPr>
      </w:pPr>
      <w:r>
        <w:rPr>
          <w:rFonts w:ascii="Times New Roman" w:cs="Times New Roman" w:eastAsia="Times New Roman" w:hAnsi="Times New Roman"/>
          <w:sz w:val="14"/>
          <w:szCs w:val="14"/>
          <w:color w:val="auto"/>
        </w:rPr>
        <w:t>8-K</w:t>
      </w:r>
      <w:r>
        <w:rPr>
          <w:sz w:val="20"/>
          <w:szCs w:val="20"/>
          <w:color w:val="auto"/>
        </w:rPr>
        <w:tab/>
      </w:r>
      <w:r>
        <w:rPr>
          <w:rFonts w:ascii="Times New Roman" w:cs="Times New Roman" w:eastAsia="Times New Roman" w:hAnsi="Times New Roman"/>
          <w:sz w:val="14"/>
          <w:szCs w:val="14"/>
          <w:color w:val="auto"/>
        </w:rPr>
        <w:t>001-35890</w:t>
      </w:r>
      <w:r>
        <w:rPr>
          <w:sz w:val="20"/>
          <w:szCs w:val="20"/>
          <w:color w:val="auto"/>
        </w:rPr>
        <w:tab/>
      </w: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10/11/2023</w:t>
      </w:r>
    </w:p>
    <w:p>
      <w:pPr>
        <w:spacing w:after="0" w:line="200" w:lineRule="exact"/>
        <w:rPr>
          <w:rFonts w:ascii="Times New Roman" w:cs="Times New Roman" w:eastAsia="Times New Roman" w:hAnsi="Times New Roman"/>
          <w:sz w:val="14"/>
          <w:szCs w:val="14"/>
          <w:u w:val="single" w:color="auto"/>
          <w:color w:val="0000EE"/>
        </w:rPr>
      </w:pPr>
    </w:p>
    <w:p>
      <w:pPr>
        <w:spacing w:after="0" w:line="238" w:lineRule="exact"/>
        <w:rPr>
          <w:rFonts w:ascii="Times New Roman" w:cs="Times New Roman" w:eastAsia="Times New Roman" w:hAnsi="Times New Roman"/>
          <w:sz w:val="14"/>
          <w:szCs w:val="14"/>
          <w:u w:val="single" w:color="auto"/>
          <w:color w:val="0000EE"/>
        </w:rPr>
      </w:pPr>
    </w:p>
    <w:p>
      <w:pPr>
        <w:ind w:left="140"/>
        <w:spacing w:after="0"/>
        <w:tabs>
          <w:tab w:leader="none" w:pos="640" w:val="left"/>
          <w:tab w:leader="none" w:pos="1680" w:val="left"/>
          <w:tab w:leader="none" w:pos="2180" w:val="left"/>
        </w:tabs>
        <w:rPr>
          <w:sz w:val="20"/>
          <w:szCs w:val="20"/>
          <w:color w:val="auto"/>
        </w:rPr>
      </w:pPr>
      <w:r>
        <w:rPr>
          <w:rFonts w:ascii="Times New Roman" w:cs="Times New Roman" w:eastAsia="Times New Roman" w:hAnsi="Times New Roman"/>
          <w:sz w:val="14"/>
          <w:szCs w:val="14"/>
          <w:color w:val="auto"/>
        </w:rPr>
        <w:t>8-K</w:t>
      </w:r>
      <w:r>
        <w:rPr>
          <w:sz w:val="20"/>
          <w:szCs w:val="20"/>
          <w:color w:val="auto"/>
        </w:rPr>
        <w:tab/>
      </w:r>
      <w:r>
        <w:rPr>
          <w:rFonts w:ascii="Times New Roman" w:cs="Times New Roman" w:eastAsia="Times New Roman" w:hAnsi="Times New Roman"/>
          <w:sz w:val="14"/>
          <w:szCs w:val="14"/>
          <w:color w:val="auto"/>
        </w:rPr>
        <w:t>001-35890</w:t>
      </w:r>
      <w:r>
        <w:rPr>
          <w:sz w:val="20"/>
          <w:szCs w:val="20"/>
          <w:color w:val="auto"/>
        </w:rPr>
        <w:tab/>
      </w: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10/10/2024</w:t>
      </w:r>
    </w:p>
    <w:p>
      <w:pPr>
        <w:sectPr>
          <w:pgSz w:w="11900" w:h="16838" w:orient="portrait"/>
          <w:cols w:equalWidth="0" w:num="2">
            <w:col w:w="6120" w:space="220"/>
            <w:col w:w="3819"/>
          </w:cols>
          <w:pgMar w:left="300" w:top="39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00" w:lineRule="exact"/>
        <w:rPr>
          <w:sz w:val="20"/>
          <w:szCs w:val="20"/>
          <w:color w:val="auto"/>
        </w:rPr>
      </w:pPr>
    </w:p>
    <w:p>
      <w:pPr>
        <w:spacing w:after="0" w:line="280" w:lineRule="exact"/>
        <w:rPr>
          <w:sz w:val="20"/>
          <w:szCs w:val="20"/>
          <w:color w:val="auto"/>
        </w:rPr>
      </w:pPr>
    </w:p>
    <w:tbl>
      <w:tblPr>
        <w:tblLayout w:type="fixed"/>
        <w:tblInd w:w="1280" w:type="dxa"/>
        <w:tblCellMar>
          <w:top w:w="0" w:type="dxa"/>
          <w:left w:w="0" w:type="dxa"/>
          <w:bottom w:w="0" w:type="dxa"/>
          <w:right w:w="0" w:type="dxa"/>
        </w:tblCellMar>
      </w:tblPr>
      <w:tr>
        <w:trPr>
          <w:trHeight w:val="126"/>
        </w:trPr>
        <w:tc>
          <w:tcPr>
            <w:tcW w:w="1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00" w:type="dxa"/>
            <w:vAlign w:val="bottom"/>
            <w:vMerge w:val="restart"/>
          </w:tcPr>
          <w:p>
            <w:pPr>
              <w:ind w:left="94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0" w:type="dxa"/>
            <w:vAlign w:val="bottom"/>
          </w:tcPr>
          <w:p>
            <w:pPr>
              <w:spacing w:after="0"/>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1"/>
                <w:szCs w:val="11"/>
                <w:b w:val="1"/>
                <w:bCs w:val="1"/>
                <w:u w:val="single" w:color="auto"/>
                <w:color w:val="auto"/>
              </w:rPr>
              <w:t>Number</w:t>
            </w:r>
          </w:p>
        </w:tc>
        <w:tc>
          <w:tcPr>
            <w:tcW w:w="2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-635</wp:posOffset>
            </wp:positionV>
            <wp:extent cx="259969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2599690" cy="6985"/>
                    </a:xfrm>
                    <a:prstGeom prst="rect">
                      <a:avLst/>
                    </a:prstGeom>
                    <a:noFill/>
                  </pic:spPr>
                </pic:pic>
              </a:graphicData>
            </a:graphic>
          </wp:anchor>
        </w:drawing>
      </w:r>
    </w:p>
    <w:p>
      <w:pPr>
        <w:spacing w:after="0" w:line="49" w:lineRule="exact"/>
        <w:rPr>
          <w:sz w:val="20"/>
          <w:szCs w:val="20"/>
          <w:color w:val="auto"/>
        </w:rPr>
      </w:pPr>
    </w:p>
    <w:p>
      <w:pPr>
        <w:ind w:left="2040" w:hanging="757"/>
        <w:spacing w:after="0" w:line="266" w:lineRule="auto"/>
        <w:tabs>
          <w:tab w:leader="none" w:pos="1352" w:val="left"/>
        </w:tabs>
        <w:numPr>
          <w:ilvl w:val="0"/>
          <w:numId w:val="7"/>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4.5</w:t>
      </w:r>
      <w:hyperlink r:id="rId78">
        <w:r>
          <w:rPr>
            <w:rFonts w:ascii="Times New Roman" w:cs="Times New Roman" w:eastAsia="Times New Roman" w:hAnsi="Times New Roman"/>
            <w:sz w:val="14"/>
            <w:szCs w:val="14"/>
            <w:u w:val="single" w:color="auto"/>
            <w:color w:val="0000EE"/>
          </w:rPr>
          <w:t>Amendment No. 2, dated as of December 5, 2024, to Rights</w:t>
        </w:r>
      </w:hyperlink>
      <w:r>
        <w:rPr>
          <w:rFonts w:ascii="Times New Roman" w:cs="Times New Roman" w:eastAsia="Times New Roman" w:hAnsi="Times New Roman"/>
          <w:sz w:val="14"/>
          <w:szCs w:val="14"/>
          <w:u w:val="single" w:color="auto"/>
          <w:color w:val="0000EE"/>
        </w:rPr>
        <w:t xml:space="preserve"> </w:t>
      </w:r>
      <w:hyperlink r:id="rId78">
        <w:r>
          <w:rPr>
            <w:rFonts w:ascii="Times New Roman" w:cs="Times New Roman" w:eastAsia="Times New Roman" w:hAnsi="Times New Roman"/>
            <w:sz w:val="14"/>
            <w:szCs w:val="14"/>
            <w:u w:val="single" w:color="auto"/>
            <w:color w:val="0000EE"/>
          </w:rPr>
          <w:t>Agreement, dated as of October 10, 2023, as amended, by and between</w:t>
        </w:r>
      </w:hyperlink>
      <w:r>
        <w:rPr>
          <w:rFonts w:ascii="Times New Roman" w:cs="Times New Roman" w:eastAsia="Times New Roman" w:hAnsi="Times New Roman"/>
          <w:sz w:val="14"/>
          <w:szCs w:val="14"/>
          <w:u w:val="single" w:color="auto"/>
          <w:color w:val="0000EE"/>
        </w:rPr>
        <w:t xml:space="preserve"> </w:t>
      </w:r>
      <w:hyperlink r:id="rId78">
        <w:r>
          <w:rPr>
            <w:rFonts w:ascii="Times New Roman" w:cs="Times New Roman" w:eastAsia="Times New Roman" w:hAnsi="Times New Roman"/>
            <w:sz w:val="14"/>
            <w:szCs w:val="14"/>
            <w:u w:val="single" w:color="auto"/>
            <w:color w:val="0000EE"/>
          </w:rPr>
          <w:t>Tempest Therapeutics, Inc. and Computershare Trust Company, N.A.,</w:t>
        </w:r>
      </w:hyperlink>
      <w:r>
        <w:rPr>
          <w:rFonts w:ascii="Times New Roman" w:cs="Times New Roman" w:eastAsia="Times New Roman" w:hAnsi="Times New Roman"/>
          <w:sz w:val="14"/>
          <w:szCs w:val="14"/>
          <w:u w:val="single" w:color="auto"/>
          <w:color w:val="0000EE"/>
        </w:rPr>
        <w:t xml:space="preserve"> </w:t>
      </w:r>
      <w:hyperlink r:id="rId78">
        <w:r>
          <w:rPr>
            <w:rFonts w:ascii="Times New Roman" w:cs="Times New Roman" w:eastAsia="Times New Roman" w:hAnsi="Times New Roman"/>
            <w:sz w:val="14"/>
            <w:szCs w:val="14"/>
            <w:u w:val="single" w:color="auto"/>
            <w:color w:val="0000EE"/>
          </w:rPr>
          <w:t>as rights agent</w:t>
        </w:r>
      </w:hyperlink>
    </w:p>
    <w:p>
      <w:pPr>
        <w:spacing w:after="0" w:line="55" w:lineRule="exact"/>
        <w:rPr>
          <w:rFonts w:ascii="Times New Roman" w:cs="Times New Roman" w:eastAsia="Times New Roman" w:hAnsi="Times New Roman"/>
          <w:sz w:val="14"/>
          <w:szCs w:val="14"/>
          <w:u w:val="single" w:color="auto"/>
          <w:color w:val="0000EE"/>
        </w:rPr>
      </w:pPr>
    </w:p>
    <w:p>
      <w:pPr>
        <w:ind w:left="2040" w:right="800" w:hanging="757"/>
        <w:spacing w:after="0" w:line="290" w:lineRule="auto"/>
        <w:tabs>
          <w:tab w:leader="none" w:pos="1352" w:val="left"/>
        </w:tabs>
        <w:numPr>
          <w:ilvl w:val="0"/>
          <w:numId w:val="7"/>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4.6</w:t>
      </w:r>
      <w:hyperlink r:id="rId79">
        <w:r>
          <w:rPr>
            <w:rFonts w:ascii="Times New Roman" w:cs="Times New Roman" w:eastAsia="Times New Roman" w:hAnsi="Times New Roman"/>
            <w:sz w:val="14"/>
            <w:szCs w:val="14"/>
            <w:u w:val="single" w:color="auto"/>
            <w:color w:val="0000EE"/>
          </w:rPr>
          <w:t>Form of Securities Purchase Agreement between Tempest</w:t>
        </w:r>
      </w:hyperlink>
      <w:r>
        <w:rPr>
          <w:rFonts w:ascii="Times New Roman" w:cs="Times New Roman" w:eastAsia="Times New Roman" w:hAnsi="Times New Roman"/>
          <w:sz w:val="14"/>
          <w:szCs w:val="14"/>
          <w:u w:val="single" w:color="auto"/>
          <w:color w:val="0000EE"/>
        </w:rPr>
        <w:t xml:space="preserve"> </w:t>
      </w:r>
      <w:hyperlink r:id="rId79">
        <w:r>
          <w:rPr>
            <w:rFonts w:ascii="Times New Roman" w:cs="Times New Roman" w:eastAsia="Times New Roman" w:hAnsi="Times New Roman"/>
            <w:sz w:val="14"/>
            <w:szCs w:val="14"/>
            <w:u w:val="single" w:color="auto"/>
            <w:color w:val="0000EE"/>
          </w:rPr>
          <w:t>Therapeutics, Inc. and the purchaser party thereto</w:t>
        </w:r>
      </w:hyperlink>
    </w:p>
    <w:p>
      <w:pPr>
        <w:spacing w:after="0" w:line="38" w:lineRule="exact"/>
        <w:rPr>
          <w:rFonts w:ascii="Times New Roman" w:cs="Times New Roman" w:eastAsia="Times New Roman" w:hAnsi="Times New Roman"/>
          <w:sz w:val="14"/>
          <w:szCs w:val="14"/>
          <w:u w:val="single" w:color="auto"/>
          <w:color w:val="0000EE"/>
        </w:rPr>
      </w:pPr>
    </w:p>
    <w:p>
      <w:pPr>
        <w:ind w:left="1360" w:hanging="77"/>
        <w:spacing w:after="0"/>
        <w:tabs>
          <w:tab w:leader="none" w:pos="1360" w:val="left"/>
        </w:tabs>
        <w:numPr>
          <w:ilvl w:val="0"/>
          <w:numId w:val="7"/>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4.7</w:t>
      </w:r>
      <w:hyperlink r:id="rId80">
        <w:r>
          <w:rPr>
            <w:rFonts w:ascii="Times New Roman" w:cs="Times New Roman" w:eastAsia="Times New Roman" w:hAnsi="Times New Roman"/>
            <w:sz w:val="14"/>
            <w:szCs w:val="14"/>
            <w:u w:val="single" w:color="auto"/>
            <w:color w:val="0000EE"/>
          </w:rPr>
          <w:t>Form of Tempest Therapeutics, Inc. Prefunded Warrant.</w:t>
        </w:r>
      </w:hyperlink>
    </w:p>
    <w:p>
      <w:pPr>
        <w:spacing w:after="0" w:line="95" w:lineRule="exact"/>
        <w:rPr>
          <w:rFonts w:ascii="Times New Roman" w:cs="Times New Roman" w:eastAsia="Times New Roman" w:hAnsi="Times New Roman"/>
          <w:sz w:val="14"/>
          <w:szCs w:val="14"/>
          <w:u w:val="single" w:color="auto"/>
          <w:color w:val="0000EE"/>
        </w:rPr>
      </w:pPr>
    </w:p>
    <w:p>
      <w:pPr>
        <w:ind w:left="1360" w:hanging="77"/>
        <w:spacing w:after="0"/>
        <w:tabs>
          <w:tab w:leader="none" w:pos="1360" w:val="left"/>
        </w:tabs>
        <w:numPr>
          <w:ilvl w:val="0"/>
          <w:numId w:val="7"/>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4.8</w:t>
      </w:r>
      <w:hyperlink r:id="rId81">
        <w:r>
          <w:rPr>
            <w:rFonts w:ascii="Times New Roman" w:cs="Times New Roman" w:eastAsia="Times New Roman" w:hAnsi="Times New Roman"/>
            <w:sz w:val="14"/>
            <w:szCs w:val="14"/>
            <w:u w:val="single" w:color="auto"/>
            <w:color w:val="0000EE"/>
          </w:rPr>
          <w:t>Form of Tempest Therapeutics, Inc. Common Warrant.</w:t>
        </w:r>
      </w:hyperlink>
    </w:p>
    <w:p>
      <w:pPr>
        <w:spacing w:after="0" w:line="95" w:lineRule="exact"/>
        <w:rPr>
          <w:rFonts w:ascii="Times New Roman" w:cs="Times New Roman" w:eastAsia="Times New Roman" w:hAnsi="Times New Roman"/>
          <w:sz w:val="14"/>
          <w:szCs w:val="14"/>
          <w:u w:val="single" w:color="auto"/>
          <w:color w:val="0000EE"/>
        </w:rPr>
      </w:pPr>
    </w:p>
    <w:p>
      <w:pPr>
        <w:ind w:left="1360" w:hanging="77"/>
        <w:spacing w:after="0"/>
        <w:tabs>
          <w:tab w:leader="none" w:pos="1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5.1</w:t>
      </w:r>
      <w:r>
        <w:rPr>
          <w:rFonts w:ascii="Times New Roman" w:cs="Times New Roman" w:eastAsia="Times New Roman" w:hAnsi="Times New Roman"/>
          <w:sz w:val="14"/>
          <w:szCs w:val="14"/>
          <w:u w:val="single" w:color="auto"/>
          <w:color w:val="0000EE"/>
        </w:rPr>
        <w:t>Opinion of Cooley LLP</w:t>
      </w:r>
    </w:p>
    <w:p>
      <w:pPr>
        <w:spacing w:after="0" w:line="8" w:lineRule="exact"/>
        <w:rPr>
          <w:rFonts w:ascii="Times New Roman" w:cs="Times New Roman" w:eastAsia="Times New Roman" w:hAnsi="Times New Roman"/>
          <w:sz w:val="14"/>
          <w:szCs w:val="14"/>
          <w:color w:val="auto"/>
        </w:rPr>
      </w:pPr>
    </w:p>
    <w:tbl>
      <w:tblPr>
        <w:tblLayout w:type="fixed"/>
        <w:tblInd w:w="1280" w:type="dxa"/>
        <w:tblCellMar>
          <w:top w:w="0" w:type="dxa"/>
          <w:left w:w="0" w:type="dxa"/>
          <w:bottom w:w="0" w:type="dxa"/>
          <w:right w:w="0" w:type="dxa"/>
        </w:tblCellMar>
      </w:tblPr>
      <w:tr>
        <w:trPr>
          <w:trHeight w:val="24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10.1</w:t>
            </w:r>
            <w:r>
              <w:rPr>
                <w:rFonts w:ascii="Times New Roman" w:cs="Times New Roman" w:eastAsia="Times New Roman" w:hAnsi="Times New Roman"/>
                <w:sz w:val="21"/>
                <w:szCs w:val="21"/>
                <w:color w:val="auto"/>
                <w:vertAlign w:val="superscript"/>
              </w:rPr>
              <w:t>+</w:t>
            </w:r>
          </w:p>
        </w:tc>
        <w:tc>
          <w:tcPr>
            <w:tcW w:w="1560" w:type="dxa"/>
            <w:vAlign w:val="bottom"/>
            <w:tcBorders>
              <w:bottom w:val="single" w:sz="8" w:color="0000EE"/>
            </w:tcBorders>
          </w:tcPr>
          <w:p>
            <w:pPr>
              <w:spacing w:after="0"/>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2011 Equity Incentive Plan</w:t>
              </w:r>
            </w:hyperlink>
          </w:p>
        </w:tc>
        <w:tc>
          <w:tcPr>
            <w:tcW w:w="2520" w:type="dxa"/>
            <w:vAlign w:val="bottom"/>
            <w:gridSpan w:val="8"/>
          </w:tcPr>
          <w:p>
            <w:pPr>
              <w:spacing w:after="0"/>
              <w:rPr>
                <w:sz w:val="21"/>
                <w:szCs w:val="21"/>
                <w:color w:val="auto"/>
              </w:rPr>
            </w:pPr>
          </w:p>
        </w:tc>
      </w:tr>
      <w:tr>
        <w:trPr>
          <w:trHeight w:val="237"/>
        </w:trPr>
        <w:tc>
          <w:tcPr>
            <w:tcW w:w="760" w:type="dxa"/>
            <w:vAlign w:val="bottom"/>
          </w:tcPr>
          <w:p>
            <w:pPr>
              <w:spacing w:after="0" w:line="237" w:lineRule="exact"/>
              <w:rPr>
                <w:sz w:val="20"/>
                <w:szCs w:val="20"/>
                <w:color w:val="auto"/>
              </w:rPr>
            </w:pPr>
            <w:r>
              <w:rPr>
                <w:rFonts w:ascii="Times New Roman" w:cs="Times New Roman" w:eastAsia="Times New Roman" w:hAnsi="Times New Roman"/>
                <w:sz w:val="14"/>
                <w:szCs w:val="14"/>
                <w:color w:val="auto"/>
              </w:rPr>
              <w:t>  10.2</w:t>
            </w:r>
            <w:r>
              <w:rPr>
                <w:rFonts w:ascii="Times New Roman" w:cs="Times New Roman" w:eastAsia="Times New Roman" w:hAnsi="Times New Roman"/>
                <w:sz w:val="21"/>
                <w:szCs w:val="21"/>
                <w:color w:val="auto"/>
                <w:vertAlign w:val="superscript"/>
              </w:rPr>
              <w:t>+</w:t>
            </w:r>
          </w:p>
        </w:tc>
        <w:tc>
          <w:tcPr>
            <w:tcW w:w="1560" w:type="dxa"/>
            <w:vAlign w:val="bottom"/>
            <w:tcBorders>
              <w:bottom w:val="single" w:sz="8" w:color="0000EE"/>
            </w:tcBorders>
          </w:tcPr>
          <w:p>
            <w:pPr>
              <w:spacing w:after="0"/>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2017 Equity Incentive Plan</w:t>
              </w:r>
            </w:hyperlink>
          </w:p>
        </w:tc>
        <w:tc>
          <w:tcPr>
            <w:tcW w:w="2520" w:type="dxa"/>
            <w:vAlign w:val="bottom"/>
            <w:gridSpan w:val="8"/>
          </w:tcPr>
          <w:p>
            <w:pPr>
              <w:spacing w:after="0"/>
              <w:rPr>
                <w:sz w:val="20"/>
                <w:szCs w:val="20"/>
                <w:color w:val="auto"/>
              </w:rPr>
            </w:pPr>
          </w:p>
        </w:tc>
      </w:tr>
      <w:tr>
        <w:trPr>
          <w:trHeight w:val="237"/>
        </w:trPr>
        <w:tc>
          <w:tcPr>
            <w:tcW w:w="760" w:type="dxa"/>
            <w:vAlign w:val="bottom"/>
          </w:tcPr>
          <w:p>
            <w:pPr>
              <w:spacing w:after="0" w:line="237" w:lineRule="exact"/>
              <w:rPr>
                <w:sz w:val="20"/>
                <w:szCs w:val="20"/>
                <w:color w:val="auto"/>
              </w:rPr>
            </w:pPr>
            <w:r>
              <w:rPr>
                <w:rFonts w:ascii="Times New Roman" w:cs="Times New Roman" w:eastAsia="Times New Roman" w:hAnsi="Times New Roman"/>
                <w:sz w:val="14"/>
                <w:szCs w:val="14"/>
                <w:color w:val="auto"/>
              </w:rPr>
              <w:t>  10.3</w:t>
            </w:r>
            <w:r>
              <w:rPr>
                <w:rFonts w:ascii="Times New Roman" w:cs="Times New Roman" w:eastAsia="Times New Roman" w:hAnsi="Times New Roman"/>
                <w:sz w:val="21"/>
                <w:szCs w:val="21"/>
                <w:color w:val="auto"/>
                <w:vertAlign w:val="superscript"/>
              </w:rPr>
              <w:t>+</w:t>
            </w:r>
          </w:p>
        </w:tc>
        <w:tc>
          <w:tcPr>
            <w:tcW w:w="408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Form of Stock Option Agreement under the 2017 Equity Incentive Plan</w:t>
              </w:r>
            </w:hyperlink>
          </w:p>
        </w:tc>
      </w:tr>
      <w:tr>
        <w:trPr>
          <w:trHeight w:val="237"/>
        </w:trPr>
        <w:tc>
          <w:tcPr>
            <w:tcW w:w="760" w:type="dxa"/>
            <w:vAlign w:val="bottom"/>
          </w:tcPr>
          <w:p>
            <w:pPr>
              <w:spacing w:after="0" w:line="237" w:lineRule="exact"/>
              <w:rPr>
                <w:sz w:val="20"/>
                <w:szCs w:val="20"/>
                <w:color w:val="auto"/>
              </w:rPr>
            </w:pPr>
            <w:r>
              <w:rPr>
                <w:rFonts w:ascii="Times New Roman" w:cs="Times New Roman" w:eastAsia="Times New Roman" w:hAnsi="Times New Roman"/>
                <w:sz w:val="14"/>
                <w:szCs w:val="14"/>
                <w:color w:val="auto"/>
              </w:rPr>
              <w:t>  10.4</w:t>
            </w:r>
            <w:r>
              <w:rPr>
                <w:rFonts w:ascii="Times New Roman" w:cs="Times New Roman" w:eastAsia="Times New Roman" w:hAnsi="Times New Roman"/>
                <w:sz w:val="21"/>
                <w:szCs w:val="21"/>
                <w:color w:val="auto"/>
                <w:vertAlign w:val="superscript"/>
              </w:rPr>
              <w:t>+</w:t>
            </w:r>
          </w:p>
        </w:tc>
        <w:tc>
          <w:tcPr>
            <w:tcW w:w="292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Amended and Restated 2019 Equity Incentive Plan</w:t>
              </w:r>
            </w:hyperlink>
          </w:p>
        </w:tc>
        <w:tc>
          <w:tcPr>
            <w:tcW w:w="1160" w:type="dxa"/>
            <w:vAlign w:val="bottom"/>
            <w:gridSpan w:val="5"/>
          </w:tcPr>
          <w:p>
            <w:pPr>
              <w:spacing w:after="0"/>
              <w:rPr>
                <w:sz w:val="20"/>
                <w:szCs w:val="20"/>
                <w:color w:val="auto"/>
              </w:rPr>
            </w:pPr>
          </w:p>
        </w:tc>
      </w:tr>
      <w:tr>
        <w:trPr>
          <w:trHeight w:val="237"/>
        </w:trPr>
        <w:tc>
          <w:tcPr>
            <w:tcW w:w="760" w:type="dxa"/>
            <w:vAlign w:val="bottom"/>
          </w:tcPr>
          <w:p>
            <w:pPr>
              <w:spacing w:after="0" w:line="237" w:lineRule="exact"/>
              <w:rPr>
                <w:sz w:val="20"/>
                <w:szCs w:val="20"/>
                <w:color w:val="auto"/>
              </w:rPr>
            </w:pPr>
            <w:r>
              <w:rPr>
                <w:rFonts w:ascii="Times New Roman" w:cs="Times New Roman" w:eastAsia="Times New Roman" w:hAnsi="Times New Roman"/>
                <w:sz w:val="14"/>
                <w:szCs w:val="14"/>
                <w:color w:val="auto"/>
              </w:rPr>
              <w:t>  10.5</w:t>
            </w:r>
            <w:r>
              <w:rPr>
                <w:rFonts w:ascii="Times New Roman" w:cs="Times New Roman" w:eastAsia="Times New Roman" w:hAnsi="Times New Roman"/>
                <w:sz w:val="21"/>
                <w:szCs w:val="21"/>
                <w:color w:val="auto"/>
                <w:vertAlign w:val="superscript"/>
              </w:rPr>
              <w:t>+</w:t>
            </w:r>
          </w:p>
        </w:tc>
        <w:tc>
          <w:tcPr>
            <w:tcW w:w="372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Form of Option Grant Package under 2019 Equity Incentive Plan</w:t>
              </w:r>
            </w:hyperlink>
          </w:p>
        </w:tc>
        <w:tc>
          <w:tcPr>
            <w:tcW w:w="360" w:type="dxa"/>
            <w:vAlign w:val="bottom"/>
            <w:gridSpan w:val="2"/>
          </w:tcPr>
          <w:p>
            <w:pPr>
              <w:spacing w:after="0"/>
              <w:rPr>
                <w:sz w:val="20"/>
                <w:szCs w:val="20"/>
                <w:color w:val="auto"/>
              </w:rPr>
            </w:pPr>
          </w:p>
        </w:tc>
      </w:tr>
      <w:tr>
        <w:trPr>
          <w:trHeight w:val="237"/>
        </w:trPr>
        <w:tc>
          <w:tcPr>
            <w:tcW w:w="760" w:type="dxa"/>
            <w:vAlign w:val="bottom"/>
          </w:tcPr>
          <w:p>
            <w:pPr>
              <w:spacing w:after="0" w:line="237" w:lineRule="exact"/>
              <w:rPr>
                <w:sz w:val="20"/>
                <w:szCs w:val="20"/>
                <w:color w:val="auto"/>
              </w:rPr>
            </w:pPr>
            <w:r>
              <w:rPr>
                <w:rFonts w:ascii="Times New Roman" w:cs="Times New Roman" w:eastAsia="Times New Roman" w:hAnsi="Times New Roman"/>
                <w:sz w:val="14"/>
                <w:szCs w:val="14"/>
                <w:color w:val="auto"/>
              </w:rPr>
              <w:t>  10.6</w:t>
            </w:r>
            <w:r>
              <w:rPr>
                <w:rFonts w:ascii="Times New Roman" w:cs="Times New Roman" w:eastAsia="Times New Roman" w:hAnsi="Times New Roman"/>
                <w:sz w:val="21"/>
                <w:szCs w:val="21"/>
                <w:color w:val="auto"/>
                <w:vertAlign w:val="superscript"/>
              </w:rPr>
              <w:t>+</w:t>
            </w:r>
          </w:p>
        </w:tc>
        <w:tc>
          <w:tcPr>
            <w:tcW w:w="368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Form of Stock Option Agreement under the Sub Plan for French</w:t>
              </w:r>
            </w:hyperlink>
          </w:p>
        </w:tc>
        <w:tc>
          <w:tcPr>
            <w:tcW w:w="400" w:type="dxa"/>
            <w:vAlign w:val="bottom"/>
            <w:gridSpan w:val="3"/>
          </w:tcPr>
          <w:p>
            <w:pPr>
              <w:spacing w:after="0"/>
              <w:rPr>
                <w:sz w:val="20"/>
                <w:szCs w:val="20"/>
                <w:color w:val="auto"/>
              </w:rPr>
            </w:pPr>
          </w:p>
        </w:tc>
      </w:tr>
      <w:tr>
        <w:trPr>
          <w:trHeight w:val="151"/>
        </w:trPr>
        <w:tc>
          <w:tcPr>
            <w:tcW w:w="760" w:type="dxa"/>
            <w:vAlign w:val="bottom"/>
          </w:tcPr>
          <w:p>
            <w:pPr>
              <w:spacing w:after="0"/>
              <w:rPr>
                <w:sz w:val="13"/>
                <w:szCs w:val="13"/>
                <w:color w:val="auto"/>
              </w:rPr>
            </w:pPr>
          </w:p>
        </w:tc>
        <w:tc>
          <w:tcPr>
            <w:tcW w:w="4080" w:type="dxa"/>
            <w:vAlign w:val="bottom"/>
            <w:gridSpan w:val="9"/>
          </w:tcPr>
          <w:p>
            <w:pPr>
              <w:spacing w:after="0" w:line="151"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Residents under 2019 Equity Incentive Plan</w:t>
              </w:r>
            </w:hyperlink>
          </w:p>
        </w:tc>
      </w:tr>
      <w:tr>
        <w:trPr>
          <w:trHeight w:val="20"/>
        </w:trPr>
        <w:tc>
          <w:tcPr>
            <w:tcW w:w="76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760" w:type="dxa"/>
            <w:vAlign w:val="bottom"/>
          </w:tcPr>
          <w:p>
            <w:pPr>
              <w:spacing w:after="0" w:line="237" w:lineRule="exact"/>
              <w:rPr>
                <w:sz w:val="20"/>
                <w:szCs w:val="20"/>
                <w:color w:val="auto"/>
              </w:rPr>
            </w:pPr>
            <w:r>
              <w:rPr>
                <w:rFonts w:ascii="Times New Roman" w:cs="Times New Roman" w:eastAsia="Times New Roman" w:hAnsi="Times New Roman"/>
                <w:sz w:val="14"/>
                <w:szCs w:val="14"/>
                <w:color w:val="auto"/>
              </w:rPr>
              <w:t>  10.7</w:t>
            </w:r>
            <w:r>
              <w:rPr>
                <w:rFonts w:ascii="Times New Roman" w:cs="Times New Roman" w:eastAsia="Times New Roman" w:hAnsi="Times New Roman"/>
                <w:sz w:val="21"/>
                <w:szCs w:val="21"/>
                <w:color w:val="auto"/>
                <w:vertAlign w:val="superscript"/>
              </w:rPr>
              <w:t>+</w:t>
            </w:r>
          </w:p>
        </w:tc>
        <w:tc>
          <w:tcPr>
            <w:tcW w:w="4080" w:type="dxa"/>
            <w:vAlign w:val="bottom"/>
            <w:gridSpan w:val="9"/>
          </w:tcPr>
          <w:p>
            <w:pPr>
              <w:spacing w:after="0"/>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Form of Inducement Nonqualified Stock Option Agreement subject to</w:t>
              </w:r>
            </w:hyperlink>
          </w:p>
        </w:tc>
      </w:tr>
      <w:tr>
        <w:trPr>
          <w:trHeight w:val="151"/>
        </w:trPr>
        <w:tc>
          <w:tcPr>
            <w:tcW w:w="760" w:type="dxa"/>
            <w:vAlign w:val="bottom"/>
          </w:tcPr>
          <w:p>
            <w:pPr>
              <w:spacing w:after="0"/>
              <w:rPr>
                <w:sz w:val="13"/>
                <w:szCs w:val="13"/>
                <w:color w:val="auto"/>
              </w:rPr>
            </w:pPr>
          </w:p>
        </w:tc>
        <w:tc>
          <w:tcPr>
            <w:tcW w:w="4000" w:type="dxa"/>
            <w:vAlign w:val="bottom"/>
            <w:tcBorders>
              <w:top w:val="single" w:sz="8" w:color="0000EE"/>
            </w:tcBorders>
            <w:gridSpan w:val="8"/>
          </w:tcPr>
          <w:p>
            <w:pPr>
              <w:spacing w:after="0" w:line="151"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the terms of the 2019 Equity Incentive Plan</w:t>
              </w:r>
            </w:hyperlink>
          </w:p>
        </w:tc>
        <w:tc>
          <w:tcPr>
            <w:tcW w:w="8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r>
      <w:tr>
        <w:trPr>
          <w:trHeight w:val="237"/>
        </w:trPr>
        <w:tc>
          <w:tcPr>
            <w:tcW w:w="760" w:type="dxa"/>
            <w:vAlign w:val="bottom"/>
          </w:tcPr>
          <w:p>
            <w:pPr>
              <w:spacing w:after="0" w:line="237" w:lineRule="exact"/>
              <w:rPr>
                <w:sz w:val="20"/>
                <w:szCs w:val="20"/>
                <w:color w:val="auto"/>
              </w:rPr>
            </w:pPr>
            <w:r>
              <w:rPr>
                <w:rFonts w:ascii="Times New Roman" w:cs="Times New Roman" w:eastAsia="Times New Roman" w:hAnsi="Times New Roman"/>
                <w:sz w:val="14"/>
                <w:szCs w:val="14"/>
                <w:color w:val="auto"/>
              </w:rPr>
              <w:t>  10.8</w:t>
            </w:r>
            <w:r>
              <w:rPr>
                <w:rFonts w:ascii="Times New Roman" w:cs="Times New Roman" w:eastAsia="Times New Roman" w:hAnsi="Times New Roman"/>
                <w:sz w:val="21"/>
                <w:szCs w:val="21"/>
                <w:color w:val="auto"/>
                <w:vertAlign w:val="superscript"/>
              </w:rPr>
              <w:t>+</w:t>
            </w:r>
          </w:p>
        </w:tc>
        <w:tc>
          <w:tcPr>
            <w:tcW w:w="346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Amended and Restated 2019 Employee Stock Purchase Plan</w:t>
              </w:r>
            </w:hyperlink>
          </w:p>
        </w:tc>
        <w:tc>
          <w:tcPr>
            <w:tcW w:w="620" w:type="dxa"/>
            <w:vAlign w:val="bottom"/>
            <w:gridSpan w:val="4"/>
          </w:tcPr>
          <w:p>
            <w:pPr>
              <w:spacing w:after="0"/>
              <w:rPr>
                <w:sz w:val="20"/>
                <w:szCs w:val="20"/>
                <w:color w:val="auto"/>
              </w:rPr>
            </w:pPr>
          </w:p>
        </w:tc>
      </w:tr>
      <w:tr>
        <w:trPr>
          <w:trHeight w:val="237"/>
        </w:trPr>
        <w:tc>
          <w:tcPr>
            <w:tcW w:w="760" w:type="dxa"/>
            <w:vAlign w:val="bottom"/>
          </w:tcPr>
          <w:p>
            <w:pPr>
              <w:spacing w:after="0" w:line="237" w:lineRule="exact"/>
              <w:rPr>
                <w:sz w:val="20"/>
                <w:szCs w:val="20"/>
                <w:color w:val="auto"/>
              </w:rPr>
            </w:pPr>
            <w:r>
              <w:rPr>
                <w:rFonts w:ascii="Times New Roman" w:cs="Times New Roman" w:eastAsia="Times New Roman" w:hAnsi="Times New Roman"/>
                <w:sz w:val="14"/>
                <w:szCs w:val="14"/>
                <w:color w:val="auto"/>
              </w:rPr>
              <w:t>  10.9</w:t>
            </w:r>
            <w:r>
              <w:rPr>
                <w:rFonts w:ascii="Times New Roman" w:cs="Times New Roman" w:eastAsia="Times New Roman" w:hAnsi="Times New Roman"/>
                <w:sz w:val="21"/>
                <w:szCs w:val="21"/>
                <w:color w:val="auto"/>
                <w:vertAlign w:val="superscript"/>
              </w:rPr>
              <w:t>+</w:t>
            </w:r>
          </w:p>
        </w:tc>
        <w:tc>
          <w:tcPr>
            <w:tcW w:w="2080" w:type="dxa"/>
            <w:vAlign w:val="bottom"/>
            <w:tcBorders>
              <w:bottom w:val="single" w:sz="8" w:color="0000EE"/>
            </w:tcBorders>
            <w:gridSpan w:val="2"/>
          </w:tcPr>
          <w:p>
            <w:pPr>
              <w:spacing w:after="0"/>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Form of Indemnification Agreement</w:t>
              </w:r>
            </w:hyperlink>
          </w:p>
        </w:tc>
        <w:tc>
          <w:tcPr>
            <w:tcW w:w="2000" w:type="dxa"/>
            <w:vAlign w:val="bottom"/>
            <w:gridSpan w:val="7"/>
          </w:tcPr>
          <w:p>
            <w:pPr>
              <w:spacing w:after="0"/>
              <w:rPr>
                <w:sz w:val="20"/>
                <w:szCs w:val="20"/>
                <w:color w:val="auto"/>
              </w:rPr>
            </w:pPr>
          </w:p>
        </w:tc>
      </w:tr>
    </w:tbl>
    <w:p>
      <w:pPr>
        <w:spacing w:after="0" w:line="92" w:lineRule="exact"/>
        <w:rPr>
          <w:sz w:val="20"/>
          <w:szCs w:val="20"/>
          <w:color w:val="auto"/>
        </w:rPr>
      </w:pPr>
    </w:p>
    <w:p>
      <w:pPr>
        <w:ind w:left="2040" w:right="160" w:hanging="757"/>
        <w:spacing w:after="0" w:line="290" w:lineRule="auto"/>
        <w:tabs>
          <w:tab w:leader="none" w:pos="1352" w:val="left"/>
        </w:tabs>
        <w:numPr>
          <w:ilvl w:val="0"/>
          <w:numId w:val="8"/>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10.10</w:t>
      </w:r>
      <w:hyperlink r:id="rId91">
        <w:r>
          <w:rPr>
            <w:rFonts w:ascii="Times New Roman" w:cs="Times New Roman" w:eastAsia="Times New Roman" w:hAnsi="Times New Roman"/>
            <w:sz w:val="14"/>
            <w:szCs w:val="14"/>
            <w:u w:val="single" w:color="auto"/>
            <w:color w:val="0000EE"/>
          </w:rPr>
          <w:t>Lease Agreement, dated January 24, 2022, by and between HCP Life</w:t>
        </w:r>
      </w:hyperlink>
      <w:r>
        <w:rPr>
          <w:rFonts w:ascii="Times New Roman" w:cs="Times New Roman" w:eastAsia="Times New Roman" w:hAnsi="Times New Roman"/>
          <w:sz w:val="14"/>
          <w:szCs w:val="14"/>
          <w:u w:val="single" w:color="auto"/>
          <w:color w:val="0000EE"/>
        </w:rPr>
        <w:t xml:space="preserve"> </w:t>
      </w:r>
      <w:hyperlink r:id="rId91">
        <w:r>
          <w:rPr>
            <w:rFonts w:ascii="Times New Roman" w:cs="Times New Roman" w:eastAsia="Times New Roman" w:hAnsi="Times New Roman"/>
            <w:sz w:val="14"/>
            <w:szCs w:val="14"/>
            <w:u w:val="single" w:color="auto"/>
            <w:color w:val="0000EE"/>
          </w:rPr>
          <w:t>Science REIT, Inc. and Tempest Therapeutics, Inc.</w:t>
        </w:r>
      </w:hyperlink>
    </w:p>
    <w:p>
      <w:pPr>
        <w:spacing w:after="0" w:line="38" w:lineRule="exact"/>
        <w:rPr>
          <w:rFonts w:ascii="Times New Roman" w:cs="Times New Roman" w:eastAsia="Times New Roman" w:hAnsi="Times New Roman"/>
          <w:sz w:val="14"/>
          <w:szCs w:val="14"/>
          <w:u w:val="single" w:color="auto"/>
          <w:color w:val="0000EE"/>
        </w:rPr>
      </w:pPr>
    </w:p>
    <w:p>
      <w:pPr>
        <w:ind w:left="2040" w:right="460" w:hanging="757"/>
        <w:spacing w:after="0" w:line="290" w:lineRule="auto"/>
        <w:tabs>
          <w:tab w:leader="none" w:pos="1352" w:val="left"/>
        </w:tabs>
        <w:numPr>
          <w:ilvl w:val="0"/>
          <w:numId w:val="8"/>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10.11</w:t>
      </w:r>
      <w:hyperlink r:id="rId92">
        <w:r>
          <w:rPr>
            <w:rFonts w:ascii="Times New Roman" w:cs="Times New Roman" w:eastAsia="Times New Roman" w:hAnsi="Times New Roman"/>
            <w:sz w:val="14"/>
            <w:szCs w:val="14"/>
            <w:u w:val="single" w:color="auto"/>
            <w:color w:val="0000EE"/>
          </w:rPr>
          <w:t>Tempest Therapeutics, Inc. Amended and Restated 2023 Equity</w:t>
        </w:r>
      </w:hyperlink>
      <w:r>
        <w:rPr>
          <w:rFonts w:ascii="Times New Roman" w:cs="Times New Roman" w:eastAsia="Times New Roman" w:hAnsi="Times New Roman"/>
          <w:sz w:val="14"/>
          <w:szCs w:val="14"/>
          <w:u w:val="single" w:color="auto"/>
          <w:color w:val="0000EE"/>
        </w:rPr>
        <w:t xml:space="preserve"> </w:t>
      </w:r>
      <w:hyperlink r:id="rId92">
        <w:r>
          <w:rPr>
            <w:rFonts w:ascii="Times New Roman" w:cs="Times New Roman" w:eastAsia="Times New Roman" w:hAnsi="Times New Roman"/>
            <w:sz w:val="14"/>
            <w:szCs w:val="14"/>
            <w:u w:val="single" w:color="auto"/>
            <w:color w:val="0000EE"/>
          </w:rPr>
          <w:t>Incentive Plan</w:t>
        </w:r>
      </w:hyperlink>
    </w:p>
    <w:p>
      <w:pPr>
        <w:spacing w:after="0" w:line="38" w:lineRule="exact"/>
        <w:rPr>
          <w:rFonts w:ascii="Times New Roman" w:cs="Times New Roman" w:eastAsia="Times New Roman" w:hAnsi="Times New Roman"/>
          <w:sz w:val="14"/>
          <w:szCs w:val="14"/>
          <w:u w:val="single" w:color="auto"/>
          <w:color w:val="0000EE"/>
        </w:rPr>
      </w:pPr>
    </w:p>
    <w:p>
      <w:pPr>
        <w:ind w:left="2040" w:right="80" w:hanging="757"/>
        <w:spacing w:after="0" w:line="290" w:lineRule="auto"/>
        <w:tabs>
          <w:tab w:leader="none" w:pos="1352" w:val="left"/>
        </w:tabs>
        <w:numPr>
          <w:ilvl w:val="0"/>
          <w:numId w:val="8"/>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10.12</w:t>
      </w:r>
      <w:hyperlink r:id="rId93">
        <w:r>
          <w:rPr>
            <w:rFonts w:ascii="Times New Roman" w:cs="Times New Roman" w:eastAsia="Times New Roman" w:hAnsi="Times New Roman"/>
            <w:sz w:val="14"/>
            <w:szCs w:val="14"/>
            <w:u w:val="single" w:color="auto"/>
            <w:color w:val="0000EE"/>
          </w:rPr>
          <w:t>Form of Option Grant Package under the Amended and Restated 2023</w:t>
        </w:r>
      </w:hyperlink>
      <w:r>
        <w:rPr>
          <w:rFonts w:ascii="Times New Roman" w:cs="Times New Roman" w:eastAsia="Times New Roman" w:hAnsi="Times New Roman"/>
          <w:sz w:val="14"/>
          <w:szCs w:val="14"/>
          <w:u w:val="single" w:color="auto"/>
          <w:color w:val="0000EE"/>
        </w:rPr>
        <w:t xml:space="preserve"> </w:t>
      </w:r>
      <w:hyperlink r:id="rId93">
        <w:r>
          <w:rPr>
            <w:rFonts w:ascii="Times New Roman" w:cs="Times New Roman" w:eastAsia="Times New Roman" w:hAnsi="Times New Roman"/>
            <w:sz w:val="14"/>
            <w:szCs w:val="14"/>
            <w:u w:val="single" w:color="auto"/>
            <w:color w:val="0000EE"/>
          </w:rPr>
          <w:t>Equity Incentive Plan</w:t>
        </w:r>
      </w:hyperlink>
    </w:p>
    <w:p>
      <w:pPr>
        <w:spacing w:after="0" w:line="38" w:lineRule="exact"/>
        <w:rPr>
          <w:rFonts w:ascii="Times New Roman" w:cs="Times New Roman" w:eastAsia="Times New Roman" w:hAnsi="Times New Roman"/>
          <w:sz w:val="14"/>
          <w:szCs w:val="14"/>
          <w:u w:val="single" w:color="auto"/>
          <w:color w:val="0000EE"/>
        </w:rPr>
      </w:pPr>
    </w:p>
    <w:p>
      <w:pPr>
        <w:ind w:left="1360" w:hanging="77"/>
        <w:spacing w:after="0"/>
        <w:tabs>
          <w:tab w:leader="none" w:pos="1360" w:val="left"/>
        </w:tabs>
        <w:numPr>
          <w:ilvl w:val="0"/>
          <w:numId w:val="8"/>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10.13</w:t>
      </w:r>
      <w:hyperlink r:id="rId94">
        <w:r>
          <w:rPr>
            <w:rFonts w:ascii="Times New Roman" w:cs="Times New Roman" w:eastAsia="Times New Roman" w:hAnsi="Times New Roman"/>
            <w:sz w:val="14"/>
            <w:szCs w:val="14"/>
            <w:u w:val="single" w:color="auto"/>
            <w:color w:val="0000EE"/>
          </w:rPr>
          <w:t>Tempest Therapeutics, Inc. 2023 Inducement Plan</w:t>
        </w:r>
      </w:hyperlink>
    </w:p>
    <w:p>
      <w:pPr>
        <w:spacing w:after="0" w:line="128" w:lineRule="exact"/>
        <w:rPr>
          <w:rFonts w:ascii="Times New Roman" w:cs="Times New Roman" w:eastAsia="Times New Roman" w:hAnsi="Times New Roman"/>
          <w:sz w:val="14"/>
          <w:szCs w:val="14"/>
          <w:u w:val="single" w:color="auto"/>
          <w:color w:val="0000EE"/>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br w:type="column"/>
      </w:r>
    </w:p>
    <w:p>
      <w:pPr>
        <w:spacing w:after="0" w:line="394" w:lineRule="exact"/>
        <w:rPr>
          <w:rFonts w:ascii="Times New Roman" w:cs="Times New Roman" w:eastAsia="Times New Roman" w:hAnsi="Times New Roman"/>
          <w:sz w:val="14"/>
          <w:szCs w:val="14"/>
          <w:u w:val="single" w:color="auto"/>
          <w:color w:val="0000EE"/>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p>
      <w:pPr>
        <w:spacing w:after="0" w:line="10" w:lineRule="exact"/>
        <w:rPr>
          <w:rFonts w:ascii="Times New Roman" w:cs="Times New Roman" w:eastAsia="Times New Roman" w:hAnsi="Times New Roman"/>
          <w:sz w:val="14"/>
          <w:szCs w:val="14"/>
          <w:u w:val="single" w:color="auto"/>
          <w:color w:val="0000EE"/>
        </w:rPr>
      </w:pPr>
    </w:p>
    <w:tbl>
      <w:tblPr>
        <w:tblLayout w:type="fixed"/>
        <w:tblInd w:w="0" w:type="dxa"/>
        <w:tblCellMar>
          <w:top w:w="0" w:type="dxa"/>
          <w:left w:w="0" w:type="dxa"/>
          <w:bottom w:w="0" w:type="dxa"/>
          <w:right w:w="0" w:type="dxa"/>
        </w:tblCellMar>
      </w:tblPr>
      <w:tr>
        <w:trPr>
          <w:trHeight w:val="89"/>
        </w:trPr>
        <w:tc>
          <w:tcPr>
            <w:tcW w:w="3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rPr>
              <w:t>Filed or</w:t>
            </w:r>
          </w:p>
        </w:tc>
        <w:tc>
          <w:tcPr>
            <w:tcW w:w="0" w:type="dxa"/>
            <w:vAlign w:val="bottom"/>
          </w:tcPr>
          <w:p>
            <w:pPr>
              <w:spacing w:after="0"/>
              <w:rPr>
                <w:sz w:val="1"/>
                <w:szCs w:val="1"/>
                <w:color w:val="auto"/>
              </w:rPr>
            </w:pPr>
          </w:p>
        </w:tc>
      </w:tr>
      <w:tr>
        <w:trPr>
          <w:trHeight w:val="118"/>
        </w:trPr>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Form</w:t>
            </w:r>
          </w:p>
        </w:tc>
        <w:tc>
          <w:tcPr>
            <w:tcW w:w="220" w:type="dxa"/>
            <w:vAlign w:val="bottom"/>
            <w:vMerge w:val="restart"/>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220" w:type="dxa"/>
            <w:vAlign w:val="bottom"/>
            <w:vMerge w:val="restart"/>
          </w:tcPr>
          <w:p>
            <w:pPr>
              <w:spacing w:after="0"/>
              <w:rPr>
                <w:sz w:val="10"/>
                <w:szCs w:val="10"/>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220" w:type="dxa"/>
            <w:vAlign w:val="bottom"/>
            <w:vMerge w:val="restart"/>
          </w:tcPr>
          <w:p>
            <w:pPr>
              <w:spacing w:after="0"/>
              <w:rPr>
                <w:sz w:val="10"/>
                <w:szCs w:val="10"/>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220" w:type="dxa"/>
            <w:vAlign w:val="bottom"/>
            <w:vMerge w:val="restart"/>
          </w:tcPr>
          <w:p>
            <w:pPr>
              <w:spacing w:after="0"/>
              <w:rPr>
                <w:sz w:val="10"/>
                <w:szCs w:val="10"/>
                <w:color w:val="auto"/>
              </w:rPr>
            </w:pP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Furnished</w:t>
            </w:r>
          </w:p>
        </w:tc>
        <w:tc>
          <w:tcPr>
            <w:tcW w:w="0" w:type="dxa"/>
            <w:vAlign w:val="bottom"/>
          </w:tcPr>
          <w:p>
            <w:pPr>
              <w:spacing w:after="0"/>
              <w:rPr>
                <w:sz w:val="1"/>
                <w:szCs w:val="1"/>
                <w:color w:val="auto"/>
              </w:rPr>
            </w:pPr>
          </w:p>
        </w:tc>
      </w:tr>
      <w:tr>
        <w:trPr>
          <w:trHeight w:val="137"/>
        </w:trPr>
        <w:tc>
          <w:tcPr>
            <w:tcW w:w="34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4"/>
          <w:szCs w:val="14"/>
          <w:u w:val="single" w:color="auto"/>
          <w:color w:val="0000EE"/>
        </w:rPr>
      </w:pPr>
    </w:p>
    <w:p>
      <w:pPr>
        <w:spacing w:after="0" w:line="373" w:lineRule="exact"/>
        <w:rPr>
          <w:rFonts w:ascii="Times New Roman" w:cs="Times New Roman" w:eastAsia="Times New Roman" w:hAnsi="Times New Roman"/>
          <w:sz w:val="14"/>
          <w:szCs w:val="14"/>
          <w:u w:val="single" w:color="auto"/>
          <w:color w:val="0000EE"/>
        </w:rPr>
      </w:pPr>
    </w:p>
    <w:tbl>
      <w:tblPr>
        <w:tblLayout w:type="fixed"/>
        <w:tblInd w:w="40" w:type="dxa"/>
        <w:tblCellMar>
          <w:top w:w="0" w:type="dxa"/>
          <w:left w:w="0" w:type="dxa"/>
          <w:bottom w:w="0" w:type="dxa"/>
          <w:right w:w="0" w:type="dxa"/>
        </w:tblCellMar>
      </w:tblPr>
      <w:tr>
        <w:trPr>
          <w:trHeight w:val="185"/>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12/06/2024</w:t>
            </w:r>
          </w:p>
        </w:tc>
      </w:tr>
      <w:tr>
        <w:trPr>
          <w:trHeight w:val="428"/>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11/26/2025</w:t>
            </w:r>
          </w:p>
        </w:tc>
      </w:tr>
      <w:tr>
        <w:trPr>
          <w:trHeight w:val="257"/>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4.2</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11/26/2025</w:t>
            </w:r>
          </w:p>
        </w:tc>
      </w:tr>
      <w:tr>
        <w:trPr>
          <w:trHeight w:val="257"/>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4.3</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11/26/2025</w:t>
            </w:r>
          </w:p>
        </w:tc>
      </w:tr>
      <w:tr>
        <w:trPr>
          <w:trHeight w:val="257"/>
        </w:trPr>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r>
      <w:tr>
        <w:trPr>
          <w:trHeight w:val="257"/>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S-8</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333-257727</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10.2</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7/7/2021</w:t>
            </w:r>
          </w:p>
        </w:tc>
      </w:tr>
      <w:tr>
        <w:trPr>
          <w:trHeight w:val="257"/>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S-8</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333-257727</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10.1</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7/7/2021</w:t>
            </w:r>
          </w:p>
        </w:tc>
      </w:tr>
      <w:tr>
        <w:trPr>
          <w:trHeight w:val="257"/>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7"/>
              </w:rPr>
              <w:t>10-K</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10.3</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3/29/2022</w:t>
            </w:r>
          </w:p>
        </w:tc>
      </w:tr>
      <w:tr>
        <w:trPr>
          <w:trHeight w:val="257"/>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10.1</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6/21/2022</w:t>
            </w:r>
          </w:p>
        </w:tc>
      </w:tr>
      <w:tr>
        <w:trPr>
          <w:trHeight w:val="257"/>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7"/>
              </w:rPr>
              <w:t>10-Q</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10.7</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8/12/2019</w:t>
            </w:r>
          </w:p>
        </w:tc>
      </w:tr>
      <w:tr>
        <w:trPr>
          <w:trHeight w:val="428"/>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7"/>
              </w:rPr>
              <w:t>10-K</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10.16</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3/11/2020</w:t>
            </w:r>
          </w:p>
        </w:tc>
      </w:tr>
      <w:tr>
        <w:trPr>
          <w:trHeight w:val="428"/>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7"/>
              </w:rPr>
              <w:t>10-K</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10.17</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3/11/2020</w:t>
            </w:r>
          </w:p>
        </w:tc>
      </w:tr>
      <w:tr>
        <w:trPr>
          <w:trHeight w:val="257"/>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10.2</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6/21/2022</w:t>
            </w:r>
          </w:p>
        </w:tc>
      </w:tr>
      <w:tr>
        <w:trPr>
          <w:trHeight w:val="257"/>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10.1</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7/07/2021</w:t>
            </w:r>
          </w:p>
        </w:tc>
      </w:tr>
      <w:tr>
        <w:trPr>
          <w:trHeight w:val="428"/>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7"/>
              </w:rPr>
              <w:t>10-K</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10.24</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3/22/2023</w:t>
            </w:r>
          </w:p>
        </w:tc>
      </w:tr>
      <w:tr>
        <w:trPr>
          <w:trHeight w:val="428"/>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7"/>
              </w:rPr>
              <w:t>10-Q</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10.1</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8/10/2023</w:t>
            </w:r>
          </w:p>
        </w:tc>
      </w:tr>
      <w:tr>
        <w:trPr>
          <w:trHeight w:val="428"/>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7"/>
              </w:rPr>
              <w:t>10-Q</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10.2</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8/10/2023</w:t>
            </w:r>
          </w:p>
        </w:tc>
      </w:tr>
      <w:tr>
        <w:trPr>
          <w:trHeight w:val="257"/>
        </w:trPr>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7"/>
              </w:rPr>
              <w:t>10-Q</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10.3</w:t>
            </w: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8/10/2023</w:t>
            </w:r>
          </w:p>
        </w:tc>
      </w:tr>
    </w:tbl>
    <w:p>
      <w:pPr>
        <w:sectPr>
          <w:pgSz w:w="11900" w:h="16838" w:orient="portrait"/>
          <w:cols w:equalWidth="0" w:num="2">
            <w:col w:w="6140" w:space="180"/>
            <w:col w:w="3839"/>
          </w:cols>
          <w:pgMar w:left="300" w:top="390"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3" w:lineRule="exact"/>
        <w:rPr>
          <w:sz w:val="20"/>
          <w:szCs w:val="20"/>
          <w:color w:val="auto"/>
        </w:rPr>
      </w:pPr>
    </w:p>
    <w:tbl>
      <w:tblPr>
        <w:tblLayout w:type="fixed"/>
        <w:tblInd w:w="1280" w:type="dxa"/>
        <w:tblCellMar>
          <w:top w:w="0" w:type="dxa"/>
          <w:left w:w="0" w:type="dxa"/>
          <w:bottom w:w="0" w:type="dxa"/>
          <w:right w:w="0" w:type="dxa"/>
        </w:tblCellMar>
      </w:tblPr>
      <w:tr>
        <w:trPr>
          <w:trHeight w:val="137"/>
        </w:trPr>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4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rPr>
              <w:t>Filed or</w:t>
            </w:r>
          </w:p>
        </w:tc>
        <w:tc>
          <w:tcPr>
            <w:tcW w:w="0" w:type="dxa"/>
            <w:vAlign w:val="bottom"/>
          </w:tcPr>
          <w:p>
            <w:pPr>
              <w:spacing w:after="0"/>
              <w:rPr>
                <w:sz w:val="1"/>
                <w:szCs w:val="1"/>
                <w:color w:val="auto"/>
              </w:rPr>
            </w:pPr>
          </w:p>
        </w:tc>
      </w:tr>
      <w:tr>
        <w:trPr>
          <w:trHeight w:val="116"/>
        </w:trPr>
        <w:tc>
          <w:tcPr>
            <w:tcW w:w="4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18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180" w:type="dxa"/>
            <w:vAlign w:val="bottom"/>
            <w:vMerge w:val="restart"/>
          </w:tcPr>
          <w:p>
            <w:pPr>
              <w:spacing w:after="0"/>
              <w:rPr>
                <w:sz w:val="10"/>
                <w:szCs w:val="10"/>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Form</w:t>
            </w:r>
          </w:p>
        </w:tc>
        <w:tc>
          <w:tcPr>
            <w:tcW w:w="22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200" w:type="dxa"/>
            <w:vAlign w:val="bottom"/>
            <w:vMerge w:val="restart"/>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200" w:type="dxa"/>
            <w:vAlign w:val="bottom"/>
            <w:vMerge w:val="restart"/>
          </w:tcPr>
          <w:p>
            <w:pPr>
              <w:spacing w:after="0"/>
              <w:rPr>
                <w:sz w:val="10"/>
                <w:szCs w:val="10"/>
                <w:color w:val="auto"/>
              </w:rPr>
            </w:pPr>
          </w:p>
        </w:tc>
        <w:tc>
          <w:tcPr>
            <w:tcW w:w="720" w:type="dxa"/>
            <w:vAlign w:val="bottom"/>
            <w:vMerge w:val="restart"/>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200" w:type="dxa"/>
            <w:vAlign w:val="bottom"/>
            <w:vMerge w:val="restart"/>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Furnished</w:t>
            </w:r>
          </w:p>
        </w:tc>
        <w:tc>
          <w:tcPr>
            <w:tcW w:w="0" w:type="dxa"/>
            <w:vAlign w:val="bottom"/>
          </w:tcPr>
          <w:p>
            <w:pPr>
              <w:spacing w:after="0"/>
              <w:rPr>
                <w:sz w:val="1"/>
                <w:szCs w:val="1"/>
                <w:color w:val="auto"/>
              </w:rPr>
            </w:pPr>
          </w:p>
        </w:tc>
      </w:tr>
      <w:tr>
        <w:trPr>
          <w:trHeight w:val="130"/>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20" w:type="dxa"/>
            <w:vAlign w:val="bottom"/>
          </w:tcPr>
          <w:p>
            <w:pPr>
              <w:spacing w:after="0"/>
              <w:rPr>
                <w:sz w:val="11"/>
                <w:szCs w:val="11"/>
                <w:color w:val="auto"/>
              </w:rPr>
            </w:pPr>
          </w:p>
        </w:tc>
        <w:tc>
          <w:tcPr>
            <w:tcW w:w="4180" w:type="dxa"/>
            <w:vAlign w:val="bottom"/>
            <w:tcBorders>
              <w:bottom w:val="single" w:sz="8" w:color="auto"/>
            </w:tcBorders>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r>
        <w:trPr>
          <w:trHeight w:val="21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w w:val="95"/>
              </w:rPr>
              <w:t>  10.14</w:t>
            </w:r>
          </w:p>
        </w:tc>
        <w:tc>
          <w:tcPr>
            <w:tcW w:w="320" w:type="dxa"/>
            <w:vAlign w:val="bottom"/>
          </w:tcPr>
          <w:p>
            <w:pPr>
              <w:spacing w:after="0"/>
              <w:rPr>
                <w:sz w:val="18"/>
                <w:szCs w:val="18"/>
                <w:color w:val="auto"/>
              </w:rPr>
            </w:pPr>
          </w:p>
        </w:tc>
        <w:tc>
          <w:tcPr>
            <w:tcW w:w="3660" w:type="dxa"/>
            <w:vAlign w:val="bottom"/>
            <w:tcBorders>
              <w:bottom w:val="single" w:sz="8" w:color="0000EE"/>
            </w:tcBorders>
          </w:tcPr>
          <w:p>
            <w:pPr>
              <w:spacing w:after="0"/>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Form of Option Grant Package under the 2023 Inducement Plan</w:t>
              </w:r>
            </w:hyperlink>
          </w:p>
        </w:tc>
        <w:tc>
          <w:tcPr>
            <w:tcW w:w="700" w:type="dxa"/>
            <w:vAlign w:val="bottom"/>
            <w:gridSpan w:val="2"/>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10-Q</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001-35890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8/10/2023</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360" w:hanging="77"/>
        <w:spacing w:after="0"/>
        <w:tabs>
          <w:tab w:leader="none" w:pos="1360" w:val="left"/>
        </w:tabs>
        <w:numPr>
          <w:ilvl w:val="0"/>
          <w:numId w:val="9"/>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10.15#</w:t>
      </w:r>
      <w:hyperlink r:id="rId97">
        <w:r>
          <w:rPr>
            <w:rFonts w:ascii="Times New Roman" w:cs="Times New Roman" w:eastAsia="Times New Roman" w:hAnsi="Times New Roman"/>
            <w:sz w:val="14"/>
            <w:szCs w:val="14"/>
            <w:u w:val="single" w:color="auto"/>
            <w:color w:val="0000EE"/>
          </w:rPr>
          <w:t>Roche Supply Agreement, dated October 7, 2024, by and between the</w:t>
        </w:r>
      </w:hyperlink>
    </w:p>
    <w:p>
      <w:pPr>
        <w:spacing w:after="0" w:line="3"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246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Registrant and F. Hoffmann-La Roche Ltd.</w:t>
              </w:r>
            </w:hyperlink>
          </w:p>
        </w:tc>
        <w:tc>
          <w:tcPr>
            <w:tcW w:w="1520" w:type="dxa"/>
            <w:vAlign w:val="bottom"/>
            <w:gridSpan w:val="3"/>
          </w:tcPr>
          <w:p>
            <w:pPr>
              <w:spacing w:after="0"/>
              <w:rPr>
                <w:sz w:val="13"/>
                <w:szCs w:val="13"/>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10-K</w:t>
            </w: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10.32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3/27/2025</w:t>
            </w:r>
          </w:p>
        </w:tc>
      </w:tr>
      <w:tr>
        <w:trPr>
          <w:trHeight w:val="23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10.16+</w:t>
            </w:r>
          </w:p>
        </w:tc>
        <w:tc>
          <w:tcPr>
            <w:tcW w:w="1800" w:type="dxa"/>
            <w:vAlign w:val="bottom"/>
            <w:tcBorders>
              <w:bottom w:val="single" w:sz="8" w:color="0000EE"/>
            </w:tcBorders>
          </w:tcPr>
          <w:p>
            <w:pPr>
              <w:spacing w:after="0"/>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Form of Consulting Agreement</w:t>
              </w:r>
            </w:hyperlink>
          </w:p>
        </w:tc>
        <w:tc>
          <w:tcPr>
            <w:tcW w:w="2180" w:type="dxa"/>
            <w:vAlign w:val="bottom"/>
            <w:gridSpan w:val="8"/>
          </w:tcPr>
          <w:p>
            <w:pPr>
              <w:spacing w:after="0"/>
              <w:rPr>
                <w:sz w:val="20"/>
                <w:szCs w:val="20"/>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10-Q</w:t>
            </w: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8/11/2025</w:t>
            </w:r>
          </w:p>
        </w:tc>
      </w:tr>
      <w:tr>
        <w:trPr>
          <w:trHeight w:val="23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10.17+</w:t>
            </w:r>
          </w:p>
        </w:tc>
        <w:tc>
          <w:tcPr>
            <w:tcW w:w="398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Separation Agreement, dated June 13, 2025, by and between Tempest</w:t>
              </w:r>
            </w:hyperlink>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51"/>
        </w:trPr>
        <w:tc>
          <w:tcPr>
            <w:tcW w:w="740" w:type="dxa"/>
            <w:vAlign w:val="bottom"/>
          </w:tcPr>
          <w:p>
            <w:pPr>
              <w:spacing w:after="0"/>
              <w:rPr>
                <w:sz w:val="13"/>
                <w:szCs w:val="13"/>
                <w:color w:val="auto"/>
              </w:rPr>
            </w:pPr>
          </w:p>
        </w:tc>
        <w:tc>
          <w:tcPr>
            <w:tcW w:w="3980" w:type="dxa"/>
            <w:vAlign w:val="bottom"/>
            <w:gridSpan w:val="9"/>
          </w:tcPr>
          <w:p>
            <w:pPr>
              <w:spacing w:after="0" w:line="151" w:lineRule="exact"/>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Therapeutics, Inc. and Stephen Brady</w:t>
              </w:r>
            </w:hyperlink>
          </w:p>
        </w:tc>
        <w:tc>
          <w:tcPr>
            <w:tcW w:w="980" w:type="dxa"/>
            <w:vAlign w:val="bottom"/>
          </w:tcPr>
          <w:p>
            <w:pPr>
              <w:ind w:left="560"/>
              <w:spacing w:after="0" w:line="151" w:lineRule="exact"/>
              <w:rPr>
                <w:sz w:val="20"/>
                <w:szCs w:val="20"/>
                <w:color w:val="auto"/>
              </w:rPr>
            </w:pPr>
            <w:r>
              <w:rPr>
                <w:rFonts w:ascii="Times New Roman" w:cs="Times New Roman" w:eastAsia="Times New Roman" w:hAnsi="Times New Roman"/>
                <w:sz w:val="14"/>
                <w:szCs w:val="14"/>
                <w:color w:val="auto"/>
              </w:rPr>
              <w:t>10-Q</w:t>
            </w:r>
          </w:p>
        </w:tc>
        <w:tc>
          <w:tcPr>
            <w:tcW w:w="880" w:type="dxa"/>
            <w:vAlign w:val="bottom"/>
          </w:tcPr>
          <w:p>
            <w:pPr>
              <w:jc w:val="right"/>
              <w:ind w:right="69"/>
              <w:spacing w:after="0" w:line="151" w:lineRule="exact"/>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109"/>
              <w:spacing w:after="0" w:line="151" w:lineRule="exact"/>
              <w:rPr>
                <w:sz w:val="20"/>
                <w:szCs w:val="20"/>
                <w:color w:val="auto"/>
              </w:rPr>
            </w:pPr>
            <w:r>
              <w:rPr>
                <w:rFonts w:ascii="Times New Roman" w:cs="Times New Roman" w:eastAsia="Times New Roman" w:hAnsi="Times New Roman"/>
                <w:sz w:val="14"/>
                <w:szCs w:val="14"/>
                <w:color w:val="auto"/>
              </w:rPr>
              <w:t>10.3</w:t>
            </w: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8/11/2025</w:t>
            </w:r>
          </w:p>
        </w:tc>
      </w:tr>
      <w:tr>
        <w:trPr>
          <w:trHeight w:val="20"/>
        </w:trPr>
        <w:tc>
          <w:tcPr>
            <w:tcW w:w="74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10.18+</w:t>
            </w:r>
          </w:p>
        </w:tc>
        <w:tc>
          <w:tcPr>
            <w:tcW w:w="398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Separation Agreement, dated June 13, 2025, by and between Tempest</w:t>
              </w:r>
            </w:hyperlink>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51"/>
        </w:trPr>
        <w:tc>
          <w:tcPr>
            <w:tcW w:w="740" w:type="dxa"/>
            <w:vAlign w:val="bottom"/>
          </w:tcPr>
          <w:p>
            <w:pPr>
              <w:spacing w:after="0"/>
              <w:rPr>
                <w:sz w:val="13"/>
                <w:szCs w:val="13"/>
                <w:color w:val="auto"/>
              </w:rPr>
            </w:pPr>
          </w:p>
        </w:tc>
        <w:tc>
          <w:tcPr>
            <w:tcW w:w="2240" w:type="dxa"/>
            <w:vAlign w:val="bottom"/>
            <w:tcBorders>
              <w:bottom w:val="single" w:sz="8" w:color="0000EE"/>
            </w:tcBorders>
            <w:gridSpan w:val="4"/>
          </w:tcPr>
          <w:p>
            <w:pPr>
              <w:spacing w:after="0" w:line="151" w:lineRule="exact"/>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Therapeutics, Inc. and Samuel Whiting</w:t>
              </w:r>
            </w:hyperlink>
          </w:p>
        </w:tc>
        <w:tc>
          <w:tcPr>
            <w:tcW w:w="1740" w:type="dxa"/>
            <w:vAlign w:val="bottom"/>
            <w:gridSpan w:val="5"/>
          </w:tcPr>
          <w:p>
            <w:pPr>
              <w:spacing w:after="0"/>
              <w:rPr>
                <w:sz w:val="13"/>
                <w:szCs w:val="13"/>
                <w:color w:val="auto"/>
              </w:rPr>
            </w:pPr>
          </w:p>
        </w:tc>
        <w:tc>
          <w:tcPr>
            <w:tcW w:w="980" w:type="dxa"/>
            <w:vAlign w:val="bottom"/>
          </w:tcPr>
          <w:p>
            <w:pPr>
              <w:ind w:left="560"/>
              <w:spacing w:after="0" w:line="151" w:lineRule="exact"/>
              <w:rPr>
                <w:sz w:val="20"/>
                <w:szCs w:val="20"/>
                <w:color w:val="auto"/>
              </w:rPr>
            </w:pPr>
            <w:r>
              <w:rPr>
                <w:rFonts w:ascii="Times New Roman" w:cs="Times New Roman" w:eastAsia="Times New Roman" w:hAnsi="Times New Roman"/>
                <w:sz w:val="14"/>
                <w:szCs w:val="14"/>
                <w:color w:val="auto"/>
              </w:rPr>
              <w:t>10-Q</w:t>
            </w:r>
          </w:p>
        </w:tc>
        <w:tc>
          <w:tcPr>
            <w:tcW w:w="880" w:type="dxa"/>
            <w:vAlign w:val="bottom"/>
          </w:tcPr>
          <w:p>
            <w:pPr>
              <w:jc w:val="right"/>
              <w:ind w:right="69"/>
              <w:spacing w:after="0" w:line="151" w:lineRule="exact"/>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109"/>
              <w:spacing w:after="0" w:line="151" w:lineRule="exact"/>
              <w:rPr>
                <w:sz w:val="20"/>
                <w:szCs w:val="20"/>
                <w:color w:val="auto"/>
              </w:rPr>
            </w:pPr>
            <w:r>
              <w:rPr>
                <w:rFonts w:ascii="Times New Roman" w:cs="Times New Roman" w:eastAsia="Times New Roman" w:hAnsi="Times New Roman"/>
                <w:sz w:val="14"/>
                <w:szCs w:val="14"/>
                <w:color w:val="auto"/>
              </w:rPr>
              <w:t>10.4</w:t>
            </w: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8/11/2025</w:t>
            </w:r>
          </w:p>
        </w:tc>
      </w:tr>
      <w:tr>
        <w:trPr>
          <w:trHeight w:val="23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10.19+</w:t>
            </w:r>
          </w:p>
        </w:tc>
        <w:tc>
          <w:tcPr>
            <w:tcW w:w="398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Separation Agreement, dated June 13, 2025, by and between Tempest</w:t>
              </w:r>
            </w:hyperlink>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51"/>
        </w:trPr>
        <w:tc>
          <w:tcPr>
            <w:tcW w:w="740" w:type="dxa"/>
            <w:vAlign w:val="bottom"/>
          </w:tcPr>
          <w:p>
            <w:pPr>
              <w:spacing w:after="0"/>
              <w:rPr>
                <w:sz w:val="13"/>
                <w:szCs w:val="13"/>
                <w:color w:val="auto"/>
              </w:rPr>
            </w:pPr>
          </w:p>
        </w:tc>
        <w:tc>
          <w:tcPr>
            <w:tcW w:w="2320" w:type="dxa"/>
            <w:vAlign w:val="bottom"/>
            <w:tcBorders>
              <w:bottom w:val="single" w:sz="8" w:color="0000EE"/>
            </w:tcBorders>
            <w:gridSpan w:val="5"/>
          </w:tcPr>
          <w:p>
            <w:pPr>
              <w:spacing w:after="0" w:line="151"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Therapeutics, Inc. and Nicholas Maestas</w:t>
              </w:r>
            </w:hyperlink>
          </w:p>
        </w:tc>
        <w:tc>
          <w:tcPr>
            <w:tcW w:w="1660" w:type="dxa"/>
            <w:vAlign w:val="bottom"/>
            <w:gridSpan w:val="4"/>
          </w:tcPr>
          <w:p>
            <w:pPr>
              <w:spacing w:after="0"/>
              <w:rPr>
                <w:sz w:val="13"/>
                <w:szCs w:val="13"/>
                <w:color w:val="auto"/>
              </w:rPr>
            </w:pPr>
          </w:p>
        </w:tc>
        <w:tc>
          <w:tcPr>
            <w:tcW w:w="980" w:type="dxa"/>
            <w:vAlign w:val="bottom"/>
          </w:tcPr>
          <w:p>
            <w:pPr>
              <w:ind w:left="560"/>
              <w:spacing w:after="0" w:line="151" w:lineRule="exact"/>
              <w:rPr>
                <w:sz w:val="20"/>
                <w:szCs w:val="20"/>
                <w:color w:val="auto"/>
              </w:rPr>
            </w:pPr>
            <w:r>
              <w:rPr>
                <w:rFonts w:ascii="Times New Roman" w:cs="Times New Roman" w:eastAsia="Times New Roman" w:hAnsi="Times New Roman"/>
                <w:sz w:val="14"/>
                <w:szCs w:val="14"/>
                <w:color w:val="auto"/>
              </w:rPr>
              <w:t>10-Q</w:t>
            </w:r>
          </w:p>
        </w:tc>
        <w:tc>
          <w:tcPr>
            <w:tcW w:w="880" w:type="dxa"/>
            <w:vAlign w:val="bottom"/>
          </w:tcPr>
          <w:p>
            <w:pPr>
              <w:jc w:val="right"/>
              <w:ind w:right="69"/>
              <w:spacing w:after="0" w:line="151" w:lineRule="exact"/>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109"/>
              <w:spacing w:after="0" w:line="151" w:lineRule="exact"/>
              <w:rPr>
                <w:sz w:val="20"/>
                <w:szCs w:val="20"/>
                <w:color w:val="auto"/>
              </w:rPr>
            </w:pPr>
            <w:r>
              <w:rPr>
                <w:rFonts w:ascii="Times New Roman" w:cs="Times New Roman" w:eastAsia="Times New Roman" w:hAnsi="Times New Roman"/>
                <w:sz w:val="14"/>
                <w:szCs w:val="14"/>
                <w:color w:val="auto"/>
              </w:rPr>
              <w:t>10.5</w:t>
            </w: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8/11/2025</w:t>
            </w:r>
          </w:p>
        </w:tc>
      </w:tr>
      <w:tr>
        <w:trPr>
          <w:trHeight w:val="23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10.20+</w:t>
            </w:r>
          </w:p>
        </w:tc>
        <w:tc>
          <w:tcPr>
            <w:tcW w:w="2020" w:type="dxa"/>
            <w:vAlign w:val="bottom"/>
            <w:tcBorders>
              <w:bottom w:val="single" w:sz="8" w:color="0000EE"/>
            </w:tcBorders>
            <w:gridSpan w:val="2"/>
          </w:tcPr>
          <w:p>
            <w:pPr>
              <w:spacing w:after="0"/>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Form of Success Bonus Agreement</w:t>
              </w:r>
            </w:hyperlink>
          </w:p>
        </w:tc>
        <w:tc>
          <w:tcPr>
            <w:tcW w:w="1960" w:type="dxa"/>
            <w:vAlign w:val="bottom"/>
            <w:gridSpan w:val="7"/>
          </w:tcPr>
          <w:p>
            <w:pPr>
              <w:spacing w:after="0"/>
              <w:rPr>
                <w:sz w:val="20"/>
                <w:szCs w:val="20"/>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10-Q</w:t>
            </w: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8/11/2025</w:t>
            </w:r>
          </w:p>
        </w:tc>
      </w:tr>
      <w:tr>
        <w:trPr>
          <w:trHeight w:val="23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10.21+</w:t>
            </w:r>
          </w:p>
        </w:tc>
        <w:tc>
          <w:tcPr>
            <w:tcW w:w="3980" w:type="dxa"/>
            <w:vAlign w:val="bottom"/>
            <w:gridSpan w:val="9"/>
          </w:tcPr>
          <w:p>
            <w:pPr>
              <w:spacing w:after="0"/>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Amended and Restated Offer Letter, dated August 11, 2025, by and</w:t>
              </w:r>
            </w:hyperlink>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51"/>
        </w:trPr>
        <w:tc>
          <w:tcPr>
            <w:tcW w:w="740" w:type="dxa"/>
            <w:vAlign w:val="bottom"/>
          </w:tcPr>
          <w:p>
            <w:pPr>
              <w:spacing w:after="0"/>
              <w:rPr>
                <w:sz w:val="13"/>
                <w:szCs w:val="13"/>
                <w:color w:val="auto"/>
              </w:rPr>
            </w:pPr>
          </w:p>
        </w:tc>
        <w:tc>
          <w:tcPr>
            <w:tcW w:w="3840" w:type="dxa"/>
            <w:vAlign w:val="bottom"/>
            <w:tcBorders>
              <w:top w:val="single" w:sz="8" w:color="0000EE"/>
            </w:tcBorders>
            <w:gridSpan w:val="8"/>
          </w:tcPr>
          <w:p>
            <w:pPr>
              <w:spacing w:after="0" w:line="151"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between Tempest Therapeutics, Inc. and Justin Trojanowski</w:t>
              </w:r>
            </w:hyperlink>
          </w:p>
        </w:tc>
        <w:tc>
          <w:tcPr>
            <w:tcW w:w="140" w:type="dxa"/>
            <w:vAlign w:val="bottom"/>
          </w:tcPr>
          <w:p>
            <w:pPr>
              <w:spacing w:after="0"/>
              <w:rPr>
                <w:sz w:val="13"/>
                <w:szCs w:val="13"/>
                <w:color w:val="auto"/>
              </w:rPr>
            </w:pPr>
          </w:p>
        </w:tc>
        <w:tc>
          <w:tcPr>
            <w:tcW w:w="980" w:type="dxa"/>
            <w:vAlign w:val="bottom"/>
          </w:tcPr>
          <w:p>
            <w:pPr>
              <w:ind w:left="560"/>
              <w:spacing w:after="0" w:line="151" w:lineRule="exact"/>
              <w:rPr>
                <w:sz w:val="20"/>
                <w:szCs w:val="20"/>
                <w:color w:val="auto"/>
              </w:rPr>
            </w:pPr>
            <w:r>
              <w:rPr>
                <w:rFonts w:ascii="Times New Roman" w:cs="Times New Roman" w:eastAsia="Times New Roman" w:hAnsi="Times New Roman"/>
                <w:sz w:val="14"/>
                <w:szCs w:val="14"/>
                <w:color w:val="auto"/>
              </w:rPr>
              <w:t>10-Q</w:t>
            </w:r>
          </w:p>
        </w:tc>
        <w:tc>
          <w:tcPr>
            <w:tcW w:w="880" w:type="dxa"/>
            <w:vAlign w:val="bottom"/>
          </w:tcPr>
          <w:p>
            <w:pPr>
              <w:jc w:val="right"/>
              <w:ind w:right="69"/>
              <w:spacing w:after="0" w:line="151" w:lineRule="exact"/>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right"/>
              <w:ind w:right="109"/>
              <w:spacing w:after="0" w:line="151" w:lineRule="exact"/>
              <w:rPr>
                <w:sz w:val="20"/>
                <w:szCs w:val="20"/>
                <w:color w:val="auto"/>
              </w:rPr>
            </w:pPr>
            <w:r>
              <w:rPr>
                <w:rFonts w:ascii="Times New Roman" w:cs="Times New Roman" w:eastAsia="Times New Roman" w:hAnsi="Times New Roman"/>
                <w:sz w:val="14"/>
                <w:szCs w:val="14"/>
                <w:color w:val="auto"/>
              </w:rPr>
              <w:t>10.7</w:t>
            </w: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8/11/2025</w:t>
            </w:r>
          </w:p>
        </w:tc>
      </w:tr>
      <w:tr>
        <w:trPr>
          <w:trHeight w:val="20"/>
        </w:trPr>
        <w:tc>
          <w:tcPr>
            <w:tcW w:w="7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92" w:lineRule="exact"/>
        <w:rPr>
          <w:sz w:val="20"/>
          <w:szCs w:val="20"/>
          <w:color w:val="auto"/>
        </w:rPr>
      </w:pPr>
    </w:p>
    <w:p>
      <w:pPr>
        <w:ind w:left="1360" w:hanging="77"/>
        <w:spacing w:after="0"/>
        <w:tabs>
          <w:tab w:leader="none" w:pos="1360" w:val="left"/>
        </w:tabs>
        <w:numPr>
          <w:ilvl w:val="0"/>
          <w:numId w:val="10"/>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10.22*</w:t>
      </w:r>
      <w:hyperlink r:id="rId104">
        <w:r>
          <w:rPr>
            <w:rFonts w:ascii="Times New Roman" w:cs="Times New Roman" w:eastAsia="Times New Roman" w:hAnsi="Times New Roman"/>
            <w:sz w:val="14"/>
            <w:szCs w:val="14"/>
            <w:u w:val="single" w:color="auto"/>
            <w:color w:val="0000EE"/>
          </w:rPr>
          <w:t>Asset Purchase Agreement, dated November 19, 2025, by and among</w:t>
        </w:r>
      </w:hyperlink>
    </w:p>
    <w:p>
      <w:pPr>
        <w:spacing w:after="0" w:line="3"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880" w:type="dxa"/>
            <w:vAlign w:val="bottom"/>
            <w:tcBorders>
              <w:bottom w:val="single" w:sz="8" w:color="0000EE"/>
            </w:tcBorders>
          </w:tcPr>
          <w:p>
            <w:pPr>
              <w:spacing w:after="0"/>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Erigen LLC, Factor Bioscience Inc., and Tempest Therapeutics, Inc.</w:t>
              </w:r>
            </w:hyperlink>
          </w:p>
        </w:tc>
        <w:tc>
          <w:tcPr>
            <w:tcW w:w="10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8-K</w:t>
            </w: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001-35890</w:t>
            </w:r>
          </w:p>
        </w:tc>
        <w:tc>
          <w:tcPr>
            <w:tcW w:w="5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11/19/2025</w:t>
            </w:r>
          </w:p>
        </w:tc>
      </w:tr>
    </w:tbl>
    <w:p>
      <w:pPr>
        <w:spacing w:after="0" w:line="92" w:lineRule="exact"/>
        <w:rPr>
          <w:sz w:val="20"/>
          <w:szCs w:val="20"/>
          <w:color w:val="auto"/>
        </w:rPr>
      </w:pPr>
    </w:p>
    <w:p>
      <w:pPr>
        <w:ind w:left="1360" w:hanging="77"/>
        <w:spacing w:after="0"/>
        <w:tabs>
          <w:tab w:leader="none" w:pos="1360" w:val="left"/>
        </w:tabs>
        <w:numPr>
          <w:ilvl w:val="0"/>
          <w:numId w:val="11"/>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10.23</w:t>
      </w:r>
      <w:hyperlink r:id="rId105">
        <w:r>
          <w:rPr>
            <w:rFonts w:ascii="Times New Roman" w:cs="Times New Roman" w:eastAsia="Times New Roman" w:hAnsi="Times New Roman"/>
            <w:sz w:val="14"/>
            <w:szCs w:val="14"/>
            <w:u w:val="single" w:color="auto"/>
            <w:color w:val="0000EE"/>
          </w:rPr>
          <w:t>Lock-Up Agreement, dated November 19, 2025, by and between Erigen</w:t>
        </w:r>
      </w:hyperlink>
    </w:p>
    <w:p>
      <w:pPr>
        <w:spacing w:after="0" w:line="3"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3240" w:type="dxa"/>
            <w:vAlign w:val="bottom"/>
            <w:gridSpan w:val="3"/>
          </w:tcPr>
          <w:p>
            <w:pPr>
              <w:spacing w:after="0"/>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LLC and Tempest Therapeutics, Inc.</w:t>
              </w:r>
            </w:hyperlink>
          </w:p>
        </w:tc>
        <w:tc>
          <w:tcPr>
            <w:tcW w:w="1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8-K</w:t>
            </w: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001-35890</w:t>
            </w:r>
          </w:p>
        </w:tc>
        <w:tc>
          <w:tcPr>
            <w:tcW w:w="5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10.2</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11/19/2025</w:t>
            </w:r>
          </w:p>
        </w:tc>
      </w:tr>
      <w:tr>
        <w:trPr>
          <w:trHeight w:val="23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21.1</w:t>
            </w:r>
          </w:p>
        </w:tc>
        <w:tc>
          <w:tcPr>
            <w:tcW w:w="2080" w:type="dxa"/>
            <w:vAlign w:val="bottom"/>
            <w:tcBorders>
              <w:top w:val="single" w:sz="8" w:color="0000EE"/>
            </w:tcBorders>
            <w:gridSpan w:val="2"/>
          </w:tcPr>
          <w:p>
            <w:pPr>
              <w:spacing w:after="0"/>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Subsidiaries of the Registrant</w:t>
              </w:r>
            </w:hyperlink>
          </w:p>
        </w:tc>
        <w:tc>
          <w:tcPr>
            <w:tcW w:w="1160" w:type="dxa"/>
            <w:vAlign w:val="bottom"/>
          </w:tcPr>
          <w:p>
            <w:pPr>
              <w:spacing w:after="0"/>
              <w:rPr>
                <w:sz w:val="20"/>
                <w:szCs w:val="20"/>
                <w:color w:val="auto"/>
              </w:rPr>
            </w:pPr>
          </w:p>
        </w:tc>
        <w:tc>
          <w:tcPr>
            <w:tcW w:w="1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10-K/A</w:t>
            </w: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001-35890</w:t>
            </w:r>
          </w:p>
        </w:tc>
        <w:tc>
          <w:tcPr>
            <w:tcW w:w="5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21.1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4/1/2022</w:t>
            </w:r>
          </w:p>
        </w:tc>
      </w:tr>
      <w:tr>
        <w:trPr>
          <w:trHeight w:val="20"/>
        </w:trPr>
        <w:tc>
          <w:tcPr>
            <w:tcW w:w="7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92" w:lineRule="exact"/>
        <w:rPr>
          <w:sz w:val="20"/>
          <w:szCs w:val="20"/>
          <w:color w:val="auto"/>
        </w:rPr>
      </w:pPr>
    </w:p>
    <w:p>
      <w:pPr>
        <w:ind w:left="1360" w:hanging="77"/>
        <w:spacing w:after="0"/>
        <w:tabs>
          <w:tab w:leader="none" w:pos="13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23.1</w:t>
      </w:r>
      <w:r>
        <w:rPr>
          <w:rFonts w:ascii="Times New Roman" w:cs="Times New Roman" w:eastAsia="Times New Roman" w:hAnsi="Times New Roman"/>
          <w:sz w:val="14"/>
          <w:szCs w:val="14"/>
          <w:u w:val="single" w:color="auto"/>
          <w:color w:val="0000EE"/>
        </w:rPr>
        <w:t>Consent of Ernst &amp; Young LLP, independent registered public</w:t>
      </w:r>
    </w:p>
    <w:p>
      <w:pPr>
        <w:spacing w:after="0" w:line="3"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586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accounting firm</w:t>
            </w:r>
          </w:p>
        </w:tc>
        <w:tc>
          <w:tcPr>
            <w:tcW w:w="1940" w:type="dxa"/>
            <w:vAlign w:val="bottom"/>
          </w:tcPr>
          <w:p>
            <w:pPr>
              <w:ind w:left="1840"/>
              <w:spacing w:after="0"/>
              <w:rPr>
                <w:sz w:val="20"/>
                <w:szCs w:val="20"/>
                <w:color w:val="auto"/>
              </w:rPr>
            </w:pPr>
            <w:r>
              <w:rPr>
                <w:rFonts w:ascii="Times New Roman" w:cs="Times New Roman" w:eastAsia="Times New Roman" w:hAnsi="Times New Roman"/>
                <w:sz w:val="14"/>
                <w:szCs w:val="14"/>
                <w:color w:val="auto"/>
                <w:w w:val="78"/>
              </w:rPr>
              <w:t>X</w:t>
            </w:r>
          </w:p>
        </w:tc>
      </w:tr>
      <w:tr>
        <w:trPr>
          <w:trHeight w:val="20"/>
        </w:trPr>
        <w:tc>
          <w:tcPr>
            <w:tcW w:w="7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586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Consent of Cooley LLP (included in legal opinion filed as Exhibit 5.1)</w:t>
            </w:r>
          </w:p>
        </w:tc>
        <w:tc>
          <w:tcPr>
            <w:tcW w:w="1940" w:type="dxa"/>
            <w:vAlign w:val="bottom"/>
          </w:tcPr>
          <w:p>
            <w:pPr>
              <w:ind w:left="1840"/>
              <w:spacing w:after="0"/>
              <w:rPr>
                <w:sz w:val="20"/>
                <w:szCs w:val="20"/>
                <w:color w:val="auto"/>
              </w:rPr>
            </w:pPr>
            <w:r>
              <w:rPr>
                <w:rFonts w:ascii="Times New Roman" w:cs="Times New Roman" w:eastAsia="Times New Roman" w:hAnsi="Times New Roman"/>
                <w:sz w:val="14"/>
                <w:szCs w:val="14"/>
                <w:color w:val="auto"/>
                <w:w w:val="78"/>
              </w:rPr>
              <w:t>X</w:t>
            </w:r>
          </w:p>
        </w:tc>
      </w:tr>
      <w:tr>
        <w:trPr>
          <w:trHeight w:val="23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40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Power of Attorney (included on signature page)</w:t>
            </w:r>
          </w:p>
        </w:tc>
        <w:tc>
          <w:tcPr>
            <w:tcW w:w="1840" w:type="dxa"/>
            <w:vAlign w:val="bottom"/>
          </w:tcPr>
          <w:p>
            <w:pPr>
              <w:spacing w:after="0"/>
              <w:rPr>
                <w:sz w:val="20"/>
                <w:szCs w:val="20"/>
                <w:color w:val="auto"/>
              </w:rPr>
            </w:pPr>
          </w:p>
        </w:tc>
        <w:tc>
          <w:tcPr>
            <w:tcW w:w="1940" w:type="dxa"/>
            <w:vAlign w:val="bottom"/>
          </w:tcPr>
          <w:p>
            <w:pPr>
              <w:ind w:left="1840"/>
              <w:spacing w:after="0"/>
              <w:rPr>
                <w:sz w:val="20"/>
                <w:szCs w:val="20"/>
                <w:color w:val="auto"/>
              </w:rPr>
            </w:pPr>
            <w:r>
              <w:rPr>
                <w:rFonts w:ascii="Times New Roman" w:cs="Times New Roman" w:eastAsia="Times New Roman" w:hAnsi="Times New Roman"/>
                <w:sz w:val="14"/>
                <w:szCs w:val="14"/>
                <w:color w:val="auto"/>
                <w:w w:val="78"/>
              </w:rPr>
              <w:t>X</w:t>
            </w:r>
          </w:p>
        </w:tc>
      </w:tr>
      <w:tr>
        <w:trPr>
          <w:trHeight w:val="23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9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9"/>
              </w:rPr>
              <w:t>Filing Fee Table</w:t>
            </w:r>
          </w:p>
        </w:tc>
        <w:tc>
          <w:tcPr>
            <w:tcW w:w="1780" w:type="dxa"/>
            <w:vAlign w:val="bottom"/>
            <w:tcBorders>
              <w:top w:val="single" w:sz="8" w:color="0000EE"/>
            </w:tcBorders>
          </w:tcPr>
          <w:p>
            <w:pPr>
              <w:spacing w:after="0"/>
              <w:rPr>
                <w:sz w:val="20"/>
                <w:szCs w:val="20"/>
                <w:color w:val="auto"/>
              </w:rPr>
            </w:pPr>
          </w:p>
        </w:tc>
        <w:tc>
          <w:tcPr>
            <w:tcW w:w="3140" w:type="dxa"/>
            <w:vAlign w:val="bottom"/>
            <w:gridSpan w:val="2"/>
          </w:tcPr>
          <w:p>
            <w:pPr>
              <w:spacing w:after="0"/>
              <w:rPr>
                <w:sz w:val="20"/>
                <w:szCs w:val="20"/>
                <w:color w:val="auto"/>
              </w:rPr>
            </w:pPr>
          </w:p>
        </w:tc>
        <w:tc>
          <w:tcPr>
            <w:tcW w:w="1940" w:type="dxa"/>
            <w:vAlign w:val="bottom"/>
          </w:tcPr>
          <w:p>
            <w:pPr>
              <w:ind w:left="1840"/>
              <w:spacing w:after="0"/>
              <w:rPr>
                <w:sz w:val="20"/>
                <w:szCs w:val="20"/>
                <w:color w:val="auto"/>
              </w:rPr>
            </w:pPr>
            <w:r>
              <w:rPr>
                <w:rFonts w:ascii="Times New Roman" w:cs="Times New Roman" w:eastAsia="Times New Roman" w:hAnsi="Times New Roman"/>
                <w:sz w:val="14"/>
                <w:szCs w:val="14"/>
                <w:color w:val="auto"/>
                <w:w w:val="78"/>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81280</wp:posOffset>
            </wp:positionV>
            <wp:extent cx="60388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7">
                      <a:extLst>
                        <a:ext uri="{28A0092B-C50C-407E-A947-70E740481C1C}"/>
                      </a:extLst>
                    </a:blip>
                    <a:srcRect/>
                    <a:stretch>
                      <a:fillRect/>
                    </a:stretch>
                  </pic:blipFill>
                  <pic:spPr bwMode="auto">
                    <a:xfrm>
                      <a:off x="0" y="0"/>
                      <a:ext cx="603885" cy="6985"/>
                    </a:xfrm>
                    <a:prstGeom prst="rect">
                      <a:avLst/>
                    </a:prstGeom>
                    <a:noFill/>
                  </pic:spPr>
                </pic:pic>
              </a:graphicData>
            </a:graphic>
          </wp:anchor>
        </w:drawing>
      </w:r>
    </w:p>
    <w:p>
      <w:pPr>
        <w:spacing w:after="0" w:line="136" w:lineRule="exact"/>
        <w:rPr>
          <w:sz w:val="20"/>
          <w:szCs w:val="20"/>
          <w:color w:val="auto"/>
        </w:rPr>
      </w:pPr>
    </w:p>
    <w:p>
      <w:pPr>
        <w:ind w:left="1620" w:right="839" w:hanging="337"/>
        <w:spacing w:after="0" w:line="265" w:lineRule="auto"/>
        <w:tabs>
          <w:tab w:leader="none" w:pos="1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and/or schedules have been omitted pursuant to Item 601(a)(5) of Regulation S-K. The registrant hereby undertakes to furnish supplementally copies of any of the omitted exhibits and schedules upon request by the SEC.</w:t>
      </w:r>
    </w:p>
    <w:p>
      <w:pPr>
        <w:ind w:left="1620" w:hanging="337"/>
        <w:spacing w:after="0"/>
        <w:tabs>
          <w:tab w:leader="none" w:pos="16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10" w:lineRule="exact"/>
        <w:rPr>
          <w:sz w:val="20"/>
          <w:szCs w:val="20"/>
          <w:color w:val="auto"/>
        </w:rPr>
      </w:pPr>
    </w:p>
    <w:p>
      <w:pPr>
        <w:ind w:left="1620" w:right="419" w:hanging="337"/>
        <w:spacing w:after="0" w:line="269" w:lineRule="auto"/>
        <w:tabs>
          <w:tab w:leader="none" w:pos="1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601(b)(10)(iv) of Regulation S-K, certain portions of this exhibit (indicated by ***) have been omitted because the identified information is not material and is the type that the Registrant treats as private or confidential.</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90"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(a)(1)  To file, during any period in which offers or sales are being made, a post-effective amendment to this registration statement:</w:t>
      </w:r>
    </w:p>
    <w:p>
      <w:pPr>
        <w:spacing w:after="0" w:line="106" w:lineRule="exact"/>
        <w:rPr>
          <w:sz w:val="20"/>
          <w:szCs w:val="20"/>
          <w:color w:val="auto"/>
        </w:rPr>
      </w:pPr>
    </w:p>
    <w:p>
      <w:pPr>
        <w:ind w:left="1720" w:hanging="437"/>
        <w:spacing w:after="0"/>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06" w:lineRule="exact"/>
        <w:rPr>
          <w:rFonts w:ascii="Times New Roman" w:cs="Times New Roman" w:eastAsia="Times New Roman" w:hAnsi="Times New Roman"/>
          <w:sz w:val="14"/>
          <w:szCs w:val="14"/>
          <w:color w:val="auto"/>
        </w:rPr>
      </w:pPr>
    </w:p>
    <w:p>
      <w:pPr>
        <w:ind w:left="1720" w:right="239" w:hanging="437"/>
        <w:spacing w:after="0" w:line="260"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72" w:lineRule="exact"/>
        <w:rPr>
          <w:rFonts w:ascii="Times New Roman" w:cs="Times New Roman" w:eastAsia="Times New Roman" w:hAnsi="Times New Roman"/>
          <w:sz w:val="14"/>
          <w:szCs w:val="14"/>
          <w:color w:val="auto"/>
        </w:rPr>
      </w:pPr>
    </w:p>
    <w:p>
      <w:pPr>
        <w:ind w:left="1720" w:right="279" w:hanging="437"/>
        <w:spacing w:after="0" w:line="290"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49" w:lineRule="exact"/>
        <w:rPr>
          <w:sz w:val="20"/>
          <w:szCs w:val="20"/>
          <w:color w:val="auto"/>
        </w:rPr>
      </w:pPr>
    </w:p>
    <w:p>
      <w:pPr>
        <w:jc w:val="both"/>
        <w:ind w:left="1720" w:right="419" w:hanging="437"/>
        <w:spacing w:after="0" w:line="272" w:lineRule="auto"/>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1" w:lineRule="exact"/>
        <w:rPr>
          <w:rFonts w:ascii="Times New Roman" w:cs="Times New Roman" w:eastAsia="Times New Roman" w:hAnsi="Times New Roman"/>
          <w:sz w:val="14"/>
          <w:szCs w:val="14"/>
          <w:color w:val="auto"/>
        </w:rPr>
      </w:pPr>
    </w:p>
    <w:p>
      <w:pPr>
        <w:ind w:left="1720" w:right="779" w:hanging="437"/>
        <w:spacing w:after="0" w:line="290" w:lineRule="auto"/>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49" w:lineRule="exact"/>
        <w:rPr>
          <w:rFonts w:ascii="Times New Roman" w:cs="Times New Roman" w:eastAsia="Times New Roman" w:hAnsi="Times New Roman"/>
          <w:sz w:val="14"/>
          <w:szCs w:val="14"/>
          <w:color w:val="auto"/>
        </w:rPr>
      </w:pPr>
    </w:p>
    <w:p>
      <w:pPr>
        <w:ind w:left="1720" w:right="179" w:hanging="437"/>
        <w:spacing w:after="0" w:line="260" w:lineRule="auto"/>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3" w:lineRule="exact"/>
        <w:rPr>
          <w:sz w:val="20"/>
          <w:szCs w:val="20"/>
          <w:color w:val="auto"/>
        </w:rPr>
      </w:pPr>
    </w:p>
    <w:p>
      <w:pPr>
        <w:ind w:left="1720" w:right="199" w:hanging="437"/>
        <w:spacing w:after="0" w:line="26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9" w:lineRule="exact"/>
        <w:rPr>
          <w:rFonts w:ascii="Times New Roman" w:cs="Times New Roman" w:eastAsia="Times New Roman" w:hAnsi="Times New Roman"/>
          <w:sz w:val="14"/>
          <w:szCs w:val="14"/>
          <w:color w:val="auto"/>
        </w:rPr>
      </w:pPr>
    </w:p>
    <w:p>
      <w:pPr>
        <w:ind w:left="1720" w:right="219" w:hanging="437"/>
        <w:spacing w:after="0" w:line="260"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of the registrant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90"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3" w:lineRule="exact"/>
        <w:rPr>
          <w:sz w:val="20"/>
          <w:szCs w:val="20"/>
          <w:color w:val="auto"/>
        </w:rPr>
      </w:pPr>
    </w:p>
    <w:p>
      <w:pPr>
        <w:ind w:left="1280" w:right="679" w:firstLine="349"/>
        <w:spacing w:after="0" w:line="290"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has duly caused this registration statement to be signed on its behalf by the undersigned, thereunto duly authorized, in the City Brisbane, State of California, on December 9, 2025.</w:t>
      </w:r>
    </w:p>
    <w:p>
      <w:pPr>
        <w:spacing w:after="0" w:line="14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TEMPEST THERAPEUTICS, INC.</w:t>
      </w:r>
    </w:p>
    <w:p>
      <w:pPr>
        <w:spacing w:after="0" w:line="18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By: /s/ Stephen Brady</w:t>
      </w:r>
    </w:p>
    <w:p>
      <w:pPr>
        <w:spacing w:after="0" w:line="2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-100965</wp:posOffset>
            </wp:positionV>
            <wp:extent cx="205676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0">
                      <a:extLst>
                        <a:ext uri="{28A0092B-C50C-407E-A947-70E740481C1C}"/>
                      </a:extLst>
                    </a:blip>
                    <a:srcRect/>
                    <a:stretch>
                      <a:fillRect/>
                    </a:stretch>
                  </pic:blipFill>
                  <pic:spPr bwMode="auto">
                    <a:xfrm>
                      <a:off x="0" y="0"/>
                      <a:ext cx="2056765" cy="6985"/>
                    </a:xfrm>
                    <a:prstGeom prst="rect">
                      <a:avLst/>
                    </a:prstGeom>
                    <a:noFill/>
                  </pic:spPr>
                </pic:pic>
              </a:graphicData>
            </a:graphic>
          </wp:anchor>
        </w:drawing>
      </w:r>
    </w:p>
    <w:p>
      <w:pPr>
        <w:spacing w:after="0" w:line="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3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3" w:lineRule="exact"/>
        <w:rPr>
          <w:sz w:val="20"/>
          <w:szCs w:val="20"/>
          <w:color w:val="auto"/>
        </w:rPr>
      </w:pPr>
    </w:p>
    <w:p>
      <w:pPr>
        <w:ind w:left="1280" w:right="159" w:firstLine="349"/>
        <w:spacing w:after="0" w:line="259"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Stephen Brady and Nicholas Maestas, and each of them, as true and lawful attorneys-in-fact and agents, with full powers of substitution and resubstitution, for them and in their name, place and stead,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Tempest Therapeutics,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substitutes or substitute, may lawfully do or cause to be done by virtue hereof.</w:t>
      </w:r>
    </w:p>
    <w:p>
      <w:pPr>
        <w:spacing w:after="0" w:line="147" w:lineRule="exact"/>
        <w:rPr>
          <w:sz w:val="20"/>
          <w:szCs w:val="20"/>
          <w:color w:val="auto"/>
        </w:rPr>
      </w:pPr>
    </w:p>
    <w:p>
      <w:pPr>
        <w:ind w:left="1280" w:right="539" w:firstLine="349"/>
        <w:spacing w:after="0" w:line="290"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in the capacities and on the dates indicated.</w:t>
      </w:r>
    </w:p>
    <w:p>
      <w:pPr>
        <w:spacing w:after="0" w:line="141" w:lineRule="exact"/>
        <w:rPr>
          <w:sz w:val="20"/>
          <w:szCs w:val="20"/>
          <w:color w:val="auto"/>
        </w:rPr>
      </w:pPr>
    </w:p>
    <w:tbl>
      <w:tblPr>
        <w:tblLayout w:type="fixed"/>
        <w:tblInd w:w="1280" w:type="dxa"/>
        <w:tblCellMar>
          <w:top w:w="0" w:type="dxa"/>
          <w:left w:w="0" w:type="dxa"/>
          <w:bottom w:w="0" w:type="dxa"/>
          <w:right w:w="0" w:type="dxa"/>
        </w:tblCellMar>
      </w:tblPr>
      <w:tr>
        <w:trPr>
          <w:trHeight w:val="148"/>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Signatures</w:t>
            </w:r>
          </w:p>
        </w:tc>
        <w:tc>
          <w:tcPr>
            <w:tcW w:w="80" w:type="dxa"/>
            <w:vAlign w:val="bottom"/>
          </w:tcPr>
          <w:p>
            <w:pPr>
              <w:spacing w:after="0"/>
              <w:rPr>
                <w:sz w:val="12"/>
                <w:szCs w:val="12"/>
                <w:color w:val="auto"/>
              </w:rPr>
            </w:pPr>
          </w:p>
        </w:tc>
        <w:tc>
          <w:tcPr>
            <w:tcW w:w="34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80" w:type="dxa"/>
            <w:vAlign w:val="bottom"/>
          </w:tcPr>
          <w:p>
            <w:pPr>
              <w:spacing w:after="0"/>
              <w:rPr>
                <w:sz w:val="12"/>
                <w:szCs w:val="1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21"/>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Stephen Brady</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9, 2025</w:t>
            </w:r>
          </w:p>
        </w:tc>
      </w:tr>
      <w:tr>
        <w:trPr>
          <w:trHeight w:val="176"/>
        </w:trPr>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Stephen Brady</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600" w:type="dxa"/>
            <w:vAlign w:val="bottom"/>
          </w:tcPr>
          <w:p>
            <w:pPr>
              <w:spacing w:after="0"/>
              <w:rPr>
                <w:sz w:val="15"/>
                <w:szCs w:val="15"/>
                <w:color w:val="auto"/>
              </w:rPr>
            </w:pPr>
          </w:p>
        </w:tc>
      </w:tr>
      <w:tr>
        <w:trPr>
          <w:trHeight w:val="338"/>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Nicholas Maestas</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9, 2025</w:t>
            </w:r>
          </w:p>
        </w:tc>
      </w:tr>
      <w:tr>
        <w:trPr>
          <w:trHeight w:val="176"/>
        </w:trPr>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Nicholas Maestas</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c>
          <w:tcPr>
            <w:tcW w:w="1600" w:type="dxa"/>
            <w:vAlign w:val="bottom"/>
          </w:tcPr>
          <w:p>
            <w:pPr>
              <w:spacing w:after="0"/>
              <w:rPr>
                <w:sz w:val="15"/>
                <w:szCs w:val="15"/>
                <w:color w:val="auto"/>
              </w:rPr>
            </w:pPr>
          </w:p>
        </w:tc>
      </w:tr>
      <w:tr>
        <w:trPr>
          <w:trHeight w:val="338"/>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Justin Trojanowski</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Corporate Controller, Treasurer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9, 2025</w:t>
            </w:r>
          </w:p>
        </w:tc>
      </w:tr>
      <w:tr>
        <w:trPr>
          <w:trHeight w:val="176"/>
        </w:trPr>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Justin Trojanowski</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tc>
        <w:tc>
          <w:tcPr>
            <w:tcW w:w="1600" w:type="dxa"/>
            <w:vAlign w:val="bottom"/>
          </w:tcPr>
          <w:p>
            <w:pPr>
              <w:spacing w:after="0"/>
              <w:rPr>
                <w:sz w:val="15"/>
                <w:szCs w:val="15"/>
                <w:color w:val="auto"/>
              </w:rPr>
            </w:pPr>
          </w:p>
        </w:tc>
      </w:tr>
      <w:tr>
        <w:trPr>
          <w:trHeight w:val="338"/>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Mike Raab</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of the Board</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9, 2025</w:t>
            </w:r>
          </w:p>
        </w:tc>
      </w:tr>
      <w:tr>
        <w:trPr>
          <w:trHeight w:val="176"/>
        </w:trPr>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Mike Raab</w:t>
            </w:r>
          </w:p>
        </w:tc>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8"/>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Christine Pellizzari</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9, 2025</w:t>
            </w:r>
          </w:p>
        </w:tc>
      </w:tr>
      <w:tr>
        <w:trPr>
          <w:trHeight w:val="176"/>
        </w:trPr>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Christine Pellizzari</w:t>
            </w:r>
          </w:p>
        </w:tc>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8"/>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Geoff Nichol</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9, 2025</w:t>
            </w:r>
          </w:p>
        </w:tc>
      </w:tr>
      <w:tr>
        <w:trPr>
          <w:trHeight w:val="176"/>
        </w:trPr>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Geoff Nichol, M.B., Ch.B., M.B.A.</w:t>
            </w:r>
          </w:p>
        </w:tc>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8"/>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Ronit Simantov</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9, 2025</w:t>
            </w:r>
          </w:p>
        </w:tc>
      </w:tr>
      <w:tr>
        <w:trPr>
          <w:trHeight w:val="176"/>
        </w:trPr>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Ronit Simantov, M.D.</w:t>
            </w:r>
          </w:p>
        </w:tc>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85"/>
        </w:trPr>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II-6</w:t>
            </w:r>
          </w:p>
        </w:tc>
        <w:tc>
          <w:tcPr>
            <w:tcW w:w="1600" w:type="dxa"/>
            <w:vAlign w:val="bottom"/>
          </w:tcPr>
          <w:p>
            <w:pPr>
              <w:spacing w:after="0"/>
              <w:rPr>
                <w:sz w:val="24"/>
                <w:szCs w:val="24"/>
                <w:color w:val="auto"/>
              </w:rPr>
            </w:pPr>
          </w:p>
        </w:tc>
      </w:tr>
    </w:tbl>
    <w:p>
      <w:pPr>
        <w:sectPr>
          <w:pgSz w:w="11900" w:h="16838" w:orient="portrait"/>
          <w:cols w:equalWidth="0" w:num="1">
            <w:col w:w="10159"/>
          </w:cols>
          <w:pgMar w:left="300" w:top="390" w:right="1440" w:bottom="1440" w:gutter="0" w:footer="0" w:header="0"/>
        </w:sectPr>
      </w:pPr>
    </w:p>
    <w:bookmarkStart w:id="21" w:name="page22"/>
    <w:bookmarkEnd w:id="21"/>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139065</wp:posOffset>
            </wp:positionV>
            <wp:extent cx="923290" cy="298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1">
                      <a:extLst>
                        <a:ext uri="{28A0092B-C50C-407E-A947-70E740481C1C}"/>
                      </a:extLst>
                    </a:blip>
                    <a:srcRect/>
                    <a:stretch>
                      <a:fillRect/>
                    </a:stretch>
                  </pic:blipFill>
                  <pic:spPr bwMode="auto">
                    <a:xfrm>
                      <a:off x="0" y="0"/>
                      <a:ext cx="923290" cy="29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Jaime L. Chase</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+1 202 728-7096</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jchase@cooley.com</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December 9, 2025</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Tempest Therapeutics, Inc.</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2000 Sierra Point Parkway, Suite 400</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Brisbane, CA 94005</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2" w:lineRule="exact"/>
        <w:rPr>
          <w:sz w:val="20"/>
          <w:szCs w:val="20"/>
          <w:color w:val="auto"/>
        </w:rPr>
      </w:pPr>
    </w:p>
    <w:p>
      <w:pPr>
        <w:ind w:left="140" w:right="259"/>
        <w:spacing w:after="0" w:line="260" w:lineRule="auto"/>
        <w:rPr>
          <w:sz w:val="20"/>
          <w:szCs w:val="20"/>
          <w:color w:val="auto"/>
        </w:rPr>
      </w:pPr>
      <w:r>
        <w:rPr>
          <w:rFonts w:ascii="Times New Roman" w:cs="Times New Roman" w:eastAsia="Times New Roman" w:hAnsi="Times New Roman"/>
          <w:sz w:val="14"/>
          <w:szCs w:val="14"/>
          <w:color w:val="auto"/>
        </w:rPr>
        <w:t>We have acted as counsel to Tempest Therapeutics,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filing by the Company of a Registration Statement on Form S-1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covering the resale by the selling stockholder identified therein (the “</w:t>
      </w:r>
      <w:r>
        <w:rPr>
          <w:rFonts w:ascii="Times New Roman" w:cs="Times New Roman" w:eastAsia="Times New Roman" w:hAnsi="Times New Roman"/>
          <w:sz w:val="14"/>
          <w:szCs w:val="14"/>
          <w:b w:val="1"/>
          <w:bCs w:val="1"/>
          <w:i w:val="1"/>
          <w:iCs w:val="1"/>
          <w:color w:val="auto"/>
        </w:rPr>
        <w:t>Selling Stockholder</w:t>
      </w:r>
      <w:r>
        <w:rPr>
          <w:rFonts w:ascii="Times New Roman" w:cs="Times New Roman" w:eastAsia="Times New Roman" w:hAnsi="Times New Roman"/>
          <w:sz w:val="14"/>
          <w:szCs w:val="14"/>
          <w:color w:val="auto"/>
        </w:rPr>
        <w:t>”) of up to 1,172,414 shares (the “</w:t>
      </w:r>
      <w:r>
        <w:rPr>
          <w:rFonts w:ascii="Times New Roman" w:cs="Times New Roman" w:eastAsia="Times New Roman" w:hAnsi="Times New Roman"/>
          <w:sz w:val="14"/>
          <w:szCs w:val="14"/>
          <w:b w:val="1"/>
          <w:bCs w:val="1"/>
          <w:i w:val="1"/>
          <w:iCs w:val="1"/>
          <w:color w:val="auto"/>
        </w:rPr>
        <w:t>Warrant Shares</w:t>
      </w:r>
      <w:r>
        <w:rPr>
          <w:rFonts w:ascii="Times New Roman" w:cs="Times New Roman" w:eastAsia="Times New Roman" w:hAnsi="Times New Roman"/>
          <w:sz w:val="14"/>
          <w:szCs w:val="14"/>
          <w:color w:val="auto"/>
        </w:rPr>
        <w:t>”) of the Company’s Common Stock, par value $0.001 per share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issuable upon the exercise of outstanding warrants to purchase shares of Common Stock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The Warrants were issued pursuant to the Securities Purchase Agreement, dated November 24, 2025, by and between the Company and the Selling Stockholder (the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Each share of Common Stock includes a preferred share purchase right (each, a “</w:t>
      </w:r>
      <w:r>
        <w:rPr>
          <w:rFonts w:ascii="Times New Roman" w:cs="Times New Roman" w:eastAsia="Times New Roman" w:hAnsi="Times New Roman"/>
          <w:sz w:val="14"/>
          <w:szCs w:val="14"/>
          <w:b w:val="1"/>
          <w:bCs w:val="1"/>
          <w:i w:val="1"/>
          <w:iCs w:val="1"/>
          <w:color w:val="auto"/>
        </w:rPr>
        <w:t>Right</w:t>
      </w:r>
      <w:r>
        <w:rPr>
          <w:rFonts w:ascii="Times New Roman" w:cs="Times New Roman" w:eastAsia="Times New Roman" w:hAnsi="Times New Roman"/>
          <w:sz w:val="14"/>
          <w:szCs w:val="14"/>
          <w:color w:val="auto"/>
        </w:rPr>
        <w:t>,” collectively, the “</w:t>
      </w:r>
      <w:r>
        <w:rPr>
          <w:rFonts w:ascii="Times New Roman" w:cs="Times New Roman" w:eastAsia="Times New Roman" w:hAnsi="Times New Roman"/>
          <w:sz w:val="14"/>
          <w:szCs w:val="14"/>
          <w:b w:val="1"/>
          <w:bCs w:val="1"/>
          <w:i w:val="1"/>
          <w:iCs w:val="1"/>
          <w:color w:val="auto"/>
        </w:rPr>
        <w:t>Rights</w:t>
      </w:r>
      <w:r>
        <w:rPr>
          <w:rFonts w:ascii="Times New Roman" w:cs="Times New Roman" w:eastAsia="Times New Roman" w:hAnsi="Times New Roman"/>
          <w:sz w:val="14"/>
          <w:szCs w:val="14"/>
          <w:color w:val="auto"/>
        </w:rPr>
        <w:t>”) as set forth in the Rights Agreement (the “</w:t>
      </w:r>
      <w:r>
        <w:rPr>
          <w:rFonts w:ascii="Times New Roman" w:cs="Times New Roman" w:eastAsia="Times New Roman" w:hAnsi="Times New Roman"/>
          <w:sz w:val="14"/>
          <w:szCs w:val="14"/>
          <w:b w:val="1"/>
          <w:bCs w:val="1"/>
          <w:i w:val="1"/>
          <w:iCs w:val="1"/>
          <w:color w:val="auto"/>
        </w:rPr>
        <w:t>Rights Plan</w:t>
      </w:r>
      <w:r>
        <w:rPr>
          <w:rFonts w:ascii="Times New Roman" w:cs="Times New Roman" w:eastAsia="Times New Roman" w:hAnsi="Times New Roman"/>
          <w:sz w:val="14"/>
          <w:szCs w:val="14"/>
          <w:color w:val="auto"/>
        </w:rPr>
        <w:t>”), dated as of October 10, 2023, as amended. between the Company and Computershare Trust Company, N.A., as rights agent (the “</w:t>
      </w:r>
      <w:r>
        <w:rPr>
          <w:rFonts w:ascii="Times New Roman" w:cs="Times New Roman" w:eastAsia="Times New Roman" w:hAnsi="Times New Roman"/>
          <w:sz w:val="14"/>
          <w:szCs w:val="14"/>
          <w:b w:val="1"/>
          <w:bCs w:val="1"/>
          <w:i w:val="1"/>
          <w:iCs w:val="1"/>
          <w:color w:val="auto"/>
        </w:rPr>
        <w:t>Rights Agent</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ind w:left="140" w:right="199"/>
        <w:spacing w:after="0" w:line="260" w:lineRule="auto"/>
        <w:rPr>
          <w:sz w:val="20"/>
          <w:szCs w:val="20"/>
          <w:color w:val="auto"/>
        </w:rPr>
      </w:pPr>
      <w:r>
        <w:rPr>
          <w:rFonts w:ascii="Times New Roman" w:cs="Times New Roman" w:eastAsia="Times New Roman" w:hAnsi="Times New Roman"/>
          <w:sz w:val="14"/>
          <w:szCs w:val="14"/>
          <w:color w:val="auto"/>
        </w:rPr>
        <w:t>In connection with this opinion, we have examined and relied upon the Registration Statement and related prospectus, the Company’s certificate of incorporation and Bylaws, each as currently in effect, the Agreement, the Warrants and such other documents, records,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With respect to our opinion concerning the Rights:</w:t>
      </w:r>
    </w:p>
    <w:p>
      <w:pPr>
        <w:spacing w:after="0" w:line="96" w:lineRule="exact"/>
        <w:rPr>
          <w:sz w:val="20"/>
          <w:szCs w:val="20"/>
          <w:color w:val="auto"/>
        </w:rPr>
      </w:pPr>
    </w:p>
    <w:p>
      <w:pPr>
        <w:ind w:left="140" w:right="219" w:firstLine="352"/>
        <w:spacing w:after="0" w:line="272" w:lineRule="auto"/>
        <w:tabs>
          <w:tab w:leader="none" w:pos="65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opinion does not address the determination a court of competent jurisdiction may make regarding whether the Company’s board of directors (the “</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may be required to redeem or terminate, or take other action with respect to, the Rights or the Rights Plan in the future based on the facts and circumstances then existing.</w:t>
      </w:r>
    </w:p>
    <w:p>
      <w:pPr>
        <w:spacing w:after="0" w:line="83" w:lineRule="exact"/>
        <w:rPr>
          <w:sz w:val="20"/>
          <w:szCs w:val="20"/>
          <w:color w:val="auto"/>
        </w:rPr>
      </w:pPr>
    </w:p>
    <w:p>
      <w:pPr>
        <w:jc w:val="center"/>
        <w:ind w:right="19"/>
        <w:spacing w:after="0"/>
        <w:tabs>
          <w:tab w:leader="none" w:pos="120" w:val="left"/>
          <w:tab w:leader="none" w:pos="120" w:val="left"/>
          <w:tab w:leader="none" w:pos="120" w:val="left"/>
        </w:tabs>
        <w:rPr>
          <w:sz w:val="20"/>
          <w:szCs w:val="20"/>
          <w:color w:val="auto"/>
        </w:rPr>
      </w:pPr>
      <w:r>
        <w:rPr>
          <w:rFonts w:ascii="Times New Roman" w:cs="Times New Roman" w:eastAsia="Times New Roman" w:hAnsi="Times New Roman"/>
          <w:sz w:val="14"/>
          <w:szCs w:val="14"/>
          <w:color w:val="auto"/>
        </w:rPr>
        <w:t>Cooley LLP </w:t>
        <w:tab/>
        <w:t>1299 Pennsylvania Avenue NW </w:t>
        <w:tab/>
        <w:t>Suite 700 </w:t>
      </w:r>
      <w:r>
        <w:rPr>
          <w:sz w:val="20"/>
          <w:szCs w:val="20"/>
          <w:color w:val="auto"/>
        </w:rPr>
        <w:tab/>
      </w:r>
      <w:r>
        <w:rPr>
          <w:rFonts w:ascii="Times New Roman" w:cs="Times New Roman" w:eastAsia="Times New Roman" w:hAnsi="Times New Roman"/>
          <w:sz w:val="13"/>
          <w:szCs w:val="13"/>
          <w:color w:val="auto"/>
        </w:rPr>
        <w:t>Washington, DC    20004-2400</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+1 202 842 7800 f: +1 202 842 7899 cooley.com</w:t>
      </w:r>
    </w:p>
    <w:p>
      <w:pPr>
        <w:sectPr>
          <w:pgSz w:w="11900" w:h="16838" w:orient="portrait"/>
          <w:cols w:equalWidth="0" w:num="1">
            <w:col w:w="9019"/>
          </w:cols>
          <w:pgMar w:left="1440" w:top="123" w:right="1440" w:bottom="1440" w:gutter="0" w:footer="0" w:header="0"/>
        </w:sectPr>
      </w:pPr>
    </w:p>
    <w:bookmarkStart w:id="22" w:name="page23"/>
    <w:bookmarkEnd w:id="22"/>
    <w:p>
      <w:pPr>
        <w:ind w:left="1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2">
                      <a:extLst>
                        <a:ext uri="{28A0092B-C50C-407E-A947-70E740481C1C}"/>
                      </a:extLst>
                    </a:blip>
                    <a:srcRect/>
                    <a:stretch>
                      <a:fillRect/>
                    </a:stretch>
                  </pic:blipFill>
                  <pic:spPr bwMode="auto">
                    <a:xfrm>
                      <a:off x="0" y="0"/>
                      <a:ext cx="7199630" cy="33020"/>
                    </a:xfrm>
                    <a:prstGeom prst="rect">
                      <a:avLst/>
                    </a:prstGeom>
                    <a:noFill/>
                  </pic:spPr>
                </pic:pic>
              </a:graphicData>
            </a:graphic>
          </wp:anchor>
        </w:drawing>
        <w:drawing>
          <wp:anchor simplePos="0" relativeHeight="251657728" behindDoc="1" locked="0" layoutInCell="0" allowOverlap="1">
            <wp:simplePos x="0" y="0"/>
            <wp:positionH relativeFrom="page">
              <wp:posOffset>1008380</wp:posOffset>
            </wp:positionH>
            <wp:positionV relativeFrom="page">
              <wp:posOffset>163830</wp:posOffset>
            </wp:positionV>
            <wp:extent cx="923290" cy="298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923290" cy="298450"/>
                    </a:xfrm>
                    <a:prstGeom prst="rect">
                      <a:avLst/>
                    </a:prstGeom>
                    <a:noFill/>
                  </pic:spPr>
                </pic:pic>
              </a:graphicData>
            </a:graphic>
          </wp:anchor>
        </w:drawing>
        <w:t>Tempest Therapeutics, Inc.</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December 9, 2025</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Page Two</w:t>
      </w:r>
    </w:p>
    <w:p>
      <w:pPr>
        <w:spacing w:after="0" w:line="124" w:lineRule="exact"/>
        <w:rPr>
          <w:sz w:val="20"/>
          <w:szCs w:val="20"/>
          <w:color w:val="auto"/>
        </w:rPr>
      </w:pPr>
    </w:p>
    <w:p>
      <w:pPr>
        <w:ind w:left="140" w:right="239" w:firstLine="352"/>
        <w:spacing w:after="0" w:line="266" w:lineRule="auto"/>
        <w:tabs>
          <w:tab w:leader="none" w:pos="69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opinion assumes that the Rights Plan has been duly authorized, executed and delivered by the Rights Agent and that members of the Board have acted in a manner consistent with their fiduciary duties as required under applicable law in adopting the Rights Plan. With respect to Rights associated with Shares to be issued in the future, our opinion assumes the Rights Plan has not been terminated by the Company or expired by its terms and the Rights have not expired or been redeemed or exchanged by the Company, in each case, prior to the issuance and resale of such Shares.</w:t>
      </w:r>
    </w:p>
    <w:p>
      <w:pPr>
        <w:spacing w:after="0" w:line="141" w:lineRule="exact"/>
        <w:rPr>
          <w:rFonts w:ascii="Times New Roman" w:cs="Times New Roman" w:eastAsia="Times New Roman" w:hAnsi="Times New Roman"/>
          <w:sz w:val="14"/>
          <w:szCs w:val="14"/>
          <w:color w:val="auto"/>
        </w:rPr>
      </w:pPr>
    </w:p>
    <w:p>
      <w:pPr>
        <w:ind w:left="140" w:right="319" w:firstLine="352"/>
        <w:spacing w:after="0" w:line="272" w:lineRule="auto"/>
        <w:tabs>
          <w:tab w:leader="none" w:pos="73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opinion addresses corporate procedures in connection with the issuance of the Rights associated with the Shares, and not any particular provision of the Rights or the Rights Plan. It should be understood that it is not settled whether the invalidity of any particular provision of a rights agreement or purchase rights issued thereunder would invalidate such rights in their entirety.</w:t>
      </w:r>
    </w:p>
    <w:p>
      <w:pPr>
        <w:spacing w:after="0" w:line="137" w:lineRule="exact"/>
        <w:rPr>
          <w:sz w:val="20"/>
          <w:szCs w:val="20"/>
          <w:color w:val="auto"/>
        </w:rPr>
      </w:pPr>
    </w:p>
    <w:p>
      <w:pPr>
        <w:ind w:left="140" w:right="239"/>
        <w:spacing w:after="0" w:line="272" w:lineRule="auto"/>
        <w:rPr>
          <w:sz w:val="20"/>
          <w:szCs w:val="20"/>
          <w:color w:val="auto"/>
        </w:rPr>
      </w:pPr>
      <w:r>
        <w:rPr>
          <w:rFonts w:ascii="Times New Roman" w:cs="Times New Roman" w:eastAsia="Times New Roman" w:hAnsi="Times New Roman"/>
          <w:sz w:val="14"/>
          <w:szCs w:val="14"/>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37" w:lineRule="exact"/>
        <w:rPr>
          <w:sz w:val="20"/>
          <w:szCs w:val="20"/>
          <w:color w:val="auto"/>
        </w:rPr>
      </w:pPr>
    </w:p>
    <w:p>
      <w:pPr>
        <w:jc w:val="both"/>
        <w:ind w:left="140" w:right="199"/>
        <w:spacing w:after="0" w:line="266" w:lineRule="auto"/>
        <w:rPr>
          <w:sz w:val="20"/>
          <w:szCs w:val="20"/>
          <w:color w:val="auto"/>
        </w:rPr>
      </w:pPr>
      <w:r>
        <w:rPr>
          <w:rFonts w:ascii="Times New Roman" w:cs="Times New Roman" w:eastAsia="Times New Roman" w:hAnsi="Times New Roman"/>
          <w:sz w:val="14"/>
          <w:szCs w:val="14"/>
          <w:color w:val="auto"/>
        </w:rPr>
        <w:t>With regard to our opinion as to the Warrant Shares, we express no opinion to the extent that future issuances of securities of the Company, antidilution adjustments to outstanding securities of the Company or other matters may cause the Warrants to be exercisable for more shares of Common Stock than the number available for issuance by the Company or that the consideration paid upon exercise of the Warrants is less than the par value per share of the Common Stock.</w:t>
      </w:r>
    </w:p>
    <w:p>
      <w:pPr>
        <w:spacing w:after="0" w:line="141" w:lineRule="exact"/>
        <w:rPr>
          <w:sz w:val="20"/>
          <w:szCs w:val="20"/>
          <w:color w:val="auto"/>
        </w:rPr>
      </w:pPr>
    </w:p>
    <w:p>
      <w:pPr>
        <w:jc w:val="both"/>
        <w:ind w:left="140" w:right="159"/>
        <w:spacing w:after="0" w:line="272" w:lineRule="auto"/>
        <w:rPr>
          <w:sz w:val="20"/>
          <w:szCs w:val="20"/>
          <w:color w:val="auto"/>
        </w:rPr>
      </w:pPr>
      <w:r>
        <w:rPr>
          <w:rFonts w:ascii="Times New Roman" w:cs="Times New Roman" w:eastAsia="Times New Roman" w:hAnsi="Times New Roman"/>
          <w:sz w:val="14"/>
          <w:szCs w:val="14"/>
          <w:color w:val="auto"/>
        </w:rPr>
        <w:t>On the basis of the foregoing, and in reliance thereon and subject to the assumptions, exceptions, limitations and qualifications set forth herein, we are of the opinion that the Warrant Shares and any associated Rights, when issued upon exercise of the Warrants in accordance with the terms of the Warrants, will be validly issued, and the Warrant Shares will be fully paid and nonassessable.</w:t>
      </w:r>
    </w:p>
    <w:p>
      <w:pPr>
        <w:spacing w:after="0" w:line="137" w:lineRule="exact"/>
        <w:rPr>
          <w:sz w:val="20"/>
          <w:szCs w:val="20"/>
          <w:color w:val="auto"/>
        </w:rPr>
      </w:pPr>
    </w:p>
    <w:p>
      <w:pPr>
        <w:ind w:left="140" w:right="179"/>
        <w:spacing w:after="0" w:line="266" w:lineRule="auto"/>
        <w:rPr>
          <w:sz w:val="20"/>
          <w:szCs w:val="20"/>
          <w:color w:val="auto"/>
        </w:rPr>
      </w:pPr>
      <w:r>
        <w:rPr>
          <w:rFonts w:ascii="Times New Roman" w:cs="Times New Roman" w:eastAsia="Times New Roman" w:hAnsi="Times New Roman"/>
          <w:sz w:val="14"/>
          <w:szCs w:val="14"/>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41" w:lineRule="exact"/>
        <w:rPr>
          <w:sz w:val="20"/>
          <w:szCs w:val="20"/>
          <w:color w:val="auto"/>
        </w:rPr>
      </w:pPr>
    </w:p>
    <w:p>
      <w:pPr>
        <w:jc w:val="both"/>
        <w:ind w:left="140" w:right="319"/>
        <w:spacing w:after="0" w:line="272" w:lineRule="auto"/>
        <w:rPr>
          <w:sz w:val="20"/>
          <w:szCs w:val="20"/>
          <w:color w:val="auto"/>
        </w:rPr>
      </w:pPr>
      <w:r>
        <w:rPr>
          <w:rFonts w:ascii="Times New Roman" w:cs="Times New Roman" w:eastAsia="Times New Roman" w:hAnsi="Times New Roman"/>
          <w:sz w:val="14"/>
          <w:szCs w:val="14"/>
          <w:color w:val="auto"/>
        </w:rPr>
        <w:t>We consent to the reference to our firm under the caption “Legal Matters” in the prospectus included in the Registration Statement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w:t>
      </w:r>
    </w:p>
    <w:p>
      <w:pPr>
        <w:spacing w:after="0" w:line="13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w:t>
      </w:r>
    </w:p>
    <w:p>
      <w:pPr>
        <w:spacing w:after="0" w:line="128" w:lineRule="exact"/>
        <w:rPr>
          <w:sz w:val="20"/>
          <w:szCs w:val="20"/>
          <w:color w:val="auto"/>
        </w:rPr>
      </w:pPr>
    </w:p>
    <w:p>
      <w:pPr>
        <w:ind w:left="1800"/>
        <w:spacing w:after="0"/>
        <w:tabs>
          <w:tab w:leader="none" w:pos="2660" w:val="left"/>
          <w:tab w:leader="none" w:pos="4660" w:val="left"/>
          <w:tab w:leader="none" w:pos="5380" w:val="left"/>
        </w:tabs>
        <w:rPr>
          <w:sz w:val="20"/>
          <w:szCs w:val="20"/>
          <w:color w:val="auto"/>
        </w:rPr>
      </w:pPr>
      <w:r>
        <w:rPr>
          <w:rFonts w:ascii="Times New Roman" w:cs="Times New Roman" w:eastAsia="Times New Roman" w:hAnsi="Times New Roman"/>
          <w:sz w:val="14"/>
          <w:szCs w:val="14"/>
          <w:color w:val="auto"/>
        </w:rPr>
        <w:t>Cooley LLP </w:t>
        <w:tab/>
        <w:t>1299 Pennsylvania Avenue NW </w:t>
        <w:tab/>
        <w:t>Suite 700 </w:t>
      </w:r>
      <w:r>
        <w:rPr>
          <w:sz w:val="20"/>
          <w:szCs w:val="20"/>
          <w:color w:val="auto"/>
        </w:rPr>
        <w:tab/>
      </w:r>
      <w:r>
        <w:rPr>
          <w:rFonts w:ascii="Times New Roman" w:cs="Times New Roman" w:eastAsia="Times New Roman" w:hAnsi="Times New Roman"/>
          <w:sz w:val="13"/>
          <w:szCs w:val="13"/>
          <w:color w:val="auto"/>
        </w:rPr>
        <w:t>Washington, DC    20004-2400</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+1 202 842 7800 f: +1 202 842 7899 cooley.com</w:t>
      </w:r>
    </w:p>
    <w:p>
      <w:pPr>
        <w:sectPr>
          <w:pgSz w:w="11900" w:h="16838" w:orient="portrait"/>
          <w:cols w:equalWidth="0" w:num="1">
            <w:col w:w="9019"/>
          </w:cols>
          <w:pgMar w:left="1440" w:top="798" w:right="1440" w:bottom="1440" w:gutter="0" w:footer="0" w:header="0"/>
        </w:sectPr>
      </w:pPr>
    </w:p>
    <w:bookmarkStart w:id="23" w:name="page24"/>
    <w:bookmarkEnd w:id="23"/>
    <w:p>
      <w:pPr>
        <w:ind w:left="1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4">
                      <a:extLst>
                        <a:ext uri="{28A0092B-C50C-407E-A947-70E740481C1C}"/>
                      </a:extLst>
                    </a:blip>
                    <a:srcRect/>
                    <a:stretch>
                      <a:fillRect/>
                    </a:stretch>
                  </pic:blipFill>
                  <pic:spPr bwMode="auto">
                    <a:xfrm>
                      <a:off x="0" y="0"/>
                      <a:ext cx="7199630" cy="33020"/>
                    </a:xfrm>
                    <a:prstGeom prst="rect">
                      <a:avLst/>
                    </a:prstGeom>
                    <a:noFill/>
                  </pic:spPr>
                </pic:pic>
              </a:graphicData>
            </a:graphic>
          </wp:anchor>
        </w:drawing>
        <w:drawing>
          <wp:anchor simplePos="0" relativeHeight="251657728" behindDoc="1" locked="0" layoutInCell="0" allowOverlap="1">
            <wp:simplePos x="0" y="0"/>
            <wp:positionH relativeFrom="page">
              <wp:posOffset>1008380</wp:posOffset>
            </wp:positionH>
            <wp:positionV relativeFrom="page">
              <wp:posOffset>163830</wp:posOffset>
            </wp:positionV>
            <wp:extent cx="923290" cy="298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923290" cy="298450"/>
                    </a:xfrm>
                    <a:prstGeom prst="rect">
                      <a:avLst/>
                    </a:prstGeom>
                    <a:noFill/>
                  </pic:spPr>
                </pic:pic>
              </a:graphicData>
            </a:graphic>
          </wp:anchor>
        </w:drawing>
        <w:t>Tempest Therapeutics, Inc.</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December 9, 2025</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Page Three</w:t>
      </w:r>
    </w:p>
    <w:p>
      <w:pPr>
        <w:spacing w:after="0" w:line="1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w:t>
      </w:r>
      <w:r>
        <w:rPr>
          <w:rFonts w:ascii="Times New Roman" w:cs="Times New Roman" w:eastAsia="Times New Roman" w:hAnsi="Times New Roman"/>
          <w:sz w:val="11"/>
          <w:szCs w:val="11"/>
          <w:color w:val="auto"/>
        </w:rPr>
        <w:t>OOLEY</w:t>
      </w:r>
      <w:r>
        <w:rPr>
          <w:rFonts w:ascii="Times New Roman" w:cs="Times New Roman" w:eastAsia="Times New Roman" w:hAnsi="Times New Roman"/>
          <w:sz w:val="14"/>
          <w:szCs w:val="14"/>
          <w:color w:val="auto"/>
        </w:rPr>
        <w:t xml:space="preserve"> LLP</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By: /s/ Jaime L. Chase</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Jaime L.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-100965</wp:posOffset>
            </wp:positionV>
            <wp:extent cx="205676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6">
                      <a:extLst>
                        <a:ext uri="{28A0092B-C50C-407E-A947-70E740481C1C}"/>
                      </a:extLst>
                    </a:blip>
                    <a:srcRect/>
                    <a:stretch>
                      <a:fillRect/>
                    </a:stretch>
                  </pic:blipFill>
                  <pic:spPr bwMode="auto">
                    <a:xfrm>
                      <a:off x="0" y="0"/>
                      <a:ext cx="2056765" cy="6985"/>
                    </a:xfrm>
                    <a:prstGeom prst="rect">
                      <a:avLst/>
                    </a:prstGeom>
                    <a:noFill/>
                  </pic:spPr>
                </pic:pic>
              </a:graphicData>
            </a:graphic>
          </wp:anchor>
        </w:drawing>
      </w:r>
    </w:p>
    <w:p>
      <w:pPr>
        <w:spacing w:after="0" w:line="104" w:lineRule="exact"/>
        <w:rPr>
          <w:sz w:val="20"/>
          <w:szCs w:val="20"/>
          <w:color w:val="auto"/>
        </w:rPr>
      </w:pPr>
    </w:p>
    <w:p>
      <w:pPr>
        <w:jc w:val="center"/>
        <w:ind w:right="19"/>
        <w:spacing w:after="0"/>
        <w:tabs>
          <w:tab w:leader="none" w:pos="120" w:val="left"/>
          <w:tab w:leader="none" w:pos="120" w:val="left"/>
          <w:tab w:leader="none" w:pos="120" w:val="left"/>
        </w:tabs>
        <w:rPr>
          <w:sz w:val="20"/>
          <w:szCs w:val="20"/>
          <w:color w:val="auto"/>
        </w:rPr>
      </w:pPr>
      <w:r>
        <w:rPr>
          <w:rFonts w:ascii="Times New Roman" w:cs="Times New Roman" w:eastAsia="Times New Roman" w:hAnsi="Times New Roman"/>
          <w:sz w:val="14"/>
          <w:szCs w:val="14"/>
          <w:color w:val="auto"/>
        </w:rPr>
        <w:t>Cooley LLP </w:t>
        <w:tab/>
        <w:t>1299 Pennsylvania Avenue NW </w:t>
        <w:tab/>
        <w:t>Suite 700 </w:t>
      </w:r>
      <w:r>
        <w:rPr>
          <w:sz w:val="20"/>
          <w:szCs w:val="20"/>
          <w:color w:val="auto"/>
        </w:rPr>
        <w:tab/>
      </w:r>
      <w:r>
        <w:rPr>
          <w:rFonts w:ascii="Times New Roman" w:cs="Times New Roman" w:eastAsia="Times New Roman" w:hAnsi="Times New Roman"/>
          <w:sz w:val="13"/>
          <w:szCs w:val="13"/>
          <w:color w:val="auto"/>
        </w:rPr>
        <w:t>Washington, DC    20004-2400</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+1 202 842 7800 f: +1 202 842 7899 cooley.com</w:t>
      </w:r>
    </w:p>
    <w:p>
      <w:pPr>
        <w:sectPr>
          <w:pgSz w:w="11900" w:h="16838" w:orient="portrait"/>
          <w:cols w:equalWidth="0" w:num="1">
            <w:col w:w="9019"/>
          </w:cols>
          <w:pgMar w:left="1440" w:top="798" w:right="1440" w:bottom="1440" w:gutter="0" w:footer="0" w:header="0"/>
        </w:sectPr>
      </w:pPr>
    </w:p>
    <w:bookmarkStart w:id="24" w:name="page25"/>
    <w:bookmarkEnd w:id="24"/>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3" w:lineRule="exact"/>
        <w:rPr>
          <w:sz w:val="20"/>
          <w:szCs w:val="20"/>
          <w:color w:val="auto"/>
        </w:rPr>
      </w:pPr>
    </w:p>
    <w:p>
      <w:pPr>
        <w:ind w:left="140" w:right="299"/>
        <w:spacing w:after="0" w:line="266"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S-1) and related Prospectus of Tempest Therapeutics, Inc. for the registration of 1,172,414 shares of its common stock and to the incorporation by reference therein of our report dated March 27, 2025, with respect to the consolidated financial statements of Tempest Therapeutics, Inc. included in its Annual Report (Form 10-K) for the year ended December 31, 2024, filed with the Securities and Exchange Commission.</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Chicago, Illinois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December 9, 2025</w:t>
      </w:r>
    </w:p>
    <w:p>
      <w:pPr>
        <w:sectPr>
          <w:pgSz w:w="11900" w:h="16838" w:orient="portrait"/>
          <w:cols w:equalWidth="0" w:num="1">
            <w:col w:w="9019"/>
          </w:cols>
          <w:pgMar w:left="1440" w:top="123" w:right="1440" w:bottom="1440" w:gutter="0" w:footer="0" w:header="0"/>
        </w:sectPr>
      </w:pPr>
    </w:p>
    <w:bookmarkStart w:id="25" w:name="page26"/>
    <w:bookmarkEnd w:id="25"/>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106"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Tempest Therapeutics, Inc.</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20" w:type="dxa"/>
            <w:vAlign w:val="bottom"/>
            <w:shd w:val="clear" w:color="auto" w:fill="9ADAF6"/>
          </w:tcPr>
          <w:p>
            <w:pPr>
              <w:jc w:val="right"/>
              <w:ind w:right="54"/>
              <w:spacing w:after="0" w:line="193"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Maximum</w:t>
            </w:r>
          </w:p>
        </w:tc>
        <w:tc>
          <w:tcPr>
            <w:tcW w:w="40" w:type="dxa"/>
            <w:vAlign w:val="bottom"/>
          </w:tcPr>
          <w:p>
            <w:pPr>
              <w:spacing w:after="0"/>
              <w:rPr>
                <w:sz w:val="16"/>
                <w:szCs w:val="16"/>
                <w:color w:val="auto"/>
              </w:rPr>
            </w:pPr>
          </w:p>
        </w:tc>
        <w:tc>
          <w:tcPr>
            <w:tcW w:w="1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ind w:left="120"/>
              <w:spacing w:after="0" w:line="118" w:lineRule="exact"/>
              <w:rPr>
                <w:sz w:val="20"/>
                <w:szCs w:val="20"/>
                <w:color w:val="auto"/>
              </w:rPr>
            </w:pPr>
            <w:r>
              <w:rPr>
                <w:rFonts w:ascii="Arial" w:cs="Arial" w:eastAsia="Arial" w:hAnsi="Arial"/>
                <w:sz w:val="13"/>
                <w:szCs w:val="13"/>
                <w:b w:val="1"/>
                <w:bCs w:val="1"/>
                <w:color w:val="auto"/>
              </w:rPr>
              <w:t>Class</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or Carry</w:t>
            </w:r>
          </w:p>
        </w:tc>
        <w:tc>
          <w:tcPr>
            <w:tcW w:w="20" w:type="dxa"/>
            <w:vAlign w:val="bottom"/>
          </w:tcPr>
          <w:p>
            <w:pPr>
              <w:spacing w:after="0"/>
              <w:rPr>
                <w:sz w:val="10"/>
                <w:szCs w:val="10"/>
                <w:color w:val="auto"/>
              </w:rPr>
            </w:pPr>
          </w:p>
        </w:tc>
        <w:tc>
          <w:tcPr>
            <w:tcW w:w="920" w:type="dxa"/>
            <w:vAlign w:val="bottom"/>
            <w:vMerge w:val="restart"/>
            <w:shd w:val="clear" w:color="auto" w:fill="9ADAF6"/>
          </w:tcPr>
          <w:p>
            <w:pPr>
              <w:jc w:val="right"/>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Offering</w:t>
            </w:r>
          </w:p>
        </w:tc>
        <w:tc>
          <w:tcPr>
            <w:tcW w:w="4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8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Registration</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Initial</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80"/>
              <w:spacing w:after="0" w:line="171"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Price Per</w:t>
            </w:r>
          </w:p>
        </w:tc>
        <w:tc>
          <w:tcPr>
            <w:tcW w:w="4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40" w:type="dxa"/>
            <w:vAlign w:val="bottom"/>
          </w:tcPr>
          <w:p>
            <w:pPr>
              <w:spacing w:after="0"/>
              <w:rPr>
                <w:sz w:val="10"/>
                <w:szCs w:val="10"/>
                <w:color w:val="auto"/>
              </w:rPr>
            </w:pPr>
          </w:p>
        </w:tc>
        <w:tc>
          <w:tcPr>
            <w:tcW w:w="10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right w:val="single" w:sz="8" w:color="auto"/>
            </w:tcBorders>
            <w:vMerge w:val="restart"/>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1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14"/>
                <w:szCs w:val="14"/>
                <w:color w:val="auto"/>
              </w:rPr>
            </w:pPr>
          </w:p>
        </w:tc>
        <w:tc>
          <w:tcPr>
            <w:tcW w:w="70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72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4"/>
                <w:szCs w:val="14"/>
                <w:color w:val="auto"/>
              </w:rPr>
            </w:pPr>
          </w:p>
        </w:tc>
        <w:tc>
          <w:tcPr>
            <w:tcW w:w="940" w:type="dxa"/>
            <w:vAlign w:val="bottom"/>
            <w:shd w:val="clear" w:color="auto" w:fill="E7E7E2"/>
          </w:tcPr>
          <w:p>
            <w:pPr>
              <w:jc w:val="center"/>
              <w:spacing w:after="0" w:line="171" w:lineRule="exact"/>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4"/>
                <w:szCs w:val="14"/>
                <w:color w:val="auto"/>
              </w:rPr>
            </w:pPr>
          </w:p>
        </w:tc>
        <w:tc>
          <w:tcPr>
            <w:tcW w:w="9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1,172,414</w:t>
            </w:r>
          </w:p>
        </w:tc>
        <w:tc>
          <w:tcPr>
            <w:tcW w:w="20" w:type="dxa"/>
            <w:vAlign w:val="bottom"/>
          </w:tcPr>
          <w:p>
            <w:pPr>
              <w:spacing w:after="0"/>
              <w:rPr>
                <w:sz w:val="14"/>
                <w:szCs w:val="14"/>
                <w:color w:val="auto"/>
              </w:rPr>
            </w:pPr>
          </w:p>
        </w:tc>
        <w:tc>
          <w:tcPr>
            <w:tcW w:w="80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$ 3.07</w:t>
            </w:r>
          </w:p>
        </w:tc>
        <w:tc>
          <w:tcPr>
            <w:tcW w:w="4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4"/>
                <w:szCs w:val="14"/>
                <w:color w:val="auto"/>
              </w:rPr>
            </w:pPr>
          </w:p>
        </w:tc>
        <w:tc>
          <w:tcPr>
            <w:tcW w:w="10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$ 497.06</w:t>
            </w: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jc w:val="right"/>
              <w:spacing w:after="0" w:line="193" w:lineRule="exact"/>
              <w:rPr>
                <w:sz w:val="20"/>
                <w:szCs w:val="20"/>
                <w:color w:val="auto"/>
              </w:rPr>
            </w:pPr>
            <w:r>
              <w:rPr>
                <w:rFonts w:ascii="Arial" w:cs="Arial" w:eastAsia="Arial" w:hAnsi="Arial"/>
                <w:sz w:val="17"/>
                <w:szCs w:val="17"/>
                <w:color w:val="auto"/>
                <w:w w:val="98"/>
              </w:rPr>
              <w:t>3,599,310.98</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w w:val="99"/>
              </w:rPr>
              <w:t>Previously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3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Carry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Forward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$ 497.06</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3,599,310.98</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$ 497.06</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5" w:lineRule="exact"/>
        <w:rPr>
          <w:sz w:val="20"/>
          <w:szCs w:val="20"/>
          <w:color w:val="auto"/>
        </w:rPr>
      </w:pPr>
    </w:p>
    <w:p>
      <w:pPr>
        <w:ind w:left="220" w:right="220" w:hanging="182"/>
        <w:spacing w:after="0" w:line="233" w:lineRule="auto"/>
        <w:tabs>
          <w:tab w:leader="none" w:pos="220" w:val="left"/>
        </w:tabs>
        <w:numPr>
          <w:ilvl w:val="0"/>
          <w:numId w:val="21"/>
        </w:numPr>
        <w:rPr>
          <w:rFonts w:ascii="Arial" w:cs="Arial" w:eastAsia="Arial" w:hAnsi="Arial"/>
          <w:sz w:val="21"/>
          <w:szCs w:val="21"/>
          <w:color w:val="auto"/>
          <w:vertAlign w:val="superscript"/>
        </w:rPr>
      </w:pPr>
      <w:r>
        <w:rPr>
          <w:rFonts w:ascii="Arial" w:cs="Arial" w:eastAsia="Arial" w:hAnsi="Arial"/>
          <w:sz w:val="17"/>
          <w:szCs w:val="17"/>
          <w:color w:val="auto"/>
        </w:rPr>
        <w:t>(a) Consists of up to 1,172,414 shares of the Registrant's common stock, par value $0.001 per share, issuable upon the exercise of outstanding warrants to purchase shares of common stock issued by the Registrant in a private placement on November 26, 2025 and held by certain selling stockholders. Pursuant to Rule 416 under the Securities Act of 1933, as amended, the shares of common stock being registered hereunder include such indeterminate number of shares of common stock as may be issuable with respect to the shares of common stock being registered hereunder as a result of stock splits, stock dividends or similar transactions. (b) Pursuant to Rule 457(c) under the Securities Act, calculated on the basis of the average of the high and low prices per share of common stock reported on The Nasdaq Capital Market on December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4565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7">
                      <a:extLst>
                        <a:ext uri="{28A0092B-C50C-407E-A947-70E740481C1C}"/>
                      </a:extLst>
                    </a:blip>
                    <a:srcRect/>
                    <a:stretch>
                      <a:fillRect/>
                    </a:stretch>
                  </pic:blipFill>
                  <pic:spPr bwMode="auto">
                    <a:xfrm>
                      <a:off x="0" y="0"/>
                      <a:ext cx="7145655" cy="3873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2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20" w:type="dxa"/>
            <w:vAlign w:val="bottom"/>
            <w:tcBorders>
              <w:right w:val="single" w:sz="8" w:color="9ADAF6"/>
            </w:tcBorders>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540" w:type="dxa"/>
            <w:vAlign w:val="bottom"/>
            <w:gridSpan w:val="3"/>
            <w:vMerge w:val="restart"/>
            <w:shd w:val="clear" w:color="auto" w:fill="9ADAF6"/>
          </w:tcPr>
          <w:p>
            <w:pPr>
              <w:jc w:val="center"/>
              <w:ind w:right="74"/>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3"/>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00" w:type="dxa"/>
            <w:vAlign w:val="bottom"/>
            <w:tcBorders>
              <w:right w:val="single" w:sz="8" w:color="9ADAF6"/>
            </w:tcBorders>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right w:val="single" w:sz="8" w:color="9ADAF6"/>
            </w:tcBorders>
            <w:gridSpan w:val="3"/>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Filing</w:t>
            </w:r>
          </w:p>
        </w:tc>
        <w:tc>
          <w:tcPr>
            <w:tcW w:w="4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ind w:left="240"/>
              <w:spacing w:after="0" w:line="193" w:lineRule="exact"/>
              <w:rPr>
                <w:sz w:val="20"/>
                <w:szCs w:val="20"/>
                <w:color w:val="auto"/>
              </w:rPr>
            </w:pPr>
            <w:r>
              <w:rPr>
                <w:rFonts w:ascii="Arial" w:cs="Arial" w:eastAsia="Arial" w:hAnsi="Arial"/>
                <w:sz w:val="17"/>
                <w:szCs w:val="17"/>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60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6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700" w:type="dxa"/>
            <w:vAlign w:val="bottom"/>
            <w:gridSpan w:val="4"/>
            <w:shd w:val="clear" w:color="auto" w:fill="9ADAF6"/>
          </w:tcPr>
          <w:p>
            <w:pPr>
              <w:jc w:val="right"/>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20" w:type="dxa"/>
            <w:vAlign w:val="bottom"/>
            <w:tcBorders>
              <w:right w:val="single" w:sz="8" w:color="9ADAF6"/>
            </w:tcBorders>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20" w:type="dxa"/>
            <w:vAlign w:val="bottom"/>
            <w:tcBorders>
              <w:right w:val="single" w:sz="8" w:color="9ADAF6"/>
            </w:tcBorders>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20" w:type="dxa"/>
            <w:vAlign w:val="bottom"/>
            <w:tcBorders>
              <w:right w:val="single" w:sz="8" w:color="9ADAF6"/>
            </w:tcBorders>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80" w:type="dxa"/>
            <w:vAlign w:val="bottom"/>
            <w:gridSpan w:val="14"/>
          </w:tcPr>
          <w:p>
            <w:pPr>
              <w:jc w:val="center"/>
              <w:ind w:right="236"/>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440" w:type="dxa"/>
            <w:vAlign w:val="bottom"/>
            <w:tcBorders>
              <w:right w:val="single" w:sz="8" w:color="E7E7E2"/>
            </w:tcBorders>
            <w:gridSpan w:val="2"/>
            <w:vMerge w:val="restart"/>
            <w:shd w:val="clear" w:color="auto" w:fill="E7E7E2"/>
          </w:tcPr>
          <w:p>
            <w:pPr>
              <w:jc w:val="center"/>
              <w:ind w:right="74"/>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E7E7E2"/>
          </w:tcPr>
          <w:p>
            <w:pPr>
              <w:spacing w:after="0"/>
              <w:rPr>
                <w:sz w:val="11"/>
                <w:szCs w:val="11"/>
                <w:color w:val="auto"/>
              </w:rPr>
            </w:pPr>
          </w:p>
        </w:tc>
        <w:tc>
          <w:tcPr>
            <w:tcW w:w="440" w:type="dxa"/>
            <w:vAlign w:val="bottom"/>
            <w:tcBorders>
              <w:right w:val="single" w:sz="8" w:color="E7E7E2"/>
            </w:tcBorders>
            <w:gridSpan w:val="2"/>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420" w:type="dxa"/>
            <w:vAlign w:val="bottom"/>
            <w:tcBorders>
              <w:right w:val="single" w:sz="8" w:color="E7E7E2"/>
            </w:tcBorders>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440" w:type="dxa"/>
            <w:vAlign w:val="bottom"/>
            <w:tcBorders>
              <w:right w:val="single" w:sz="8" w:color="E7E7E2"/>
            </w:tcBorders>
            <w:gridSpan w:val="2"/>
            <w:vMerge w:val="restart"/>
            <w:shd w:val="clear" w:color="auto" w:fill="E7E7E2"/>
          </w:tcPr>
          <w:p>
            <w:pPr>
              <w:jc w:val="center"/>
              <w:ind w:right="74"/>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E7E7E2"/>
          </w:tcPr>
          <w:p>
            <w:pPr>
              <w:spacing w:after="0"/>
              <w:rPr>
                <w:sz w:val="11"/>
                <w:szCs w:val="11"/>
                <w:color w:val="auto"/>
              </w:rPr>
            </w:pPr>
          </w:p>
        </w:tc>
        <w:tc>
          <w:tcPr>
            <w:tcW w:w="440" w:type="dxa"/>
            <w:vAlign w:val="bottom"/>
            <w:tcBorders>
              <w:right w:val="single" w:sz="8" w:color="E7E7E2"/>
            </w:tcBorders>
            <w:gridSpan w:val="2"/>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420" w:type="dxa"/>
            <w:vAlign w:val="bottom"/>
            <w:tcBorders>
              <w:right w:val="single" w:sz="8" w:color="E7E7E2"/>
            </w:tcBorders>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5"/>
          </w:tcPr>
          <w:p>
            <w:pPr>
              <w:jc w:val="center"/>
              <w:ind w:left="154"/>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440" w:type="dxa"/>
            <w:vAlign w:val="bottom"/>
            <w:tcBorders>
              <w:right w:val="single" w:sz="8" w:color="E7E7E2"/>
            </w:tcBorders>
            <w:gridSpan w:val="2"/>
            <w:vMerge w:val="restart"/>
            <w:shd w:val="clear" w:color="auto" w:fill="E7E7E2"/>
          </w:tcPr>
          <w:p>
            <w:pPr>
              <w:jc w:val="center"/>
              <w:ind w:right="74"/>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E7E7E2"/>
          </w:tcPr>
          <w:p>
            <w:pPr>
              <w:spacing w:after="0"/>
              <w:rPr>
                <w:sz w:val="11"/>
                <w:szCs w:val="11"/>
                <w:color w:val="auto"/>
              </w:rPr>
            </w:pPr>
          </w:p>
        </w:tc>
        <w:tc>
          <w:tcPr>
            <w:tcW w:w="440" w:type="dxa"/>
            <w:vAlign w:val="bottom"/>
            <w:tcBorders>
              <w:right w:val="single" w:sz="8" w:color="E7E7E2"/>
            </w:tcBorders>
            <w:gridSpan w:val="2"/>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420" w:type="dxa"/>
            <w:vAlign w:val="bottom"/>
            <w:tcBorders>
              <w:right w:val="single" w:sz="8" w:color="E7E7E2"/>
            </w:tcBorders>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440" w:type="dxa"/>
            <w:vAlign w:val="bottom"/>
            <w:tcBorders>
              <w:right w:val="single" w:sz="8" w:color="E7E7E2"/>
            </w:tcBorders>
            <w:gridSpan w:val="2"/>
            <w:vMerge w:val="restart"/>
            <w:shd w:val="clear" w:color="auto" w:fill="E7E7E2"/>
          </w:tcPr>
          <w:p>
            <w:pPr>
              <w:jc w:val="center"/>
              <w:ind w:right="74"/>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54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E7E7E2"/>
          </w:tcPr>
          <w:p>
            <w:pPr>
              <w:spacing w:after="0"/>
              <w:rPr>
                <w:sz w:val="11"/>
                <w:szCs w:val="11"/>
                <w:color w:val="auto"/>
              </w:rPr>
            </w:pPr>
          </w:p>
        </w:tc>
        <w:tc>
          <w:tcPr>
            <w:tcW w:w="440" w:type="dxa"/>
            <w:vAlign w:val="bottom"/>
            <w:tcBorders>
              <w:right w:val="single" w:sz="8" w:color="E7E7E2"/>
            </w:tcBorders>
            <w:gridSpan w:val="2"/>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E7E7E2"/>
          </w:tcPr>
          <w:p>
            <w:pPr>
              <w:spacing w:after="0"/>
              <w:rPr>
                <w:sz w:val="11"/>
                <w:szCs w:val="11"/>
                <w:color w:val="auto"/>
              </w:rPr>
            </w:pPr>
          </w:p>
        </w:tc>
        <w:tc>
          <w:tcPr>
            <w:tcW w:w="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420" w:type="dxa"/>
            <w:vAlign w:val="bottom"/>
            <w:tcBorders>
              <w:right w:val="single" w:sz="8" w:color="E7E7E2"/>
            </w:tcBorders>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right w:val="single" w:sz="8" w:color="9ADAF6"/>
            </w:tcBorders>
            <w:shd w:val="clear" w:color="auto" w:fill="9ADAF6"/>
          </w:tcPr>
          <w:p>
            <w:pPr>
              <w:spacing w:after="0"/>
              <w:rPr>
                <w:sz w:val="17"/>
                <w:szCs w:val="17"/>
                <w:color w:val="auto"/>
              </w:rPr>
            </w:pPr>
          </w:p>
        </w:tc>
        <w:tc>
          <w:tcPr>
            <w:tcW w:w="82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w w:val="94"/>
              </w:rPr>
              <w:t>Amount of</w:t>
            </w: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right w:val="single" w:sz="8" w:color="9ADAF6"/>
            </w:tcBorders>
            <w:shd w:val="clear" w:color="auto" w:fill="9ADAF6"/>
          </w:tcPr>
          <w:p>
            <w:pPr>
              <w:spacing w:after="0"/>
              <w:rPr>
                <w:sz w:val="8"/>
                <w:szCs w:val="8"/>
                <w:color w:val="auto"/>
              </w:rPr>
            </w:pPr>
          </w:p>
        </w:tc>
        <w:tc>
          <w:tcPr>
            <w:tcW w:w="820" w:type="dxa"/>
            <w:vAlign w:val="bottom"/>
            <w:gridSpan w:val="4"/>
            <w:vMerge w:val="restart"/>
            <w:shd w:val="clear" w:color="auto" w:fill="9ADAF6"/>
          </w:tcPr>
          <w:p>
            <w:pPr>
              <w:spacing w:after="0" w:line="193" w:lineRule="exact"/>
              <w:rPr>
                <w:sz w:val="20"/>
                <w:szCs w:val="20"/>
                <w:color w:val="auto"/>
              </w:rPr>
            </w:pPr>
            <w:r>
              <w:rPr>
                <w:rFonts w:ascii="Arial" w:cs="Arial" w:eastAsia="Arial" w:hAnsi="Arial"/>
                <w:sz w:val="17"/>
                <w:szCs w:val="17"/>
                <w:b w:val="1"/>
                <w:bCs w:val="1"/>
                <w:color w:val="auto"/>
                <w:w w:val="98"/>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0" w:type="dxa"/>
            <w:vAlign w:val="bottom"/>
            <w:gridSpan w:val="3"/>
            <w:vMerge w:val="restart"/>
            <w:shd w:val="clear" w:color="auto" w:fill="9ADAF6"/>
          </w:tcPr>
          <w:p>
            <w:pPr>
              <w:jc w:val="center"/>
              <w:ind w:right="136"/>
              <w:spacing w:after="0" w:line="193"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jc w:val="center"/>
              <w:ind w:right="17"/>
              <w:spacing w:after="0" w:line="193"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3"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20" w:type="dxa"/>
            <w:vAlign w:val="bottom"/>
            <w:gridSpan w:val="5"/>
            <w:vMerge w:val="restart"/>
            <w:shd w:val="clear" w:color="auto" w:fill="9ADAF6"/>
          </w:tcPr>
          <w:p>
            <w:pPr>
              <w:ind w:left="620"/>
              <w:spacing w:after="0" w:line="193"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right w:val="single" w:sz="8" w:color="9ADAF6"/>
            </w:tcBorders>
            <w:shd w:val="clear" w:color="auto" w:fill="9ADAF6"/>
          </w:tcPr>
          <w:p>
            <w:pPr>
              <w:spacing w:after="0"/>
              <w:rPr>
                <w:sz w:val="8"/>
                <w:szCs w:val="8"/>
                <w:color w:val="auto"/>
              </w:rPr>
            </w:pPr>
          </w:p>
        </w:tc>
        <w:tc>
          <w:tcPr>
            <w:tcW w:w="820" w:type="dxa"/>
            <w:vAlign w:val="bottom"/>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60"/>
              <w:spacing w:after="0" w:line="193"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3"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2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40"/>
              <w:spacing w:after="0" w:line="193" w:lineRule="exact"/>
              <w:rPr>
                <w:sz w:val="20"/>
                <w:szCs w:val="20"/>
                <w:color w:val="auto"/>
              </w:rPr>
            </w:pPr>
            <w:r>
              <w:rPr>
                <w:rFonts w:ascii="Arial" w:cs="Arial" w:eastAsia="Arial" w:hAnsi="Arial"/>
                <w:sz w:val="17"/>
                <w:szCs w:val="17"/>
                <w:b w:val="1"/>
                <w:bCs w:val="1"/>
                <w:color w:val="auto"/>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jc w:val="center"/>
              <w:ind w:right="17"/>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00" w:type="dxa"/>
            <w:vAlign w:val="bottom"/>
            <w:gridSpan w:val="3"/>
            <w:vMerge w:val="restart"/>
            <w:shd w:val="clear" w:color="auto" w:fill="9ADAF6"/>
          </w:tcPr>
          <w:p>
            <w:pPr>
              <w:jc w:val="center"/>
              <w:ind w:right="116"/>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00" w:type="dxa"/>
            <w:vAlign w:val="bottom"/>
            <w:tcBorders>
              <w:right w:val="single" w:sz="8" w:color="auto"/>
            </w:tcBorders>
            <w:gridSpan w:val="2"/>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right w:val="single" w:sz="8" w:color="E7E7E2"/>
            </w:tcBorders>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32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40" w:type="dxa"/>
            <w:vAlign w:val="bottom"/>
            <w:shd w:val="clear" w:color="auto" w:fill="E7E7E2"/>
          </w:tcPr>
          <w:p>
            <w:pPr>
              <w:ind w:left="54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ind w:left="6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40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
      <w:numFmt w:val="bullet"/>
      <w:start w:val="1"/>
    </w:lvl>
  </w:abstractNum>
  <w:abstractNum w:abstractNumId="6">
    <w:nsid w:val="DED7263"/>
    <w:multiLevelType w:val="hybridMultilevel"/>
    <w:lvl w:ilvl="0">
      <w:lvlJc w:val="left"/>
      <w:lvlText w:val=" "/>
      <w:numFmt w:val="bullet"/>
      <w:start w:val="1"/>
    </w:lvl>
  </w:abstractNum>
  <w:abstractNum w:abstractNumId="7">
    <w:nsid w:val="7FDCC233"/>
    <w:multiLevelType w:val="hybridMultilevel"/>
    <w:lvl w:ilvl="0">
      <w:lvlJc w:val="left"/>
      <w:lvlText w:val=" "/>
      <w:numFmt w:val="bullet"/>
      <w:start w:val="1"/>
    </w:lvl>
  </w:abstractNum>
  <w:abstractNum w:abstractNumId="8">
    <w:nsid w:val="1BEFD79F"/>
    <w:multiLevelType w:val="hybridMultilevel"/>
    <w:lvl w:ilvl="0">
      <w:lvlJc w:val="left"/>
      <w:lvlText w:val=" "/>
      <w:numFmt w:val="bullet"/>
      <w:start w:val="1"/>
    </w:lvl>
  </w:abstractNum>
  <w:abstractNum w:abstractNumId="9">
    <w:nsid w:val="41A7C4C9"/>
    <w:multiLevelType w:val="hybridMultilevel"/>
    <w:lvl w:ilvl="0">
      <w:lvlJc w:val="left"/>
      <w:lvlText w:val=" "/>
      <w:numFmt w:val="bullet"/>
      <w:start w:val="1"/>
    </w:lvl>
  </w:abstractNum>
  <w:abstractNum w:abstractNumId="10">
    <w:nsid w:val="6B68079A"/>
    <w:multiLevelType w:val="hybridMultilevel"/>
    <w:lvl w:ilvl="0">
      <w:lvlJc w:val="left"/>
      <w:lvlText w:val=" "/>
      <w:numFmt w:val="bullet"/>
      <w:start w:val="1"/>
    </w:lvl>
  </w:abstractNum>
  <w:abstractNum w:abstractNumId="11">
    <w:nsid w:val="4E6AFB66"/>
    <w:multiLevelType w:val="hybridMultilevel"/>
    <w:lvl w:ilvl="0">
      <w:lvlJc w:val="left"/>
      <w:lvlText w:val=" "/>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Roman"/>
      <w:start w:val="1"/>
    </w:lvl>
  </w:abstractNum>
  <w:abstractNum w:abstractNumId="16">
    <w:nsid w:val="7C83E458"/>
    <w:multiLevelType w:val="hybridMultilevel"/>
    <w:lvl w:ilvl="0">
      <w:lvlJc w:val="left"/>
      <w:lvlText w:val="(%1)"/>
      <w:numFmt w:val="decimal"/>
      <w:start w:val="2"/>
    </w:lvl>
  </w:abstractNum>
  <w:abstractNum w:abstractNumId="17">
    <w:nsid w:val="257130A3"/>
    <w:multiLevelType w:val="hybridMultilevel"/>
    <w:lvl w:ilvl="0">
      <w:lvlJc w:val="left"/>
      <w:lvlText w:val="(%1)"/>
      <w:numFmt w:val="lowerLetter"/>
      <w:start w:val="2"/>
    </w:lvl>
  </w:abstractNum>
  <w:abstractNum w:abstractNumId="18">
    <w:nsid w:val="62BBD95A"/>
    <w:multiLevelType w:val="hybridMultilevel"/>
    <w:lvl w:ilvl="0">
      <w:lvlJc w:val="left"/>
      <w:lvlText w:val="(%1)"/>
      <w:numFmt w:val="lowerRoman"/>
      <w:start w:val="1"/>
    </w:lvl>
  </w:abstractNum>
  <w:abstractNum w:abstractNumId="19">
    <w:nsid w:val="436C6125"/>
    <w:multiLevelType w:val="hybridMultilevel"/>
    <w:lvl w:ilvl="0">
      <w:lvlJc w:val="left"/>
      <w:lvlText w:val="(%1)"/>
      <w:numFmt w:val="lowerRoman"/>
      <w:start w:val="2"/>
    </w:lvl>
  </w:abstractNum>
  <w:abstractNum w:abstractNumId="20">
    <w:nsid w:val="628C895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76" Type="http://schemas.openxmlformats.org/officeDocument/2006/relationships/image" Target="media/image44.png"/><Relationship Id="rId77" Type="http://schemas.openxmlformats.org/officeDocument/2006/relationships/image" Target="media/image45.png"/><Relationship Id="rId95" Type="http://schemas.openxmlformats.org/officeDocument/2006/relationships/image" Target="media/image46.png"/><Relationship Id="rId107" Type="http://schemas.openxmlformats.org/officeDocument/2006/relationships/image" Target="media/image47.png"/><Relationship Id="rId108" Type="http://schemas.openxmlformats.org/officeDocument/2006/relationships/image" Target="media/image48.png"/><Relationship Id="rId109" Type="http://schemas.openxmlformats.org/officeDocument/2006/relationships/image" Target="media/image49.png"/><Relationship Id="rId110" Type="http://schemas.openxmlformats.org/officeDocument/2006/relationships/image" Target="media/image50.png"/><Relationship Id="rId111" Type="http://schemas.openxmlformats.org/officeDocument/2006/relationships/image" Target="media/image51.jpeg"/><Relationship Id="rId112" Type="http://schemas.openxmlformats.org/officeDocument/2006/relationships/image" Target="media/image52.png"/><Relationship Id="rId113" Type="http://schemas.openxmlformats.org/officeDocument/2006/relationships/image" Target="media/image53.jpeg"/><Relationship Id="rId114" Type="http://schemas.openxmlformats.org/officeDocument/2006/relationships/image" Target="media/image54.png"/><Relationship Id="rId115" Type="http://schemas.openxmlformats.org/officeDocument/2006/relationships/image" Target="media/image55.jpeg"/><Relationship Id="rId116" Type="http://schemas.openxmlformats.org/officeDocument/2006/relationships/image" Target="media/image56.png"/><Relationship Id="rId117" Type="http://schemas.openxmlformats.org/officeDocument/2006/relationships/image" Target="media/image57.png"/><Relationship Id="rId43" Type="http://schemas.openxmlformats.org/officeDocument/2006/relationships/hyperlink" Target="http://www.sec.gov/ix?doc=/Archives/edgar/data/1544227/000095017025046144/tpst-20241231.htm" TargetMode="External"/><Relationship Id="rId44" Type="http://schemas.openxmlformats.org/officeDocument/2006/relationships/hyperlink" Target="http://www.sec.gov/ix?doc=/Archives/edgar/data/1544227/000119312525107127/d920870d10ka.htm" TargetMode="External"/><Relationship Id="rId45" Type="http://schemas.openxmlformats.org/officeDocument/2006/relationships/hyperlink" Target="http://www.sec.gov/ix?doc=/Archives/edgar/data/1544227/000095017025070441/tpst-20250331.htm" TargetMode="External"/><Relationship Id="rId46" Type="http://schemas.openxmlformats.org/officeDocument/2006/relationships/hyperlink" Target="http://www.sec.gov/ix?doc=/Archives/edgar/data/1544227/000095017025106558/tpst-20250630.htm" TargetMode="External"/><Relationship Id="rId47" Type="http://schemas.openxmlformats.org/officeDocument/2006/relationships/hyperlink" Target="http://www.sec.gov/ix?doc=/Archives/edgar/data/1544227/000119312525265946/tpst-20250930.htm" TargetMode="External"/><Relationship Id="rId48" Type="http://schemas.openxmlformats.org/officeDocument/2006/relationships/hyperlink" Target="http://www.sec.gov/ix?doc=/Archives/edgar/data/1544227/000119312525073987/d905141d8k.htm" TargetMode="External"/><Relationship Id="rId49" Type="http://schemas.openxmlformats.org/officeDocument/2006/relationships/hyperlink" Target="http://www.sec.gov/ix?doc=/Archives/edgar/data/1544227/000119312525076938/d906762d8k.htm" TargetMode="External"/><Relationship Id="rId50" Type="http://schemas.openxmlformats.org/officeDocument/2006/relationships/hyperlink" Target="http://www.sec.gov/ix?doc=/Archives/edgar/data/1544227/000119312525085773/d792758d8k.htm" TargetMode="External"/><Relationship Id="rId51" Type="http://schemas.openxmlformats.org/officeDocument/2006/relationships/hyperlink" Target="http://www.sec.gov/ix?doc=/Archives/edgar/data/1544227/000119312525098817/d935409d8k.htm" TargetMode="External"/><Relationship Id="rId52" Type="http://schemas.openxmlformats.org/officeDocument/2006/relationships/hyperlink" Target="http://www.sec.gov/ix?doc=/Archives/edgar/data/1544227/000119312525137041/d17737d8k.htm" TargetMode="External"/><Relationship Id="rId53" Type="http://schemas.openxmlformats.org/officeDocument/2006/relationships/hyperlink" Target="http://www.sec.gov/ix?doc=/Archives/edgar/data/1544227/000119312525138802/d779986d8k.htm" TargetMode="External"/><Relationship Id="rId54" Type="http://schemas.openxmlformats.org/officeDocument/2006/relationships/hyperlink" Target="http://www.sec.gov/ix?doc=/Archives/edgar/data/1544227/000119312525287163/d97617d8k.htm" TargetMode="External"/><Relationship Id="rId55" Type="http://schemas.openxmlformats.org/officeDocument/2006/relationships/hyperlink" Target="http://www.sec.gov/ix?doc=/Archives/edgar/data/1544227/000119312525298604/d37881d8k.htm" TargetMode="External"/><Relationship Id="rId56" Type="http://schemas.openxmlformats.org/officeDocument/2006/relationships/hyperlink" Target="http://www.sec.gov/Archives/edgar/data/1544227/000110465913033085/a13-9660_28a12b.htm" TargetMode="External"/><Relationship Id="rId57" Type="http://schemas.openxmlformats.org/officeDocument/2006/relationships/hyperlink" Target="http://www.sec.gov/Archives/edgar/data/1544227/000095017025046144/tpst-ex4_1.htm" TargetMode="External"/><Relationship Id="rId66" Type="http://schemas.openxmlformats.org/officeDocument/2006/relationships/hyperlink" Target="http://www.sec.gov/Archives/edgar/data/1544227/000110465921042768/tm2111026d1_ex2-1.htm" TargetMode="External"/><Relationship Id="rId67" Type="http://schemas.openxmlformats.org/officeDocument/2006/relationships/hyperlink" Target="http://www.sec.gov/Archives/edgar/data/1544227/000155837019005038/mlnd-20190331ex31b53fa83.htm" TargetMode="External"/><Relationship Id="rId68" Type="http://schemas.openxmlformats.org/officeDocument/2006/relationships/hyperlink" Target="http://www.sec.gov/Archives/edgar/data/1544227/000119312521201157/d196630dex31.htm" TargetMode="External"/><Relationship Id="rId69" Type="http://schemas.openxmlformats.org/officeDocument/2006/relationships/hyperlink" Target="http://www.sec.gov/Archives/edgar/data/1544227/000119312521201157/d196630dex32.htm" TargetMode="External"/><Relationship Id="rId70" Type="http://schemas.openxmlformats.org/officeDocument/2006/relationships/hyperlink" Target="http://www.sec.gov/Archives/edgar/data/1544227/000119312525073987/d905141dex31.htm" TargetMode="External"/><Relationship Id="rId71" Type="http://schemas.openxmlformats.org/officeDocument/2006/relationships/hyperlink" Target="http://www.sec.gov/Archives/edgar/data/1544227/000119312523253882/d547808dex31.htm" TargetMode="External"/><Relationship Id="rId72" Type="http://schemas.openxmlformats.org/officeDocument/2006/relationships/hyperlink" Target="http://www.sec.gov/Archives/edgar/data/1544227/000119312521281694/d222030dex31.htm" TargetMode="External"/><Relationship Id="rId73" Type="http://schemas.openxmlformats.org/officeDocument/2006/relationships/hyperlink" Target="http://www.sec.gov/Archives/edgar/data/1544227/000095017025046144/tpst-ex4_2.htm" TargetMode="External"/><Relationship Id="rId74" Type="http://schemas.openxmlformats.org/officeDocument/2006/relationships/hyperlink" Target="http://www.sec.gov/Archives/edgar/data/1544227/000119312523253882/d547808dex41.htm" TargetMode="External"/><Relationship Id="rId75" Type="http://schemas.openxmlformats.org/officeDocument/2006/relationships/hyperlink" Target="http://www.sec.gov/Archives/edgar/data/1544227/000119312524235598/d877681dex41.htm" TargetMode="External"/><Relationship Id="rId78" Type="http://schemas.openxmlformats.org/officeDocument/2006/relationships/hyperlink" Target="http://www.sec.gov/Archives/edgar/data/1544227/000119312524272464/d899818dex41.htm" TargetMode="External"/><Relationship Id="rId79" Type="http://schemas.openxmlformats.org/officeDocument/2006/relationships/hyperlink" Target="http://www.sec.gov/Archives/edgar/data/1544227/000119312525298604/d37881dex41.htm" TargetMode="External"/><Relationship Id="rId80" Type="http://schemas.openxmlformats.org/officeDocument/2006/relationships/hyperlink" Target="http://www.sec.gov/Archives/edgar/data/1544227/000119312525298604/d37881dex42.htm" TargetMode="External"/><Relationship Id="rId81" Type="http://schemas.openxmlformats.org/officeDocument/2006/relationships/hyperlink" Target="http://www.sec.gov/Archives/edgar/data/1544227/000119312525298604/d37881dex43.htm" TargetMode="External"/><Relationship Id="rId82" Type="http://schemas.openxmlformats.org/officeDocument/2006/relationships/hyperlink" Target="http://www.sec.gov/Archives/edgar/data/1544227/000119312521208968/d184348dex102.htm" TargetMode="External"/><Relationship Id="rId83" Type="http://schemas.openxmlformats.org/officeDocument/2006/relationships/hyperlink" Target="http://www.sec.gov/Archives/edgar/data/1544227/000119312521208968/d184348dex101.htm" TargetMode="External"/><Relationship Id="rId84" Type="http://schemas.openxmlformats.org/officeDocument/2006/relationships/hyperlink" Target="http://www.sec.gov/Archives/edgar/data/1544227/000162828022007717/tempest-2017eipxformofst.htm" TargetMode="External"/><Relationship Id="rId85" Type="http://schemas.openxmlformats.org/officeDocument/2006/relationships/hyperlink" Target="http://www.sec.gov/Archives/edgar/data/1544227/000119312522177053/d370249dex101.htm" TargetMode="External"/><Relationship Id="rId86" Type="http://schemas.openxmlformats.org/officeDocument/2006/relationships/hyperlink" Target="http://www.sec.gov/Archives/edgar/data/1544227/000155837019007932/mlnd-20190630ex107cfce16.htm" TargetMode="External"/><Relationship Id="rId87" Type="http://schemas.openxmlformats.org/officeDocument/2006/relationships/hyperlink" Target="http://www.sec.gov/Archives/edgar/data/1544227/000154422720000004/mlnd-20191231xex1016.htm" TargetMode="External"/><Relationship Id="rId88" Type="http://schemas.openxmlformats.org/officeDocument/2006/relationships/hyperlink" Target="http://www.sec.gov/Archives/edgar/data/1544227/000154422720000004/mlnd-201912x31xex1017.htm" TargetMode="External"/><Relationship Id="rId89" Type="http://schemas.openxmlformats.org/officeDocument/2006/relationships/hyperlink" Target="http://www.sec.gov/Archives/edgar/data/1544227/000119312522177053/d370249dex102.htm" TargetMode="External"/><Relationship Id="rId90" Type="http://schemas.openxmlformats.org/officeDocument/2006/relationships/hyperlink" Target="http://www.sec.gov/Archives/edgar/data/1544227/000119312521209988/d69289dex101.htm" TargetMode="External"/><Relationship Id="rId91" Type="http://schemas.openxmlformats.org/officeDocument/2006/relationships/hyperlink" Target="http://www.sec.gov/Archives/edgar/data/1544227/000095017023009237/tpst-ex10_24.htm" TargetMode="External"/><Relationship Id="rId92" Type="http://schemas.openxmlformats.org/officeDocument/2006/relationships/hyperlink" Target="http://www.sec.gov/Archives/edgar/data/1544227/000095017023041429/tpst-ex10_1.htm" TargetMode="External"/><Relationship Id="rId93" Type="http://schemas.openxmlformats.org/officeDocument/2006/relationships/hyperlink" Target="http://www.sec.gov/Archives/edgar/data/1544227/000095017023041429/tpst-ex10_2.htm" TargetMode="External"/><Relationship Id="rId94" Type="http://schemas.openxmlformats.org/officeDocument/2006/relationships/hyperlink" Target="http://www.sec.gov/Archives/edgar/data/1544227/000095017023041429/tpst-ex10_3.htm" TargetMode="External"/><Relationship Id="rId96" Type="http://schemas.openxmlformats.org/officeDocument/2006/relationships/hyperlink" Target="http://www.sec.gov/Archives/edgar/data/1544227/000095017023041429/tpst-ex10_4.htm" TargetMode="External"/><Relationship Id="rId97" Type="http://schemas.openxmlformats.org/officeDocument/2006/relationships/hyperlink" Target="http://www.sec.gov/Archives/edgar/data/1544227/000095017025046144/tpst-ex10_32.htm" TargetMode="External"/><Relationship Id="rId98" Type="http://schemas.openxmlformats.org/officeDocument/2006/relationships/hyperlink" Target="http://www.sec.gov/Archives/edgar/data/1544227/000095017025106558/tpst-ex10_2.htm" TargetMode="External"/><Relationship Id="rId99" Type="http://schemas.openxmlformats.org/officeDocument/2006/relationships/hyperlink" Target="http://www.sec.gov/Archives/edgar/data/1544227/000095017025106558/tpst-ex10_3.htm" TargetMode="External"/><Relationship Id="rId100" Type="http://schemas.openxmlformats.org/officeDocument/2006/relationships/hyperlink" Target="http://www.sec.gov/Archives/edgar/data/1544227/000095017025106558/tpst-ex10_4.htm" TargetMode="External"/><Relationship Id="rId101" Type="http://schemas.openxmlformats.org/officeDocument/2006/relationships/hyperlink" Target="http://www.sec.gov/Archives/edgar/data/1544227/000095017025106558/tpst-ex10_5.htm" TargetMode="External"/><Relationship Id="rId102" Type="http://schemas.openxmlformats.org/officeDocument/2006/relationships/hyperlink" Target="http://www.sec.gov/Archives/edgar/data/1544227/000095017025106558/tpst-ex10_6.htm" TargetMode="External"/><Relationship Id="rId103" Type="http://schemas.openxmlformats.org/officeDocument/2006/relationships/hyperlink" Target="http://www.sec.gov/Archives/edgar/data/1544227/000095017025106558/tpst-ex10_7.htm" TargetMode="External"/><Relationship Id="rId104" Type="http://schemas.openxmlformats.org/officeDocument/2006/relationships/hyperlink" Target="http://www.sec.gov/Archives/edgar/data/1544227/000119312525287163/d97617dex101.htm" TargetMode="External"/><Relationship Id="rId105" Type="http://schemas.openxmlformats.org/officeDocument/2006/relationships/hyperlink" Target="http://www.sec.gov/Archives/edgar/data/1544227/000119312525287163/d97617dex102.htm" TargetMode="External"/><Relationship Id="rId106" Type="http://schemas.openxmlformats.org/officeDocument/2006/relationships/hyperlink" Target="http://www.sec.gov/Archives/edgar/data/1544227/000119312522092417/d3280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2025-12-09T15:56:17Z</dcterms:created>
  <dcterms:modified xsi:type="dcterms:W3CDTF">2025-12-09T15:56:17Z</dcterms:modified>
</cp:coreProperties>
</file>