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22,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Tempest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880" w:type="dxa"/>
        <w:tblCellMar>
          <w:top w:w="0" w:type="dxa"/>
          <w:left w:w="0" w:type="dxa"/>
          <w:bottom w:w="0" w:type="dxa"/>
          <w:right w:w="0" w:type="dxa"/>
        </w:tblCellMar>
      </w:tblPr>
      <w:tr>
        <w:trPr>
          <w:trHeight w:val="235"/>
        </w:trPr>
        <w:tc>
          <w:tcPr>
            <w:tcW w:w="3420" w:type="dxa"/>
            <w:vAlign w:val="bottom"/>
          </w:tcPr>
          <w:p>
            <w:pPr>
              <w:jc w:val="center"/>
              <w:ind w:right="46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001-35890</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45-1472564</w:t>
            </w:r>
          </w:p>
        </w:tc>
      </w:tr>
      <w:tr>
        <w:trPr>
          <w:trHeight w:val="148"/>
        </w:trPr>
        <w:tc>
          <w:tcPr>
            <w:tcW w:w="3420" w:type="dxa"/>
            <w:vAlign w:val="bottom"/>
          </w:tcPr>
          <w:p>
            <w:pPr>
              <w:jc w:val="center"/>
              <w:ind w:right="46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2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420" w:type="dxa"/>
            <w:vAlign w:val="bottom"/>
          </w:tcPr>
          <w:p>
            <w:pPr>
              <w:jc w:val="center"/>
              <w:ind w:right="46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342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9"/>
              </w:rPr>
              <w:t>2000 Sierra Point Parkway, Suite 400</w:t>
            </w:r>
          </w:p>
        </w:tc>
        <w:tc>
          <w:tcPr>
            <w:tcW w:w="3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3420" w:type="dxa"/>
            <w:vAlign w:val="bottom"/>
          </w:tcPr>
          <w:p>
            <w:pPr>
              <w:jc w:val="center"/>
              <w:ind w:right="461"/>
              <w:spacing w:after="0"/>
              <w:rPr>
                <w:sz w:val="20"/>
                <w:szCs w:val="20"/>
                <w:color w:val="auto"/>
              </w:rPr>
            </w:pPr>
            <w:r>
              <w:rPr>
                <w:rFonts w:ascii="Times New Roman" w:cs="Times New Roman" w:eastAsia="Times New Roman" w:hAnsi="Times New Roman"/>
                <w:sz w:val="18"/>
                <w:szCs w:val="18"/>
                <w:b w:val="1"/>
                <w:bCs w:val="1"/>
                <w:color w:val="auto"/>
                <w:w w:val="99"/>
              </w:rPr>
              <w:t>Brisbane, California</w:t>
            </w:r>
          </w:p>
        </w:tc>
        <w:tc>
          <w:tcPr>
            <w:tcW w:w="312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94005</w:t>
            </w:r>
          </w:p>
        </w:tc>
      </w:tr>
      <w:tr>
        <w:trPr>
          <w:trHeight w:val="178"/>
        </w:trPr>
        <w:tc>
          <w:tcPr>
            <w:tcW w:w="3420" w:type="dxa"/>
            <w:vAlign w:val="bottom"/>
          </w:tcPr>
          <w:p>
            <w:pPr>
              <w:jc w:val="center"/>
              <w:ind w:right="46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798-8589</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TPST</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On March 22, 2023, Tempest Therapeutics, Inc. (the “Company”) issued a press release announcing its financial results for the year ended December 31, 2022. A copy of the Company’s press release dated March 22, 2023, titled “Tempest Reports Year End 2022 Financial Results and Provides Corporate Highlights” is attached hereto as Exhibit 99.1 and is incorporated herein by reference.</w:t>
      </w:r>
    </w:p>
    <w:p>
      <w:pPr>
        <w:spacing w:after="0" w:line="17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foregoing information (including the exhibit hereto) is being furnished under “Item 2.02 Results of Operations and Financial Condition” and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594"/>
        </w:trPr>
        <w:tc>
          <w:tcPr>
            <w:tcW w:w="1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99.1</w:t>
            </w: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March 22, 2023</w:t>
            </w: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r>
      <w:tr>
        <w:trPr>
          <w:trHeight w:val="520"/>
        </w:trPr>
        <w:tc>
          <w:tcPr>
            <w:tcW w:w="1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104</w:t>
            </w: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74"/>
        </w:trPr>
        <w:tc>
          <w:tcPr>
            <w:tcW w:w="140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7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TEMPEST THERAPEUTICS, INC.</w:t>
            </w:r>
          </w:p>
        </w:tc>
      </w:tr>
      <w:tr>
        <w:trPr>
          <w:trHeight w:val="614"/>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22, 2023</w:t>
            </w:r>
          </w:p>
        </w:tc>
        <w:tc>
          <w:tcPr>
            <w:tcW w:w="25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Brady</w:t>
            </w:r>
          </w:p>
        </w:tc>
      </w:tr>
      <w:tr>
        <w:trPr>
          <w:trHeight w:val="211"/>
        </w:trPr>
        <w:tc>
          <w:tcPr>
            <w:tcW w:w="3680" w:type="dxa"/>
            <w:vAlign w:val="bottom"/>
          </w:tcPr>
          <w:p>
            <w:pPr>
              <w:spacing w:after="0"/>
              <w:rPr>
                <w:sz w:val="18"/>
                <w:szCs w:val="18"/>
                <w:color w:val="auto"/>
              </w:rPr>
            </w:pPr>
          </w:p>
        </w:tc>
        <w:tc>
          <w:tcPr>
            <w:tcW w:w="25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Stephen Brady</w:t>
            </w:r>
          </w:p>
        </w:tc>
      </w:tr>
      <w:tr>
        <w:trPr>
          <w:trHeight w:val="248"/>
        </w:trPr>
        <w:tc>
          <w:tcPr>
            <w:tcW w:w="3680" w:type="dxa"/>
            <w:vAlign w:val="bottom"/>
          </w:tcPr>
          <w:p>
            <w:pPr>
              <w:spacing w:after="0"/>
              <w:rPr>
                <w:sz w:val="21"/>
                <w:szCs w:val="21"/>
                <w:color w:val="auto"/>
              </w:rPr>
            </w:pPr>
          </w:p>
        </w:tc>
        <w:tc>
          <w:tcPr>
            <w:tcW w:w="25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506"/>
        </w:trPr>
        <w:tc>
          <w:tcPr>
            <w:tcW w:w="368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11430</wp:posOffset>
            </wp:positionV>
            <wp:extent cx="3171825" cy="848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71825"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Tempest Reports Year End 2022 Financial Results and Provides</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Business Update</w:t>
      </w:r>
    </w:p>
    <w:p>
      <w:pPr>
        <w:spacing w:after="0" w:line="174" w:lineRule="exact"/>
        <w:rPr>
          <w:sz w:val="20"/>
          <w:szCs w:val="20"/>
          <w:color w:val="auto"/>
        </w:rPr>
      </w:pPr>
    </w:p>
    <w:p>
      <w:pPr>
        <w:ind w:left="1140" w:right="420" w:hanging="383"/>
        <w:spacing w:after="0" w:line="255" w:lineRule="auto"/>
        <w:tabs>
          <w:tab w:leader="none" w:pos="114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i w:val="1"/>
          <w:iCs w:val="1"/>
          <w:color w:val="auto"/>
        </w:rPr>
        <w:t>Positive monotherapy and combination therapy data from Phase 1 trial of first clinical program, TPST-1120, announced in an oral presentation at ASCO 2022</w:t>
      </w:r>
    </w:p>
    <w:p>
      <w:pPr>
        <w:spacing w:after="0" w:line="1" w:lineRule="exact"/>
        <w:rPr>
          <w:rFonts w:ascii="Times New Roman" w:cs="Times New Roman" w:eastAsia="Times New Roman" w:hAnsi="Times New Roman"/>
          <w:sz w:val="22"/>
          <w:szCs w:val="22"/>
          <w:color w:val="auto"/>
        </w:rPr>
      </w:pPr>
    </w:p>
    <w:p>
      <w:pPr>
        <w:ind w:left="1140" w:right="240" w:hanging="383"/>
        <w:spacing w:after="0" w:line="255" w:lineRule="auto"/>
        <w:tabs>
          <w:tab w:leader="none" w:pos="114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i w:val="1"/>
          <w:iCs w:val="1"/>
          <w:color w:val="auto"/>
        </w:rPr>
        <w:t>TPST-1120 randomized combination study in first-line HCC patients with partner Roche is fully enrolled, with initial data expected in the first half of 2023</w:t>
      </w:r>
    </w:p>
    <w:p>
      <w:pPr>
        <w:spacing w:after="0" w:line="1" w:lineRule="exact"/>
        <w:rPr>
          <w:rFonts w:ascii="Times New Roman" w:cs="Times New Roman" w:eastAsia="Times New Roman" w:hAnsi="Times New Roman"/>
          <w:sz w:val="22"/>
          <w:szCs w:val="22"/>
          <w:color w:val="auto"/>
        </w:rPr>
      </w:pPr>
    </w:p>
    <w:p>
      <w:pPr>
        <w:ind w:left="1140" w:right="920" w:hanging="383"/>
        <w:spacing w:after="0" w:line="239" w:lineRule="auto"/>
        <w:tabs>
          <w:tab w:leader="none" w:pos="114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i w:val="1"/>
          <w:iCs w:val="1"/>
          <w:color w:val="auto"/>
        </w:rPr>
        <w:t>New data on TPST-1120 biomarker and proprietary small molecule TREX1 inhibitor accepted for presentation at AACR 2023</w:t>
      </w:r>
    </w:p>
    <w:p>
      <w:pPr>
        <w:spacing w:after="0" w:line="1" w:lineRule="exact"/>
        <w:rPr>
          <w:rFonts w:ascii="Times New Roman" w:cs="Times New Roman" w:eastAsia="Times New Roman" w:hAnsi="Times New Roman"/>
          <w:sz w:val="22"/>
          <w:szCs w:val="22"/>
          <w:color w:val="auto"/>
        </w:rPr>
      </w:pPr>
    </w:p>
    <w:p>
      <w:pPr>
        <w:ind w:left="1140" w:right="120" w:hanging="383"/>
        <w:spacing w:after="0" w:line="239" w:lineRule="auto"/>
        <w:tabs>
          <w:tab w:leader="none" w:pos="114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i w:val="1"/>
          <w:iCs w:val="1"/>
          <w:color w:val="auto"/>
        </w:rPr>
        <w:t>TPST-1495 Phase 1 monotherapy and combination dose escalation and optimization ongoing, with initial data release planned by mid 2023</w:t>
      </w:r>
    </w:p>
    <w:p>
      <w:pPr>
        <w:spacing w:after="0" w:line="200" w:lineRule="exact"/>
        <w:rPr>
          <w:sz w:val="20"/>
          <w:szCs w:val="20"/>
          <w:color w:val="auto"/>
        </w:rPr>
      </w:pPr>
    </w:p>
    <w:p>
      <w:pPr>
        <w:spacing w:after="0" w:line="205" w:lineRule="exact"/>
        <w:rPr>
          <w:sz w:val="20"/>
          <w:szCs w:val="20"/>
          <w:color w:val="auto"/>
        </w:rPr>
      </w:pPr>
    </w:p>
    <w:p>
      <w:pPr>
        <w:jc w:val="both"/>
        <w:spacing w:after="0" w:line="227" w:lineRule="auto"/>
        <w:rPr>
          <w:sz w:val="20"/>
          <w:szCs w:val="20"/>
          <w:color w:val="auto"/>
        </w:rPr>
      </w:pPr>
      <w:r>
        <w:rPr>
          <w:rFonts w:ascii="Arial" w:cs="Arial" w:eastAsia="Arial" w:hAnsi="Arial"/>
          <w:sz w:val="22"/>
          <w:szCs w:val="22"/>
          <w:b w:val="1"/>
          <w:bCs w:val="1"/>
          <w:color w:val="auto"/>
        </w:rPr>
        <w:t>Brisbane, CA</w:t>
      </w:r>
      <w:r>
        <w:rPr>
          <w:rFonts w:ascii="Arial" w:cs="Arial" w:eastAsia="Arial" w:hAnsi="Arial"/>
          <w:sz w:val="22"/>
          <w:szCs w:val="22"/>
          <w:color w:val="auto"/>
        </w:rPr>
        <w:t>, March 22, 2023</w:t>
      </w:r>
      <w:r>
        <w:rPr>
          <w:rFonts w:ascii="Arial" w:cs="Arial" w:eastAsia="Arial" w:hAnsi="Arial"/>
          <w:sz w:val="22"/>
          <w:szCs w:val="22"/>
          <w:b w:val="1"/>
          <w:bCs w:val="1"/>
          <w:color w:val="auto"/>
        </w:rPr>
        <w:t xml:space="preserve"> – </w:t>
      </w:r>
      <w:r>
        <w:rPr>
          <w:rFonts w:ascii="Arial" w:cs="Arial" w:eastAsia="Arial" w:hAnsi="Arial"/>
          <w:sz w:val="22"/>
          <w:szCs w:val="22"/>
          <w:color w:val="auto"/>
        </w:rPr>
        <w:t>Tempest Therapeutics, Inc. (Nasdaq: TPST), a clinical-stage oncology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developing first-in-class</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therapeutics that combine both targeted and immune-mediated mechanisms, today reported financial results for the year ended December 31, 2022 and provided a corporate update</w:t>
      </w:r>
      <w:r>
        <w:rPr>
          <w:rFonts w:ascii="Arial" w:cs="Arial" w:eastAsia="Arial" w:hAnsi="Arial"/>
          <w:sz w:val="22"/>
          <w:szCs w:val="22"/>
          <w:color w:val="3C4B65"/>
        </w:rPr>
        <w:t>.</w:t>
      </w:r>
    </w:p>
    <w:p>
      <w:pPr>
        <w:spacing w:after="0" w:line="9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“2022 featured significant milestones for the company, including our first clinical proof of concept data, which was recognized in an oral presentation at ASCO,” said Stephen Brady, chief executive officer of Tempest. “We were pleased to see TPST-1120 confer clinical benefit to patients, including a 30% ORR at the two highest doses in patients who had not responded to checkpoint inhibitors or who had cancer that doesn’t traditionally respond to immunotherapy. We look forward to data this year from our randomized global study with Roche in first-line liver cancer patients, as well as our second clinical program, TPST-1495, where we’ve observed disease control in late-stage cancer patients, as well as data from our exciting preclinical program targeting TREX1 in the STING pathway. 2023 is shaping up to be a data-rich year for Tempest.”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387350</wp:posOffset>
            </wp:positionV>
            <wp:extent cx="16370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100" w:hanging="92"/>
        <w:spacing w:after="0"/>
        <w:tabs>
          <w:tab w:leader="none" w:pos="100" w:val="left"/>
        </w:tabs>
        <w:numPr>
          <w:ilvl w:val="0"/>
          <w:numId w:val="3"/>
        </w:numPr>
        <w:rPr>
          <w:rFonts w:ascii="Calibri" w:cs="Calibri" w:eastAsia="Calibri" w:hAnsi="Calibri"/>
          <w:sz w:val="24"/>
          <w:szCs w:val="24"/>
          <w:color w:val="auto"/>
          <w:vertAlign w:val="superscript"/>
        </w:rPr>
      </w:pPr>
      <w:r>
        <w:rPr>
          <w:rFonts w:ascii="Calibri" w:cs="Calibri" w:eastAsia="Calibri" w:hAnsi="Calibri"/>
          <w:sz w:val="18"/>
          <w:szCs w:val="18"/>
          <w:color w:val="auto"/>
        </w:rPr>
        <w:t>If approved by the FDA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2022 Accomplishments</w:t>
      </w:r>
    </w:p>
    <w:p>
      <w:pPr>
        <w:jc w:val="both"/>
        <w:ind w:left="760" w:hanging="378"/>
        <w:spacing w:after="0" w:line="232" w:lineRule="auto"/>
        <w:tabs>
          <w:tab w:leader="none" w:pos="760" w:val="left"/>
        </w:tabs>
        <w:numPr>
          <w:ilvl w:val="0"/>
          <w:numId w:val="4"/>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TPST-1120 </w:t>
      </w:r>
      <w:r>
        <w:rPr>
          <w:rFonts w:ascii="Arial" w:cs="Arial" w:eastAsia="Arial" w:hAnsi="Arial"/>
          <w:sz w:val="22"/>
          <w:szCs w:val="22"/>
          <w:color w:val="auto"/>
        </w:rPr>
        <w:t>(clinical PPARα antagonist): (i) completed Phase 1 clinical study investigating TPST-1120, as a</w:t>
      </w:r>
      <w:r>
        <w:rPr>
          <w:rFonts w:ascii="Arial" w:cs="Arial" w:eastAsia="Arial" w:hAnsi="Arial"/>
          <w:sz w:val="22"/>
          <w:szCs w:val="22"/>
          <w:b w:val="1"/>
          <w:bCs w:val="1"/>
          <w:color w:val="auto"/>
        </w:rPr>
        <w:t xml:space="preserve"> </w:t>
      </w:r>
      <w:r>
        <w:rPr>
          <w:rFonts w:ascii="Arial" w:cs="Arial" w:eastAsia="Arial" w:hAnsi="Arial"/>
          <w:sz w:val="22"/>
          <w:szCs w:val="22"/>
          <w:color w:val="auto"/>
        </w:rPr>
        <w:t>monotherapy and in combination with an anti-PD1 therapy, nivolumab, and selected recommended Phase 2 dose (“RP2D”); (ii) announced positive results including RECIST responses from the Phase 1 study in an oral presentation at the 2022 American Society of Clinical Oncology (ASCO) Annual Meeting; (iii) presented data showing pharmacodynamic and predictive biomarkers associated with responses in cancer patients from the Phase 1 study at the 2022 Society for Immunotherapy of Cancer (SITC) 37th Annual Meeting; and (iv) continued enrollment in first-line, randomized global Phase 1b/2 study in patients with hepatocellular carcinoma (HCC), under a collaboration with F. Hoffmann La Roche.</w:t>
      </w:r>
    </w:p>
    <w:p>
      <w:pPr>
        <w:spacing w:after="0" w:line="72" w:lineRule="exact"/>
        <w:rPr>
          <w:rFonts w:ascii="Times New Roman" w:cs="Times New Roman" w:eastAsia="Times New Roman" w:hAnsi="Times New Roman"/>
          <w:sz w:val="22"/>
          <w:szCs w:val="22"/>
          <w:color w:val="auto"/>
        </w:rPr>
      </w:pPr>
    </w:p>
    <w:p>
      <w:pPr>
        <w:jc w:val="both"/>
        <w:ind w:left="760" w:hanging="378"/>
        <w:spacing w:after="0" w:line="237" w:lineRule="auto"/>
        <w:tabs>
          <w:tab w:leader="none" w:pos="760" w:val="left"/>
        </w:tabs>
        <w:numPr>
          <w:ilvl w:val="0"/>
          <w:numId w:val="4"/>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TPST-1495 </w:t>
      </w:r>
      <w:r>
        <w:rPr>
          <w:rFonts w:ascii="Arial" w:cs="Arial" w:eastAsia="Arial" w:hAnsi="Arial"/>
          <w:sz w:val="22"/>
          <w:szCs w:val="22"/>
          <w:color w:val="auto"/>
        </w:rPr>
        <w:t>(clinical dual EP2/4 prostaglandin receptor antagonist): (i) completed enrollment in a Phase 1</w:t>
      </w:r>
      <w:r>
        <w:rPr>
          <w:rFonts w:ascii="Arial" w:cs="Arial" w:eastAsia="Arial" w:hAnsi="Arial"/>
          <w:sz w:val="22"/>
          <w:szCs w:val="22"/>
          <w:b w:val="1"/>
          <w:bCs w:val="1"/>
          <w:color w:val="auto"/>
        </w:rPr>
        <w:t xml:space="preserve"> </w:t>
      </w:r>
      <w:r>
        <w:rPr>
          <w:rFonts w:ascii="Arial" w:cs="Arial" w:eastAsia="Arial" w:hAnsi="Arial"/>
          <w:sz w:val="22"/>
          <w:szCs w:val="22"/>
          <w:color w:val="auto"/>
        </w:rPr>
        <w:t>study evaluating monotherapy dose and schedule optimization; (ii) continued enrollment of a study evaluating combination dose and schedule optimization with the anti-PD-1 checkpoint inhibitor, pembrolizumab; and (iii) presented preclinical data showing the superiority of targeting EP2 and EP4 together in comparison to other prostaglandin pathway approaches at both the American Association for Cancer Research (AACR) Annual Meeting 2022 and SITC 2022.</w:t>
      </w:r>
    </w:p>
    <w:p>
      <w:pPr>
        <w:spacing w:after="0" w:line="66" w:lineRule="exact"/>
        <w:rPr>
          <w:rFonts w:ascii="Times New Roman" w:cs="Times New Roman" w:eastAsia="Times New Roman" w:hAnsi="Times New Roman"/>
          <w:sz w:val="22"/>
          <w:szCs w:val="22"/>
          <w:color w:val="auto"/>
        </w:rPr>
      </w:pPr>
    </w:p>
    <w:p>
      <w:pPr>
        <w:ind w:left="760" w:hanging="378"/>
        <w:spacing w:after="0" w:line="260" w:lineRule="auto"/>
        <w:tabs>
          <w:tab w:leader="none" w:pos="760" w:val="left"/>
        </w:tabs>
        <w:numPr>
          <w:ilvl w:val="0"/>
          <w:numId w:val="4"/>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TREX1 Inhibitor </w:t>
      </w:r>
      <w:r>
        <w:rPr>
          <w:rFonts w:ascii="Arial" w:cs="Arial" w:eastAsia="Arial" w:hAnsi="Arial"/>
          <w:sz w:val="22"/>
          <w:szCs w:val="22"/>
          <w:color w:val="auto"/>
        </w:rPr>
        <w:t>(preclinical tumor-selective STING pathway activator): presented the first preclinical anti-tumor results with proprietary small molecule TREX1 inhibitor at AACR 2022.</w:t>
      </w:r>
    </w:p>
    <w:p>
      <w:pPr>
        <w:spacing w:after="0" w:line="44" w:lineRule="exact"/>
        <w:rPr>
          <w:rFonts w:ascii="Times New Roman" w:cs="Times New Roman" w:eastAsia="Times New Roman" w:hAnsi="Times New Roman"/>
          <w:sz w:val="22"/>
          <w:szCs w:val="22"/>
          <w:color w:val="auto"/>
        </w:rPr>
      </w:pPr>
    </w:p>
    <w:p>
      <w:pPr>
        <w:ind w:left="760" w:hanging="378"/>
        <w:spacing w:after="0" w:line="260" w:lineRule="auto"/>
        <w:tabs>
          <w:tab w:leader="none" w:pos="760" w:val="left"/>
        </w:tabs>
        <w:numPr>
          <w:ilvl w:val="0"/>
          <w:numId w:val="4"/>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Expansion of Patent Portfolio: </w:t>
      </w:r>
      <w:r>
        <w:rPr>
          <w:rFonts w:ascii="Arial" w:cs="Arial" w:eastAsia="Arial" w:hAnsi="Arial"/>
          <w:sz w:val="22"/>
          <w:szCs w:val="22"/>
          <w:color w:val="auto"/>
        </w:rPr>
        <w:t>the U.S. Patent and Trademark Office issued a patent covering methods of</w:t>
      </w:r>
      <w:r>
        <w:rPr>
          <w:rFonts w:ascii="Arial" w:cs="Arial" w:eastAsia="Arial" w:hAnsi="Arial"/>
          <w:sz w:val="22"/>
          <w:szCs w:val="22"/>
          <w:b w:val="1"/>
          <w:bCs w:val="1"/>
          <w:color w:val="auto"/>
        </w:rPr>
        <w:t xml:space="preserve"> </w:t>
      </w:r>
      <w:r>
        <w:rPr>
          <w:rFonts w:ascii="Arial" w:cs="Arial" w:eastAsia="Arial" w:hAnsi="Arial"/>
          <w:sz w:val="22"/>
          <w:szCs w:val="22"/>
          <w:color w:val="auto"/>
        </w:rPr>
        <w:t>treatment for our therapeutic product candidate, TPST-1495.</w:t>
      </w:r>
    </w:p>
    <w:p>
      <w:pPr>
        <w:spacing w:after="0" w:line="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Planned Near-Term Milestones</w:t>
      </w:r>
    </w:p>
    <w:p>
      <w:pPr>
        <w:spacing w:after="0" w:line="12" w:lineRule="exact"/>
        <w:rPr>
          <w:sz w:val="20"/>
          <w:szCs w:val="20"/>
          <w:color w:val="auto"/>
        </w:rPr>
      </w:pPr>
    </w:p>
    <w:p>
      <w:pPr>
        <w:jc w:val="both"/>
        <w:ind w:left="760" w:hanging="378"/>
        <w:spacing w:after="0" w:line="236" w:lineRule="auto"/>
        <w:tabs>
          <w:tab w:leader="none" w:pos="7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TPST-1120 </w:t>
      </w:r>
      <w:r>
        <w:rPr>
          <w:rFonts w:ascii="Arial" w:cs="Arial" w:eastAsia="Arial" w:hAnsi="Arial"/>
          <w:sz w:val="22"/>
          <w:szCs w:val="22"/>
          <w:color w:val="auto"/>
        </w:rPr>
        <w:t>(clinical PPARα antagonist): we expect to (i) present new data showing an association of RECIST</w:t>
      </w:r>
      <w:r>
        <w:rPr>
          <w:rFonts w:ascii="Arial" w:cs="Arial" w:eastAsia="Arial" w:hAnsi="Arial"/>
          <w:sz w:val="22"/>
          <w:szCs w:val="22"/>
          <w:b w:val="1"/>
          <w:bCs w:val="1"/>
          <w:color w:val="auto"/>
        </w:rPr>
        <w:t xml:space="preserve"> </w:t>
      </w:r>
      <w:r>
        <w:rPr>
          <w:rFonts w:ascii="Arial" w:cs="Arial" w:eastAsia="Arial" w:hAnsi="Arial"/>
          <w:sz w:val="22"/>
          <w:szCs w:val="22"/>
          <w:color w:val="auto"/>
        </w:rPr>
        <w:t>responses and biomarker changes at AACR 2023; and (ii) report objective response data from up to 40 HCC patients in each arm in the first-line randomized study in the first half of 2023.</w:t>
      </w:r>
    </w:p>
    <w:p>
      <w:pPr>
        <w:spacing w:after="0" w:line="67" w:lineRule="exact"/>
        <w:rPr>
          <w:rFonts w:ascii="Times New Roman" w:cs="Times New Roman" w:eastAsia="Times New Roman" w:hAnsi="Times New Roman"/>
          <w:sz w:val="22"/>
          <w:szCs w:val="22"/>
          <w:color w:val="auto"/>
        </w:rPr>
      </w:pPr>
    </w:p>
    <w:p>
      <w:pPr>
        <w:jc w:val="both"/>
        <w:ind w:left="760" w:hanging="378"/>
        <w:spacing w:after="0"/>
        <w:tabs>
          <w:tab w:leader="none" w:pos="7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TPST-1495 </w:t>
      </w:r>
      <w:r>
        <w:rPr>
          <w:rFonts w:ascii="Arial" w:cs="Arial" w:eastAsia="Arial" w:hAnsi="Arial"/>
          <w:sz w:val="22"/>
          <w:szCs w:val="22"/>
          <w:color w:val="auto"/>
        </w:rPr>
        <w:t>(clinical dual EP2/4 prostaglandin receptor antagonist): we plan to disclose data from (i) the</w:t>
      </w:r>
      <w:r>
        <w:rPr>
          <w:rFonts w:ascii="Arial" w:cs="Arial" w:eastAsia="Arial" w:hAnsi="Arial"/>
          <w:sz w:val="22"/>
          <w:szCs w:val="22"/>
          <w:b w:val="1"/>
          <w:bCs w:val="1"/>
          <w:color w:val="auto"/>
        </w:rPr>
        <w:t xml:space="preserve"> </w:t>
      </w:r>
      <w:r>
        <w:rPr>
          <w:rFonts w:ascii="Arial" w:cs="Arial" w:eastAsia="Arial" w:hAnsi="Arial"/>
          <w:sz w:val="22"/>
          <w:szCs w:val="22"/>
          <w:color w:val="auto"/>
        </w:rPr>
        <w:t>Phase 1 dose escalation and schedule optimization trial studying monotherapy and combination therapy with an anti-PD1 therapy, pembrolizumab, by mid-2023, and (ii) a separate combination arm at the two highest TPST-1495 doses in patients with advanced endometrial cancer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12" w:lineRule="exact"/>
        <w:rPr>
          <w:sz w:val="20"/>
          <w:szCs w:val="20"/>
          <w:color w:val="auto"/>
        </w:rPr>
      </w:pPr>
    </w:p>
    <w:p>
      <w:pPr>
        <w:jc w:val="both"/>
        <w:ind w:left="760" w:hanging="378"/>
        <w:spacing w:after="0" w:line="236" w:lineRule="auto"/>
        <w:tabs>
          <w:tab w:leader="none" w:pos="760" w:val="left"/>
        </w:tabs>
        <w:numPr>
          <w:ilvl w:val="0"/>
          <w:numId w:val="6"/>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TREX1 Inhibitor </w:t>
      </w:r>
      <w:r>
        <w:rPr>
          <w:rFonts w:ascii="Arial" w:cs="Arial" w:eastAsia="Arial" w:hAnsi="Arial"/>
          <w:sz w:val="22"/>
          <w:szCs w:val="22"/>
          <w:color w:val="auto"/>
        </w:rPr>
        <w:t>(preclinical tumor-selective STING pathway activator): we expect to present new preclinical</w:t>
      </w:r>
      <w:r>
        <w:rPr>
          <w:rFonts w:ascii="Arial" w:cs="Arial" w:eastAsia="Arial" w:hAnsi="Arial"/>
          <w:sz w:val="22"/>
          <w:szCs w:val="22"/>
          <w:b w:val="1"/>
          <w:bCs w:val="1"/>
          <w:color w:val="auto"/>
        </w:rPr>
        <w:t xml:space="preserve"> </w:t>
      </w:r>
      <w:r>
        <w:rPr>
          <w:rFonts w:ascii="Arial" w:cs="Arial" w:eastAsia="Arial" w:hAnsi="Arial"/>
          <w:sz w:val="22"/>
          <w:szCs w:val="22"/>
          <w:color w:val="auto"/>
        </w:rPr>
        <w:t>anti-tumor results at AACR 2023 with new proprietary small molecule series TREX1 inhibitors generated through insights resulting from human TREX1-inhibitor co-crystal structures.</w:t>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Results</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Year End 2022</w:t>
      </w:r>
    </w:p>
    <w:p>
      <w:pPr>
        <w:jc w:val="both"/>
        <w:ind w:left="760" w:hanging="378"/>
        <w:spacing w:after="0" w:line="235" w:lineRule="auto"/>
        <w:tabs>
          <w:tab w:leader="none" w:pos="760" w:val="left"/>
        </w:tabs>
        <w:numPr>
          <w:ilvl w:val="0"/>
          <w:numId w:val="7"/>
        </w:numPr>
        <w:rPr>
          <w:rFonts w:ascii="Times New Roman" w:cs="Times New Roman" w:eastAsia="Times New Roman" w:hAnsi="Times New Roman"/>
          <w:sz w:val="22"/>
          <w:szCs w:val="22"/>
          <w:color w:val="auto"/>
        </w:rPr>
      </w:pPr>
      <w:r>
        <w:rPr>
          <w:rFonts w:ascii="Arial" w:cs="Arial" w:eastAsia="Arial" w:hAnsi="Arial"/>
          <w:sz w:val="22"/>
          <w:szCs w:val="22"/>
          <w:color w:val="auto"/>
        </w:rPr>
        <w:t>Tempest ended the year with $31.2 million in cash and cash equivalents, compared to $51.8 million on December 31, 2021. The decrease was primarily due to cash used in operations of $31.1 million, as well as $4.7 million repayment of principal on our loan, offset by net proceeds from the issuance of common stock of $8.9 million and pre-funded warrants of $7.3 million.</w:t>
      </w:r>
    </w:p>
    <w:p>
      <w:pPr>
        <w:spacing w:after="0" w:line="68" w:lineRule="exact"/>
        <w:rPr>
          <w:rFonts w:ascii="Times New Roman" w:cs="Times New Roman" w:eastAsia="Times New Roman" w:hAnsi="Times New Roman"/>
          <w:sz w:val="22"/>
          <w:szCs w:val="22"/>
          <w:color w:val="auto"/>
        </w:rPr>
      </w:pPr>
    </w:p>
    <w:p>
      <w:pPr>
        <w:ind w:left="760" w:right="360" w:hanging="378"/>
        <w:spacing w:after="0" w:line="258" w:lineRule="auto"/>
        <w:tabs>
          <w:tab w:leader="none" w:pos="760" w:val="left"/>
        </w:tabs>
        <w:numPr>
          <w:ilvl w:val="0"/>
          <w:numId w:val="7"/>
        </w:numPr>
        <w:rPr>
          <w:rFonts w:ascii="Times New Roman" w:cs="Times New Roman" w:eastAsia="Times New Roman" w:hAnsi="Times New Roman"/>
          <w:sz w:val="22"/>
          <w:szCs w:val="22"/>
          <w:color w:val="auto"/>
        </w:rPr>
      </w:pPr>
      <w:r>
        <w:rPr>
          <w:rFonts w:ascii="Arial" w:cs="Arial" w:eastAsia="Arial" w:hAnsi="Arial"/>
          <w:sz w:val="22"/>
          <w:szCs w:val="22"/>
          <w:color w:val="auto"/>
        </w:rPr>
        <w:t>Net loss and net loss per share for the year were $35.7 million and $3.09, respectively, compared to $28.3 million and $7.47, respectively, for the same period in 2021.</w:t>
      </w:r>
    </w:p>
    <w:p>
      <w:pPr>
        <w:spacing w:after="0" w:line="89" w:lineRule="exact"/>
        <w:rPr>
          <w:rFonts w:ascii="Times New Roman" w:cs="Times New Roman" w:eastAsia="Times New Roman" w:hAnsi="Times New Roman"/>
          <w:sz w:val="22"/>
          <w:szCs w:val="22"/>
          <w:color w:val="auto"/>
        </w:rPr>
      </w:pPr>
    </w:p>
    <w:p>
      <w:pPr>
        <w:ind w:left="760" w:right="120" w:hanging="378"/>
        <w:spacing w:after="0" w:line="244" w:lineRule="auto"/>
        <w:tabs>
          <w:tab w:leader="none" w:pos="760" w:val="left"/>
        </w:tabs>
        <w:numPr>
          <w:ilvl w:val="0"/>
          <w:numId w:val="7"/>
        </w:numPr>
        <w:rPr>
          <w:rFonts w:ascii="Times New Roman" w:cs="Times New Roman" w:eastAsia="Times New Roman" w:hAnsi="Times New Roman"/>
          <w:sz w:val="22"/>
          <w:szCs w:val="22"/>
          <w:color w:val="auto"/>
        </w:rPr>
      </w:pPr>
      <w:r>
        <w:rPr>
          <w:rFonts w:ascii="Arial" w:cs="Arial" w:eastAsia="Arial" w:hAnsi="Arial"/>
          <w:sz w:val="22"/>
          <w:szCs w:val="22"/>
          <w:color w:val="auto"/>
        </w:rPr>
        <w:t>Research and development expenses for the year were $22.5 million compared to $17.2 million for the same period in 2021. The $5.3 million increase was primarily attributable to expanded research and development efforts and higher compensation expenses due to an increase in employee headcount.</w:t>
      </w:r>
    </w:p>
    <w:p>
      <w:pPr>
        <w:spacing w:after="0" w:line="91" w:lineRule="exact"/>
        <w:rPr>
          <w:rFonts w:ascii="Times New Roman" w:cs="Times New Roman" w:eastAsia="Times New Roman" w:hAnsi="Times New Roman"/>
          <w:sz w:val="22"/>
          <w:szCs w:val="22"/>
          <w:color w:val="auto"/>
        </w:rPr>
      </w:pPr>
    </w:p>
    <w:p>
      <w:pPr>
        <w:ind w:left="760" w:right="180" w:hanging="378"/>
        <w:spacing w:after="0" w:line="244" w:lineRule="auto"/>
        <w:tabs>
          <w:tab w:leader="none" w:pos="760" w:val="left"/>
        </w:tabs>
        <w:numPr>
          <w:ilvl w:val="0"/>
          <w:numId w:val="7"/>
        </w:numPr>
        <w:rPr>
          <w:rFonts w:ascii="Times New Roman" w:cs="Times New Roman" w:eastAsia="Times New Roman" w:hAnsi="Times New Roman"/>
          <w:sz w:val="22"/>
          <w:szCs w:val="22"/>
          <w:color w:val="auto"/>
        </w:rPr>
      </w:pPr>
      <w:r>
        <w:rPr>
          <w:rFonts w:ascii="Arial" w:cs="Arial" w:eastAsia="Arial" w:hAnsi="Arial"/>
          <w:sz w:val="22"/>
          <w:szCs w:val="22"/>
          <w:color w:val="auto"/>
        </w:rPr>
        <w:t>General and administrative expenses for the year were 2022 were $12.1 million compared to $9.8 million for the same period in 2021. The increase of $2.3 million was primarily due to professional and consulting fees and insurance expense.</w:t>
      </w:r>
    </w:p>
    <w:p>
      <w:pPr>
        <w:spacing w:after="0" w:line="104" w:lineRule="exact"/>
        <w:rPr>
          <w:rFonts w:ascii="Times New Roman" w:cs="Times New Roman" w:eastAsia="Times New Roman" w:hAnsi="Times New Roman"/>
          <w:sz w:val="22"/>
          <w:szCs w:val="22"/>
          <w:color w:val="auto"/>
        </w:rPr>
      </w:pPr>
    </w:p>
    <w:p>
      <w:pPr>
        <w:ind w:left="760" w:hanging="378"/>
        <w:spacing w:after="0" w:line="258" w:lineRule="auto"/>
        <w:tabs>
          <w:tab w:leader="none" w:pos="760" w:val="left"/>
        </w:tabs>
        <w:numPr>
          <w:ilvl w:val="0"/>
          <w:numId w:val="7"/>
        </w:numPr>
        <w:rPr>
          <w:rFonts w:ascii="Times New Roman" w:cs="Times New Roman" w:eastAsia="Times New Roman" w:hAnsi="Times New Roman"/>
          <w:sz w:val="22"/>
          <w:szCs w:val="22"/>
          <w:color w:val="auto"/>
        </w:rPr>
      </w:pPr>
      <w:r>
        <w:rPr>
          <w:rFonts w:ascii="Arial" w:cs="Arial" w:eastAsia="Arial" w:hAnsi="Arial"/>
          <w:sz w:val="22"/>
          <w:szCs w:val="22"/>
          <w:color w:val="auto"/>
        </w:rPr>
        <w:t>Based on current cash position and operating plan, Tempest expects to have sufficient resources to fund operations through the second quarter of 2024.</w:t>
      </w: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Tempest Therapeutics</w:t>
      </w:r>
    </w:p>
    <w:p>
      <w:pPr>
        <w:spacing w:after="0" w:line="12"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Tempest Therapeutics is a clinical-stage oncology company advancing small molecules that combine both tumor-targeted and immune-mediated mechanisms with the potential to treat a wide range of tumors. The company has a diverse portfolio of novel programs ranging from early research to investigation in a randomized global study in first-line cancer patients. The company’s two novel clinical programs, TPST-1120 and TPST-1495, target PPARα and EP2/EP4, respectively, and are advancing through trials designed to study the agents as monotherapies and in combination with approved agents. Tempest is also developing an orally available inhibitor of TREX1, a target that controls activation of the cGAS/STING pathway. Tempest is headquartered in Brisbane, California. More information about Tempest can be found on the company’s website at www.tempesttx.com.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36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This press release contains forward-looking statements (including within the meaning of Section 21E of the Securities Exchange Act of 1934, as amended, and Section 27A of the Securities Act of 1933, as amended (the “Securities Act”)) concerning Tempest Therapeutics, Inc.. These statements may discuss goals, intentions, and expectations as to future plans, trends, events, results of operations or financial condition, or otherwise, based on current beliefs of the management of Tempest Therapeutics, as well as assumptions made by, and information currently available to, management of Tempest Therapeutics. Forward-looking statements generally include statements that are predictive in nature and depend upon or refer to future events or conditions, and include words such as “may,” “will,” “should,” “would,” “could”, “expect,” “anticipate,” “plan,” “likely,” “believe,” “estimate,” “project,” “intend,” and other similar expressions. All statements that are not historical facts are forward-looking statements, including any statements regarding: the design, initiation, progress, timing, scope and results of clinical trials; anticipated therapeutic benefit and regulatory development of Tempest Therapeutic’s product candidates; the Company’s ability to deliver on value-</w:t>
      </w:r>
    </w:p>
    <w:p>
      <w:pPr>
        <w:spacing w:after="0" w:line="2"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creating milestones; the Company’s guidance regarding cash runway, as well as our operational plans. Forward-looking statements are based on information available to Tempest Therapeutics as of the date hereof and are not guarantees of future performance. Any factors may cause differences between current expectations and actual results, including: unexpected safety or efficacy data observed during preclinical or clinical trials; clinical trial site activation or enrollment rates that are lower than expected; changes in expected or existing competition; changes in the regulatory environment; and unexpected litigation or other disputes. Other factors that may cause actual results to differ from those expressed or implied are discussed in greater detail in the “Risk Factors” section of the Company’s Quarterly Report on Form 10-Q for the quarter ended September 30, 2022 and other documents filed by the Company from time to time with the Securities and Exchange Commission. Except as required by applicable law, Tempest Therapeutics undertakes no obligation to revise or update any forward-looking statement, or to make any other forward-looking statements, whether as a result of new information, future events or otherwise. These forward-looking statements should not be relied upon as representing Tempest Therapeutics’ views as of any date subsequent to the date of this press release and should not be relied upon as prediction of future events. In light of the foregoing, investors are urged not to rely on any forward-looking statement in reaching any conclusion or making any investment decision about any securities of Tempest Therapeutics.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272415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372" w:lineRule="exact"/>
        <w:rPr>
          <w:sz w:val="20"/>
          <w:szCs w:val="20"/>
          <w:color w:val="auto"/>
        </w:rPr>
      </w:pPr>
    </w:p>
    <w:p>
      <w:pPr>
        <w:jc w:val="center"/>
        <w:ind w:right="100"/>
        <w:spacing w:after="0"/>
        <w:rPr>
          <w:sz w:val="20"/>
          <w:szCs w:val="20"/>
          <w:color w:val="auto"/>
        </w:rPr>
      </w:pPr>
      <w:r>
        <w:rPr>
          <w:rFonts w:ascii="Arial" w:cs="Arial" w:eastAsia="Arial" w:hAnsi="Arial"/>
          <w:sz w:val="25"/>
          <w:szCs w:val="25"/>
          <w:b w:val="1"/>
          <w:bCs w:val="1"/>
          <w:color w:val="auto"/>
        </w:rPr>
        <w:t>TEMPEST THERAPEUTICS, INC.</w:t>
      </w:r>
    </w:p>
    <w:p>
      <w:pPr>
        <w:spacing w:after="0" w:line="61" w:lineRule="exact"/>
        <w:rPr>
          <w:sz w:val="20"/>
          <w:szCs w:val="20"/>
          <w:color w:val="auto"/>
        </w:rPr>
      </w:pPr>
    </w:p>
    <w:p>
      <w:pPr>
        <w:jc w:val="center"/>
        <w:ind w:right="100"/>
        <w:spacing w:after="0"/>
        <w:rPr>
          <w:sz w:val="20"/>
          <w:szCs w:val="20"/>
          <w:color w:val="auto"/>
        </w:rPr>
      </w:pPr>
      <w:r>
        <w:rPr>
          <w:rFonts w:ascii="Arial" w:cs="Arial" w:eastAsia="Arial" w:hAnsi="Arial"/>
          <w:sz w:val="25"/>
          <w:szCs w:val="25"/>
          <w:b w:val="1"/>
          <w:bCs w:val="1"/>
          <w:color w:val="auto"/>
        </w:rPr>
        <w:t>Consolidated Balance Sheets</w:t>
      </w:r>
    </w:p>
    <w:p>
      <w:pPr>
        <w:spacing w:after="0" w:line="37" w:lineRule="exact"/>
        <w:rPr>
          <w:sz w:val="20"/>
          <w:szCs w:val="20"/>
          <w:color w:val="auto"/>
        </w:rPr>
      </w:pPr>
    </w:p>
    <w:p>
      <w:pPr>
        <w:jc w:val="center"/>
        <w:ind w:right="100"/>
        <w:spacing w:after="0"/>
        <w:rPr>
          <w:sz w:val="20"/>
          <w:szCs w:val="20"/>
          <w:color w:val="auto"/>
        </w:rPr>
      </w:pPr>
      <w:r>
        <w:rPr>
          <w:rFonts w:ascii="Arial" w:cs="Arial" w:eastAsia="Arial" w:hAnsi="Arial"/>
          <w:sz w:val="25"/>
          <w:szCs w:val="25"/>
          <w:b w:val="1"/>
          <w:bCs w:val="1"/>
          <w:color w:val="auto"/>
        </w:rPr>
        <w:t>(in thousands)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00" w:type="dxa"/>
            <w:vAlign w:val="bottom"/>
            <w:vMerge w:val="restart"/>
          </w:tcPr>
          <w:p>
            <w:pPr>
              <w:ind w:left="2500"/>
              <w:spacing w:after="0"/>
              <w:rPr>
                <w:sz w:val="20"/>
                <w:szCs w:val="20"/>
                <w:color w:val="auto"/>
              </w:rPr>
            </w:pPr>
            <w:r>
              <w:rPr>
                <w:rFonts w:ascii="Arial" w:cs="Arial" w:eastAsia="Arial" w:hAnsi="Arial"/>
                <w:sz w:val="22"/>
                <w:szCs w:val="22"/>
                <w:b w:val="1"/>
                <w:bCs w:val="1"/>
                <w:color w:val="auto"/>
              </w:rPr>
              <w:t>Assets</w:t>
            </w:r>
          </w:p>
        </w:tc>
        <w:tc>
          <w:tcPr>
            <w:tcW w:w="260" w:type="dxa"/>
            <w:vAlign w:val="bottom"/>
          </w:tcPr>
          <w:p>
            <w:pPr>
              <w:spacing w:after="0"/>
              <w:rPr>
                <w:sz w:val="22"/>
                <w:szCs w:val="22"/>
                <w:color w:val="auto"/>
              </w:rPr>
            </w:pPr>
          </w:p>
        </w:tc>
        <w:tc>
          <w:tcPr>
            <w:tcW w:w="2640" w:type="dxa"/>
            <w:vAlign w:val="bottom"/>
            <w:gridSpan w:val="2"/>
          </w:tcPr>
          <w:p>
            <w:pPr>
              <w:jc w:val="right"/>
              <w:ind w:right="720"/>
              <w:spacing w:after="0"/>
              <w:rPr>
                <w:sz w:val="20"/>
                <w:szCs w:val="20"/>
                <w:color w:val="auto"/>
              </w:rPr>
            </w:pPr>
            <w:r>
              <w:rPr>
                <w:rFonts w:ascii="Arial" w:cs="Arial" w:eastAsia="Arial" w:hAnsi="Arial"/>
                <w:sz w:val="20"/>
                <w:szCs w:val="20"/>
                <w:b w:val="1"/>
                <w:bCs w:val="1"/>
                <w:color w:val="auto"/>
              </w:rPr>
              <w:t>December 31, 2022</w:t>
            </w:r>
          </w:p>
        </w:tc>
        <w:tc>
          <w:tcPr>
            <w:tcW w:w="260" w:type="dxa"/>
            <w:vAlign w:val="bottom"/>
          </w:tcPr>
          <w:p>
            <w:pPr>
              <w:spacing w:after="0"/>
              <w:rPr>
                <w:sz w:val="22"/>
                <w:szCs w:val="22"/>
                <w:color w:val="auto"/>
              </w:rPr>
            </w:pPr>
          </w:p>
        </w:tc>
        <w:tc>
          <w:tcPr>
            <w:tcW w:w="2380" w:type="dxa"/>
            <w:vAlign w:val="bottom"/>
            <w:gridSpan w:val="2"/>
          </w:tcPr>
          <w:p>
            <w:pPr>
              <w:jc w:val="right"/>
              <w:ind w:right="480"/>
              <w:spacing w:after="0"/>
              <w:rPr>
                <w:sz w:val="20"/>
                <w:szCs w:val="20"/>
                <w:color w:val="auto"/>
              </w:rPr>
            </w:pPr>
            <w:r>
              <w:rPr>
                <w:rFonts w:ascii="Arial" w:cs="Arial" w:eastAsia="Arial" w:hAnsi="Arial"/>
                <w:sz w:val="20"/>
                <w:szCs w:val="20"/>
                <w:b w:val="1"/>
                <w:bCs w:val="1"/>
                <w:color w:val="auto"/>
              </w:rPr>
              <w:t>December 31, 2021</w:t>
            </w:r>
          </w:p>
        </w:tc>
        <w:tc>
          <w:tcPr>
            <w:tcW w:w="0" w:type="dxa"/>
            <w:vAlign w:val="bottom"/>
          </w:tcPr>
          <w:p>
            <w:pPr>
              <w:spacing w:after="0"/>
              <w:rPr>
                <w:sz w:val="1"/>
                <w:szCs w:val="1"/>
                <w:color w:val="auto"/>
              </w:rPr>
            </w:pPr>
          </w:p>
        </w:tc>
      </w:tr>
      <w:tr>
        <w:trPr>
          <w:trHeight w:val="251"/>
        </w:trPr>
        <w:tc>
          <w:tcPr>
            <w:tcW w:w="5700" w:type="dxa"/>
            <w:vAlign w:val="bottom"/>
            <w:vMerge w:val="continue"/>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30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2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700" w:type="dxa"/>
            <w:vAlign w:val="bottom"/>
          </w:tcPr>
          <w:p>
            <w:pPr>
              <w:ind w:left="20"/>
              <w:spacing w:after="0"/>
              <w:rPr>
                <w:sz w:val="20"/>
                <w:szCs w:val="20"/>
                <w:color w:val="auto"/>
              </w:rPr>
            </w:pPr>
            <w:r>
              <w:rPr>
                <w:rFonts w:ascii="Arial" w:cs="Arial" w:eastAsia="Arial" w:hAnsi="Arial"/>
                <w:sz w:val="22"/>
                <w:szCs w:val="22"/>
                <w:color w:val="auto"/>
              </w:rPr>
              <w:t>Current assets</w:t>
            </w:r>
          </w:p>
        </w:tc>
        <w:tc>
          <w:tcPr>
            <w:tcW w:w="26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00" w:type="dxa"/>
            <w:vAlign w:val="bottom"/>
          </w:tcPr>
          <w:p>
            <w:pPr>
              <w:ind w:left="140"/>
              <w:spacing w:after="0"/>
              <w:rPr>
                <w:sz w:val="20"/>
                <w:szCs w:val="20"/>
                <w:color w:val="auto"/>
              </w:rPr>
            </w:pPr>
            <w:r>
              <w:rPr>
                <w:rFonts w:ascii="Arial" w:cs="Arial" w:eastAsia="Arial" w:hAnsi="Arial"/>
                <w:sz w:val="22"/>
                <w:szCs w:val="22"/>
                <w:color w:val="auto"/>
              </w:rPr>
              <w:t>Cash and cash equivalents</w:t>
            </w:r>
          </w:p>
        </w:tc>
        <w:tc>
          <w:tcPr>
            <w:tcW w:w="260" w:type="dxa"/>
            <w:vAlign w:val="bottom"/>
          </w:tcPr>
          <w:p>
            <w:pPr>
              <w:jc w:val="right"/>
              <w:ind w:right="12"/>
              <w:spacing w:after="0"/>
              <w:rPr>
                <w:sz w:val="20"/>
                <w:szCs w:val="20"/>
                <w:color w:val="auto"/>
              </w:rPr>
            </w:pPr>
            <w:r>
              <w:rPr>
                <w:rFonts w:ascii="Arial" w:cs="Arial" w:eastAsia="Arial" w:hAnsi="Arial"/>
                <w:sz w:val="22"/>
                <w:szCs w:val="22"/>
                <w:color w:val="auto"/>
                <w:w w:val="97"/>
              </w:rPr>
              <w:t>$</w:t>
            </w:r>
          </w:p>
        </w:tc>
        <w:tc>
          <w:tcPr>
            <w:tcW w:w="2300" w:type="dxa"/>
            <w:vAlign w:val="bottom"/>
          </w:tcPr>
          <w:p>
            <w:pPr>
              <w:jc w:val="right"/>
              <w:spacing w:after="0"/>
              <w:rPr>
                <w:sz w:val="20"/>
                <w:szCs w:val="20"/>
                <w:color w:val="auto"/>
              </w:rPr>
            </w:pPr>
            <w:r>
              <w:rPr>
                <w:rFonts w:ascii="Arial" w:cs="Arial" w:eastAsia="Arial" w:hAnsi="Arial"/>
                <w:sz w:val="22"/>
                <w:szCs w:val="22"/>
                <w:color w:val="auto"/>
              </w:rPr>
              <w:t>31,230</w:t>
            </w:r>
          </w:p>
        </w:tc>
        <w:tc>
          <w:tcPr>
            <w:tcW w:w="340" w:type="dxa"/>
            <w:vAlign w:val="bottom"/>
          </w:tcPr>
          <w:p>
            <w:pPr>
              <w:spacing w:after="0"/>
              <w:rPr>
                <w:sz w:val="23"/>
                <w:szCs w:val="23"/>
                <w:color w:val="auto"/>
              </w:rPr>
            </w:pPr>
          </w:p>
        </w:tc>
        <w:tc>
          <w:tcPr>
            <w:tcW w:w="260" w:type="dxa"/>
            <w:vAlign w:val="bottom"/>
          </w:tcPr>
          <w:p>
            <w:pPr>
              <w:jc w:val="right"/>
              <w:ind w:right="12"/>
              <w:spacing w:after="0"/>
              <w:rPr>
                <w:sz w:val="20"/>
                <w:szCs w:val="20"/>
                <w:color w:val="auto"/>
              </w:rPr>
            </w:pPr>
            <w:r>
              <w:rPr>
                <w:rFonts w:ascii="Arial" w:cs="Arial" w:eastAsia="Arial" w:hAnsi="Arial"/>
                <w:sz w:val="22"/>
                <w:szCs w:val="22"/>
                <w:color w:val="auto"/>
                <w:w w:val="97"/>
              </w:rPr>
              <w:t>$</w:t>
            </w:r>
          </w:p>
        </w:tc>
        <w:tc>
          <w:tcPr>
            <w:tcW w:w="2280" w:type="dxa"/>
            <w:vAlign w:val="bottom"/>
          </w:tcPr>
          <w:p>
            <w:pPr>
              <w:jc w:val="right"/>
              <w:spacing w:after="0"/>
              <w:rPr>
                <w:sz w:val="20"/>
                <w:szCs w:val="20"/>
                <w:color w:val="auto"/>
              </w:rPr>
            </w:pPr>
            <w:r>
              <w:rPr>
                <w:rFonts w:ascii="Arial" w:cs="Arial" w:eastAsia="Arial" w:hAnsi="Arial"/>
                <w:sz w:val="22"/>
                <w:szCs w:val="22"/>
                <w:color w:val="auto"/>
              </w:rPr>
              <w:t>51,829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00" w:type="dxa"/>
            <w:vAlign w:val="bottom"/>
          </w:tcPr>
          <w:p>
            <w:pPr>
              <w:ind w:left="140"/>
              <w:spacing w:after="0"/>
              <w:rPr>
                <w:sz w:val="20"/>
                <w:szCs w:val="20"/>
                <w:color w:val="auto"/>
              </w:rPr>
            </w:pPr>
            <w:r>
              <w:rPr>
                <w:rFonts w:ascii="Arial" w:cs="Arial" w:eastAsia="Arial" w:hAnsi="Arial"/>
                <w:sz w:val="22"/>
                <w:szCs w:val="22"/>
                <w:color w:val="auto"/>
              </w:rPr>
              <w:t>Insurance recovery of legal settlement</w:t>
            </w:r>
          </w:p>
        </w:tc>
        <w:tc>
          <w:tcPr>
            <w:tcW w:w="260" w:type="dxa"/>
            <w:vAlign w:val="bottom"/>
          </w:tcPr>
          <w:p>
            <w:pPr>
              <w:spacing w:after="0"/>
              <w:rPr>
                <w:sz w:val="23"/>
                <w:szCs w:val="23"/>
                <w:color w:val="auto"/>
              </w:rPr>
            </w:pPr>
          </w:p>
        </w:tc>
        <w:tc>
          <w:tcPr>
            <w:tcW w:w="2300" w:type="dxa"/>
            <w:vAlign w:val="bottom"/>
          </w:tcPr>
          <w:p>
            <w:pPr>
              <w:jc w:val="right"/>
              <w:spacing w:after="0"/>
              <w:rPr>
                <w:sz w:val="20"/>
                <w:szCs w:val="20"/>
                <w:color w:val="auto"/>
              </w:rPr>
            </w:pPr>
            <w:r>
              <w:rPr>
                <w:rFonts w:ascii="Arial" w:cs="Arial" w:eastAsia="Arial" w:hAnsi="Arial"/>
                <w:sz w:val="22"/>
                <w:szCs w:val="22"/>
                <w:color w:val="auto"/>
              </w:rPr>
              <w:t>450</w:t>
            </w: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80" w:type="dxa"/>
            <w:vAlign w:val="bottom"/>
          </w:tcPr>
          <w:p>
            <w:pPr>
              <w:jc w:val="right"/>
              <w:spacing w:after="0"/>
              <w:rPr>
                <w:sz w:val="20"/>
                <w:szCs w:val="20"/>
                <w:color w:val="auto"/>
              </w:rPr>
            </w:pPr>
            <w:r>
              <w:rPr>
                <w:rFonts w:ascii="Arial" w:cs="Arial" w:eastAsia="Arial" w:hAnsi="Arial"/>
                <w:sz w:val="22"/>
                <w:szCs w:val="22"/>
                <w:color w:val="auto"/>
              </w:rPr>
              <w:t>15,000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700" w:type="dxa"/>
            <w:vAlign w:val="bottom"/>
          </w:tcPr>
          <w:p>
            <w:pPr>
              <w:ind w:left="140"/>
              <w:spacing w:after="0"/>
              <w:rPr>
                <w:sz w:val="20"/>
                <w:szCs w:val="20"/>
                <w:color w:val="auto"/>
              </w:rPr>
            </w:pPr>
            <w:r>
              <w:rPr>
                <w:rFonts w:ascii="Arial" w:cs="Arial" w:eastAsia="Arial" w:hAnsi="Arial"/>
                <w:sz w:val="22"/>
                <w:szCs w:val="22"/>
                <w:color w:val="auto"/>
              </w:rPr>
              <w:t>Prepaid expenses and other current assets</w:t>
            </w:r>
          </w:p>
        </w:tc>
        <w:tc>
          <w:tcPr>
            <w:tcW w:w="2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1,270</w:t>
            </w:r>
          </w:p>
        </w:tc>
        <w:tc>
          <w:tcPr>
            <w:tcW w:w="3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2,134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700" w:type="dxa"/>
            <w:vAlign w:val="bottom"/>
          </w:tcPr>
          <w:p>
            <w:pPr>
              <w:ind w:left="400"/>
              <w:spacing w:after="0"/>
              <w:rPr>
                <w:sz w:val="20"/>
                <w:szCs w:val="20"/>
                <w:color w:val="auto"/>
              </w:rPr>
            </w:pPr>
            <w:r>
              <w:rPr>
                <w:rFonts w:ascii="Arial" w:cs="Arial" w:eastAsia="Arial" w:hAnsi="Arial"/>
                <w:sz w:val="22"/>
                <w:szCs w:val="22"/>
                <w:color w:val="auto"/>
              </w:rPr>
              <w:t>Total current assets</w:t>
            </w:r>
          </w:p>
        </w:tc>
        <w:tc>
          <w:tcPr>
            <w:tcW w:w="26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32,950</w:t>
            </w:r>
          </w:p>
        </w:tc>
        <w:tc>
          <w:tcPr>
            <w:tcW w:w="3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68,963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1"/>
        </w:trPr>
        <w:tc>
          <w:tcPr>
            <w:tcW w:w="5700" w:type="dxa"/>
            <w:vAlign w:val="bottom"/>
          </w:tcPr>
          <w:p>
            <w:pPr>
              <w:ind w:left="20"/>
              <w:spacing w:after="0"/>
              <w:rPr>
                <w:sz w:val="20"/>
                <w:szCs w:val="20"/>
                <w:color w:val="auto"/>
              </w:rPr>
            </w:pPr>
            <w:r>
              <w:rPr>
                <w:rFonts w:ascii="Arial" w:cs="Arial" w:eastAsia="Arial" w:hAnsi="Arial"/>
                <w:sz w:val="22"/>
                <w:szCs w:val="22"/>
                <w:color w:val="auto"/>
              </w:rPr>
              <w:t>Property and equipment, net</w:t>
            </w:r>
          </w:p>
        </w:tc>
        <w:tc>
          <w:tcPr>
            <w:tcW w:w="26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Arial" w:cs="Arial" w:eastAsia="Arial" w:hAnsi="Arial"/>
                <w:sz w:val="22"/>
                <w:szCs w:val="22"/>
                <w:color w:val="auto"/>
              </w:rPr>
              <w:t>1,060</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22"/>
                <w:szCs w:val="22"/>
                <w:color w:val="auto"/>
              </w:rPr>
              <w:t>1,113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700" w:type="dxa"/>
            <w:vAlign w:val="bottom"/>
          </w:tcPr>
          <w:p>
            <w:pPr>
              <w:ind w:left="20"/>
              <w:spacing w:after="0"/>
              <w:rPr>
                <w:sz w:val="20"/>
                <w:szCs w:val="20"/>
                <w:color w:val="auto"/>
              </w:rPr>
            </w:pPr>
            <w:r>
              <w:rPr>
                <w:rFonts w:ascii="Arial" w:cs="Arial" w:eastAsia="Arial" w:hAnsi="Arial"/>
                <w:sz w:val="22"/>
                <w:szCs w:val="22"/>
                <w:color w:val="auto"/>
              </w:rPr>
              <w:t>Operating lease right-of-use assets</w:t>
            </w:r>
          </w:p>
        </w:tc>
        <w:tc>
          <w:tcPr>
            <w:tcW w:w="260" w:type="dxa"/>
            <w:vAlign w:val="bottom"/>
          </w:tcPr>
          <w:p>
            <w:pPr>
              <w:spacing w:after="0"/>
              <w:rPr>
                <w:sz w:val="23"/>
                <w:szCs w:val="23"/>
                <w:color w:val="auto"/>
              </w:rPr>
            </w:pPr>
          </w:p>
        </w:tc>
        <w:tc>
          <w:tcPr>
            <w:tcW w:w="2300" w:type="dxa"/>
            <w:vAlign w:val="bottom"/>
          </w:tcPr>
          <w:p>
            <w:pPr>
              <w:jc w:val="right"/>
              <w:spacing w:after="0"/>
              <w:rPr>
                <w:sz w:val="20"/>
                <w:szCs w:val="20"/>
                <w:color w:val="auto"/>
              </w:rPr>
            </w:pPr>
            <w:r>
              <w:rPr>
                <w:rFonts w:ascii="Arial" w:cs="Arial" w:eastAsia="Arial" w:hAnsi="Arial"/>
                <w:sz w:val="22"/>
                <w:szCs w:val="22"/>
                <w:color w:val="auto"/>
              </w:rPr>
              <w:t>11,650</w:t>
            </w: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80" w:type="dxa"/>
            <w:vAlign w:val="bottom"/>
          </w:tcPr>
          <w:p>
            <w:pPr>
              <w:jc w:val="right"/>
              <w:spacing w:after="0"/>
              <w:rPr>
                <w:sz w:val="20"/>
                <w:szCs w:val="20"/>
                <w:color w:val="auto"/>
              </w:rPr>
            </w:pPr>
            <w:r>
              <w:rPr>
                <w:rFonts w:ascii="Arial" w:cs="Arial" w:eastAsia="Arial" w:hAnsi="Arial"/>
                <w:sz w:val="22"/>
                <w:szCs w:val="22"/>
                <w:color w:val="auto"/>
              </w:rPr>
              <w:t>3,051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700" w:type="dxa"/>
            <w:vAlign w:val="bottom"/>
          </w:tcPr>
          <w:p>
            <w:pPr>
              <w:ind w:left="20"/>
              <w:spacing w:after="0"/>
              <w:rPr>
                <w:sz w:val="20"/>
                <w:szCs w:val="20"/>
                <w:color w:val="auto"/>
              </w:rPr>
            </w:pPr>
            <w:r>
              <w:rPr>
                <w:rFonts w:ascii="Arial" w:cs="Arial" w:eastAsia="Arial" w:hAnsi="Arial"/>
                <w:sz w:val="22"/>
                <w:szCs w:val="22"/>
                <w:color w:val="auto"/>
              </w:rPr>
              <w:t>Other noncurrent assets</w:t>
            </w:r>
          </w:p>
        </w:tc>
        <w:tc>
          <w:tcPr>
            <w:tcW w:w="2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429</w:t>
            </w:r>
          </w:p>
        </w:tc>
        <w:tc>
          <w:tcPr>
            <w:tcW w:w="3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5700" w:type="dxa"/>
            <w:vAlign w:val="bottom"/>
          </w:tcPr>
          <w:p>
            <w:pPr>
              <w:ind w:left="400"/>
              <w:spacing w:after="0"/>
              <w:rPr>
                <w:sz w:val="20"/>
                <w:szCs w:val="20"/>
                <w:color w:val="auto"/>
              </w:rPr>
            </w:pPr>
            <w:r>
              <w:rPr>
                <w:rFonts w:ascii="Arial" w:cs="Arial" w:eastAsia="Arial" w:hAnsi="Arial"/>
                <w:sz w:val="22"/>
                <w:szCs w:val="22"/>
                <w:color w:val="auto"/>
              </w:rPr>
              <w:t>Total assets</w:t>
            </w: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97"/>
              </w:rPr>
              <w:t>$</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46,089</w:t>
            </w:r>
          </w:p>
        </w:tc>
        <w:tc>
          <w:tcPr>
            <w:tcW w:w="340" w:type="dxa"/>
            <w:vAlign w:val="bottom"/>
          </w:tcPr>
          <w:p>
            <w:pPr>
              <w:spacing w:after="0"/>
              <w:rPr>
                <w:sz w:val="24"/>
                <w:szCs w:val="24"/>
                <w:color w:val="auto"/>
              </w:rPr>
            </w:pP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97"/>
              </w:rPr>
              <w:t>$</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73,238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ind w:left="1040"/>
              <w:spacing w:after="0"/>
              <w:rPr>
                <w:sz w:val="20"/>
                <w:szCs w:val="20"/>
                <w:color w:val="auto"/>
              </w:rPr>
            </w:pPr>
            <w:r>
              <w:rPr>
                <w:rFonts w:ascii="Arial" w:cs="Arial" w:eastAsia="Arial" w:hAnsi="Arial"/>
                <w:sz w:val="22"/>
                <w:szCs w:val="22"/>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57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700" w:type="dxa"/>
            <w:vAlign w:val="bottom"/>
          </w:tcPr>
          <w:p>
            <w:pPr>
              <w:ind w:left="20"/>
              <w:spacing w:after="0"/>
              <w:rPr>
                <w:sz w:val="20"/>
                <w:szCs w:val="20"/>
                <w:color w:val="auto"/>
              </w:rPr>
            </w:pPr>
            <w:r>
              <w:rPr>
                <w:rFonts w:ascii="Arial" w:cs="Arial" w:eastAsia="Arial" w:hAnsi="Arial"/>
                <w:sz w:val="22"/>
                <w:szCs w:val="22"/>
                <w:color w:val="auto"/>
              </w:rPr>
              <w:t>Current liabilities</w:t>
            </w:r>
          </w:p>
        </w:tc>
        <w:tc>
          <w:tcPr>
            <w:tcW w:w="26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00" w:type="dxa"/>
            <w:vAlign w:val="bottom"/>
          </w:tcPr>
          <w:p>
            <w:pPr>
              <w:ind w:left="140"/>
              <w:spacing w:after="0"/>
              <w:rPr>
                <w:sz w:val="20"/>
                <w:szCs w:val="20"/>
                <w:color w:val="auto"/>
              </w:rPr>
            </w:pPr>
            <w:r>
              <w:rPr>
                <w:rFonts w:ascii="Arial" w:cs="Arial" w:eastAsia="Arial" w:hAnsi="Arial"/>
                <w:sz w:val="22"/>
                <w:szCs w:val="22"/>
                <w:color w:val="auto"/>
              </w:rPr>
              <w:t>Accounts payable</w:t>
            </w:r>
          </w:p>
        </w:tc>
        <w:tc>
          <w:tcPr>
            <w:tcW w:w="260" w:type="dxa"/>
            <w:vAlign w:val="bottom"/>
          </w:tcPr>
          <w:p>
            <w:pPr>
              <w:jc w:val="right"/>
              <w:ind w:right="12"/>
              <w:spacing w:after="0"/>
              <w:rPr>
                <w:sz w:val="20"/>
                <w:szCs w:val="20"/>
                <w:color w:val="auto"/>
              </w:rPr>
            </w:pPr>
            <w:r>
              <w:rPr>
                <w:rFonts w:ascii="Arial" w:cs="Arial" w:eastAsia="Arial" w:hAnsi="Arial"/>
                <w:sz w:val="22"/>
                <w:szCs w:val="22"/>
                <w:color w:val="auto"/>
                <w:w w:val="97"/>
              </w:rPr>
              <w:t>$</w:t>
            </w:r>
          </w:p>
        </w:tc>
        <w:tc>
          <w:tcPr>
            <w:tcW w:w="2300" w:type="dxa"/>
            <w:vAlign w:val="bottom"/>
          </w:tcPr>
          <w:p>
            <w:pPr>
              <w:jc w:val="right"/>
              <w:spacing w:after="0"/>
              <w:rPr>
                <w:sz w:val="20"/>
                <w:szCs w:val="20"/>
                <w:color w:val="auto"/>
              </w:rPr>
            </w:pPr>
            <w:r>
              <w:rPr>
                <w:rFonts w:ascii="Arial" w:cs="Arial" w:eastAsia="Arial" w:hAnsi="Arial"/>
                <w:sz w:val="22"/>
                <w:szCs w:val="22"/>
                <w:color w:val="auto"/>
              </w:rPr>
              <w:t>1,108</w:t>
            </w:r>
          </w:p>
        </w:tc>
        <w:tc>
          <w:tcPr>
            <w:tcW w:w="340" w:type="dxa"/>
            <w:vAlign w:val="bottom"/>
          </w:tcPr>
          <w:p>
            <w:pPr>
              <w:spacing w:after="0"/>
              <w:rPr>
                <w:sz w:val="23"/>
                <w:szCs w:val="23"/>
                <w:color w:val="auto"/>
              </w:rPr>
            </w:pPr>
          </w:p>
        </w:tc>
        <w:tc>
          <w:tcPr>
            <w:tcW w:w="260" w:type="dxa"/>
            <w:vAlign w:val="bottom"/>
          </w:tcPr>
          <w:p>
            <w:pPr>
              <w:jc w:val="right"/>
              <w:ind w:right="12"/>
              <w:spacing w:after="0"/>
              <w:rPr>
                <w:sz w:val="20"/>
                <w:szCs w:val="20"/>
                <w:color w:val="auto"/>
              </w:rPr>
            </w:pPr>
            <w:r>
              <w:rPr>
                <w:rFonts w:ascii="Arial" w:cs="Arial" w:eastAsia="Arial" w:hAnsi="Arial"/>
                <w:sz w:val="22"/>
                <w:szCs w:val="22"/>
                <w:color w:val="auto"/>
                <w:w w:val="97"/>
              </w:rPr>
              <w:t>$</w:t>
            </w:r>
          </w:p>
        </w:tc>
        <w:tc>
          <w:tcPr>
            <w:tcW w:w="2280" w:type="dxa"/>
            <w:vAlign w:val="bottom"/>
          </w:tcPr>
          <w:p>
            <w:pPr>
              <w:jc w:val="right"/>
              <w:spacing w:after="0"/>
              <w:rPr>
                <w:sz w:val="20"/>
                <w:szCs w:val="20"/>
                <w:color w:val="auto"/>
              </w:rPr>
            </w:pPr>
            <w:r>
              <w:rPr>
                <w:rFonts w:ascii="Arial" w:cs="Arial" w:eastAsia="Arial" w:hAnsi="Arial"/>
                <w:sz w:val="22"/>
                <w:szCs w:val="22"/>
                <w:color w:val="auto"/>
              </w:rPr>
              <w:t>991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00" w:type="dxa"/>
            <w:vAlign w:val="bottom"/>
          </w:tcPr>
          <w:p>
            <w:pPr>
              <w:ind w:left="140"/>
              <w:spacing w:after="0"/>
              <w:rPr>
                <w:sz w:val="20"/>
                <w:szCs w:val="20"/>
                <w:color w:val="auto"/>
              </w:rPr>
            </w:pPr>
            <w:r>
              <w:rPr>
                <w:rFonts w:ascii="Arial" w:cs="Arial" w:eastAsia="Arial" w:hAnsi="Arial"/>
                <w:sz w:val="22"/>
                <w:szCs w:val="22"/>
                <w:color w:val="auto"/>
              </w:rPr>
              <w:t>Accrued legal settlement</w:t>
            </w:r>
          </w:p>
        </w:tc>
        <w:tc>
          <w:tcPr>
            <w:tcW w:w="260" w:type="dxa"/>
            <w:vAlign w:val="bottom"/>
          </w:tcPr>
          <w:p>
            <w:pPr>
              <w:spacing w:after="0"/>
              <w:rPr>
                <w:sz w:val="23"/>
                <w:szCs w:val="23"/>
                <w:color w:val="auto"/>
              </w:rPr>
            </w:pPr>
          </w:p>
        </w:tc>
        <w:tc>
          <w:tcPr>
            <w:tcW w:w="2300" w:type="dxa"/>
            <w:vAlign w:val="bottom"/>
          </w:tcPr>
          <w:p>
            <w:pPr>
              <w:jc w:val="right"/>
              <w:spacing w:after="0"/>
              <w:rPr>
                <w:sz w:val="20"/>
                <w:szCs w:val="20"/>
                <w:color w:val="auto"/>
              </w:rPr>
            </w:pPr>
            <w:r>
              <w:rPr>
                <w:rFonts w:ascii="Arial" w:cs="Arial" w:eastAsia="Arial" w:hAnsi="Arial"/>
                <w:sz w:val="22"/>
                <w:szCs w:val="22"/>
                <w:color w:val="auto"/>
              </w:rPr>
              <w:t>450</w:t>
            </w: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80" w:type="dxa"/>
            <w:vAlign w:val="bottom"/>
          </w:tcPr>
          <w:p>
            <w:pPr>
              <w:jc w:val="right"/>
              <w:spacing w:after="0"/>
              <w:rPr>
                <w:sz w:val="20"/>
                <w:szCs w:val="20"/>
                <w:color w:val="auto"/>
              </w:rPr>
            </w:pPr>
            <w:r>
              <w:rPr>
                <w:rFonts w:ascii="Arial" w:cs="Arial" w:eastAsia="Arial" w:hAnsi="Arial"/>
                <w:sz w:val="22"/>
                <w:szCs w:val="22"/>
                <w:color w:val="auto"/>
              </w:rPr>
              <w:t>15,000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00" w:type="dxa"/>
            <w:vAlign w:val="bottom"/>
          </w:tcPr>
          <w:p>
            <w:pPr>
              <w:ind w:left="140"/>
              <w:spacing w:after="0"/>
              <w:rPr>
                <w:sz w:val="20"/>
                <w:szCs w:val="20"/>
                <w:color w:val="auto"/>
              </w:rPr>
            </w:pPr>
            <w:r>
              <w:rPr>
                <w:rFonts w:ascii="Arial" w:cs="Arial" w:eastAsia="Arial" w:hAnsi="Arial"/>
                <w:sz w:val="22"/>
                <w:szCs w:val="22"/>
                <w:color w:val="auto"/>
              </w:rPr>
              <w:t>Accrued expenses and other</w:t>
            </w:r>
          </w:p>
        </w:tc>
        <w:tc>
          <w:tcPr>
            <w:tcW w:w="260" w:type="dxa"/>
            <w:vAlign w:val="bottom"/>
          </w:tcPr>
          <w:p>
            <w:pPr>
              <w:spacing w:after="0"/>
              <w:rPr>
                <w:sz w:val="23"/>
                <w:szCs w:val="23"/>
                <w:color w:val="auto"/>
              </w:rPr>
            </w:pPr>
          </w:p>
        </w:tc>
        <w:tc>
          <w:tcPr>
            <w:tcW w:w="2300" w:type="dxa"/>
            <w:vAlign w:val="bottom"/>
          </w:tcPr>
          <w:p>
            <w:pPr>
              <w:jc w:val="right"/>
              <w:spacing w:after="0"/>
              <w:rPr>
                <w:sz w:val="20"/>
                <w:szCs w:val="20"/>
                <w:color w:val="auto"/>
              </w:rPr>
            </w:pPr>
            <w:r>
              <w:rPr>
                <w:rFonts w:ascii="Arial" w:cs="Arial" w:eastAsia="Arial" w:hAnsi="Arial"/>
                <w:sz w:val="22"/>
                <w:szCs w:val="22"/>
                <w:color w:val="auto"/>
              </w:rPr>
              <w:t>2,961</w:t>
            </w: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80" w:type="dxa"/>
            <w:vAlign w:val="bottom"/>
          </w:tcPr>
          <w:p>
            <w:pPr>
              <w:jc w:val="right"/>
              <w:spacing w:after="0"/>
              <w:rPr>
                <w:sz w:val="20"/>
                <w:szCs w:val="20"/>
                <w:color w:val="auto"/>
              </w:rPr>
            </w:pPr>
            <w:r>
              <w:rPr>
                <w:rFonts w:ascii="Arial" w:cs="Arial" w:eastAsia="Arial" w:hAnsi="Arial"/>
                <w:sz w:val="22"/>
                <w:szCs w:val="22"/>
                <w:color w:val="auto"/>
              </w:rPr>
              <w:t>1,589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00" w:type="dxa"/>
            <w:vAlign w:val="bottom"/>
          </w:tcPr>
          <w:p>
            <w:pPr>
              <w:ind w:left="140"/>
              <w:spacing w:after="0"/>
              <w:rPr>
                <w:sz w:val="20"/>
                <w:szCs w:val="20"/>
                <w:color w:val="auto"/>
              </w:rPr>
            </w:pPr>
            <w:r>
              <w:rPr>
                <w:rFonts w:ascii="Arial" w:cs="Arial" w:eastAsia="Arial" w:hAnsi="Arial"/>
                <w:sz w:val="22"/>
                <w:szCs w:val="22"/>
                <w:color w:val="auto"/>
              </w:rPr>
              <w:t>Current operating lease liabilities</w:t>
            </w:r>
          </w:p>
        </w:tc>
        <w:tc>
          <w:tcPr>
            <w:tcW w:w="260" w:type="dxa"/>
            <w:vAlign w:val="bottom"/>
          </w:tcPr>
          <w:p>
            <w:pPr>
              <w:spacing w:after="0"/>
              <w:rPr>
                <w:sz w:val="23"/>
                <w:szCs w:val="23"/>
                <w:color w:val="auto"/>
              </w:rPr>
            </w:pPr>
          </w:p>
        </w:tc>
        <w:tc>
          <w:tcPr>
            <w:tcW w:w="2300" w:type="dxa"/>
            <w:vAlign w:val="bottom"/>
          </w:tcPr>
          <w:p>
            <w:pPr>
              <w:jc w:val="right"/>
              <w:spacing w:after="0"/>
              <w:rPr>
                <w:sz w:val="20"/>
                <w:szCs w:val="20"/>
                <w:color w:val="auto"/>
              </w:rPr>
            </w:pPr>
            <w:r>
              <w:rPr>
                <w:rFonts w:ascii="Arial" w:cs="Arial" w:eastAsia="Arial" w:hAnsi="Arial"/>
                <w:sz w:val="22"/>
                <w:szCs w:val="22"/>
                <w:color w:val="auto"/>
              </w:rPr>
              <w:t>1,413</w:t>
            </w: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80" w:type="dxa"/>
            <w:vAlign w:val="bottom"/>
          </w:tcPr>
          <w:p>
            <w:pPr>
              <w:jc w:val="right"/>
              <w:spacing w:after="0"/>
              <w:rPr>
                <w:sz w:val="20"/>
                <w:szCs w:val="20"/>
                <w:color w:val="auto"/>
              </w:rPr>
            </w:pPr>
            <w:r>
              <w:rPr>
                <w:rFonts w:ascii="Arial" w:cs="Arial" w:eastAsia="Arial" w:hAnsi="Arial"/>
                <w:sz w:val="22"/>
                <w:szCs w:val="22"/>
                <w:color w:val="auto"/>
              </w:rPr>
              <w:t>1,442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00" w:type="dxa"/>
            <w:vAlign w:val="bottom"/>
          </w:tcPr>
          <w:p>
            <w:pPr>
              <w:ind w:left="140"/>
              <w:spacing w:after="0"/>
              <w:rPr>
                <w:sz w:val="20"/>
                <w:szCs w:val="20"/>
                <w:color w:val="auto"/>
              </w:rPr>
            </w:pPr>
            <w:r>
              <w:rPr>
                <w:rFonts w:ascii="Arial" w:cs="Arial" w:eastAsia="Arial" w:hAnsi="Arial"/>
                <w:sz w:val="22"/>
                <w:szCs w:val="22"/>
                <w:color w:val="auto"/>
              </w:rPr>
              <w:t>Accrued compensation</w:t>
            </w:r>
          </w:p>
        </w:tc>
        <w:tc>
          <w:tcPr>
            <w:tcW w:w="260" w:type="dxa"/>
            <w:vAlign w:val="bottom"/>
          </w:tcPr>
          <w:p>
            <w:pPr>
              <w:spacing w:after="0"/>
              <w:rPr>
                <w:sz w:val="23"/>
                <w:szCs w:val="23"/>
                <w:color w:val="auto"/>
              </w:rPr>
            </w:pPr>
          </w:p>
        </w:tc>
        <w:tc>
          <w:tcPr>
            <w:tcW w:w="2300" w:type="dxa"/>
            <w:vAlign w:val="bottom"/>
          </w:tcPr>
          <w:p>
            <w:pPr>
              <w:jc w:val="right"/>
              <w:spacing w:after="0"/>
              <w:rPr>
                <w:sz w:val="20"/>
                <w:szCs w:val="20"/>
                <w:color w:val="auto"/>
              </w:rPr>
            </w:pPr>
            <w:r>
              <w:rPr>
                <w:rFonts w:ascii="Arial" w:cs="Arial" w:eastAsia="Arial" w:hAnsi="Arial"/>
                <w:sz w:val="22"/>
                <w:szCs w:val="22"/>
                <w:color w:val="auto"/>
              </w:rPr>
              <w:t>1,248</w:t>
            </w: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80" w:type="dxa"/>
            <w:vAlign w:val="bottom"/>
          </w:tcPr>
          <w:p>
            <w:pPr>
              <w:jc w:val="right"/>
              <w:spacing w:after="0"/>
              <w:rPr>
                <w:sz w:val="20"/>
                <w:szCs w:val="20"/>
                <w:color w:val="auto"/>
              </w:rPr>
            </w:pPr>
            <w:r>
              <w:rPr>
                <w:rFonts w:ascii="Arial" w:cs="Arial" w:eastAsia="Arial" w:hAnsi="Arial"/>
                <w:sz w:val="22"/>
                <w:szCs w:val="22"/>
                <w:color w:val="auto"/>
              </w:rPr>
              <w:t>912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700" w:type="dxa"/>
            <w:vAlign w:val="bottom"/>
          </w:tcPr>
          <w:p>
            <w:pPr>
              <w:ind w:left="140"/>
              <w:spacing w:after="0"/>
              <w:rPr>
                <w:sz w:val="20"/>
                <w:szCs w:val="20"/>
                <w:color w:val="auto"/>
              </w:rPr>
            </w:pPr>
            <w:r>
              <w:rPr>
                <w:rFonts w:ascii="Arial" w:cs="Arial" w:eastAsia="Arial" w:hAnsi="Arial"/>
                <w:sz w:val="22"/>
                <w:szCs w:val="22"/>
                <w:color w:val="auto"/>
              </w:rPr>
              <w:t>Interest payable</w:t>
            </w:r>
          </w:p>
        </w:tc>
        <w:tc>
          <w:tcPr>
            <w:tcW w:w="2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97</w:t>
            </w:r>
          </w:p>
        </w:tc>
        <w:tc>
          <w:tcPr>
            <w:tcW w:w="3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700" w:type="dxa"/>
            <w:vAlign w:val="bottom"/>
          </w:tcPr>
          <w:p>
            <w:pPr>
              <w:ind w:left="400"/>
              <w:spacing w:after="0"/>
              <w:rPr>
                <w:sz w:val="20"/>
                <w:szCs w:val="20"/>
                <w:color w:val="auto"/>
              </w:rPr>
            </w:pPr>
            <w:r>
              <w:rPr>
                <w:rFonts w:ascii="Arial" w:cs="Arial" w:eastAsia="Arial" w:hAnsi="Arial"/>
                <w:sz w:val="22"/>
                <w:szCs w:val="22"/>
                <w:color w:val="auto"/>
              </w:rPr>
              <w:t>Total current liabilities</w:t>
            </w:r>
          </w:p>
        </w:tc>
        <w:tc>
          <w:tcPr>
            <w:tcW w:w="26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Arial" w:cs="Arial" w:eastAsia="Arial" w:hAnsi="Arial"/>
                <w:sz w:val="22"/>
                <w:szCs w:val="22"/>
                <w:color w:val="auto"/>
              </w:rPr>
              <w:t>7,277</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22"/>
                <w:szCs w:val="22"/>
                <w:color w:val="auto"/>
              </w:rPr>
              <w:t>20,026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5700" w:type="dxa"/>
            <w:vAlign w:val="bottom"/>
          </w:tcPr>
          <w:p>
            <w:pPr>
              <w:ind w:left="20"/>
              <w:spacing w:after="0"/>
              <w:rPr>
                <w:sz w:val="20"/>
                <w:szCs w:val="20"/>
                <w:color w:val="auto"/>
              </w:rPr>
            </w:pPr>
            <w:r>
              <w:rPr>
                <w:rFonts w:ascii="Arial" w:cs="Arial" w:eastAsia="Arial" w:hAnsi="Arial"/>
                <w:sz w:val="22"/>
                <w:szCs w:val="22"/>
                <w:color w:val="auto"/>
              </w:rPr>
              <w:t>Loan payable, net</w:t>
            </w:r>
          </w:p>
        </w:tc>
        <w:tc>
          <w:tcPr>
            <w:tcW w:w="26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Arial" w:cs="Arial" w:eastAsia="Arial" w:hAnsi="Arial"/>
                <w:sz w:val="22"/>
                <w:szCs w:val="22"/>
                <w:color w:val="auto"/>
              </w:rPr>
              <w:t>10,371</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22"/>
                <w:szCs w:val="22"/>
                <w:color w:val="auto"/>
              </w:rPr>
              <w:t>15,069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700" w:type="dxa"/>
            <w:vAlign w:val="bottom"/>
          </w:tcPr>
          <w:p>
            <w:pPr>
              <w:ind w:left="20"/>
              <w:spacing w:after="0"/>
              <w:rPr>
                <w:sz w:val="20"/>
                <w:szCs w:val="20"/>
                <w:color w:val="auto"/>
              </w:rPr>
            </w:pPr>
            <w:r>
              <w:rPr>
                <w:rFonts w:ascii="Arial" w:cs="Arial" w:eastAsia="Arial" w:hAnsi="Arial"/>
                <w:sz w:val="22"/>
                <w:szCs w:val="22"/>
                <w:color w:val="auto"/>
              </w:rPr>
              <w:t>Operating lease liabilities</w:t>
            </w:r>
          </w:p>
        </w:tc>
        <w:tc>
          <w:tcPr>
            <w:tcW w:w="2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10,330</w:t>
            </w:r>
          </w:p>
        </w:tc>
        <w:tc>
          <w:tcPr>
            <w:tcW w:w="3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2,026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700" w:type="dxa"/>
            <w:vAlign w:val="bottom"/>
          </w:tcPr>
          <w:p>
            <w:pPr>
              <w:ind w:left="400"/>
              <w:spacing w:after="0"/>
              <w:rPr>
                <w:sz w:val="20"/>
                <w:szCs w:val="20"/>
                <w:color w:val="auto"/>
              </w:rPr>
            </w:pPr>
            <w:r>
              <w:rPr>
                <w:rFonts w:ascii="Arial" w:cs="Arial" w:eastAsia="Arial" w:hAnsi="Arial"/>
                <w:sz w:val="22"/>
                <w:szCs w:val="22"/>
                <w:color w:val="auto"/>
              </w:rPr>
              <w:t>Total liabilities</w:t>
            </w:r>
          </w:p>
        </w:tc>
        <w:tc>
          <w:tcPr>
            <w:tcW w:w="26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27,978</w:t>
            </w:r>
          </w:p>
        </w:tc>
        <w:tc>
          <w:tcPr>
            <w:tcW w:w="3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37,121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1"/>
        </w:trPr>
        <w:tc>
          <w:tcPr>
            <w:tcW w:w="5700" w:type="dxa"/>
            <w:vAlign w:val="bottom"/>
          </w:tcPr>
          <w:p>
            <w:pPr>
              <w:ind w:left="20"/>
              <w:spacing w:after="0"/>
              <w:rPr>
                <w:sz w:val="20"/>
                <w:szCs w:val="20"/>
                <w:color w:val="auto"/>
              </w:rPr>
            </w:pPr>
            <w:r>
              <w:rPr>
                <w:rFonts w:ascii="Arial" w:cs="Arial" w:eastAsia="Arial" w:hAnsi="Arial"/>
                <w:sz w:val="22"/>
                <w:szCs w:val="22"/>
                <w:color w:val="auto"/>
              </w:rPr>
              <w:t>Stockholders' equity</w:t>
            </w:r>
          </w:p>
        </w:tc>
        <w:tc>
          <w:tcPr>
            <w:tcW w:w="2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700" w:type="dxa"/>
            <w:vAlign w:val="bottom"/>
          </w:tcPr>
          <w:p>
            <w:pPr>
              <w:ind w:left="140"/>
              <w:spacing w:after="0"/>
              <w:rPr>
                <w:sz w:val="20"/>
                <w:szCs w:val="20"/>
                <w:color w:val="auto"/>
              </w:rPr>
            </w:pPr>
            <w:r>
              <w:rPr>
                <w:rFonts w:ascii="Arial" w:cs="Arial" w:eastAsia="Arial" w:hAnsi="Arial"/>
                <w:sz w:val="22"/>
                <w:szCs w:val="22"/>
                <w:color w:val="auto"/>
              </w:rPr>
              <w:t>Common stock</w:t>
            </w:r>
          </w:p>
        </w:tc>
        <w:tc>
          <w:tcPr>
            <w:tcW w:w="260" w:type="dxa"/>
            <w:vAlign w:val="bottom"/>
          </w:tcPr>
          <w:p>
            <w:pPr>
              <w:spacing w:after="0"/>
              <w:rPr>
                <w:sz w:val="23"/>
                <w:szCs w:val="23"/>
                <w:color w:val="auto"/>
              </w:rPr>
            </w:pPr>
          </w:p>
        </w:tc>
        <w:tc>
          <w:tcPr>
            <w:tcW w:w="2300" w:type="dxa"/>
            <w:vAlign w:val="bottom"/>
          </w:tcPr>
          <w:p>
            <w:pPr>
              <w:jc w:val="right"/>
              <w:spacing w:after="0"/>
              <w:rPr>
                <w:sz w:val="20"/>
                <w:szCs w:val="20"/>
                <w:color w:val="auto"/>
              </w:rPr>
            </w:pPr>
            <w:r>
              <w:rPr>
                <w:rFonts w:ascii="Arial" w:cs="Arial" w:eastAsia="Arial" w:hAnsi="Arial"/>
                <w:sz w:val="22"/>
                <w:szCs w:val="22"/>
                <w:color w:val="auto"/>
              </w:rPr>
              <w:t>11</w:t>
            </w: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80" w:type="dxa"/>
            <w:vAlign w:val="bottom"/>
          </w:tcPr>
          <w:p>
            <w:pPr>
              <w:jc w:val="right"/>
              <w:spacing w:after="0"/>
              <w:rPr>
                <w:sz w:val="20"/>
                <w:szCs w:val="20"/>
                <w:color w:val="auto"/>
              </w:rPr>
            </w:pPr>
            <w:r>
              <w:rPr>
                <w:rFonts w:ascii="Arial" w:cs="Arial" w:eastAsia="Arial" w:hAnsi="Arial"/>
                <w:sz w:val="22"/>
                <w:szCs w:val="22"/>
                <w:color w:val="auto"/>
              </w:rPr>
              <w:t>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00" w:type="dxa"/>
            <w:vAlign w:val="bottom"/>
          </w:tcPr>
          <w:p>
            <w:pPr>
              <w:ind w:left="140"/>
              <w:spacing w:after="0"/>
              <w:rPr>
                <w:sz w:val="20"/>
                <w:szCs w:val="20"/>
                <w:color w:val="auto"/>
              </w:rPr>
            </w:pPr>
            <w:r>
              <w:rPr>
                <w:rFonts w:ascii="Arial" w:cs="Arial" w:eastAsia="Arial" w:hAnsi="Arial"/>
                <w:sz w:val="22"/>
                <w:szCs w:val="22"/>
                <w:color w:val="auto"/>
              </w:rPr>
              <w:t>Additional paid-in capital</w:t>
            </w:r>
          </w:p>
        </w:tc>
        <w:tc>
          <w:tcPr>
            <w:tcW w:w="260" w:type="dxa"/>
            <w:vAlign w:val="bottom"/>
          </w:tcPr>
          <w:p>
            <w:pPr>
              <w:spacing w:after="0"/>
              <w:rPr>
                <w:sz w:val="23"/>
                <w:szCs w:val="23"/>
                <w:color w:val="auto"/>
              </w:rPr>
            </w:pPr>
          </w:p>
        </w:tc>
        <w:tc>
          <w:tcPr>
            <w:tcW w:w="2300" w:type="dxa"/>
            <w:vAlign w:val="bottom"/>
          </w:tcPr>
          <w:p>
            <w:pPr>
              <w:jc w:val="right"/>
              <w:spacing w:after="0"/>
              <w:rPr>
                <w:sz w:val="20"/>
                <w:szCs w:val="20"/>
                <w:color w:val="auto"/>
              </w:rPr>
            </w:pPr>
            <w:r>
              <w:rPr>
                <w:rFonts w:ascii="Arial" w:cs="Arial" w:eastAsia="Arial" w:hAnsi="Arial"/>
                <w:sz w:val="22"/>
                <w:szCs w:val="22"/>
                <w:color w:val="auto"/>
              </w:rPr>
              <w:t>153,872</w:t>
            </w: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80" w:type="dxa"/>
            <w:vAlign w:val="bottom"/>
          </w:tcPr>
          <w:p>
            <w:pPr>
              <w:jc w:val="right"/>
              <w:spacing w:after="0"/>
              <w:rPr>
                <w:sz w:val="20"/>
                <w:szCs w:val="20"/>
                <w:color w:val="auto"/>
              </w:rPr>
            </w:pPr>
            <w:r>
              <w:rPr>
                <w:rFonts w:ascii="Arial" w:cs="Arial" w:eastAsia="Arial" w:hAnsi="Arial"/>
                <w:sz w:val="22"/>
                <w:szCs w:val="22"/>
                <w:color w:val="auto"/>
              </w:rPr>
              <w:t>136,173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700" w:type="dxa"/>
            <w:vAlign w:val="bottom"/>
          </w:tcPr>
          <w:p>
            <w:pPr>
              <w:ind w:left="140"/>
              <w:spacing w:after="0"/>
              <w:rPr>
                <w:sz w:val="20"/>
                <w:szCs w:val="20"/>
                <w:color w:val="auto"/>
              </w:rPr>
            </w:pPr>
            <w:r>
              <w:rPr>
                <w:rFonts w:ascii="Arial" w:cs="Arial" w:eastAsia="Arial" w:hAnsi="Arial"/>
                <w:sz w:val="22"/>
                <w:szCs w:val="22"/>
                <w:color w:val="auto"/>
              </w:rPr>
              <w:t>Accumulated deficit</w:t>
            </w:r>
          </w:p>
        </w:tc>
        <w:tc>
          <w:tcPr>
            <w:tcW w:w="260" w:type="dxa"/>
            <w:vAlign w:val="bottom"/>
          </w:tcPr>
          <w:p>
            <w:pPr>
              <w:spacing w:after="0"/>
              <w:rPr>
                <w:sz w:val="24"/>
                <w:szCs w:val="24"/>
                <w:color w:val="auto"/>
              </w:rPr>
            </w:pPr>
          </w:p>
        </w:tc>
        <w:tc>
          <w:tcPr>
            <w:tcW w:w="2640" w:type="dxa"/>
            <w:vAlign w:val="bottom"/>
            <w:gridSpan w:val="2"/>
          </w:tcPr>
          <w:p>
            <w:pPr>
              <w:jc w:val="right"/>
              <w:ind w:right="260"/>
              <w:spacing w:after="0"/>
              <w:rPr>
                <w:sz w:val="20"/>
                <w:szCs w:val="20"/>
                <w:color w:val="auto"/>
              </w:rPr>
            </w:pPr>
            <w:r>
              <w:rPr>
                <w:rFonts w:ascii="Arial" w:cs="Arial" w:eastAsia="Arial" w:hAnsi="Arial"/>
                <w:sz w:val="22"/>
                <w:szCs w:val="22"/>
                <w:color w:val="auto"/>
              </w:rPr>
              <w:t>(135,772)</w:t>
            </w:r>
          </w:p>
        </w:tc>
        <w:tc>
          <w:tcPr>
            <w:tcW w:w="260" w:type="dxa"/>
            <w:vAlign w:val="bottom"/>
          </w:tcPr>
          <w:p>
            <w:pPr>
              <w:spacing w:after="0"/>
              <w:rPr>
                <w:sz w:val="24"/>
                <w:szCs w:val="24"/>
                <w:color w:val="auto"/>
              </w:rPr>
            </w:pPr>
          </w:p>
        </w:tc>
        <w:tc>
          <w:tcPr>
            <w:tcW w:w="2380" w:type="dxa"/>
            <w:vAlign w:val="bottom"/>
            <w:gridSpan w:val="2"/>
          </w:tcPr>
          <w:p>
            <w:pPr>
              <w:jc w:val="right"/>
              <w:ind w:right="20"/>
              <w:spacing w:after="0"/>
              <w:rPr>
                <w:sz w:val="20"/>
                <w:szCs w:val="20"/>
                <w:color w:val="auto"/>
              </w:rPr>
            </w:pPr>
            <w:r>
              <w:rPr>
                <w:rFonts w:ascii="Arial" w:cs="Arial" w:eastAsia="Arial" w:hAnsi="Arial"/>
                <w:sz w:val="22"/>
                <w:szCs w:val="22"/>
                <w:color w:val="auto"/>
              </w:rPr>
              <w:t>(100,063)</w:t>
            </w:r>
          </w:p>
        </w:tc>
        <w:tc>
          <w:tcPr>
            <w:tcW w:w="0" w:type="dxa"/>
            <w:vAlign w:val="bottom"/>
          </w:tcPr>
          <w:p>
            <w:pPr>
              <w:spacing w:after="0"/>
              <w:rPr>
                <w:sz w:val="1"/>
                <w:szCs w:val="1"/>
                <w:color w:val="auto"/>
              </w:rPr>
            </w:pPr>
          </w:p>
        </w:tc>
      </w:tr>
      <w:tr>
        <w:trPr>
          <w:trHeight w:val="263"/>
        </w:trPr>
        <w:tc>
          <w:tcPr>
            <w:tcW w:w="5700" w:type="dxa"/>
            <w:vAlign w:val="bottom"/>
          </w:tcPr>
          <w:p>
            <w:pPr>
              <w:ind w:left="400"/>
              <w:spacing w:after="0"/>
              <w:rPr>
                <w:sz w:val="20"/>
                <w:szCs w:val="20"/>
                <w:color w:val="auto"/>
              </w:rPr>
            </w:pPr>
            <w:r>
              <w:rPr>
                <w:rFonts w:ascii="Arial" w:cs="Arial" w:eastAsia="Arial" w:hAnsi="Arial"/>
                <w:sz w:val="22"/>
                <w:szCs w:val="22"/>
                <w:color w:val="auto"/>
              </w:rPr>
              <w:t>Total stockholders' equity</w:t>
            </w:r>
          </w:p>
        </w:tc>
        <w:tc>
          <w:tcPr>
            <w:tcW w:w="260" w:type="dxa"/>
            <w:vAlign w:val="bottom"/>
            <w:tcBorders>
              <w:top w:val="single" w:sz="8" w:color="auto"/>
              <w:bottom w:val="single" w:sz="8" w:color="auto"/>
            </w:tcBorders>
          </w:tcPr>
          <w:p>
            <w:pPr>
              <w:spacing w:after="0"/>
              <w:rPr>
                <w:sz w:val="22"/>
                <w:szCs w:val="22"/>
                <w:color w:val="auto"/>
              </w:rPr>
            </w:pPr>
          </w:p>
        </w:tc>
        <w:tc>
          <w:tcPr>
            <w:tcW w:w="2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18,111</w:t>
            </w:r>
          </w:p>
        </w:tc>
        <w:tc>
          <w:tcPr>
            <w:tcW w:w="34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2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36,117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700" w:type="dxa"/>
            <w:vAlign w:val="bottom"/>
          </w:tcPr>
          <w:p>
            <w:pPr>
              <w:ind w:left="400"/>
              <w:spacing w:after="0"/>
              <w:rPr>
                <w:sz w:val="20"/>
                <w:szCs w:val="20"/>
                <w:color w:val="auto"/>
              </w:rPr>
            </w:pPr>
            <w:r>
              <w:rPr>
                <w:rFonts w:ascii="Arial" w:cs="Arial" w:eastAsia="Arial" w:hAnsi="Arial"/>
                <w:sz w:val="22"/>
                <w:szCs w:val="22"/>
                <w:color w:val="auto"/>
              </w:rPr>
              <w:t>Total liabilities and stockholders' equity</w:t>
            </w: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97"/>
              </w:rPr>
              <w:t>$</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46,089</w:t>
            </w:r>
          </w:p>
        </w:tc>
        <w:tc>
          <w:tcPr>
            <w:tcW w:w="340" w:type="dxa"/>
            <w:vAlign w:val="bottom"/>
          </w:tcPr>
          <w:p>
            <w:pPr>
              <w:spacing w:after="0"/>
              <w:rPr>
                <w:sz w:val="22"/>
                <w:szCs w:val="22"/>
                <w:color w:val="auto"/>
              </w:rPr>
            </w:pP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97"/>
              </w:rPr>
              <w:t>$</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73,238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2"/>
        </w:trPr>
        <w:tc>
          <w:tcPr>
            <w:tcW w:w="57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30" w:lineRule="exact"/>
        <w:rPr>
          <w:sz w:val="20"/>
          <w:szCs w:val="20"/>
          <w:color w:val="auto"/>
        </w:rPr>
      </w:pPr>
    </w:p>
    <w:p>
      <w:pPr>
        <w:jc w:val="center"/>
        <w:ind w:right="100"/>
        <w:spacing w:after="0"/>
        <w:rPr>
          <w:sz w:val="20"/>
          <w:szCs w:val="20"/>
          <w:color w:val="auto"/>
        </w:rPr>
      </w:pPr>
      <w:r>
        <w:rPr>
          <w:rFonts w:ascii="Arial" w:cs="Arial" w:eastAsia="Arial" w:hAnsi="Arial"/>
          <w:sz w:val="25"/>
          <w:szCs w:val="25"/>
          <w:b w:val="1"/>
          <w:bCs w:val="1"/>
          <w:color w:val="auto"/>
        </w:rPr>
        <w:t>TEMPEST THERAPEUTICS, INC.</w:t>
      </w:r>
    </w:p>
    <w:p>
      <w:pPr>
        <w:spacing w:after="0" w:line="38" w:lineRule="exact"/>
        <w:rPr>
          <w:sz w:val="20"/>
          <w:szCs w:val="20"/>
          <w:color w:val="auto"/>
        </w:rPr>
      </w:pPr>
    </w:p>
    <w:p>
      <w:pPr>
        <w:jc w:val="center"/>
        <w:ind w:right="100"/>
        <w:spacing w:after="0"/>
        <w:rPr>
          <w:sz w:val="20"/>
          <w:szCs w:val="20"/>
          <w:color w:val="auto"/>
        </w:rPr>
      </w:pPr>
      <w:r>
        <w:rPr>
          <w:rFonts w:ascii="Arial" w:cs="Arial" w:eastAsia="Arial" w:hAnsi="Arial"/>
          <w:sz w:val="25"/>
          <w:szCs w:val="25"/>
          <w:b w:val="1"/>
          <w:bCs w:val="1"/>
          <w:color w:val="auto"/>
        </w:rPr>
        <w:t>Consolidated Statements of Operations</w:t>
      </w:r>
    </w:p>
    <w:p>
      <w:pPr>
        <w:spacing w:after="0" w:line="37" w:lineRule="exact"/>
        <w:rPr>
          <w:sz w:val="20"/>
          <w:szCs w:val="20"/>
          <w:color w:val="auto"/>
        </w:rPr>
      </w:pPr>
    </w:p>
    <w:p>
      <w:pPr>
        <w:jc w:val="center"/>
        <w:ind w:right="100"/>
        <w:spacing w:after="0"/>
        <w:rPr>
          <w:sz w:val="20"/>
          <w:szCs w:val="20"/>
          <w:color w:val="auto"/>
        </w:rPr>
      </w:pPr>
      <w:r>
        <w:rPr>
          <w:rFonts w:ascii="Arial" w:cs="Arial" w:eastAsia="Arial" w:hAnsi="Arial"/>
          <w:sz w:val="25"/>
          <w:szCs w:val="25"/>
          <w:b w:val="1"/>
          <w:bCs w:val="1"/>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4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20" w:type="dxa"/>
            <w:vAlign w:val="bottom"/>
            <w:gridSpan w:val="3"/>
          </w:tcPr>
          <w:p>
            <w:pPr>
              <w:jc w:val="center"/>
              <w:ind w:right="660"/>
              <w:spacing w:after="0"/>
              <w:rPr>
                <w:sz w:val="20"/>
                <w:szCs w:val="20"/>
                <w:color w:val="auto"/>
              </w:rPr>
            </w:pPr>
            <w:r>
              <w:rPr>
                <w:rFonts w:ascii="Arial" w:cs="Arial" w:eastAsia="Arial" w:hAnsi="Arial"/>
                <w:sz w:val="22"/>
                <w:szCs w:val="22"/>
                <w:b w:val="1"/>
                <w:bCs w:val="1"/>
                <w:color w:val="auto"/>
                <w:w w:val="97"/>
              </w:rPr>
              <w:t>Twelve months ended</w:t>
            </w:r>
          </w:p>
        </w:tc>
        <w:tc>
          <w:tcPr>
            <w:tcW w:w="280" w:type="dxa"/>
            <w:vAlign w:val="bottom"/>
          </w:tcPr>
          <w:p>
            <w:pPr>
              <w:spacing w:after="0"/>
              <w:rPr>
                <w:sz w:val="23"/>
                <w:szCs w:val="23"/>
                <w:color w:val="auto"/>
              </w:rPr>
            </w:pPr>
          </w:p>
        </w:tc>
        <w:tc>
          <w:tcPr>
            <w:tcW w:w="2920" w:type="dxa"/>
            <w:vAlign w:val="bottom"/>
            <w:gridSpan w:val="2"/>
          </w:tcPr>
          <w:p>
            <w:pPr>
              <w:jc w:val="right"/>
              <w:ind w:right="520"/>
              <w:spacing w:after="0"/>
              <w:rPr>
                <w:sz w:val="20"/>
                <w:szCs w:val="20"/>
                <w:color w:val="auto"/>
              </w:rPr>
            </w:pPr>
            <w:r>
              <w:rPr>
                <w:rFonts w:ascii="Arial" w:cs="Arial" w:eastAsia="Arial" w:hAnsi="Arial"/>
                <w:sz w:val="22"/>
                <w:szCs w:val="22"/>
                <w:b w:val="1"/>
                <w:bCs w:val="1"/>
                <w:color w:val="auto"/>
              </w:rPr>
              <w:t>Twelve months ended</w:t>
            </w:r>
          </w:p>
        </w:tc>
        <w:tc>
          <w:tcPr>
            <w:tcW w:w="0" w:type="dxa"/>
            <w:vAlign w:val="bottom"/>
          </w:tcPr>
          <w:p>
            <w:pPr>
              <w:spacing w:after="0"/>
              <w:rPr>
                <w:sz w:val="1"/>
                <w:szCs w:val="1"/>
                <w:color w:val="auto"/>
              </w:rPr>
            </w:pPr>
          </w:p>
        </w:tc>
      </w:tr>
      <w:tr>
        <w:trPr>
          <w:trHeight w:val="285"/>
        </w:trPr>
        <w:tc>
          <w:tcPr>
            <w:tcW w:w="4480" w:type="dxa"/>
            <w:vAlign w:val="bottom"/>
            <w:vMerge w:val="restart"/>
          </w:tcPr>
          <w:p>
            <w:pPr>
              <w:spacing w:after="0"/>
              <w:rPr>
                <w:sz w:val="20"/>
                <w:szCs w:val="20"/>
                <w:color w:val="auto"/>
              </w:rPr>
            </w:pPr>
            <w:r>
              <w:rPr>
                <w:rFonts w:ascii="Arial" w:cs="Arial" w:eastAsia="Arial" w:hAnsi="Arial"/>
                <w:sz w:val="22"/>
                <w:szCs w:val="22"/>
                <w:b w:val="1"/>
                <w:bCs w:val="1"/>
                <w:color w:val="auto"/>
              </w:rPr>
              <w:t>Expenses:</w:t>
            </w:r>
          </w:p>
        </w:tc>
        <w:tc>
          <w:tcPr>
            <w:tcW w:w="300" w:type="dxa"/>
            <w:vAlign w:val="bottom"/>
          </w:tcPr>
          <w:p>
            <w:pPr>
              <w:spacing w:after="0"/>
              <w:rPr>
                <w:sz w:val="24"/>
                <w:szCs w:val="24"/>
                <w:color w:val="auto"/>
              </w:rPr>
            </w:pPr>
          </w:p>
        </w:tc>
        <w:tc>
          <w:tcPr>
            <w:tcW w:w="3220" w:type="dxa"/>
            <w:vAlign w:val="bottom"/>
            <w:gridSpan w:val="3"/>
          </w:tcPr>
          <w:p>
            <w:pPr>
              <w:jc w:val="center"/>
              <w:ind w:right="680"/>
              <w:spacing w:after="0"/>
              <w:rPr>
                <w:sz w:val="20"/>
                <w:szCs w:val="20"/>
                <w:color w:val="auto"/>
              </w:rPr>
            </w:pPr>
            <w:r>
              <w:rPr>
                <w:rFonts w:ascii="Arial" w:cs="Arial" w:eastAsia="Arial" w:hAnsi="Arial"/>
                <w:sz w:val="22"/>
                <w:szCs w:val="22"/>
                <w:b w:val="1"/>
                <w:bCs w:val="1"/>
                <w:color w:val="auto"/>
                <w:w w:val="97"/>
              </w:rPr>
              <w:t>December 31, 2022</w:t>
            </w:r>
          </w:p>
        </w:tc>
        <w:tc>
          <w:tcPr>
            <w:tcW w:w="280" w:type="dxa"/>
            <w:vAlign w:val="bottom"/>
          </w:tcPr>
          <w:p>
            <w:pPr>
              <w:spacing w:after="0"/>
              <w:rPr>
                <w:sz w:val="24"/>
                <w:szCs w:val="24"/>
                <w:color w:val="auto"/>
              </w:rPr>
            </w:pPr>
          </w:p>
        </w:tc>
        <w:tc>
          <w:tcPr>
            <w:tcW w:w="2920" w:type="dxa"/>
            <w:vAlign w:val="bottom"/>
            <w:gridSpan w:val="2"/>
          </w:tcPr>
          <w:p>
            <w:pPr>
              <w:jc w:val="right"/>
              <w:ind w:right="660"/>
              <w:spacing w:after="0"/>
              <w:rPr>
                <w:sz w:val="20"/>
                <w:szCs w:val="20"/>
                <w:color w:val="auto"/>
              </w:rPr>
            </w:pPr>
            <w:r>
              <w:rPr>
                <w:rFonts w:ascii="Arial" w:cs="Arial" w:eastAsia="Arial" w:hAnsi="Arial"/>
                <w:sz w:val="22"/>
                <w:szCs w:val="22"/>
                <w:b w:val="1"/>
                <w:bCs w:val="1"/>
                <w:color w:val="auto"/>
              </w:rPr>
              <w:t>December 31, 2021</w:t>
            </w:r>
          </w:p>
        </w:tc>
        <w:tc>
          <w:tcPr>
            <w:tcW w:w="0" w:type="dxa"/>
            <w:vAlign w:val="bottom"/>
          </w:tcPr>
          <w:p>
            <w:pPr>
              <w:spacing w:after="0"/>
              <w:rPr>
                <w:sz w:val="1"/>
                <w:szCs w:val="1"/>
                <w:color w:val="auto"/>
              </w:rPr>
            </w:pPr>
          </w:p>
        </w:tc>
      </w:tr>
      <w:tr>
        <w:trPr>
          <w:trHeight w:val="251"/>
        </w:trPr>
        <w:tc>
          <w:tcPr>
            <w:tcW w:w="4480" w:type="dxa"/>
            <w:vAlign w:val="bottom"/>
            <w:vMerge w:val="continue"/>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28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8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480" w:type="dxa"/>
            <w:vAlign w:val="bottom"/>
          </w:tcPr>
          <w:p>
            <w:pPr>
              <w:ind w:left="120"/>
              <w:spacing w:after="0"/>
              <w:rPr>
                <w:sz w:val="20"/>
                <w:szCs w:val="20"/>
                <w:color w:val="auto"/>
              </w:rPr>
            </w:pPr>
            <w:r>
              <w:rPr>
                <w:rFonts w:ascii="Arial" w:cs="Arial" w:eastAsia="Arial" w:hAnsi="Arial"/>
                <w:sz w:val="22"/>
                <w:szCs w:val="22"/>
                <w:color w:val="auto"/>
              </w:rPr>
              <w:t>Research and development</w:t>
            </w:r>
          </w:p>
        </w:tc>
        <w:tc>
          <w:tcPr>
            <w:tcW w:w="300" w:type="dxa"/>
            <w:vAlign w:val="bottom"/>
          </w:tcPr>
          <w:p>
            <w:pPr>
              <w:jc w:val="right"/>
              <w:ind w:right="52"/>
              <w:spacing w:after="0"/>
              <w:rPr>
                <w:sz w:val="20"/>
                <w:szCs w:val="20"/>
                <w:color w:val="auto"/>
              </w:rPr>
            </w:pPr>
            <w:r>
              <w:rPr>
                <w:rFonts w:ascii="Arial" w:cs="Arial" w:eastAsia="Arial" w:hAnsi="Arial"/>
                <w:sz w:val="22"/>
                <w:szCs w:val="22"/>
                <w:color w:val="auto"/>
                <w:w w:val="97"/>
              </w:rPr>
              <w:t>$</w:t>
            </w:r>
          </w:p>
        </w:tc>
        <w:tc>
          <w:tcPr>
            <w:tcW w:w="2840" w:type="dxa"/>
            <w:vAlign w:val="bottom"/>
          </w:tcPr>
          <w:p>
            <w:pPr>
              <w:jc w:val="right"/>
              <w:spacing w:after="0"/>
              <w:rPr>
                <w:sz w:val="20"/>
                <w:szCs w:val="20"/>
                <w:color w:val="auto"/>
              </w:rPr>
            </w:pPr>
            <w:r>
              <w:rPr>
                <w:rFonts w:ascii="Arial" w:cs="Arial" w:eastAsia="Arial" w:hAnsi="Arial"/>
                <w:sz w:val="22"/>
                <w:szCs w:val="22"/>
                <w:color w:val="auto"/>
              </w:rPr>
              <w:t>22,527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2840" w:type="dxa"/>
            <w:vAlign w:val="bottom"/>
          </w:tcPr>
          <w:p>
            <w:pPr>
              <w:jc w:val="right"/>
              <w:spacing w:after="0"/>
              <w:rPr>
                <w:sz w:val="20"/>
                <w:szCs w:val="20"/>
                <w:color w:val="auto"/>
              </w:rPr>
            </w:pPr>
            <w:r>
              <w:rPr>
                <w:rFonts w:ascii="Arial" w:cs="Arial" w:eastAsia="Arial" w:hAnsi="Arial"/>
                <w:sz w:val="22"/>
                <w:szCs w:val="22"/>
                <w:color w:val="auto"/>
              </w:rPr>
              <w:t>17,166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4480" w:type="dxa"/>
            <w:vAlign w:val="bottom"/>
          </w:tcPr>
          <w:p>
            <w:pPr>
              <w:ind w:left="120"/>
              <w:spacing w:after="0"/>
              <w:rPr>
                <w:sz w:val="20"/>
                <w:szCs w:val="20"/>
                <w:color w:val="auto"/>
              </w:rPr>
            </w:pPr>
            <w:r>
              <w:rPr>
                <w:rFonts w:ascii="Arial" w:cs="Arial" w:eastAsia="Arial" w:hAnsi="Arial"/>
                <w:sz w:val="22"/>
                <w:szCs w:val="22"/>
                <w:color w:val="auto"/>
              </w:rPr>
              <w:t>General and administrative</w:t>
            </w:r>
          </w:p>
        </w:tc>
        <w:tc>
          <w:tcPr>
            <w:tcW w:w="3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12,113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9,820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4480" w:type="dxa"/>
            <w:vAlign w:val="bottom"/>
          </w:tcPr>
          <w:p>
            <w:pPr>
              <w:ind w:left="640"/>
              <w:spacing w:after="0"/>
              <w:rPr>
                <w:sz w:val="20"/>
                <w:szCs w:val="20"/>
                <w:color w:val="auto"/>
              </w:rPr>
            </w:pPr>
            <w:r>
              <w:rPr>
                <w:rFonts w:ascii="Arial" w:cs="Arial" w:eastAsia="Arial" w:hAnsi="Arial"/>
                <w:sz w:val="22"/>
                <w:szCs w:val="22"/>
                <w:color w:val="auto"/>
              </w:rPr>
              <w:t>Total expenses</w:t>
            </w:r>
          </w:p>
        </w:tc>
        <w:tc>
          <w:tcPr>
            <w:tcW w:w="3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34,640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26,986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4480" w:type="dxa"/>
            <w:vAlign w:val="bottom"/>
          </w:tcPr>
          <w:p>
            <w:pPr>
              <w:spacing w:after="0"/>
              <w:rPr>
                <w:sz w:val="20"/>
                <w:szCs w:val="20"/>
                <w:color w:val="auto"/>
              </w:rPr>
            </w:pPr>
            <w:r>
              <w:rPr>
                <w:rFonts w:ascii="Arial" w:cs="Arial" w:eastAsia="Arial" w:hAnsi="Arial"/>
                <w:sz w:val="22"/>
                <w:szCs w:val="22"/>
                <w:b w:val="1"/>
                <w:bCs w:val="1"/>
                <w:color w:val="auto"/>
              </w:rPr>
              <w:t>Operating loss</w:t>
            </w:r>
          </w:p>
        </w:tc>
        <w:tc>
          <w:tcPr>
            <w:tcW w:w="300" w:type="dxa"/>
            <w:vAlign w:val="bottom"/>
          </w:tcPr>
          <w:p>
            <w:pPr>
              <w:spacing w:after="0"/>
              <w:rPr>
                <w:sz w:val="24"/>
                <w:szCs w:val="24"/>
                <w:color w:val="auto"/>
              </w:rPr>
            </w:pPr>
          </w:p>
        </w:tc>
        <w:tc>
          <w:tcPr>
            <w:tcW w:w="2960" w:type="dxa"/>
            <w:vAlign w:val="bottom"/>
            <w:gridSpan w:val="2"/>
          </w:tcPr>
          <w:p>
            <w:pPr>
              <w:jc w:val="right"/>
              <w:ind w:right="20"/>
              <w:spacing w:after="0"/>
              <w:rPr>
                <w:sz w:val="20"/>
                <w:szCs w:val="20"/>
                <w:color w:val="auto"/>
              </w:rPr>
            </w:pPr>
            <w:r>
              <w:rPr>
                <w:rFonts w:ascii="Arial" w:cs="Arial" w:eastAsia="Arial" w:hAnsi="Arial"/>
                <w:sz w:val="22"/>
                <w:szCs w:val="22"/>
                <w:color w:val="auto"/>
              </w:rPr>
              <w:t>(34,640)</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20" w:type="dxa"/>
            <w:vAlign w:val="bottom"/>
            <w:gridSpan w:val="2"/>
          </w:tcPr>
          <w:p>
            <w:pPr>
              <w:jc w:val="right"/>
              <w:spacing w:after="0"/>
              <w:rPr>
                <w:sz w:val="20"/>
                <w:szCs w:val="20"/>
                <w:color w:val="auto"/>
              </w:rPr>
            </w:pPr>
            <w:r>
              <w:rPr>
                <w:rFonts w:ascii="Arial" w:cs="Arial" w:eastAsia="Arial" w:hAnsi="Arial"/>
                <w:sz w:val="22"/>
                <w:szCs w:val="22"/>
                <w:color w:val="auto"/>
              </w:rPr>
              <w:t>(26,986)</w:t>
            </w:r>
          </w:p>
        </w:tc>
        <w:tc>
          <w:tcPr>
            <w:tcW w:w="0" w:type="dxa"/>
            <w:vAlign w:val="bottom"/>
          </w:tcPr>
          <w:p>
            <w:pPr>
              <w:spacing w:after="0"/>
              <w:rPr>
                <w:sz w:val="1"/>
                <w:szCs w:val="1"/>
                <w:color w:val="auto"/>
              </w:rPr>
            </w:pPr>
          </w:p>
        </w:tc>
      </w:tr>
      <w:tr>
        <w:trPr>
          <w:trHeight w:val="521"/>
        </w:trPr>
        <w:tc>
          <w:tcPr>
            <w:tcW w:w="4480" w:type="dxa"/>
            <w:vAlign w:val="bottom"/>
          </w:tcPr>
          <w:p>
            <w:pPr>
              <w:spacing w:after="0"/>
              <w:rPr>
                <w:sz w:val="20"/>
                <w:szCs w:val="20"/>
                <w:color w:val="auto"/>
              </w:rPr>
            </w:pPr>
            <w:r>
              <w:rPr>
                <w:rFonts w:ascii="Arial" w:cs="Arial" w:eastAsia="Arial" w:hAnsi="Arial"/>
                <w:sz w:val="22"/>
                <w:szCs w:val="22"/>
                <w:b w:val="1"/>
                <w:bCs w:val="1"/>
                <w:color w:val="auto"/>
              </w:rPr>
              <w:t>Other income (expense), net:</w:t>
            </w:r>
          </w:p>
        </w:tc>
        <w:tc>
          <w:tcPr>
            <w:tcW w:w="300" w:type="dxa"/>
            <w:vAlign w:val="bottom"/>
            <w:tcBorders>
              <w:top w:val="single" w:sz="8" w:color="auto"/>
            </w:tcBorders>
          </w:tcPr>
          <w:p>
            <w:pPr>
              <w:spacing w:after="0"/>
              <w:rPr>
                <w:sz w:val="24"/>
                <w:szCs w:val="24"/>
                <w:color w:val="auto"/>
              </w:rPr>
            </w:pPr>
          </w:p>
        </w:tc>
        <w:tc>
          <w:tcPr>
            <w:tcW w:w="2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8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80" w:type="dxa"/>
            <w:vAlign w:val="bottom"/>
          </w:tcPr>
          <w:p>
            <w:pPr>
              <w:ind w:left="120"/>
              <w:spacing w:after="0"/>
              <w:rPr>
                <w:sz w:val="20"/>
                <w:szCs w:val="20"/>
                <w:color w:val="auto"/>
              </w:rPr>
            </w:pPr>
            <w:r>
              <w:rPr>
                <w:rFonts w:ascii="Arial" w:cs="Arial" w:eastAsia="Arial" w:hAnsi="Arial"/>
                <w:sz w:val="22"/>
                <w:szCs w:val="22"/>
                <w:color w:val="auto"/>
              </w:rPr>
              <w:t>Interest expense</w:t>
            </w:r>
          </w:p>
        </w:tc>
        <w:tc>
          <w:tcPr>
            <w:tcW w:w="300" w:type="dxa"/>
            <w:vAlign w:val="bottom"/>
          </w:tcPr>
          <w:p>
            <w:pPr>
              <w:spacing w:after="0"/>
              <w:rPr>
                <w:sz w:val="23"/>
                <w:szCs w:val="23"/>
                <w:color w:val="auto"/>
              </w:rPr>
            </w:pPr>
          </w:p>
        </w:tc>
        <w:tc>
          <w:tcPr>
            <w:tcW w:w="2960" w:type="dxa"/>
            <w:vAlign w:val="bottom"/>
            <w:gridSpan w:val="2"/>
          </w:tcPr>
          <w:p>
            <w:pPr>
              <w:jc w:val="right"/>
              <w:ind w:right="20"/>
              <w:spacing w:after="0"/>
              <w:rPr>
                <w:sz w:val="20"/>
                <w:szCs w:val="20"/>
                <w:color w:val="auto"/>
              </w:rPr>
            </w:pPr>
            <w:r>
              <w:rPr>
                <w:rFonts w:ascii="Arial" w:cs="Arial" w:eastAsia="Arial" w:hAnsi="Arial"/>
                <w:sz w:val="22"/>
                <w:szCs w:val="22"/>
                <w:color w:val="auto"/>
              </w:rPr>
              <w:t>(1,618)</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920" w:type="dxa"/>
            <w:vAlign w:val="bottom"/>
            <w:gridSpan w:val="2"/>
          </w:tcPr>
          <w:p>
            <w:pPr>
              <w:jc w:val="right"/>
              <w:spacing w:after="0"/>
              <w:rPr>
                <w:sz w:val="20"/>
                <w:szCs w:val="20"/>
                <w:color w:val="auto"/>
              </w:rPr>
            </w:pPr>
            <w:r>
              <w:rPr>
                <w:rFonts w:ascii="Arial" w:cs="Arial" w:eastAsia="Arial" w:hAnsi="Arial"/>
                <w:sz w:val="22"/>
                <w:szCs w:val="22"/>
                <w:color w:val="auto"/>
              </w:rPr>
              <w:t>(1,282)</w:t>
            </w:r>
          </w:p>
        </w:tc>
        <w:tc>
          <w:tcPr>
            <w:tcW w:w="0" w:type="dxa"/>
            <w:vAlign w:val="bottom"/>
          </w:tcPr>
          <w:p>
            <w:pPr>
              <w:spacing w:after="0"/>
              <w:rPr>
                <w:sz w:val="1"/>
                <w:szCs w:val="1"/>
                <w:color w:val="auto"/>
              </w:rPr>
            </w:pPr>
          </w:p>
        </w:tc>
      </w:tr>
      <w:tr>
        <w:trPr>
          <w:trHeight w:val="283"/>
        </w:trPr>
        <w:tc>
          <w:tcPr>
            <w:tcW w:w="4480" w:type="dxa"/>
            <w:vAlign w:val="bottom"/>
          </w:tcPr>
          <w:p>
            <w:pPr>
              <w:ind w:left="120"/>
              <w:spacing w:after="0"/>
              <w:rPr>
                <w:sz w:val="20"/>
                <w:szCs w:val="20"/>
                <w:color w:val="auto"/>
              </w:rPr>
            </w:pPr>
            <w:r>
              <w:rPr>
                <w:rFonts w:ascii="Arial" w:cs="Arial" w:eastAsia="Arial" w:hAnsi="Arial"/>
                <w:sz w:val="22"/>
                <w:szCs w:val="22"/>
                <w:color w:val="auto"/>
              </w:rPr>
              <w:t>Interest and other income, net</w:t>
            </w:r>
          </w:p>
        </w:tc>
        <w:tc>
          <w:tcPr>
            <w:tcW w:w="300" w:type="dxa"/>
            <w:vAlign w:val="bottom"/>
          </w:tcPr>
          <w:p>
            <w:pPr>
              <w:spacing w:after="0"/>
              <w:rPr>
                <w:sz w:val="24"/>
                <w:szCs w:val="24"/>
                <w:color w:val="auto"/>
              </w:rPr>
            </w:pPr>
          </w:p>
        </w:tc>
        <w:tc>
          <w:tcPr>
            <w:tcW w:w="2840" w:type="dxa"/>
            <w:vAlign w:val="bottom"/>
          </w:tcPr>
          <w:p>
            <w:pPr>
              <w:jc w:val="right"/>
              <w:spacing w:after="0"/>
              <w:rPr>
                <w:sz w:val="20"/>
                <w:szCs w:val="20"/>
                <w:color w:val="auto"/>
              </w:rPr>
            </w:pPr>
            <w:r>
              <w:rPr>
                <w:rFonts w:ascii="Arial" w:cs="Arial" w:eastAsia="Arial" w:hAnsi="Arial"/>
                <w:sz w:val="22"/>
                <w:szCs w:val="22"/>
                <w:color w:val="auto"/>
              </w:rPr>
              <w:t>549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20" w:type="dxa"/>
            <w:vAlign w:val="bottom"/>
            <w:gridSpan w:val="2"/>
          </w:tcPr>
          <w:p>
            <w:pPr>
              <w:jc w:val="right"/>
              <w:spacing w:after="0"/>
              <w:rPr>
                <w:sz w:val="20"/>
                <w:szCs w:val="20"/>
                <w:color w:val="auto"/>
              </w:rPr>
            </w:pPr>
            <w:r>
              <w:rPr>
                <w:rFonts w:ascii="Arial" w:cs="Arial" w:eastAsia="Arial" w:hAnsi="Arial"/>
                <w:sz w:val="22"/>
                <w:szCs w:val="22"/>
                <w:color w:val="auto"/>
              </w:rPr>
              <w:t>(34)</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4480" w:type="dxa"/>
            <w:vAlign w:val="bottom"/>
          </w:tcPr>
          <w:p>
            <w:pPr>
              <w:spacing w:after="0"/>
              <w:rPr>
                <w:sz w:val="20"/>
                <w:szCs w:val="20"/>
                <w:color w:val="auto"/>
              </w:rPr>
            </w:pPr>
            <w:r>
              <w:rPr>
                <w:rFonts w:ascii="Arial" w:cs="Arial" w:eastAsia="Arial" w:hAnsi="Arial"/>
                <w:sz w:val="22"/>
                <w:szCs w:val="22"/>
                <w:b w:val="1"/>
                <w:bCs w:val="1"/>
                <w:color w:val="auto"/>
              </w:rPr>
              <w:t>Net loss</w:t>
            </w:r>
          </w:p>
        </w:tc>
        <w:tc>
          <w:tcPr>
            <w:tcW w:w="300" w:type="dxa"/>
            <w:vAlign w:val="bottom"/>
          </w:tcPr>
          <w:p>
            <w:pPr>
              <w:jc w:val="right"/>
              <w:ind w:right="52"/>
              <w:spacing w:after="0"/>
              <w:rPr>
                <w:sz w:val="20"/>
                <w:szCs w:val="20"/>
                <w:color w:val="auto"/>
              </w:rPr>
            </w:pPr>
            <w:r>
              <w:rPr>
                <w:rFonts w:ascii="Arial" w:cs="Arial" w:eastAsia="Arial" w:hAnsi="Arial"/>
                <w:sz w:val="22"/>
                <w:szCs w:val="22"/>
                <w:color w:val="auto"/>
                <w:w w:val="97"/>
              </w:rPr>
              <w:t>$</w:t>
            </w:r>
          </w:p>
        </w:tc>
        <w:tc>
          <w:tcPr>
            <w:tcW w:w="2960" w:type="dxa"/>
            <w:vAlign w:val="bottom"/>
            <w:gridSpan w:val="2"/>
          </w:tcPr>
          <w:p>
            <w:pPr>
              <w:jc w:val="right"/>
              <w:ind w:right="20"/>
              <w:spacing w:after="0"/>
              <w:rPr>
                <w:sz w:val="20"/>
                <w:szCs w:val="20"/>
                <w:color w:val="auto"/>
              </w:rPr>
            </w:pPr>
            <w:r>
              <w:rPr>
                <w:rFonts w:ascii="Arial" w:cs="Arial" w:eastAsia="Arial" w:hAnsi="Arial"/>
                <w:sz w:val="22"/>
                <w:szCs w:val="22"/>
                <w:color w:val="auto"/>
              </w:rPr>
              <w:t>(35,709)</w:t>
            </w:r>
          </w:p>
        </w:tc>
        <w:tc>
          <w:tcPr>
            <w:tcW w:w="260" w:type="dxa"/>
            <w:vAlign w:val="bottom"/>
          </w:tcPr>
          <w:p>
            <w:pPr>
              <w:spacing w:after="0"/>
              <w:rPr>
                <w:sz w:val="24"/>
                <w:szCs w:val="24"/>
                <w:color w:val="auto"/>
              </w:rPr>
            </w:pP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2920" w:type="dxa"/>
            <w:vAlign w:val="bottom"/>
            <w:gridSpan w:val="2"/>
          </w:tcPr>
          <w:p>
            <w:pPr>
              <w:jc w:val="right"/>
              <w:spacing w:after="0"/>
              <w:rPr>
                <w:sz w:val="20"/>
                <w:szCs w:val="20"/>
                <w:color w:val="auto"/>
              </w:rPr>
            </w:pPr>
            <w:r>
              <w:rPr>
                <w:rFonts w:ascii="Arial" w:cs="Arial" w:eastAsia="Arial" w:hAnsi="Arial"/>
                <w:sz w:val="22"/>
                <w:szCs w:val="22"/>
                <w:color w:val="auto"/>
              </w:rPr>
              <w:t>(28,302)</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Pr>
          <w:p>
            <w:pPr>
              <w:spacing w:after="0" w:line="250" w:lineRule="exact"/>
              <w:rPr>
                <w:sz w:val="20"/>
                <w:szCs w:val="20"/>
                <w:color w:val="auto"/>
              </w:rPr>
            </w:pPr>
            <w:r>
              <w:rPr>
                <w:rFonts w:ascii="Arial" w:cs="Arial" w:eastAsia="Arial" w:hAnsi="Arial"/>
                <w:sz w:val="22"/>
                <w:szCs w:val="22"/>
                <w:b w:val="1"/>
                <w:bCs w:val="1"/>
                <w:color w:val="auto"/>
              </w:rPr>
              <w:t>Net loss per share</w:t>
            </w:r>
          </w:p>
        </w:tc>
        <w:tc>
          <w:tcPr>
            <w:tcW w:w="300" w:type="dxa"/>
            <w:vAlign w:val="bottom"/>
          </w:tcPr>
          <w:p>
            <w:pPr>
              <w:jc w:val="right"/>
              <w:ind w:right="52"/>
              <w:spacing w:after="0" w:line="250" w:lineRule="exact"/>
              <w:rPr>
                <w:sz w:val="20"/>
                <w:szCs w:val="20"/>
                <w:color w:val="auto"/>
              </w:rPr>
            </w:pPr>
            <w:r>
              <w:rPr>
                <w:rFonts w:ascii="Arial" w:cs="Arial" w:eastAsia="Arial" w:hAnsi="Arial"/>
                <w:sz w:val="22"/>
                <w:szCs w:val="22"/>
                <w:color w:val="auto"/>
                <w:w w:val="97"/>
              </w:rPr>
              <w:t>$</w:t>
            </w:r>
          </w:p>
        </w:tc>
        <w:tc>
          <w:tcPr>
            <w:tcW w:w="2960" w:type="dxa"/>
            <w:vAlign w:val="bottom"/>
            <w:gridSpan w:val="2"/>
          </w:tcPr>
          <w:p>
            <w:pPr>
              <w:jc w:val="right"/>
              <w:ind w:right="20"/>
              <w:spacing w:after="0" w:line="250" w:lineRule="exact"/>
              <w:rPr>
                <w:sz w:val="20"/>
                <w:szCs w:val="20"/>
                <w:color w:val="auto"/>
              </w:rPr>
            </w:pPr>
            <w:r>
              <w:rPr>
                <w:rFonts w:ascii="Arial" w:cs="Arial" w:eastAsia="Arial" w:hAnsi="Arial"/>
                <w:sz w:val="22"/>
                <w:szCs w:val="22"/>
                <w:color w:val="auto"/>
              </w:rPr>
              <w:t>(3.09)</w:t>
            </w:r>
          </w:p>
        </w:tc>
        <w:tc>
          <w:tcPr>
            <w:tcW w:w="260" w:type="dxa"/>
            <w:vAlign w:val="bottom"/>
          </w:tcPr>
          <w:p>
            <w:pPr>
              <w:spacing w:after="0"/>
              <w:rPr>
                <w:sz w:val="21"/>
                <w:szCs w:val="21"/>
                <w:color w:val="auto"/>
              </w:rPr>
            </w:pPr>
          </w:p>
        </w:tc>
        <w:tc>
          <w:tcPr>
            <w:tcW w:w="280" w:type="dxa"/>
            <w:vAlign w:val="bottom"/>
          </w:tcPr>
          <w:p>
            <w:pPr>
              <w:jc w:val="right"/>
              <w:ind w:right="32"/>
              <w:spacing w:after="0" w:line="250" w:lineRule="exact"/>
              <w:rPr>
                <w:sz w:val="20"/>
                <w:szCs w:val="20"/>
                <w:color w:val="auto"/>
              </w:rPr>
            </w:pPr>
            <w:r>
              <w:rPr>
                <w:rFonts w:ascii="Arial" w:cs="Arial" w:eastAsia="Arial" w:hAnsi="Arial"/>
                <w:sz w:val="22"/>
                <w:szCs w:val="22"/>
                <w:color w:val="auto"/>
                <w:w w:val="97"/>
              </w:rPr>
              <w:t>$</w:t>
            </w:r>
          </w:p>
        </w:tc>
        <w:tc>
          <w:tcPr>
            <w:tcW w:w="2920" w:type="dxa"/>
            <w:vAlign w:val="bottom"/>
            <w:gridSpan w:val="2"/>
          </w:tcPr>
          <w:p>
            <w:pPr>
              <w:jc w:val="right"/>
              <w:spacing w:after="0" w:line="250" w:lineRule="exact"/>
              <w:rPr>
                <w:sz w:val="20"/>
                <w:szCs w:val="20"/>
                <w:color w:val="auto"/>
              </w:rPr>
            </w:pPr>
            <w:r>
              <w:rPr>
                <w:rFonts w:ascii="Arial" w:cs="Arial" w:eastAsia="Arial" w:hAnsi="Arial"/>
                <w:sz w:val="22"/>
                <w:szCs w:val="22"/>
                <w:color w:val="auto"/>
              </w:rPr>
              <w:t>(7.47)</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Contacts: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color w:val="auto"/>
        </w:rPr>
        <w:t>Sylvia Wheeler</w:t>
      </w:r>
    </w:p>
    <w:p>
      <w:pPr>
        <w:spacing w:after="0"/>
        <w:rPr>
          <w:sz w:val="20"/>
          <w:szCs w:val="20"/>
          <w:color w:val="auto"/>
        </w:rPr>
      </w:pPr>
      <w:r>
        <w:rPr>
          <w:rFonts w:ascii="Arial" w:cs="Arial" w:eastAsia="Arial" w:hAnsi="Arial"/>
          <w:sz w:val="22"/>
          <w:szCs w:val="22"/>
          <w:color w:val="auto"/>
        </w:rPr>
        <w:t>Wheelhouse Life Science Advisors</w:t>
      </w:r>
    </w:p>
    <w:p>
      <w:pPr>
        <w:spacing w:after="0"/>
        <w:rPr>
          <w:sz w:val="20"/>
          <w:szCs w:val="20"/>
          <w:color w:val="auto"/>
        </w:rPr>
      </w:pPr>
      <w:r>
        <w:rPr>
          <w:rFonts w:ascii="Arial" w:cs="Arial" w:eastAsia="Arial" w:hAnsi="Arial"/>
          <w:sz w:val="22"/>
          <w:szCs w:val="22"/>
          <w:color w:val="auto"/>
        </w:rPr>
        <w:t>swheeler@wheelhouselsa.com</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Aljanae Reynolds</w:t>
      </w:r>
    </w:p>
    <w:p>
      <w:pPr>
        <w:spacing w:after="0"/>
        <w:rPr>
          <w:sz w:val="20"/>
          <w:szCs w:val="20"/>
          <w:color w:val="auto"/>
        </w:rPr>
      </w:pPr>
      <w:r>
        <w:rPr>
          <w:rFonts w:ascii="Arial" w:cs="Arial" w:eastAsia="Arial" w:hAnsi="Arial"/>
          <w:sz w:val="22"/>
          <w:szCs w:val="22"/>
          <w:color w:val="auto"/>
        </w:rPr>
        <w:t>Wheelhouse Life Science Advisors</w:t>
      </w:r>
    </w:p>
    <w:p>
      <w:pPr>
        <w:spacing w:after="0"/>
        <w:rPr>
          <w:sz w:val="20"/>
          <w:szCs w:val="20"/>
          <w:color w:val="auto"/>
        </w:rPr>
      </w:pPr>
      <w:r>
        <w:rPr>
          <w:rFonts w:ascii="Arial" w:cs="Arial" w:eastAsia="Arial" w:hAnsi="Arial"/>
          <w:sz w:val="22"/>
          <w:szCs w:val="22"/>
          <w:color w:val="auto"/>
        </w:rPr>
        <w:t>areynolds@wheelhouselsa.com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2023-03-22T21:28:00Z</dcterms:created>
  <dcterms:modified xsi:type="dcterms:W3CDTF">2023-03-22T21:28:00Z</dcterms:modified>
</cp:coreProperties>
</file>