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90534ds8pos.htm"/>
      <w:bookmarkStart w:id="1" w:name="ksd90534ds8pos"/>
      <w:bookmarkEnd w:id="0"/>
      <w:bookmarkEnd w:id="1"/>
      <w:r>
        <w:rPr>
          <w:rFonts w:ascii="Times New Roman" w:hAnsi="Times New Roman"/>
          <w:b/>
          <w:sz w:val="20"/>
        </w:rPr>
        <w:t xml:space="preserve">As filed with the U.S. Securities and Exchange Commission on March 31,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333-294732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POST-EFFECTIVE AMENDMENT NO. 1 </w:t>
      </w:r>
    </w:p>
    <w:p>
      <w:pPr>
        <w:pStyle w:val="TextBody"/>
        <w:bidi w:val="0"/>
        <w:spacing w:before="0" w:after="0"/>
        <w:jc w:val="center"/>
        <w:rPr>
          <w:rFonts w:ascii="Times New Roman" w:hAnsi="Times New Roman"/>
          <w:b/>
          <w:sz w:val="36"/>
        </w:rPr>
      </w:pPr>
      <w:r>
        <w:rPr>
          <w:rFonts w:ascii="Times New Roman" w:hAnsi="Times New Roman"/>
          <w:b/>
          <w:sz w:val="36"/>
        </w:rPr>
        <w:t xml:space="preserve">TO </w:t>
      </w:r>
    </w:p>
    <w:p>
      <w:pPr>
        <w:pStyle w:val="TextBody"/>
        <w:bidi w:val="0"/>
        <w:spacing w:before="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45-1472564</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0"/>
              <w:jc w:val="center"/>
              <w:rPr>
                <w:rFonts w:ascii="Times New Roman" w:hAnsi="Times New Roman"/>
                <w:b/>
                <w:sz w:val="16"/>
              </w:rPr>
            </w:pPr>
            <w:r>
              <w:rPr>
                <w:rFonts w:ascii="Times New Roman" w:hAnsi="Times New Roman"/>
                <w:b/>
                <w:sz w:val="16"/>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2000 Sierra Point Parkway,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Brisbane, California 94005 </w:t>
      </w:r>
    </w:p>
    <w:p>
      <w:pPr>
        <w:pStyle w:val="TextBody"/>
        <w:bidi w:val="0"/>
        <w:spacing w:before="0" w:after="0"/>
        <w:jc w:val="center"/>
        <w:rPr>
          <w:rFonts w:ascii="Times New Roman" w:hAnsi="Times New Roman"/>
          <w:b/>
          <w:sz w:val="20"/>
        </w:rPr>
      </w:pPr>
      <w:r>
        <w:rPr>
          <w:rFonts w:ascii="Times New Roman" w:hAnsi="Times New Roman"/>
          <w:b/>
          <w:sz w:val="20"/>
        </w:rPr>
        <w:t xml:space="preserve">(415) 798-8589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Tempest Therapeutics, Inc. Amended and Restated 2023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Tempest Therapeutics, Inc. Amended and Restated 2019 Employee Stock Purchase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titles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Matthew Angel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2000 Sierra Point Parkway,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Brisbane, California 94005 </w:t>
      </w:r>
    </w:p>
    <w:p>
      <w:pPr>
        <w:pStyle w:val="TextBody"/>
        <w:bidi w:val="0"/>
        <w:spacing w:before="0" w:after="0"/>
        <w:jc w:val="center"/>
        <w:rPr>
          <w:rFonts w:ascii="Times New Roman" w:hAnsi="Times New Roman"/>
          <w:b/>
          <w:sz w:val="20"/>
        </w:rPr>
      </w:pPr>
      <w:r>
        <w:rPr>
          <w:rFonts w:ascii="Times New Roman" w:hAnsi="Times New Roman"/>
          <w:b/>
          <w:sz w:val="20"/>
        </w:rPr>
        <w:t xml:space="preserve">(415) 798-8589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Laura Berezin </w:t>
      </w:r>
    </w:p>
    <w:p>
      <w:pPr>
        <w:pStyle w:val="TextBody"/>
        <w:bidi w:val="0"/>
        <w:spacing w:before="0" w:after="0"/>
        <w:jc w:val="center"/>
        <w:rPr>
          <w:rFonts w:ascii="Times New Roman" w:hAnsi="Times New Roman"/>
          <w:b/>
          <w:sz w:val="20"/>
        </w:rPr>
      </w:pPr>
      <w:r>
        <w:rPr>
          <w:rFonts w:ascii="Times New Roman" w:hAnsi="Times New Roman"/>
          <w:b/>
          <w:sz w:val="20"/>
        </w:rPr>
        <w:t xml:space="preserve">Jaime Chase </w:t>
      </w:r>
    </w:p>
    <w:p>
      <w:pPr>
        <w:pStyle w:val="TextBody"/>
        <w:bidi w:val="0"/>
        <w:spacing w:before="0" w:after="0"/>
        <w:jc w:val="center"/>
        <w:rPr>
          <w:rFonts w:ascii="Times New Roman" w:hAnsi="Times New Roman"/>
          <w:b/>
          <w:sz w:val="20"/>
        </w:rPr>
      </w:pPr>
      <w:r>
        <w:rPr>
          <w:rFonts w:ascii="Times New Roman" w:hAnsi="Times New Roman"/>
          <w:b/>
          <w:sz w:val="20"/>
        </w:rPr>
        <w:t xml:space="preserve">Cooley LLP </w:t>
      </w:r>
    </w:p>
    <w:p>
      <w:pPr>
        <w:pStyle w:val="TextBody"/>
        <w:bidi w:val="0"/>
        <w:spacing w:before="0" w:after="0"/>
        <w:jc w:val="center"/>
        <w:rPr>
          <w:rFonts w:ascii="Times New Roman" w:hAnsi="Times New Roman"/>
          <w:b/>
          <w:sz w:val="20"/>
        </w:rPr>
      </w:pPr>
      <w:r>
        <w:rPr>
          <w:rFonts w:ascii="Times New Roman" w:hAnsi="Times New Roman"/>
          <w:b/>
          <w:sz w:val="20"/>
        </w:rPr>
        <w:t xml:space="preserve">1700 Seventh Avenue, Suite 1900 </w:t>
      </w:r>
    </w:p>
    <w:p>
      <w:pPr>
        <w:pStyle w:val="TextBody"/>
        <w:bidi w:val="0"/>
        <w:spacing w:before="0" w:after="0"/>
        <w:jc w:val="center"/>
        <w:rPr>
          <w:rFonts w:ascii="Times New Roman" w:hAnsi="Times New Roman"/>
          <w:b/>
          <w:sz w:val="20"/>
        </w:rPr>
      </w:pPr>
      <w:r>
        <w:rPr>
          <w:rFonts w:ascii="Times New Roman" w:hAnsi="Times New Roman"/>
          <w:b/>
          <w:sz w:val="20"/>
        </w:rPr>
        <w:t xml:space="preserve">Seattle, Washington 98101 </w:t>
      </w:r>
    </w:p>
    <w:p>
      <w:pPr>
        <w:pStyle w:val="TextBody"/>
        <w:bidi w:val="0"/>
        <w:spacing w:before="0" w:after="0"/>
        <w:jc w:val="center"/>
        <w:rPr>
          <w:rFonts w:ascii="Times New Roman" w:hAnsi="Times New Roman"/>
          <w:b/>
          <w:sz w:val="20"/>
        </w:rPr>
      </w:pPr>
      <w:r>
        <w:rPr>
          <w:rFonts w:ascii="Times New Roman" w:hAnsi="Times New Roman"/>
          <w:b/>
          <w:sz w:val="20"/>
        </w:rPr>
        <w:t xml:space="preserve">(206) 452-8700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This Post-Effective Amendment No. 1 to the Registration Statement on Form S-8 (File No. </w:t>
      </w:r>
      <w:r>
        <w:rPr>
          <w:rFonts w:ascii="Times New Roman" w:hAnsi="Times New Roman"/>
          <w:sz w:val="20"/>
          <w:u w:val="single"/>
        </w:rPr>
        <w:t>333-294732</w:t>
      </w:r>
      <w:r>
        <w:rPr>
          <w:rFonts w:ascii="Times New Roman" w:hAnsi="Times New Roman"/>
          <w:sz w:val="20"/>
        </w:rPr>
        <w:t xml:space="preserve">), originally filed by Tempest Therapeutics, Inc. (the “Company”) with the Securities and Exchange Commission on March 30, 2026, is being filed solely to correct Exhibit 23.2, the Consent of Independent Registered Public Accounting Firm. The original filing mistakenly included a version of the consent with an incorrect date for the report of Ernst &amp; Young LLP with respect to the Company’s consolidated financial statements included in the Company’s Annual Report on Form 10-K for the year ended December 31, 2025. No other changes have been made to the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9"/>
        <w:gridCol w:w="265"/>
        <w:gridCol w:w="4729"/>
        <w:gridCol w:w="204"/>
        <w:gridCol w:w="951"/>
        <w:gridCol w:w="204"/>
        <w:gridCol w:w="970"/>
        <w:gridCol w:w="204"/>
        <w:gridCol w:w="776"/>
        <w:gridCol w:w="204"/>
        <w:gridCol w:w="789"/>
      </w:tblGrid>
      <w:tr>
        <w:trPr/>
        <w:tc>
          <w:tcPr>
            <w:tcW w:w="909"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472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909"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472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105" w:type="dxa"/>
            <w:gridSpan w:val="5"/>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c>
          <w:tcPr>
            <w:tcW w:w="20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left"/>
              <w:rPr/>
            </w:pPr>
            <w:r>
              <w:rPr/>
              <w:t> </w:t>
            </w:r>
          </w:p>
        </w:tc>
      </w:tr>
      <w:tr>
        <w:trPr/>
        <w:tc>
          <w:tcPr>
            <w:tcW w:w="909" w:type="dxa"/>
            <w:tcBorders>
              <w:bottom w:val="single" w:sz="8" w:space="0" w:color="000000"/>
            </w:tcBorders>
            <w:tcMar>
              <w:bottom w:w="28" w:type="dxa"/>
            </w:tcMar>
            <w:vAlign w:val="bottom"/>
          </w:tcPr>
          <w:p>
            <w:pPr>
              <w:pStyle w:val="TableContents"/>
              <w:bidi w:val="0"/>
              <w:spacing w:before="0" w:after="283"/>
              <w:jc w:val="center"/>
              <w:rPr>
                <w:b/>
              </w:rPr>
            </w:pPr>
            <w:r>
              <w:rPr>
                <w:b/>
              </w:rPr>
              <w:t xml:space="preserve">Exhibit </w:t>
              <w:br/>
              <w:t>Number</w:t>
            </w:r>
          </w:p>
        </w:tc>
        <w:tc>
          <w:tcPr>
            <w:tcW w:w="265" w:type="dxa"/>
            <w:tcBorders/>
            <w:vAlign w:val="bottom"/>
          </w:tcPr>
          <w:p>
            <w:pPr>
              <w:pStyle w:val="TableContents"/>
              <w:bidi w:val="0"/>
              <w:spacing w:before="0" w:after="283"/>
              <w:jc w:val="left"/>
              <w:rPr/>
            </w:pPr>
            <w:r>
              <w:rPr/>
              <w:t>  </w:t>
            </w:r>
          </w:p>
        </w:tc>
        <w:tc>
          <w:tcPr>
            <w:tcW w:w="472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c>
          <w:tcPr>
            <w:tcW w:w="204" w:type="dxa"/>
            <w:tcBorders/>
            <w:vAlign w:val="bottom"/>
          </w:tcPr>
          <w:p>
            <w:pPr>
              <w:pStyle w:val="TableContents"/>
              <w:bidi w:val="0"/>
              <w:spacing w:before="0" w:after="283"/>
              <w:jc w:val="left"/>
              <w:rPr/>
            </w:pPr>
            <w:r>
              <w:rPr/>
              <w:t>  </w:t>
            </w:r>
          </w:p>
        </w:tc>
        <w:tc>
          <w:tcPr>
            <w:tcW w:w="951" w:type="dxa"/>
            <w:tcBorders>
              <w:bottom w:val="single" w:sz="8" w:space="0" w:color="000000"/>
            </w:tcBorders>
            <w:tcMar>
              <w:bottom w:w="28" w:type="dxa"/>
            </w:tcMar>
            <w:vAlign w:val="bottom"/>
          </w:tcPr>
          <w:p>
            <w:pPr>
              <w:pStyle w:val="TableContents"/>
              <w:bidi w:val="0"/>
              <w:spacing w:before="0" w:after="283"/>
              <w:jc w:val="center"/>
              <w:rPr>
                <w:b/>
              </w:rPr>
            </w:pPr>
            <w:r>
              <w:rPr>
                <w:b/>
              </w:rPr>
              <w:t>Schedule</w:t>
              <w:br/>
              <w:t>Form</w:t>
            </w:r>
          </w:p>
        </w:tc>
        <w:tc>
          <w:tcPr>
            <w:tcW w:w="204" w:type="dxa"/>
            <w:tcBorders/>
            <w:vAlign w:val="bottom"/>
          </w:tcPr>
          <w:p>
            <w:pPr>
              <w:pStyle w:val="TableContents"/>
              <w:bidi w:val="0"/>
              <w:spacing w:before="0" w:after="283"/>
              <w:jc w:val="left"/>
              <w:rPr/>
            </w:pPr>
            <w:r>
              <w:rPr/>
              <w:t>  </w:t>
            </w:r>
          </w:p>
        </w:tc>
        <w:tc>
          <w:tcPr>
            <w:tcW w:w="970" w:type="dxa"/>
            <w:tcBorders>
              <w:bottom w:val="single" w:sz="8" w:space="0" w:color="000000"/>
            </w:tcBorders>
            <w:tcMar>
              <w:bottom w:w="28" w:type="dxa"/>
            </w:tcMar>
            <w:vAlign w:val="bottom"/>
          </w:tcPr>
          <w:p>
            <w:pPr>
              <w:pStyle w:val="TableContents"/>
              <w:bidi w:val="0"/>
              <w:spacing w:before="0" w:after="283"/>
              <w:jc w:val="center"/>
              <w:rPr>
                <w:b/>
              </w:rPr>
            </w:pPr>
            <w:r>
              <w:rPr>
                <w:b/>
              </w:rPr>
              <w:t>File</w:t>
              <w:br/>
              <w:t>Number</w:t>
            </w:r>
          </w:p>
        </w:tc>
        <w:tc>
          <w:tcPr>
            <w:tcW w:w="204" w:type="dxa"/>
            <w:tcBorders/>
            <w:vAlign w:val="bottom"/>
          </w:tcPr>
          <w:p>
            <w:pPr>
              <w:pStyle w:val="TableContents"/>
              <w:bidi w:val="0"/>
              <w:spacing w:before="0" w:after="283"/>
              <w:jc w:val="left"/>
              <w:rPr/>
            </w:pPr>
            <w:r>
              <w:rPr/>
              <w:t>  </w:t>
            </w:r>
          </w:p>
        </w:tc>
        <w:tc>
          <w:tcPr>
            <w:tcW w:w="776"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204" w:type="dxa"/>
            <w:tcBorders/>
            <w:vAlign w:val="bottom"/>
          </w:tcPr>
          <w:p>
            <w:pPr>
              <w:pStyle w:val="TableContents"/>
              <w:bidi w:val="0"/>
              <w:spacing w:before="0" w:after="283"/>
              <w:jc w:val="left"/>
              <w:rPr/>
            </w:pPr>
            <w:r>
              <w:rPr/>
              <w:t>  </w:t>
            </w:r>
          </w:p>
        </w:tc>
        <w:tc>
          <w:tcPr>
            <w:tcW w:w="789" w:type="dxa"/>
            <w:tcBorders>
              <w:bottom w:val="single" w:sz="8" w:space="0" w:color="000000"/>
            </w:tcBorders>
            <w:tcMar>
              <w:bottom w:w="28" w:type="dxa"/>
            </w:tcMar>
            <w:vAlign w:val="bottom"/>
          </w:tcPr>
          <w:p>
            <w:pPr>
              <w:pStyle w:val="TableContents"/>
              <w:bidi w:val="0"/>
              <w:spacing w:before="0" w:after="283"/>
              <w:jc w:val="center"/>
              <w:rPr>
                <w:b/>
              </w:rPr>
            </w:pPr>
            <w:r>
              <w:rPr>
                <w:b/>
              </w:rPr>
              <w:t>Filing</w:t>
              <w:br/>
              <w:t>Date</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left"/>
              <w:rPr/>
            </w:pPr>
            <w:r>
              <w:rPr/>
              <w:t> </w:t>
            </w:r>
            <w:r>
              <w:rPr/>
              <w:t>4.1</w:t>
            </w:r>
          </w:p>
        </w:tc>
        <w:tc>
          <w:tcPr>
            <w:tcW w:w="265"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hyperlink r:id="rId2">
              <w:r>
                <w:rPr>
                  <w:rStyle w:val="InternetLink"/>
                </w:rPr>
                <w:t>Restated Certificate of Incorporation of the Registrant, as amended</w:t>
              </w:r>
            </w:hyperlink>
          </w:p>
        </w:tc>
        <w:tc>
          <w:tcPr>
            <w:tcW w:w="204"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center"/>
              <w:rPr/>
            </w:pPr>
            <w:r>
              <w:rPr/>
              <w:t>10-Q</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3.1</w:t>
            </w:r>
          </w:p>
        </w:tc>
        <w:tc>
          <w:tcPr>
            <w:tcW w:w="20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center"/>
              <w:rPr/>
            </w:pPr>
            <w:r>
              <w:rPr/>
              <w:t>5/15/2019</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left"/>
              <w:rPr/>
            </w:pPr>
            <w:r>
              <w:rPr/>
              <w:t> </w:t>
            </w:r>
            <w:r>
              <w:rPr/>
              <w:t>4.2</w:t>
            </w:r>
          </w:p>
        </w:tc>
        <w:tc>
          <w:tcPr>
            <w:tcW w:w="265"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hyperlink r:id="rId3">
              <w:r>
                <w:rPr>
                  <w:rStyle w:val="InternetLink"/>
                </w:rPr>
                <w:t>Certificate of Amendment to the Restated Certificate of Incorporation of the Company, as filed with the Secretary of State of the State of Delaware on June 24, 2021</w:t>
              </w:r>
            </w:hyperlink>
          </w:p>
        </w:tc>
        <w:tc>
          <w:tcPr>
            <w:tcW w:w="204"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center"/>
              <w:rPr/>
            </w:pPr>
            <w:r>
              <w:rPr/>
              <w:t>8-K</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3.1</w:t>
            </w:r>
          </w:p>
        </w:tc>
        <w:tc>
          <w:tcPr>
            <w:tcW w:w="20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center"/>
              <w:rPr/>
            </w:pPr>
            <w:r>
              <w:rPr/>
              <w:t>6/28/2021</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left"/>
              <w:rPr/>
            </w:pPr>
            <w:r>
              <w:rPr/>
              <w:t> </w:t>
            </w:r>
            <w:r>
              <w:rPr/>
              <w:t>4.3</w:t>
            </w:r>
          </w:p>
        </w:tc>
        <w:tc>
          <w:tcPr>
            <w:tcW w:w="265"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hyperlink r:id="rId4">
              <w:r>
                <w:rPr>
                  <w:rStyle w:val="InternetLink"/>
                </w:rPr>
                <w:t>Certificate of Amendment to the Restated Certificate of Incorporation of the Company, as filed with the Secretary of State of the State of Delaware on June 25, 2021</w:t>
              </w:r>
            </w:hyperlink>
          </w:p>
        </w:tc>
        <w:tc>
          <w:tcPr>
            <w:tcW w:w="204"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center"/>
              <w:rPr/>
            </w:pPr>
            <w:r>
              <w:rPr/>
              <w:t>8-K</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3.2</w:t>
            </w:r>
          </w:p>
        </w:tc>
        <w:tc>
          <w:tcPr>
            <w:tcW w:w="20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center"/>
              <w:rPr/>
            </w:pPr>
            <w:r>
              <w:rPr/>
              <w:t>6/28/2021</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left"/>
              <w:rPr/>
            </w:pPr>
            <w:r>
              <w:rPr/>
              <w:t> </w:t>
            </w:r>
            <w:r>
              <w:rPr/>
              <w:t>4.4</w:t>
            </w:r>
          </w:p>
        </w:tc>
        <w:tc>
          <w:tcPr>
            <w:tcW w:w="265"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hyperlink r:id="rId5">
              <w:r>
                <w:rPr>
                  <w:rStyle w:val="InternetLink"/>
                </w:rPr>
                <w:t>Certificate of Designation of Series A Junior Participating Preferred Stock, as filed with the Secretary of State of the State of Delaware on October 10, 2023</w:t>
              </w:r>
            </w:hyperlink>
          </w:p>
        </w:tc>
        <w:tc>
          <w:tcPr>
            <w:tcW w:w="204"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center"/>
              <w:rPr/>
            </w:pPr>
            <w:r>
              <w:rPr/>
              <w:t>8-K</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3.1</w:t>
            </w:r>
          </w:p>
        </w:tc>
        <w:tc>
          <w:tcPr>
            <w:tcW w:w="20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center"/>
              <w:rPr/>
            </w:pPr>
            <w:r>
              <w:rPr/>
              <w:t>10/11/2023</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left"/>
              <w:rPr/>
            </w:pPr>
            <w:r>
              <w:rPr/>
              <w:t> </w:t>
            </w:r>
            <w:r>
              <w:rPr/>
              <w:t>4.5</w:t>
            </w:r>
          </w:p>
        </w:tc>
        <w:tc>
          <w:tcPr>
            <w:tcW w:w="265"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hyperlink r:id="rId6">
              <w:r>
                <w:rPr>
                  <w:rStyle w:val="InternetLink"/>
                </w:rPr>
                <w:t>Amended and Restated Bylaws of the Registrant</w:t>
              </w:r>
            </w:hyperlink>
          </w:p>
        </w:tc>
        <w:tc>
          <w:tcPr>
            <w:tcW w:w="204"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center"/>
              <w:rPr/>
            </w:pPr>
            <w:r>
              <w:rPr/>
              <w:t>8-K</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3.1</w:t>
            </w:r>
          </w:p>
        </w:tc>
        <w:tc>
          <w:tcPr>
            <w:tcW w:w="20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center"/>
              <w:rPr/>
            </w:pPr>
            <w:r>
              <w:rPr/>
              <w:t>9/4/2021</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left"/>
              <w:rPr/>
            </w:pPr>
            <w:r>
              <w:rPr/>
              <w:t> </w:t>
            </w:r>
            <w:r>
              <w:rPr/>
              <w:t>4.6</w:t>
            </w:r>
          </w:p>
        </w:tc>
        <w:tc>
          <w:tcPr>
            <w:tcW w:w="265"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hyperlink r:id="rId7">
              <w:r>
                <w:rPr>
                  <w:rStyle w:val="InternetLink"/>
                </w:rPr>
                <w:t>Rights Agreement, dated as of October  10, 2023, between Tempest Therapeutics, Inc. and Computershare Trust Company, N.A., which includes the form of Certificate of Designation as Exhibit A, the form of Right Certificate as Exhibit B and the Summary of Rights to Purchase Preferred Shares as Exhibit C</w:t>
              </w:r>
            </w:hyperlink>
          </w:p>
        </w:tc>
        <w:tc>
          <w:tcPr>
            <w:tcW w:w="204"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center"/>
              <w:rPr/>
            </w:pPr>
            <w:r>
              <w:rPr/>
              <w:t>8-K</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4.1</w:t>
            </w:r>
          </w:p>
        </w:tc>
        <w:tc>
          <w:tcPr>
            <w:tcW w:w="20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center"/>
              <w:rPr/>
            </w:pPr>
            <w:r>
              <w:rPr/>
              <w:t>10/11/2023</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left"/>
              <w:rPr/>
            </w:pPr>
            <w:r>
              <w:rPr/>
              <w:t> </w:t>
            </w:r>
            <w:r>
              <w:rPr/>
              <w:t>4.7</w:t>
            </w:r>
          </w:p>
        </w:tc>
        <w:tc>
          <w:tcPr>
            <w:tcW w:w="265"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hyperlink r:id="rId8">
              <w:r>
                <w:rPr>
                  <w:rStyle w:val="InternetLink"/>
                </w:rPr>
                <w:t>Amendment No. 1, dated as of October 9, 2024, to Rights Agreement, dated as of October  10, 2023, by and between Tempest Therapeutics, Inc. and Computershare Trust Company, N.A., as rights agent</w:t>
              </w:r>
            </w:hyperlink>
          </w:p>
        </w:tc>
        <w:tc>
          <w:tcPr>
            <w:tcW w:w="204"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center"/>
              <w:rPr/>
            </w:pPr>
            <w:r>
              <w:rPr/>
              <w:t>8-K</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4.1</w:t>
            </w:r>
          </w:p>
        </w:tc>
        <w:tc>
          <w:tcPr>
            <w:tcW w:w="20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center"/>
              <w:rPr/>
            </w:pPr>
            <w:r>
              <w:rPr/>
              <w:t>10/10/2024</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left"/>
              <w:rPr/>
            </w:pPr>
            <w:r>
              <w:rPr/>
              <w:t> </w:t>
            </w:r>
            <w:r>
              <w:rPr/>
              <w:t>4.8</w:t>
            </w:r>
          </w:p>
        </w:tc>
        <w:tc>
          <w:tcPr>
            <w:tcW w:w="265"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hyperlink r:id="rId9">
              <w:r>
                <w:rPr>
                  <w:rStyle w:val="InternetLink"/>
                </w:rPr>
                <w:t>Amendment No. 2, dated as of December 5, 2024, to Rights Agreement, dated as of October  10, 2023, as amended, by and between Tempest Therapeutics, Inc. and Computershare Trust Company, N.A., as rights agent</w:t>
              </w:r>
            </w:hyperlink>
          </w:p>
        </w:tc>
        <w:tc>
          <w:tcPr>
            <w:tcW w:w="204"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center"/>
              <w:rPr/>
            </w:pPr>
            <w:r>
              <w:rPr/>
              <w:t>8-K</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4.1</w:t>
            </w:r>
          </w:p>
        </w:tc>
        <w:tc>
          <w:tcPr>
            <w:tcW w:w="20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center"/>
              <w:rPr/>
            </w:pPr>
            <w:r>
              <w:rPr/>
              <w:t>12/06/2024</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left"/>
              <w:rPr/>
            </w:pPr>
            <w:r>
              <w:rPr/>
              <w:t> </w:t>
            </w:r>
            <w:r>
              <w:rPr/>
              <w:t>5.1</w:t>
            </w:r>
          </w:p>
        </w:tc>
        <w:tc>
          <w:tcPr>
            <w:tcW w:w="265"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hyperlink r:id="rId10">
              <w:r>
                <w:rPr>
                  <w:rStyle w:val="InternetLink"/>
                </w:rPr>
                <w:t xml:space="preserve">Opinion of Cooley LLP </w:t>
              </w:r>
            </w:hyperlink>
          </w:p>
        </w:tc>
        <w:tc>
          <w:tcPr>
            <w:tcW w:w="204"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center"/>
              <w:rPr/>
            </w:pPr>
            <w:r>
              <w:rPr/>
              <w:t>S-8</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center"/>
              <w:rPr/>
            </w:pPr>
            <w:r>
              <w:rPr/>
              <w:t>333-294732</w:t>
            </w:r>
          </w:p>
        </w:tc>
        <w:tc>
          <w:tcPr>
            <w:tcW w:w="20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5.1</w:t>
            </w:r>
          </w:p>
        </w:tc>
        <w:tc>
          <w:tcPr>
            <w:tcW w:w="20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center"/>
              <w:rPr/>
            </w:pPr>
            <w:r>
              <w:rPr/>
              <w:t>3/30/2026</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left"/>
              <w:rPr/>
            </w:pPr>
            <w:r>
              <w:rPr/>
              <w:t>23.1</w:t>
            </w:r>
          </w:p>
        </w:tc>
        <w:tc>
          <w:tcPr>
            <w:tcW w:w="265"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hyperlink r:id="rId11">
              <w:r>
                <w:rPr>
                  <w:rStyle w:val="InternetLink"/>
                </w:rPr>
                <w:t xml:space="preserve">Consent of Cooley LLP (included in Exhibit 5.1). </w:t>
              </w:r>
            </w:hyperlink>
          </w:p>
        </w:tc>
        <w:tc>
          <w:tcPr>
            <w:tcW w:w="204"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center"/>
              <w:rPr/>
            </w:pPr>
            <w:r>
              <w:rPr/>
              <w:t>S-8</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center"/>
              <w:rPr/>
            </w:pPr>
            <w:r>
              <w:rPr/>
              <w:t>333-294732</w:t>
            </w:r>
          </w:p>
        </w:tc>
        <w:tc>
          <w:tcPr>
            <w:tcW w:w="20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23.1</w:t>
            </w:r>
          </w:p>
        </w:tc>
        <w:tc>
          <w:tcPr>
            <w:tcW w:w="20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center"/>
              <w:rPr/>
            </w:pPr>
            <w:r>
              <w:rPr/>
              <w:t>3/30/2026</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left"/>
              <w:rPr/>
            </w:pPr>
            <w:r>
              <w:rPr/>
              <w:t>23.2*</w:t>
            </w:r>
          </w:p>
        </w:tc>
        <w:tc>
          <w:tcPr>
            <w:tcW w:w="265"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hyperlink w:anchor="d90534dex232.htm">
              <w:r>
                <w:rPr>
                  <w:rStyle w:val="InternetLink"/>
                </w:rPr>
                <w:t xml:space="preserve">Consent of Ernst &amp; Young LLP, independent registered public accounting firm </w:t>
              </w:r>
            </w:hyperlink>
          </w:p>
        </w:tc>
        <w:tc>
          <w:tcPr>
            <w:tcW w:w="204"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left"/>
              <w:rPr/>
            </w:pPr>
            <w:r>
              <w:rPr/>
              <w:t>24.1</w:t>
            </w:r>
          </w:p>
        </w:tc>
        <w:tc>
          <w:tcPr>
            <w:tcW w:w="265"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r>
              <w:fldChar w:fldCharType="begin"/>
            </w:r>
            <w:r>
              <w:rPr>
                <w:rStyle w:val="InternetLink"/>
              </w:rPr>
              <w:instrText xml:space="preserve"> HYPERLINK "http://www.sec.gov/Archives/edgar/data/1544227/000119312526132033/d90534ds8.htm" \l "sig"</w:instrText>
            </w:r>
            <w:r>
              <w:rPr>
                <w:rStyle w:val="InternetLink"/>
              </w:rPr>
              <w:fldChar w:fldCharType="separate"/>
            </w:r>
            <w:r>
              <w:rPr>
                <w:rStyle w:val="InternetLink"/>
              </w:rPr>
              <w:t>Power of Attorney (included on the signature page of this Form S-8)</w:t>
            </w:r>
            <w:r>
              <w:rPr>
                <w:rStyle w:val="InternetLink"/>
              </w:rPr>
              <w:fldChar w:fldCharType="end"/>
            </w:r>
          </w:p>
        </w:tc>
        <w:tc>
          <w:tcPr>
            <w:tcW w:w="204"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center"/>
              <w:rPr/>
            </w:pPr>
            <w:r>
              <w:rPr/>
              <w:t>S-8</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center"/>
              <w:rPr/>
            </w:pPr>
            <w:r>
              <w:rPr/>
              <w:t>333-294732</w:t>
            </w:r>
          </w:p>
        </w:tc>
        <w:tc>
          <w:tcPr>
            <w:tcW w:w="20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24.1</w:t>
            </w:r>
          </w:p>
        </w:tc>
        <w:tc>
          <w:tcPr>
            <w:tcW w:w="20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center"/>
              <w:rPr/>
            </w:pPr>
            <w:r>
              <w:rPr/>
              <w:t>3/30/2026</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left"/>
              <w:rPr/>
            </w:pPr>
            <w:r>
              <w:rPr/>
              <w:t>99.1</w:t>
            </w:r>
          </w:p>
        </w:tc>
        <w:tc>
          <w:tcPr>
            <w:tcW w:w="265"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hyperlink r:id="rId12">
              <w:r>
                <w:rPr>
                  <w:rStyle w:val="InternetLink"/>
                </w:rPr>
                <w:t>Tempest Therapeutics, Inc. Amended and Restated 2023 Equity Incentive Plan</w:t>
              </w:r>
            </w:hyperlink>
          </w:p>
        </w:tc>
        <w:tc>
          <w:tcPr>
            <w:tcW w:w="204"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center"/>
              <w:rPr/>
            </w:pPr>
            <w:r>
              <w:rPr/>
              <w:t>10-Q</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10.1</w:t>
            </w:r>
          </w:p>
        </w:tc>
        <w:tc>
          <w:tcPr>
            <w:tcW w:w="20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center"/>
              <w:rPr/>
            </w:pPr>
            <w:r>
              <w:rPr/>
              <w:t>8/10/2023</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left"/>
              <w:rPr/>
            </w:pPr>
            <w:r>
              <w:rPr/>
              <w:t>99.2</w:t>
            </w:r>
          </w:p>
        </w:tc>
        <w:tc>
          <w:tcPr>
            <w:tcW w:w="265"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hyperlink r:id="rId13">
              <w:r>
                <w:rPr>
                  <w:rStyle w:val="InternetLink"/>
                </w:rPr>
                <w:t xml:space="preserve">Amendment No. 1 to Tempest Therapeutics, Inc. Amended and Restated 2023 Equity Incentive Plan </w:t>
              </w:r>
            </w:hyperlink>
          </w:p>
        </w:tc>
        <w:tc>
          <w:tcPr>
            <w:tcW w:w="204"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center"/>
              <w:rPr/>
            </w:pPr>
            <w:r>
              <w:rPr/>
              <w:t>10-K</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10.12</w:t>
            </w:r>
          </w:p>
        </w:tc>
        <w:tc>
          <w:tcPr>
            <w:tcW w:w="20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center"/>
              <w:rPr/>
            </w:pPr>
            <w:r>
              <w:rPr/>
              <w:t>3/30/2026</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left"/>
              <w:rPr/>
            </w:pPr>
            <w:r>
              <w:rPr/>
              <w:t>99.3</w:t>
            </w:r>
          </w:p>
        </w:tc>
        <w:tc>
          <w:tcPr>
            <w:tcW w:w="265"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hyperlink r:id="rId14">
              <w:r>
                <w:rPr>
                  <w:rStyle w:val="InternetLink"/>
                </w:rPr>
                <w:t xml:space="preserve">Tempest Therapeutics, Inc. 2019 Employee Stock Purchase Plan </w:t>
              </w:r>
            </w:hyperlink>
          </w:p>
        </w:tc>
        <w:tc>
          <w:tcPr>
            <w:tcW w:w="204"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center"/>
              <w:rPr/>
            </w:pPr>
            <w:r>
              <w:rPr/>
              <w:t>8-K</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10.2</w:t>
            </w:r>
          </w:p>
        </w:tc>
        <w:tc>
          <w:tcPr>
            <w:tcW w:w="20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center"/>
              <w:rPr/>
            </w:pPr>
            <w:r>
              <w:rPr/>
              <w:t>6/21/2022</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left"/>
              <w:rPr/>
            </w:pPr>
            <w:r>
              <w:rPr/>
              <w:t>107</w:t>
            </w:r>
          </w:p>
        </w:tc>
        <w:tc>
          <w:tcPr>
            <w:tcW w:w="265"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hyperlink r:id="rId15">
              <w:r>
                <w:rPr>
                  <w:rStyle w:val="InternetLink"/>
                </w:rPr>
                <w:t xml:space="preserve">Filing Fee Table </w:t>
              </w:r>
            </w:hyperlink>
          </w:p>
        </w:tc>
        <w:tc>
          <w:tcPr>
            <w:tcW w:w="204"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center"/>
              <w:rPr/>
            </w:pPr>
            <w:r>
              <w:rPr/>
              <w:t>S-8</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center"/>
              <w:rPr/>
            </w:pPr>
            <w:r>
              <w:rPr/>
              <w:t>333-294732</w:t>
            </w:r>
          </w:p>
        </w:tc>
        <w:tc>
          <w:tcPr>
            <w:tcW w:w="20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107</w:t>
            </w:r>
          </w:p>
        </w:tc>
        <w:tc>
          <w:tcPr>
            <w:tcW w:w="20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center"/>
              <w:rPr/>
            </w:pPr>
            <w:r>
              <w:rPr/>
              <w:t>3/30/2026</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Brisbane, State of California, on March 31,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Tempest Therapeutics,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Angel</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Matthew Angel</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95"/>
        <w:gridCol w:w="120"/>
        <w:gridCol w:w="4344"/>
        <w:gridCol w:w="106"/>
        <w:gridCol w:w="1840"/>
      </w:tblGrid>
      <w:tr>
        <w:trPr/>
        <w:tc>
          <w:tcPr>
            <w:tcW w:w="37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4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37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3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6" w:type="dxa"/>
            <w:tcBorders/>
            <w:vAlign w:val="bottom"/>
          </w:tcPr>
          <w:p>
            <w:pPr>
              <w:pStyle w:val="TableContents"/>
              <w:bidi w:val="0"/>
              <w:spacing w:before="0" w:after="283"/>
              <w:jc w:val="left"/>
              <w:rPr/>
            </w:pPr>
            <w:r>
              <w:rPr/>
              <w:t> </w:t>
            </w:r>
          </w:p>
        </w:tc>
        <w:tc>
          <w:tcPr>
            <w:tcW w:w="18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Matthew Angel</w:t>
            </w:r>
          </w:p>
          <w:p>
            <w:pPr>
              <w:pStyle w:val="TableContents"/>
              <w:bidi w:val="0"/>
              <w:spacing w:before="0" w:after="20"/>
              <w:jc w:val="center"/>
              <w:rPr>
                <w:rFonts w:ascii="Times New Roman" w:hAnsi="Times New Roman"/>
                <w:sz w:val="20"/>
              </w:rPr>
            </w:pPr>
            <w:r>
              <w:rPr>
                <w:rFonts w:ascii="Times New Roman" w:hAnsi="Times New Roman"/>
                <w:sz w:val="20"/>
              </w:rPr>
              <w:t>Matthew Angel</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31, 2026</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Nicholas Maestas</w:t>
            </w:r>
          </w:p>
          <w:p>
            <w:pPr>
              <w:pStyle w:val="TableContents"/>
              <w:bidi w:val="0"/>
              <w:spacing w:before="0" w:after="20"/>
              <w:jc w:val="center"/>
              <w:rPr>
                <w:rFonts w:ascii="Times New Roman" w:hAnsi="Times New Roman"/>
                <w:sz w:val="20"/>
              </w:rPr>
            </w:pPr>
            <w:r>
              <w:rPr>
                <w:rFonts w:ascii="Times New Roman" w:hAnsi="Times New Roman"/>
                <w:sz w:val="20"/>
              </w:rPr>
              <w:t>Nicholas Maestas</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 and Head of Corporate Strategy</w:t>
            </w:r>
          </w:p>
          <w:p>
            <w:pPr>
              <w:pStyle w:val="TableContents"/>
              <w:bidi w:val="0"/>
              <w:spacing w:before="0" w:after="20"/>
              <w:jc w:val="left"/>
              <w:rPr>
                <w:rFonts w:ascii="Times New Roman" w:hAnsi="Times New Roman"/>
                <w:i/>
                <w:sz w:val="20"/>
              </w:rPr>
            </w:pPr>
            <w:r>
              <w:rPr>
                <w:rFonts w:ascii="Times New Roman" w:hAnsi="Times New Roman"/>
                <w:i/>
                <w:sz w:val="20"/>
              </w:rPr>
              <w:t>(Principal Financial Officer)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31, 2026</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Justin Trojanowski</w:t>
            </w:r>
          </w:p>
          <w:p>
            <w:pPr>
              <w:pStyle w:val="TableContents"/>
              <w:bidi w:val="0"/>
              <w:spacing w:before="0" w:after="20"/>
              <w:jc w:val="center"/>
              <w:rPr>
                <w:rFonts w:ascii="Times New Roman" w:hAnsi="Times New Roman"/>
                <w:sz w:val="20"/>
              </w:rPr>
            </w:pPr>
            <w:r>
              <w:rPr>
                <w:rFonts w:ascii="Times New Roman" w:hAnsi="Times New Roman"/>
                <w:sz w:val="20"/>
              </w:rPr>
              <w:t>Justin Trojanowski</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Controller, Treasurer </w:t>
            </w:r>
          </w:p>
          <w:p>
            <w:pPr>
              <w:pStyle w:val="TableContents"/>
              <w:bidi w:val="0"/>
              <w:spacing w:before="0" w:after="20"/>
              <w:jc w:val="left"/>
              <w:rPr>
                <w:rFonts w:ascii="Times New Roman" w:hAnsi="Times New Roman"/>
                <w:i/>
                <w:sz w:val="20"/>
              </w:rPr>
            </w:pPr>
            <w:r>
              <w:rPr>
                <w:rFonts w:ascii="Times New Roman" w:hAnsi="Times New Roman"/>
                <w:i/>
                <w:sz w:val="20"/>
              </w:rPr>
              <w:t>(Principal Accounting Officer)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31, 2026</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Stephen Brady</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283"/>
              <w:jc w:val="left"/>
              <w:rPr/>
            </w:pPr>
            <w:r>
              <w:rPr/>
              <w:t>Chairman of the Board of Directors</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31, 2026</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Christine Pellizzari</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283"/>
              <w:jc w:val="left"/>
              <w:rPr/>
            </w:pPr>
            <w:r>
              <w:rPr/>
              <w:t>Director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31 2026</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Michael Raab</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283"/>
              <w:jc w:val="left"/>
              <w:rPr/>
            </w:pPr>
            <w:r>
              <w:rPr/>
              <w:t>Director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31, 2026</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Ronit Simantov</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283"/>
              <w:jc w:val="left"/>
              <w:rPr/>
            </w:pPr>
            <w:r>
              <w:rPr/>
              <w:t>Director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31, 2026</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6" w:type="dxa"/>
            <w:tcBorders>
              <w:bottom w:val="single" w:sz="2" w:space="0" w:color="000000"/>
            </w:tcBorders>
            <w:tcMar>
              <w:bottom w:w="28" w:type="dxa"/>
            </w:tcMar>
          </w:tcPr>
          <w:p>
            <w:pPr>
              <w:pStyle w:val="TableContents"/>
              <w:bidi w:val="0"/>
              <w:spacing w:before="0" w:after="283"/>
              <w:jc w:val="left"/>
              <w:rPr/>
            </w:pPr>
            <w:r>
              <w:rPr/>
              <w:t>/s/ Matthew Angel</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Matthew Angel</w:t>
            </w:r>
          </w:p>
        </w:tc>
      </w:tr>
      <w:tr>
        <w:trPr/>
        <w:tc>
          <w:tcPr>
            <w:tcW w:w="68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Attorney-in-fact</w:t>
            </w:r>
          </w:p>
        </w:tc>
      </w:tr>
    </w:tbl>
    <w:p>
      <w:pPr>
        <w:pStyle w:val="TextBody"/>
        <w:bidi w:val="0"/>
        <w:spacing w:before="0" w:after="0"/>
        <w:jc w:val="right"/>
        <w:rPr>
          <w:rFonts w:ascii="Times New Roman" w:hAnsi="Times New Roman"/>
          <w:b/>
          <w:sz w:val="20"/>
        </w:rPr>
      </w:pPr>
      <w:bookmarkStart w:id="3" w:name="d90534dex232.htm"/>
      <w:bookmarkStart w:id="4" w:name="ksd90534dex232"/>
      <w:bookmarkEnd w:id="3"/>
      <w:bookmarkEnd w:id="4"/>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Tempest Therapeutics, Inc. Amended and Restated 2023 Equity Incentive Plan and the Tempest Therapeutics, Inc. Amended and Restated 2019 Employee Stock Purchase Plan of our report dated March 30, 2026, with respect to the consolidated financial statements of Tempest Therapeutics, Inc.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/s/ Ernst &amp; Young LLP</w:t>
      </w:r>
    </w:p>
    <w:p>
      <w:pPr>
        <w:pStyle w:val="TextBody"/>
        <w:bidi w:val="0"/>
        <w:spacing w:before="240" w:after="0"/>
        <w:jc w:val="left"/>
        <w:rPr>
          <w:rFonts w:ascii="Times New Roman" w:hAnsi="Times New Roman"/>
          <w:sz w:val="20"/>
        </w:rPr>
      </w:pPr>
      <w:r>
        <w:rPr>
          <w:rFonts w:ascii="Times New Roman" w:hAnsi="Times New Roman"/>
          <w:sz w:val="20"/>
        </w:rPr>
        <w:t xml:space="preserve">Chicago, Illinois </w:t>
      </w:r>
    </w:p>
    <w:p>
      <w:pPr>
        <w:pStyle w:val="TextBody"/>
        <w:bidi w:val="0"/>
        <w:spacing w:before="0" w:after="0"/>
        <w:jc w:val="left"/>
        <w:rPr>
          <w:rFonts w:ascii="Times New Roman" w:hAnsi="Times New Roman"/>
          <w:sz w:val="20"/>
        </w:rPr>
      </w:pPr>
      <w:r>
        <w:rPr>
          <w:rFonts w:ascii="Times New Roman" w:hAnsi="Times New Roman"/>
          <w:sz w:val="20"/>
        </w:rPr>
        <w:t xml:space="preserve">March 30,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44227/000155837019005038/mlnd-20190331ex31b53fa83.htm" TargetMode="External"/><Relationship Id="rId3" Type="http://schemas.openxmlformats.org/officeDocument/2006/relationships/hyperlink" Target="http://www.sec.gov/Archives/edgar/data/1544227/000119312521201157/d196630dex31.htm" TargetMode="External"/><Relationship Id="rId4" Type="http://schemas.openxmlformats.org/officeDocument/2006/relationships/hyperlink" Target="http://www.sec.gov/Archives/edgar/data/1544227/000119312521201157/d196630dex32.htm" TargetMode="External"/><Relationship Id="rId5" Type="http://schemas.openxmlformats.org/officeDocument/2006/relationships/hyperlink" Target="http://www.sec.gov/Archives/edgar/data/1544227/000119312523253882/d547808dex31.htm" TargetMode="External"/><Relationship Id="rId6" Type="http://schemas.openxmlformats.org/officeDocument/2006/relationships/hyperlink" Target="http://www.sec.gov/Archives/edgar/data/1544227/000119312521281694/d222030dex31.htm" TargetMode="External"/><Relationship Id="rId7" Type="http://schemas.openxmlformats.org/officeDocument/2006/relationships/hyperlink" Target="http://www.sec.gov/Archives/edgar/data/1544227/000119312523253882/d547808dex41.htm" TargetMode="External"/><Relationship Id="rId8" Type="http://schemas.openxmlformats.org/officeDocument/2006/relationships/hyperlink" Target="http://www.sec.gov/Archives/edgar/data/1544227/000119312524235598/d877681dex41.htm" TargetMode="External"/><Relationship Id="rId9" Type="http://schemas.openxmlformats.org/officeDocument/2006/relationships/hyperlink" Target="http://www.sec.gov/Archives/edgar/data/1544227/000119312524272464/d899818dex41.htm" TargetMode="External"/><Relationship Id="rId10" Type="http://schemas.openxmlformats.org/officeDocument/2006/relationships/hyperlink" Target="http://www.sec.gov/Archives/edgar/data/1544227/000119312526132033/d90534dex51.htm" TargetMode="External"/><Relationship Id="rId11" Type="http://schemas.openxmlformats.org/officeDocument/2006/relationships/hyperlink" Target="http://www.sec.gov/Archives/edgar/data/1544227/000119312526132033/d90534dex51.htm" TargetMode="External"/><Relationship Id="rId12" Type="http://schemas.openxmlformats.org/officeDocument/2006/relationships/hyperlink" Target="http://www.sec.gov/Archives/edgar/data/1544227/000095017023041429/tpst-ex10_1.htm" TargetMode="External"/><Relationship Id="rId13" Type="http://schemas.openxmlformats.org/officeDocument/2006/relationships/hyperlink" Target="http://www.sec.gov/Archives/edgar/data/1544227/000119312526130490/tpst-ex10_12.htm" TargetMode="External"/><Relationship Id="rId14" Type="http://schemas.openxmlformats.org/officeDocument/2006/relationships/hyperlink" Target="http://www.sec.gov/Archives/edgar/data/1544227/000119312522177053/d370249dex102.htm" TargetMode="External"/><Relationship Id="rId15" Type="http://schemas.openxmlformats.org/officeDocument/2006/relationships/hyperlink" Target="http://www.sec.gov/Archives/edgar/data/../../../ix?doc=/Archives/edgar/data/1544227/000119312526132033/d90534dexfilingfees.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1051</Words>
  <Characters>5906</Characters>
  <CharactersWithSpaces>7063</CharactersWithSpaces>
  <Paragraphs>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